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9A4CA" w14:textId="68E59317" w:rsidR="00CD246B" w:rsidRPr="004C6985" w:rsidRDefault="00590680" w:rsidP="3FEA3204">
      <w:pPr>
        <w:spacing w:line="240" w:lineRule="auto"/>
        <w:jc w:val="center"/>
        <w:rPr>
          <w:rFonts w:ascii="Arial Narrow" w:hAnsi="Arial Narrow"/>
          <w:b/>
          <w:bCs/>
          <w:sz w:val="24"/>
          <w:szCs w:val="24"/>
        </w:rPr>
      </w:pPr>
      <w:r>
        <w:rPr>
          <w:rFonts w:ascii="Arial Narrow" w:hAnsi="Arial Narrow"/>
          <w:b/>
          <w:bCs/>
          <w:sz w:val="24"/>
          <w:szCs w:val="24"/>
        </w:rPr>
        <w:t>Annex</w:t>
      </w:r>
      <w:r w:rsidR="00CD246B" w:rsidRPr="004C6985">
        <w:rPr>
          <w:rFonts w:ascii="Arial Narrow" w:hAnsi="Arial Narrow"/>
          <w:b/>
          <w:bCs/>
          <w:sz w:val="24"/>
          <w:szCs w:val="24"/>
        </w:rPr>
        <w:t xml:space="preserve"> I</w:t>
      </w:r>
    </w:p>
    <w:p w14:paraId="3253A49D" w14:textId="77777777" w:rsidR="00CD246B" w:rsidRPr="004C6985" w:rsidRDefault="00CD246B" w:rsidP="00CD246B">
      <w:pPr>
        <w:spacing w:line="240" w:lineRule="auto"/>
        <w:jc w:val="center"/>
        <w:rPr>
          <w:rStyle w:val="Heading1Char"/>
          <w:rFonts w:ascii="Arial Narrow" w:eastAsia="Calibri" w:hAnsi="Arial Narrow"/>
          <w:b w:val="0"/>
          <w:bCs w:val="0"/>
          <w:szCs w:val="24"/>
        </w:rPr>
      </w:pPr>
      <w:r w:rsidRPr="004C6985">
        <w:rPr>
          <w:rStyle w:val="Heading1Char"/>
          <w:rFonts w:ascii="Arial Narrow" w:eastAsia="Calibri" w:hAnsi="Arial Narrow"/>
          <w:szCs w:val="24"/>
        </w:rPr>
        <w:t>Milestones, targets and related indicators – non-repayable support</w:t>
      </w:r>
    </w:p>
    <w:tbl>
      <w:tblPr>
        <w:tblW w:w="22648"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1215"/>
        <w:gridCol w:w="956"/>
        <w:gridCol w:w="1691"/>
        <w:gridCol w:w="1322"/>
        <w:gridCol w:w="709"/>
        <w:gridCol w:w="614"/>
        <w:gridCol w:w="731"/>
        <w:gridCol w:w="13"/>
        <w:gridCol w:w="743"/>
        <w:gridCol w:w="520"/>
        <w:gridCol w:w="13"/>
        <w:gridCol w:w="859"/>
        <w:gridCol w:w="13"/>
        <w:gridCol w:w="838"/>
        <w:gridCol w:w="13"/>
        <w:gridCol w:w="1738"/>
        <w:gridCol w:w="3402"/>
        <w:gridCol w:w="2268"/>
        <w:gridCol w:w="16"/>
        <w:gridCol w:w="1020"/>
        <w:gridCol w:w="16"/>
        <w:gridCol w:w="1074"/>
        <w:gridCol w:w="16"/>
        <w:gridCol w:w="976"/>
        <w:gridCol w:w="16"/>
        <w:gridCol w:w="1402"/>
      </w:tblGrid>
      <w:tr w:rsidR="00AD589E" w:rsidRPr="004F3D4C" w14:paraId="51F816F7" w14:textId="764171D4" w:rsidTr="00596EEA">
        <w:trPr>
          <w:trHeight w:val="309"/>
          <w:tblHeader/>
        </w:trPr>
        <w:tc>
          <w:tcPr>
            <w:tcW w:w="454" w:type="dxa"/>
            <w:vMerge w:val="restart"/>
            <w:shd w:val="clear" w:color="auto" w:fill="BDD7EE"/>
            <w:noWrap/>
            <w:vAlign w:val="center"/>
          </w:tcPr>
          <w:p w14:paraId="79C1B0F2" w14:textId="77777777"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4F3D4C">
              <w:rPr>
                <w:rFonts w:ascii="Arial" w:eastAsia="Times New Roman" w:hAnsi="Arial" w:cs="Arial"/>
                <w:b/>
                <w:color w:val="000000" w:themeColor="text1"/>
                <w:sz w:val="16"/>
                <w:szCs w:val="16"/>
                <w:lang w:eastAsia="en-GB"/>
              </w:rPr>
              <w:t>#</w:t>
            </w:r>
          </w:p>
        </w:tc>
        <w:tc>
          <w:tcPr>
            <w:tcW w:w="1215" w:type="dxa"/>
            <w:vMerge w:val="restart"/>
            <w:shd w:val="clear" w:color="auto" w:fill="BDD7EE"/>
            <w:noWrap/>
            <w:vAlign w:val="center"/>
          </w:tcPr>
          <w:p w14:paraId="16AE2C2D" w14:textId="77777777"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4F3D4C">
              <w:rPr>
                <w:rFonts w:ascii="Arial" w:eastAsia="Times New Roman" w:hAnsi="Arial" w:cs="Arial"/>
                <w:b/>
                <w:color w:val="000000" w:themeColor="text1"/>
                <w:sz w:val="16"/>
                <w:szCs w:val="16"/>
                <w:lang w:eastAsia="en-GB"/>
              </w:rPr>
              <w:t>Related measure (reform or investment)</w:t>
            </w:r>
          </w:p>
        </w:tc>
        <w:tc>
          <w:tcPr>
            <w:tcW w:w="956" w:type="dxa"/>
            <w:vMerge w:val="restart"/>
            <w:shd w:val="clear" w:color="auto" w:fill="BDD7EE"/>
            <w:noWrap/>
            <w:vAlign w:val="center"/>
          </w:tcPr>
          <w:p w14:paraId="32E1825B" w14:textId="77777777"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4F3D4C">
              <w:rPr>
                <w:rFonts w:ascii="Arial" w:eastAsia="Times New Roman" w:hAnsi="Arial" w:cs="Arial"/>
                <w:b/>
                <w:color w:val="000000" w:themeColor="text1"/>
                <w:sz w:val="16"/>
                <w:szCs w:val="16"/>
                <w:lang w:eastAsia="en-GB"/>
              </w:rPr>
              <w:t>M/T</w:t>
            </w:r>
          </w:p>
        </w:tc>
        <w:tc>
          <w:tcPr>
            <w:tcW w:w="1691" w:type="dxa"/>
            <w:vMerge w:val="restart"/>
            <w:shd w:val="clear" w:color="auto" w:fill="BDD7EE"/>
            <w:noWrap/>
            <w:vAlign w:val="center"/>
          </w:tcPr>
          <w:p w14:paraId="1052A5E4" w14:textId="77777777"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4F3D4C">
              <w:rPr>
                <w:rFonts w:ascii="Arial" w:eastAsia="Times New Roman" w:hAnsi="Arial" w:cs="Arial"/>
                <w:b/>
                <w:color w:val="000000" w:themeColor="text1"/>
                <w:sz w:val="16"/>
                <w:szCs w:val="16"/>
                <w:lang w:eastAsia="en-GB"/>
              </w:rPr>
              <w:t>Name</w:t>
            </w:r>
          </w:p>
        </w:tc>
        <w:tc>
          <w:tcPr>
            <w:tcW w:w="1322" w:type="dxa"/>
            <w:vMerge w:val="restart"/>
            <w:shd w:val="clear" w:color="auto" w:fill="BDD7EE"/>
            <w:noWrap/>
            <w:vAlign w:val="center"/>
          </w:tcPr>
          <w:p w14:paraId="4DB2E495" w14:textId="77777777"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4F3D4C">
              <w:rPr>
                <w:rFonts w:ascii="Arial" w:eastAsia="Times New Roman" w:hAnsi="Arial" w:cs="Arial"/>
                <w:b/>
                <w:color w:val="000000" w:themeColor="text1"/>
                <w:sz w:val="16"/>
                <w:szCs w:val="16"/>
                <w:lang w:eastAsia="en-GB"/>
              </w:rPr>
              <w:t>Qualitative indicators (for milestones)</w:t>
            </w:r>
          </w:p>
        </w:tc>
        <w:tc>
          <w:tcPr>
            <w:tcW w:w="2067" w:type="dxa"/>
            <w:gridSpan w:val="4"/>
            <w:shd w:val="clear" w:color="auto" w:fill="BDD7EE"/>
            <w:noWrap/>
            <w:vAlign w:val="center"/>
          </w:tcPr>
          <w:p w14:paraId="62F81047" w14:textId="77777777"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4F3D4C">
              <w:rPr>
                <w:rFonts w:ascii="Arial" w:eastAsia="Times New Roman" w:hAnsi="Arial" w:cs="Arial"/>
                <w:b/>
                <w:color w:val="000000" w:themeColor="text1"/>
                <w:sz w:val="16"/>
                <w:szCs w:val="16"/>
                <w:lang w:eastAsia="en-GB"/>
              </w:rPr>
              <w:t>Quantitative indicators (for targets)</w:t>
            </w:r>
          </w:p>
        </w:tc>
        <w:tc>
          <w:tcPr>
            <w:tcW w:w="1276" w:type="dxa"/>
            <w:gridSpan w:val="3"/>
            <w:shd w:val="clear" w:color="auto" w:fill="BDD7EE"/>
            <w:noWrap/>
            <w:vAlign w:val="center"/>
          </w:tcPr>
          <w:p w14:paraId="61956010" w14:textId="77777777"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4F3D4C">
              <w:rPr>
                <w:rFonts w:ascii="Arial" w:eastAsia="Times New Roman" w:hAnsi="Arial" w:cs="Arial"/>
                <w:b/>
                <w:color w:val="000000" w:themeColor="text1"/>
                <w:sz w:val="16"/>
                <w:szCs w:val="16"/>
                <w:lang w:eastAsia="en-GB"/>
              </w:rPr>
              <w:t>Date for completion</w:t>
            </w:r>
          </w:p>
        </w:tc>
        <w:tc>
          <w:tcPr>
            <w:tcW w:w="872" w:type="dxa"/>
            <w:gridSpan w:val="2"/>
            <w:shd w:val="clear" w:color="auto" w:fill="BDD7EE"/>
            <w:vAlign w:val="center"/>
          </w:tcPr>
          <w:p w14:paraId="3A9331B6" w14:textId="77777777" w:rsidR="00AD589E" w:rsidRPr="004F3D4C" w:rsidRDefault="00AD589E" w:rsidP="001732C4">
            <w:pPr>
              <w:spacing w:after="0"/>
              <w:jc w:val="center"/>
              <w:rPr>
                <w:rFonts w:ascii="Arial" w:eastAsia="Times New Roman" w:hAnsi="Arial" w:cs="Arial"/>
                <w:b/>
                <w:sz w:val="16"/>
                <w:szCs w:val="16"/>
                <w:lang w:eastAsia="en-GB"/>
              </w:rPr>
            </w:pPr>
            <w:r w:rsidRPr="004F3D4C">
              <w:rPr>
                <w:rFonts w:ascii="Arial" w:eastAsia="Times New Roman" w:hAnsi="Arial" w:cs="Arial"/>
                <w:b/>
                <w:sz w:val="16"/>
                <w:szCs w:val="16"/>
                <w:lang w:eastAsia="en-GB"/>
              </w:rPr>
              <w:t>Responsibility for reporting and implementation</w:t>
            </w:r>
          </w:p>
        </w:tc>
        <w:tc>
          <w:tcPr>
            <w:tcW w:w="851" w:type="dxa"/>
            <w:gridSpan w:val="2"/>
            <w:shd w:val="clear" w:color="auto" w:fill="BDD7EE"/>
            <w:vAlign w:val="center"/>
          </w:tcPr>
          <w:p w14:paraId="3BE6DC2C" w14:textId="77777777" w:rsidR="00AD589E" w:rsidRPr="004F3D4C" w:rsidRDefault="00AD589E" w:rsidP="001732C4">
            <w:pPr>
              <w:spacing w:after="0"/>
              <w:jc w:val="center"/>
              <w:rPr>
                <w:rFonts w:ascii="Arial" w:eastAsia="Times New Roman" w:hAnsi="Arial" w:cs="Arial"/>
                <w:b/>
                <w:sz w:val="16"/>
                <w:szCs w:val="16"/>
                <w:lang w:eastAsia="en-GB"/>
              </w:rPr>
            </w:pPr>
            <w:r w:rsidRPr="004F3D4C">
              <w:rPr>
                <w:rFonts w:ascii="Arial" w:eastAsia="Times New Roman" w:hAnsi="Arial" w:cs="Arial"/>
                <w:b/>
                <w:sz w:val="16"/>
                <w:szCs w:val="16"/>
                <w:lang w:eastAsia="en-GB"/>
              </w:rPr>
              <w:t>Further specification (if necessary)</w:t>
            </w:r>
          </w:p>
        </w:tc>
        <w:tc>
          <w:tcPr>
            <w:tcW w:w="7424" w:type="dxa"/>
            <w:gridSpan w:val="4"/>
            <w:shd w:val="clear" w:color="auto" w:fill="BDD7EE"/>
          </w:tcPr>
          <w:p w14:paraId="5EA8FAE3" w14:textId="7F21B29A"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Verification mechanism</w:t>
            </w:r>
          </w:p>
        </w:tc>
        <w:tc>
          <w:tcPr>
            <w:tcW w:w="1036" w:type="dxa"/>
            <w:gridSpan w:val="2"/>
            <w:shd w:val="clear" w:color="auto" w:fill="BDD7EE"/>
          </w:tcPr>
          <w:p w14:paraId="23D1C561" w14:textId="4E471DDE"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Possible early warning indicators</w:t>
            </w:r>
          </w:p>
        </w:tc>
        <w:tc>
          <w:tcPr>
            <w:tcW w:w="1090" w:type="dxa"/>
            <w:gridSpan w:val="2"/>
            <w:shd w:val="clear" w:color="auto" w:fill="BDD7EE"/>
          </w:tcPr>
          <w:p w14:paraId="54FCC31A" w14:textId="3C97BA45"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4F3D4C">
              <w:rPr>
                <w:rFonts w:ascii="Arial" w:eastAsia="Times New Roman" w:hAnsi="Arial" w:cs="Arial"/>
                <w:b/>
                <w:color w:val="000000" w:themeColor="text1"/>
                <w:sz w:val="16"/>
                <w:szCs w:val="16"/>
                <w:lang w:eastAsia="en-GB"/>
              </w:rPr>
              <w:t>On-the-spot checks</w:t>
            </w:r>
          </w:p>
        </w:tc>
        <w:tc>
          <w:tcPr>
            <w:tcW w:w="992" w:type="dxa"/>
            <w:gridSpan w:val="2"/>
            <w:shd w:val="clear" w:color="auto" w:fill="BDD7EE"/>
          </w:tcPr>
          <w:p w14:paraId="05B69FD1" w14:textId="37A7D6A9"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Relevant common indicators</w:t>
            </w:r>
          </w:p>
        </w:tc>
        <w:tc>
          <w:tcPr>
            <w:tcW w:w="1402" w:type="dxa"/>
            <w:shd w:val="clear" w:color="auto" w:fill="BDD7EE"/>
          </w:tcPr>
          <w:p w14:paraId="47B8CB8D" w14:textId="412D09BC" w:rsidR="00AD589E" w:rsidRPr="004F3D4C" w:rsidRDefault="00AD589E" w:rsidP="001732C4">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Comment</w:t>
            </w:r>
            <w:r>
              <w:rPr>
                <w:rFonts w:ascii="Arial" w:eastAsia="Times New Roman" w:hAnsi="Arial" w:cs="Arial"/>
                <w:b/>
                <w:color w:val="000000" w:themeColor="text1"/>
                <w:sz w:val="16"/>
                <w:szCs w:val="16"/>
                <w:lang w:eastAsia="en-GB"/>
              </w:rPr>
              <w:t xml:space="preserve"> (if any)</w:t>
            </w:r>
          </w:p>
        </w:tc>
      </w:tr>
      <w:tr w:rsidR="00AD589E" w:rsidRPr="004F3D4C" w14:paraId="701F3BB6" w14:textId="3C32086E" w:rsidTr="00596EEA">
        <w:trPr>
          <w:trHeight w:val="309"/>
          <w:tblHeader/>
        </w:trPr>
        <w:tc>
          <w:tcPr>
            <w:tcW w:w="454" w:type="dxa"/>
            <w:vMerge/>
            <w:noWrap/>
          </w:tcPr>
          <w:p w14:paraId="3595E310" w14:textId="77777777" w:rsidR="00AD589E" w:rsidRPr="004F3D4C" w:rsidRDefault="00AD589E" w:rsidP="009D25C7">
            <w:pPr>
              <w:spacing w:after="0"/>
              <w:jc w:val="center"/>
              <w:rPr>
                <w:rFonts w:ascii="Arial" w:eastAsia="Times New Roman" w:hAnsi="Arial" w:cs="Arial"/>
                <w:color w:val="006100"/>
                <w:sz w:val="16"/>
                <w:szCs w:val="16"/>
                <w:lang w:eastAsia="en-GB"/>
              </w:rPr>
            </w:pPr>
          </w:p>
        </w:tc>
        <w:tc>
          <w:tcPr>
            <w:tcW w:w="1215" w:type="dxa"/>
            <w:vMerge/>
            <w:noWrap/>
          </w:tcPr>
          <w:p w14:paraId="5234B4C7" w14:textId="77777777" w:rsidR="00AD589E" w:rsidRPr="004F3D4C" w:rsidRDefault="00AD589E" w:rsidP="009D25C7">
            <w:pPr>
              <w:spacing w:after="0"/>
              <w:jc w:val="center"/>
              <w:rPr>
                <w:rFonts w:ascii="Arial" w:eastAsia="Times New Roman" w:hAnsi="Arial" w:cs="Arial"/>
                <w:color w:val="006100"/>
                <w:sz w:val="16"/>
                <w:szCs w:val="16"/>
                <w:lang w:eastAsia="en-GB"/>
              </w:rPr>
            </w:pPr>
          </w:p>
        </w:tc>
        <w:tc>
          <w:tcPr>
            <w:tcW w:w="956" w:type="dxa"/>
            <w:vMerge/>
            <w:noWrap/>
          </w:tcPr>
          <w:p w14:paraId="4B081993" w14:textId="77777777" w:rsidR="00AD589E" w:rsidRPr="004F3D4C" w:rsidRDefault="00AD589E" w:rsidP="009D25C7">
            <w:pPr>
              <w:spacing w:after="0"/>
              <w:jc w:val="center"/>
              <w:rPr>
                <w:rFonts w:ascii="Arial" w:eastAsia="Times New Roman" w:hAnsi="Arial" w:cs="Arial"/>
                <w:color w:val="006100"/>
                <w:sz w:val="16"/>
                <w:szCs w:val="16"/>
                <w:lang w:eastAsia="en-GB"/>
              </w:rPr>
            </w:pPr>
          </w:p>
        </w:tc>
        <w:tc>
          <w:tcPr>
            <w:tcW w:w="1691" w:type="dxa"/>
            <w:vMerge/>
            <w:noWrap/>
          </w:tcPr>
          <w:p w14:paraId="10C9E9BB" w14:textId="77777777" w:rsidR="00AD589E" w:rsidRPr="004F3D4C" w:rsidRDefault="00AD589E" w:rsidP="009D25C7">
            <w:pPr>
              <w:spacing w:after="0"/>
              <w:rPr>
                <w:rFonts w:ascii="Arial" w:eastAsia="Times New Roman" w:hAnsi="Arial" w:cs="Arial"/>
                <w:color w:val="006100"/>
                <w:sz w:val="16"/>
                <w:szCs w:val="16"/>
                <w:lang w:eastAsia="en-GB"/>
              </w:rPr>
            </w:pPr>
          </w:p>
        </w:tc>
        <w:tc>
          <w:tcPr>
            <w:tcW w:w="1322" w:type="dxa"/>
            <w:vMerge/>
            <w:noWrap/>
          </w:tcPr>
          <w:p w14:paraId="2D186FCB" w14:textId="77777777" w:rsidR="00AD589E" w:rsidRPr="004F3D4C" w:rsidRDefault="00AD589E" w:rsidP="009D25C7">
            <w:pPr>
              <w:spacing w:after="0"/>
              <w:rPr>
                <w:rFonts w:ascii="Arial" w:eastAsia="Times New Roman" w:hAnsi="Arial" w:cs="Arial"/>
                <w:color w:val="006100"/>
                <w:sz w:val="16"/>
                <w:szCs w:val="16"/>
                <w:lang w:eastAsia="en-GB"/>
              </w:rPr>
            </w:pPr>
          </w:p>
        </w:tc>
        <w:tc>
          <w:tcPr>
            <w:tcW w:w="709" w:type="dxa"/>
            <w:shd w:val="clear" w:color="auto" w:fill="BDD7EE"/>
            <w:noWrap/>
          </w:tcPr>
          <w:p w14:paraId="1D8595D1" w14:textId="77777777" w:rsidR="00AD589E" w:rsidRPr="004F3D4C" w:rsidRDefault="00AD589E" w:rsidP="009D25C7">
            <w:pPr>
              <w:spacing w:after="0"/>
              <w:jc w:val="center"/>
              <w:rPr>
                <w:rFonts w:ascii="Arial" w:eastAsia="Times New Roman" w:hAnsi="Arial" w:cs="Arial"/>
                <w:b/>
                <w:color w:val="006100"/>
                <w:sz w:val="16"/>
                <w:szCs w:val="16"/>
                <w:lang w:eastAsia="en-GB"/>
              </w:rPr>
            </w:pPr>
            <w:r w:rsidRPr="004F3D4C">
              <w:rPr>
                <w:rFonts w:ascii="Arial" w:eastAsia="Times New Roman" w:hAnsi="Arial" w:cs="Arial"/>
                <w:b/>
                <w:color w:val="006100"/>
                <w:sz w:val="16"/>
                <w:szCs w:val="16"/>
                <w:lang w:eastAsia="en-GB"/>
              </w:rPr>
              <w:t>Unit</w:t>
            </w:r>
          </w:p>
        </w:tc>
        <w:tc>
          <w:tcPr>
            <w:tcW w:w="614" w:type="dxa"/>
            <w:shd w:val="clear" w:color="auto" w:fill="BDD7EE"/>
            <w:noWrap/>
          </w:tcPr>
          <w:p w14:paraId="28D128F3" w14:textId="77777777" w:rsidR="00AD589E" w:rsidRPr="004F3D4C" w:rsidRDefault="00AD589E" w:rsidP="009D25C7">
            <w:pPr>
              <w:spacing w:after="0"/>
              <w:jc w:val="center"/>
              <w:rPr>
                <w:rFonts w:ascii="Arial" w:eastAsia="Times New Roman" w:hAnsi="Arial" w:cs="Arial"/>
                <w:b/>
                <w:color w:val="006100"/>
                <w:sz w:val="16"/>
                <w:szCs w:val="16"/>
                <w:lang w:eastAsia="en-GB"/>
              </w:rPr>
            </w:pPr>
            <w:r w:rsidRPr="004F3D4C">
              <w:rPr>
                <w:rFonts w:ascii="Arial" w:eastAsia="Times New Roman" w:hAnsi="Arial" w:cs="Arial"/>
                <w:b/>
                <w:color w:val="006100"/>
                <w:sz w:val="16"/>
                <w:szCs w:val="16"/>
                <w:lang w:eastAsia="en-GB"/>
              </w:rPr>
              <w:t>Base-line</w:t>
            </w:r>
          </w:p>
        </w:tc>
        <w:tc>
          <w:tcPr>
            <w:tcW w:w="731" w:type="dxa"/>
            <w:shd w:val="clear" w:color="auto" w:fill="BDD7EE"/>
            <w:noWrap/>
          </w:tcPr>
          <w:p w14:paraId="7B1CCAB0" w14:textId="77777777" w:rsidR="00AD589E" w:rsidRPr="004F3D4C" w:rsidRDefault="00AD589E" w:rsidP="009D25C7">
            <w:pPr>
              <w:spacing w:after="0"/>
              <w:jc w:val="center"/>
              <w:rPr>
                <w:rFonts w:ascii="Arial" w:eastAsia="Times New Roman" w:hAnsi="Arial" w:cs="Arial"/>
                <w:b/>
                <w:color w:val="006100"/>
                <w:sz w:val="16"/>
                <w:szCs w:val="16"/>
                <w:lang w:eastAsia="en-GB"/>
              </w:rPr>
            </w:pPr>
            <w:r w:rsidRPr="004F3D4C">
              <w:rPr>
                <w:rFonts w:ascii="Arial" w:eastAsia="Times New Roman" w:hAnsi="Arial" w:cs="Arial"/>
                <w:b/>
                <w:color w:val="006100"/>
                <w:sz w:val="16"/>
                <w:szCs w:val="16"/>
                <w:lang w:eastAsia="en-GB"/>
              </w:rPr>
              <w:t>Goal</w:t>
            </w:r>
          </w:p>
        </w:tc>
        <w:tc>
          <w:tcPr>
            <w:tcW w:w="756" w:type="dxa"/>
            <w:gridSpan w:val="2"/>
            <w:shd w:val="clear" w:color="auto" w:fill="BDD7EE"/>
            <w:noWrap/>
          </w:tcPr>
          <w:p w14:paraId="1A98CF08" w14:textId="77777777" w:rsidR="00AD589E" w:rsidRPr="004F3D4C" w:rsidRDefault="00AD589E" w:rsidP="009D25C7">
            <w:pPr>
              <w:spacing w:after="0"/>
              <w:jc w:val="center"/>
              <w:rPr>
                <w:rFonts w:ascii="Arial" w:eastAsia="Times New Roman" w:hAnsi="Arial" w:cs="Arial"/>
                <w:b/>
                <w:color w:val="006100"/>
                <w:sz w:val="16"/>
                <w:szCs w:val="16"/>
                <w:lang w:eastAsia="en-GB"/>
              </w:rPr>
            </w:pPr>
            <w:r w:rsidRPr="004F3D4C">
              <w:rPr>
                <w:rFonts w:ascii="Arial" w:eastAsia="Times New Roman" w:hAnsi="Arial" w:cs="Arial"/>
                <w:b/>
                <w:color w:val="006100"/>
                <w:sz w:val="16"/>
                <w:szCs w:val="16"/>
                <w:lang w:eastAsia="en-GB"/>
              </w:rPr>
              <w:t>Q</w:t>
            </w:r>
          </w:p>
        </w:tc>
        <w:tc>
          <w:tcPr>
            <w:tcW w:w="520" w:type="dxa"/>
            <w:shd w:val="clear" w:color="auto" w:fill="BDD7EE"/>
            <w:noWrap/>
          </w:tcPr>
          <w:p w14:paraId="734B1A94" w14:textId="77777777" w:rsidR="00AD589E" w:rsidRPr="004F3D4C" w:rsidRDefault="00AD589E" w:rsidP="009D25C7">
            <w:pPr>
              <w:spacing w:after="0"/>
              <w:jc w:val="center"/>
              <w:rPr>
                <w:rFonts w:ascii="Arial" w:eastAsia="Times New Roman" w:hAnsi="Arial" w:cs="Arial"/>
                <w:b/>
                <w:color w:val="006100"/>
                <w:sz w:val="16"/>
                <w:szCs w:val="16"/>
                <w:lang w:eastAsia="en-GB"/>
              </w:rPr>
            </w:pPr>
            <w:r w:rsidRPr="004F3D4C">
              <w:rPr>
                <w:rFonts w:ascii="Arial" w:eastAsia="Times New Roman" w:hAnsi="Arial" w:cs="Arial"/>
                <w:b/>
                <w:color w:val="006100"/>
                <w:sz w:val="16"/>
                <w:szCs w:val="16"/>
                <w:lang w:eastAsia="en-GB"/>
              </w:rPr>
              <w:t>Year</w:t>
            </w:r>
          </w:p>
        </w:tc>
        <w:tc>
          <w:tcPr>
            <w:tcW w:w="872" w:type="dxa"/>
            <w:gridSpan w:val="2"/>
          </w:tcPr>
          <w:p w14:paraId="23479435" w14:textId="77777777" w:rsidR="00AD589E" w:rsidRPr="004F3D4C" w:rsidDel="0030144A" w:rsidRDefault="00AD589E" w:rsidP="009D25C7">
            <w:pPr>
              <w:spacing w:after="0"/>
              <w:rPr>
                <w:rFonts w:ascii="Arial" w:eastAsia="Times New Roman" w:hAnsi="Arial" w:cs="Arial"/>
                <w:color w:val="006100"/>
                <w:sz w:val="16"/>
                <w:szCs w:val="16"/>
                <w:highlight w:val="cyan"/>
                <w:lang w:eastAsia="en-GB"/>
              </w:rPr>
            </w:pPr>
          </w:p>
        </w:tc>
        <w:tc>
          <w:tcPr>
            <w:tcW w:w="851" w:type="dxa"/>
            <w:gridSpan w:val="2"/>
          </w:tcPr>
          <w:p w14:paraId="0C0D7339" w14:textId="77777777" w:rsidR="00AD589E" w:rsidRPr="004F3D4C" w:rsidDel="0030144A" w:rsidRDefault="00AD589E" w:rsidP="009D25C7">
            <w:pPr>
              <w:spacing w:after="0"/>
              <w:rPr>
                <w:rFonts w:ascii="Arial" w:eastAsia="Times New Roman" w:hAnsi="Arial" w:cs="Arial"/>
                <w:color w:val="006100"/>
                <w:sz w:val="16"/>
                <w:szCs w:val="16"/>
                <w:highlight w:val="cyan"/>
                <w:lang w:eastAsia="en-GB"/>
              </w:rPr>
            </w:pPr>
          </w:p>
        </w:tc>
        <w:tc>
          <w:tcPr>
            <w:tcW w:w="1751" w:type="dxa"/>
            <w:gridSpan w:val="2"/>
          </w:tcPr>
          <w:p w14:paraId="4EE697C3" w14:textId="01C8E668" w:rsidR="00AD589E" w:rsidRPr="004F3D4C" w:rsidDel="0030144A" w:rsidRDefault="00AD589E" w:rsidP="009D25C7">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A. Evidence provided</w:t>
            </w:r>
          </w:p>
        </w:tc>
        <w:tc>
          <w:tcPr>
            <w:tcW w:w="3402" w:type="dxa"/>
          </w:tcPr>
          <w:p w14:paraId="74DA79A9" w14:textId="133BE2F3" w:rsidR="00AD589E" w:rsidRPr="004F3D4C" w:rsidDel="0030144A" w:rsidRDefault="00AD589E" w:rsidP="009D25C7">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B. Detailed justification</w:t>
            </w:r>
          </w:p>
        </w:tc>
        <w:tc>
          <w:tcPr>
            <w:tcW w:w="2268" w:type="dxa"/>
          </w:tcPr>
          <w:p w14:paraId="5D406C88" w14:textId="7B7E3C79" w:rsidR="00AD589E" w:rsidRPr="004F3D4C" w:rsidDel="0030144A" w:rsidRDefault="00AD589E" w:rsidP="009D25C7">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C. Contribution to achievement of the objectives (link)</w:t>
            </w:r>
          </w:p>
        </w:tc>
        <w:tc>
          <w:tcPr>
            <w:tcW w:w="1036" w:type="dxa"/>
            <w:gridSpan w:val="2"/>
          </w:tcPr>
          <w:p w14:paraId="2FBB895B" w14:textId="77777777" w:rsidR="00AD589E" w:rsidRPr="004F3D4C" w:rsidDel="0030144A" w:rsidRDefault="00AD589E" w:rsidP="009D25C7">
            <w:pPr>
              <w:spacing w:after="0"/>
              <w:rPr>
                <w:rFonts w:ascii="Arial" w:eastAsia="Times New Roman" w:hAnsi="Arial" w:cs="Arial"/>
                <w:color w:val="006100"/>
                <w:sz w:val="16"/>
                <w:szCs w:val="16"/>
                <w:highlight w:val="cyan"/>
                <w:lang w:eastAsia="en-GB"/>
              </w:rPr>
            </w:pPr>
          </w:p>
        </w:tc>
        <w:tc>
          <w:tcPr>
            <w:tcW w:w="1090" w:type="dxa"/>
            <w:gridSpan w:val="2"/>
          </w:tcPr>
          <w:p w14:paraId="0B5EE3A8" w14:textId="5B99A0D2" w:rsidR="00AD589E" w:rsidRPr="004F3D4C" w:rsidDel="0030144A" w:rsidRDefault="00AD589E" w:rsidP="009D25C7">
            <w:pPr>
              <w:spacing w:after="0"/>
              <w:rPr>
                <w:rFonts w:ascii="Arial" w:eastAsia="Times New Roman" w:hAnsi="Arial" w:cs="Arial"/>
                <w:color w:val="006100"/>
                <w:sz w:val="16"/>
                <w:szCs w:val="16"/>
                <w:highlight w:val="cyan"/>
                <w:lang w:eastAsia="en-GB"/>
              </w:rPr>
            </w:pPr>
          </w:p>
        </w:tc>
        <w:tc>
          <w:tcPr>
            <w:tcW w:w="992" w:type="dxa"/>
            <w:gridSpan w:val="2"/>
          </w:tcPr>
          <w:p w14:paraId="72697395" w14:textId="77777777" w:rsidR="00AD589E" w:rsidRPr="004F3D4C" w:rsidDel="0030144A" w:rsidRDefault="00AD589E" w:rsidP="009D25C7">
            <w:pPr>
              <w:spacing w:after="0"/>
              <w:rPr>
                <w:rFonts w:ascii="Arial" w:eastAsia="Times New Roman" w:hAnsi="Arial" w:cs="Arial"/>
                <w:color w:val="006100"/>
                <w:sz w:val="16"/>
                <w:szCs w:val="16"/>
                <w:highlight w:val="cyan"/>
                <w:lang w:eastAsia="en-GB"/>
              </w:rPr>
            </w:pPr>
          </w:p>
        </w:tc>
        <w:tc>
          <w:tcPr>
            <w:tcW w:w="1418" w:type="dxa"/>
            <w:gridSpan w:val="2"/>
          </w:tcPr>
          <w:p w14:paraId="667A36FB" w14:textId="77777777" w:rsidR="00AD589E" w:rsidRPr="004F3D4C" w:rsidDel="0030144A" w:rsidRDefault="00AD589E" w:rsidP="009D25C7">
            <w:pPr>
              <w:spacing w:after="0"/>
              <w:rPr>
                <w:rFonts w:ascii="Arial" w:eastAsia="Times New Roman" w:hAnsi="Arial" w:cs="Arial"/>
                <w:color w:val="006100"/>
                <w:sz w:val="16"/>
                <w:szCs w:val="16"/>
                <w:highlight w:val="cyan"/>
                <w:lang w:eastAsia="en-GB"/>
              </w:rPr>
            </w:pPr>
          </w:p>
        </w:tc>
      </w:tr>
      <w:tr w:rsidR="00AD589E" w:rsidRPr="004F3D4C" w14:paraId="078663E2" w14:textId="36AF164E" w:rsidTr="00596EEA">
        <w:trPr>
          <w:trHeight w:val="309"/>
        </w:trPr>
        <w:tc>
          <w:tcPr>
            <w:tcW w:w="454" w:type="dxa"/>
            <w:shd w:val="clear" w:color="auto" w:fill="D6E3C6"/>
            <w:noWrap/>
          </w:tcPr>
          <w:p w14:paraId="7942B3E5" w14:textId="31C98174"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63</w:t>
            </w:r>
          </w:p>
        </w:tc>
        <w:tc>
          <w:tcPr>
            <w:tcW w:w="1215" w:type="dxa"/>
            <w:shd w:val="clear" w:color="auto" w:fill="D6E3C6"/>
            <w:noWrap/>
          </w:tcPr>
          <w:p w14:paraId="0EFC3EEC" w14:textId="5654D513"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 Establishment of a National Fund for Decarbonisation</w:t>
            </w:r>
          </w:p>
        </w:tc>
        <w:tc>
          <w:tcPr>
            <w:tcW w:w="956" w:type="dxa"/>
            <w:shd w:val="clear" w:color="auto" w:fill="D6E3C6"/>
            <w:noWrap/>
          </w:tcPr>
          <w:p w14:paraId="7E069868" w14:textId="0F7F305E"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5E11C238" w14:textId="1D6F404C"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Assessment of the national energy efficiency regulatory framework published by an independent expert panel</w:t>
            </w:r>
          </w:p>
        </w:tc>
        <w:tc>
          <w:tcPr>
            <w:tcW w:w="1322" w:type="dxa"/>
            <w:shd w:val="clear" w:color="auto" w:fill="D6E3C6"/>
            <w:noWrap/>
          </w:tcPr>
          <w:p w14:paraId="6A54C2AC" w14:textId="50025549"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Publication of the assessment of the national energy efficiency regulatory framework on the website of the Energy Ministry</w:t>
            </w:r>
          </w:p>
        </w:tc>
        <w:tc>
          <w:tcPr>
            <w:tcW w:w="709" w:type="dxa"/>
            <w:shd w:val="clear" w:color="auto" w:fill="D6E3C6"/>
            <w:noWrap/>
          </w:tcPr>
          <w:p w14:paraId="50BD22A4" w14:textId="19A415AA" w:rsidR="00AD589E" w:rsidRPr="004F3D4C"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02E6C579" w14:textId="7DAE0FE1" w:rsidR="00AD589E" w:rsidRPr="004F3D4C"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6A3268E7" w14:textId="73C5933A" w:rsidR="00AD589E" w:rsidRPr="004F3D4C"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2AEF5DBB" w14:textId="048EBBC6"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Q3</w:t>
            </w:r>
          </w:p>
        </w:tc>
        <w:tc>
          <w:tcPr>
            <w:tcW w:w="520" w:type="dxa"/>
            <w:shd w:val="clear" w:color="auto" w:fill="D6E3C6"/>
            <w:noWrap/>
          </w:tcPr>
          <w:p w14:paraId="3BEBAA6C" w14:textId="72C63DC5"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5AF5C2C1" w14:textId="1C89FDD2"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val="en-US" w:eastAsia="en-GB"/>
              </w:rPr>
              <w:t>Ministry of Energy</w:t>
            </w:r>
          </w:p>
        </w:tc>
        <w:tc>
          <w:tcPr>
            <w:tcW w:w="851" w:type="dxa"/>
            <w:gridSpan w:val="2"/>
            <w:shd w:val="clear" w:color="auto" w:fill="D6E3C6"/>
          </w:tcPr>
          <w:p w14:paraId="213D57EE" w14:textId="77777777" w:rsidR="00AD589E" w:rsidRPr="004F3D4C"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407615B7" w14:textId="77E8AB7D" w:rsidR="00AD589E" w:rsidRPr="009C6EE7" w:rsidRDefault="00AD589E" w:rsidP="0073371A">
            <w:pPr>
              <w:pStyle w:val="ListParagraph"/>
              <w:numPr>
                <w:ilvl w:val="0"/>
                <w:numId w:val="10"/>
              </w:numPr>
              <w:spacing w:after="0"/>
              <w:ind w:left="395"/>
              <w:rPr>
                <w:rFonts w:ascii="Arial" w:hAnsi="Arial" w:cs="Arial"/>
                <w:color w:val="006100"/>
                <w:sz w:val="16"/>
                <w:szCs w:val="16"/>
              </w:rPr>
            </w:pPr>
            <w:r w:rsidRPr="009C6EE7">
              <w:rPr>
                <w:rFonts w:ascii="Arial" w:hAnsi="Arial" w:cs="Arial"/>
                <w:color w:val="006100"/>
                <w:sz w:val="16"/>
                <w:szCs w:val="16"/>
                <w:lang w:eastAsia="en-GB"/>
              </w:rPr>
              <w:t>Copy of the report</w:t>
            </w:r>
            <w:r>
              <w:rPr>
                <w:rFonts w:ascii="Arial" w:hAnsi="Arial" w:cs="Arial"/>
                <w:color w:val="006100"/>
                <w:sz w:val="16"/>
                <w:szCs w:val="16"/>
                <w:lang w:eastAsia="en-GB"/>
              </w:rPr>
              <w:t xml:space="preserve"> </w:t>
            </w:r>
            <w:r w:rsidRPr="009C6EE7">
              <w:rPr>
                <w:rFonts w:ascii="Arial" w:hAnsi="Arial" w:cs="Arial"/>
                <w:color w:val="006100"/>
                <w:sz w:val="16"/>
                <w:szCs w:val="16"/>
                <w:lang w:eastAsia="en-GB"/>
              </w:rPr>
              <w:t>of the assessment carried out by the independent expert panel and a link to the website of the Energy Ministry where the report can be accessed</w:t>
            </w:r>
          </w:p>
        </w:tc>
        <w:tc>
          <w:tcPr>
            <w:tcW w:w="3402" w:type="dxa"/>
            <w:shd w:val="clear" w:color="auto" w:fill="D6E3C6"/>
          </w:tcPr>
          <w:p w14:paraId="2D8273F3" w14:textId="29D6DFC2" w:rsidR="00AD589E" w:rsidRDefault="00AD589E" w:rsidP="0063508F">
            <w:pPr>
              <w:spacing w:after="0"/>
              <w:rPr>
                <w:rFonts w:ascii="Arial" w:hAnsi="Arial" w:cs="Arial"/>
                <w:color w:val="006100"/>
                <w:sz w:val="16"/>
                <w:szCs w:val="16"/>
              </w:rPr>
            </w:pPr>
            <w:r>
              <w:rPr>
                <w:rFonts w:ascii="Arial" w:hAnsi="Arial" w:cs="Arial"/>
                <w:color w:val="006100"/>
                <w:sz w:val="16"/>
                <w:szCs w:val="16"/>
              </w:rPr>
              <w:t xml:space="preserve">Institution/s: </w:t>
            </w:r>
            <w:r w:rsidRPr="004F3D4C">
              <w:rPr>
                <w:rFonts w:ascii="Arial" w:eastAsia="Times New Roman" w:hAnsi="Arial" w:cs="Arial"/>
                <w:color w:val="006100"/>
                <w:sz w:val="16"/>
                <w:szCs w:val="16"/>
                <w:lang w:val="en-US" w:eastAsia="en-GB"/>
              </w:rPr>
              <w:t>Ministry of Energy</w:t>
            </w:r>
          </w:p>
          <w:p w14:paraId="21966444" w14:textId="77777777" w:rsidR="00AD589E" w:rsidRDefault="00AD589E" w:rsidP="0063508F">
            <w:pPr>
              <w:spacing w:after="0"/>
              <w:rPr>
                <w:rFonts w:ascii="Arial" w:hAnsi="Arial" w:cs="Arial"/>
                <w:color w:val="006100"/>
                <w:sz w:val="16"/>
                <w:szCs w:val="16"/>
              </w:rPr>
            </w:pPr>
          </w:p>
          <w:p w14:paraId="13FA2966" w14:textId="0D3A48AC" w:rsidR="00AD589E" w:rsidRDefault="00AD589E" w:rsidP="0063508F">
            <w:pPr>
              <w:spacing w:after="0"/>
              <w:rPr>
                <w:rFonts w:ascii="Arial" w:hAnsi="Arial" w:cs="Arial"/>
                <w:color w:val="006100"/>
                <w:sz w:val="16"/>
                <w:szCs w:val="16"/>
              </w:rPr>
            </w:pPr>
            <w:r>
              <w:rPr>
                <w:rFonts w:ascii="Arial" w:hAnsi="Arial" w:cs="Arial"/>
                <w:color w:val="006100"/>
                <w:sz w:val="16"/>
                <w:szCs w:val="16"/>
              </w:rPr>
              <w:t xml:space="preserve">What: </w:t>
            </w:r>
            <w:r w:rsidRPr="004F3D4C">
              <w:rPr>
                <w:rFonts w:ascii="Arial" w:hAnsi="Arial" w:cs="Arial"/>
                <w:color w:val="006100"/>
                <w:sz w:val="16"/>
                <w:szCs w:val="16"/>
              </w:rPr>
              <w:t>Assessment of the national energy efficiency regulatory framework published by an independent expert panel</w:t>
            </w:r>
          </w:p>
          <w:p w14:paraId="10F8C060" w14:textId="77777777" w:rsidR="00AD589E" w:rsidRDefault="00AD589E" w:rsidP="0063508F">
            <w:pPr>
              <w:spacing w:after="0"/>
              <w:rPr>
                <w:rFonts w:ascii="Arial" w:hAnsi="Arial" w:cs="Arial"/>
                <w:color w:val="006100"/>
                <w:sz w:val="16"/>
                <w:szCs w:val="16"/>
              </w:rPr>
            </w:pPr>
          </w:p>
          <w:p w14:paraId="29C4406E" w14:textId="5D5CFA15" w:rsidR="00AD589E" w:rsidRDefault="00AD589E" w:rsidP="0063508F">
            <w:pPr>
              <w:spacing w:after="0"/>
              <w:rPr>
                <w:rFonts w:ascii="Arial" w:hAnsi="Arial" w:cs="Arial"/>
                <w:color w:val="006100"/>
                <w:sz w:val="16"/>
                <w:szCs w:val="16"/>
              </w:rPr>
            </w:pPr>
            <w:r w:rsidRPr="005B07FE">
              <w:rPr>
                <w:rFonts w:ascii="Arial" w:hAnsi="Arial" w:cs="Arial"/>
                <w:color w:val="006100"/>
                <w:sz w:val="16"/>
                <w:szCs w:val="16"/>
              </w:rPr>
              <w:t xml:space="preserve">How: </w:t>
            </w:r>
            <w:r w:rsidR="0060047F">
              <w:rPr>
                <w:rFonts w:ascii="Arial" w:hAnsi="Arial" w:cs="Arial"/>
                <w:color w:val="006100"/>
                <w:sz w:val="16"/>
                <w:szCs w:val="16"/>
              </w:rPr>
              <w:t xml:space="preserve">assessment and </w:t>
            </w:r>
            <w:r w:rsidRPr="005B07FE">
              <w:rPr>
                <w:rFonts w:ascii="Arial" w:hAnsi="Arial" w:cs="Arial"/>
                <w:color w:val="006100"/>
                <w:sz w:val="16"/>
                <w:szCs w:val="16"/>
              </w:rPr>
              <w:t>reporting (</w:t>
            </w:r>
            <w:r>
              <w:rPr>
                <w:rFonts w:ascii="Arial" w:hAnsi="Arial" w:cs="Arial"/>
                <w:color w:val="006100"/>
                <w:sz w:val="16"/>
                <w:szCs w:val="16"/>
              </w:rPr>
              <w:t>a</w:t>
            </w:r>
            <w:r w:rsidRPr="005B07FE">
              <w:rPr>
                <w:rFonts w:ascii="Arial" w:hAnsi="Arial" w:cs="Arial"/>
                <w:color w:val="006100"/>
                <w:sz w:val="16"/>
                <w:szCs w:val="16"/>
              </w:rPr>
              <w:t>)</w:t>
            </w:r>
          </w:p>
          <w:p w14:paraId="3CF014D8" w14:textId="77777777" w:rsidR="00AD589E" w:rsidRDefault="00AD589E" w:rsidP="0063508F">
            <w:pPr>
              <w:spacing w:after="0"/>
              <w:rPr>
                <w:rFonts w:ascii="Arial" w:hAnsi="Arial" w:cs="Arial"/>
                <w:color w:val="006100"/>
                <w:sz w:val="16"/>
                <w:szCs w:val="16"/>
              </w:rPr>
            </w:pPr>
          </w:p>
          <w:p w14:paraId="6AC95F41" w14:textId="796ED321" w:rsidR="00AD589E" w:rsidRDefault="00AD589E" w:rsidP="0063508F">
            <w:pPr>
              <w:spacing w:after="0"/>
              <w:rPr>
                <w:rFonts w:ascii="Arial" w:hAnsi="Arial" w:cs="Arial"/>
                <w:color w:val="006100"/>
                <w:sz w:val="16"/>
                <w:szCs w:val="16"/>
              </w:rPr>
            </w:pPr>
            <w:r>
              <w:rPr>
                <w:rFonts w:ascii="Arial" w:hAnsi="Arial" w:cs="Arial"/>
                <w:color w:val="006100"/>
                <w:sz w:val="16"/>
                <w:szCs w:val="16"/>
              </w:rPr>
              <w:t xml:space="preserve">Why: </w:t>
            </w:r>
            <w:r w:rsidRPr="004F3D4C">
              <w:rPr>
                <w:rFonts w:ascii="Arial" w:hAnsi="Arial" w:cs="Arial"/>
                <w:color w:val="006100"/>
                <w:sz w:val="16"/>
                <w:szCs w:val="16"/>
              </w:rPr>
              <w:t>An assessment of the national energy efficiency regulatory framework shall be carried out by an independent expert panel and it shall:</w:t>
            </w:r>
            <w:r>
              <w:rPr>
                <w:rFonts w:ascii="Arial" w:hAnsi="Arial" w:cs="Arial"/>
                <w:color w:val="006100"/>
                <w:sz w:val="16"/>
                <w:szCs w:val="16"/>
              </w:rPr>
              <w:t xml:space="preserve"> </w:t>
            </w:r>
            <w:r w:rsidRPr="004F3D4C">
              <w:rPr>
                <w:rFonts w:ascii="Arial" w:hAnsi="Arial" w:cs="Arial"/>
                <w:color w:val="006100"/>
                <w:sz w:val="16"/>
                <w:szCs w:val="16"/>
              </w:rPr>
              <w:t>Identify barriers to energy efficiency investments;</w:t>
            </w:r>
            <w:r>
              <w:rPr>
                <w:rFonts w:ascii="Arial" w:hAnsi="Arial" w:cs="Arial"/>
                <w:color w:val="006100"/>
                <w:sz w:val="16"/>
                <w:szCs w:val="16"/>
              </w:rPr>
              <w:t xml:space="preserve"> </w:t>
            </w:r>
            <w:r w:rsidRPr="004F3D4C">
              <w:rPr>
                <w:rFonts w:ascii="Arial" w:hAnsi="Arial" w:cs="Arial"/>
                <w:color w:val="006100"/>
                <w:sz w:val="16"/>
                <w:szCs w:val="16"/>
              </w:rPr>
              <w:t>provide recommendations for changes to the national regulatory framework; Identify options on the structure of the National Fund for Decarbonisation, in particular, on ownership and governance; Identify potential sources for the capitalisation of the National Fund for Decarbonisation.</w:t>
            </w:r>
            <w:r>
              <w:rPr>
                <w:rFonts w:ascii="Arial" w:hAnsi="Arial" w:cs="Arial"/>
                <w:color w:val="006100"/>
                <w:sz w:val="16"/>
                <w:szCs w:val="16"/>
              </w:rPr>
              <w:t xml:space="preserve"> </w:t>
            </w:r>
            <w:r w:rsidRPr="009E335D">
              <w:rPr>
                <w:rFonts w:ascii="Arial" w:hAnsi="Arial" w:cs="Arial"/>
                <w:color w:val="006100"/>
                <w:sz w:val="16"/>
                <w:szCs w:val="16"/>
              </w:rPr>
              <w:t>[provide references to the above in the summary document]</w:t>
            </w:r>
          </w:p>
          <w:p w14:paraId="31859FAE" w14:textId="77777777" w:rsidR="00AD589E" w:rsidRDefault="00AD589E" w:rsidP="0063508F">
            <w:pPr>
              <w:spacing w:after="0"/>
              <w:rPr>
                <w:rFonts w:ascii="Arial" w:hAnsi="Arial" w:cs="Arial"/>
                <w:color w:val="006100"/>
                <w:sz w:val="16"/>
                <w:szCs w:val="16"/>
              </w:rPr>
            </w:pPr>
          </w:p>
          <w:p w14:paraId="3DA80DB4" w14:textId="737A3616"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 xml:space="preserve">When: </w:t>
            </w:r>
            <w:r w:rsidRPr="00312B39">
              <w:rPr>
                <w:rFonts w:ascii="Arial" w:hAnsi="Arial" w:cs="Arial"/>
                <w:color w:val="006100"/>
                <w:sz w:val="16"/>
                <w:szCs w:val="16"/>
              </w:rPr>
              <w:t xml:space="preserve">specify the dates of </w:t>
            </w:r>
            <w:r>
              <w:rPr>
                <w:rFonts w:ascii="Arial" w:hAnsi="Arial" w:cs="Arial"/>
                <w:color w:val="006100"/>
                <w:sz w:val="16"/>
                <w:szCs w:val="16"/>
              </w:rPr>
              <w:t>the assessment and reporting</w:t>
            </w:r>
          </w:p>
        </w:tc>
        <w:tc>
          <w:tcPr>
            <w:tcW w:w="2268" w:type="dxa"/>
            <w:shd w:val="clear" w:color="auto" w:fill="D6E3C6"/>
          </w:tcPr>
          <w:p w14:paraId="633192D5" w14:textId="1C7C6B16" w:rsidR="00AD589E" w:rsidRDefault="00AD589E" w:rsidP="00435831">
            <w:pPr>
              <w:spacing w:after="0"/>
              <w:rPr>
                <w:rFonts w:ascii="Arial" w:hAnsi="Arial" w:cs="Arial"/>
                <w:color w:val="006100"/>
                <w:sz w:val="16"/>
                <w:szCs w:val="16"/>
              </w:rPr>
            </w:pPr>
            <w:r w:rsidRPr="00435831">
              <w:rPr>
                <w:rFonts w:ascii="Arial" w:hAnsi="Arial" w:cs="Arial"/>
                <w:color w:val="006100"/>
                <w:sz w:val="16"/>
                <w:szCs w:val="16"/>
              </w:rPr>
              <w:t xml:space="preserve">The reform aims at </w:t>
            </w:r>
            <w:r w:rsidR="002E6409">
              <w:rPr>
                <w:rFonts w:ascii="Arial" w:hAnsi="Arial" w:cs="Arial"/>
                <w:color w:val="006100"/>
                <w:sz w:val="16"/>
                <w:szCs w:val="16"/>
              </w:rPr>
              <w:t xml:space="preserve">the </w:t>
            </w:r>
            <w:r w:rsidRPr="00435831">
              <w:rPr>
                <w:rFonts w:ascii="Arial" w:hAnsi="Arial" w:cs="Arial"/>
                <w:color w:val="006100"/>
                <w:sz w:val="16"/>
                <w:szCs w:val="16"/>
              </w:rPr>
              <w:t>establishment of the National Decarbonisation Fund and its sub-funds.</w:t>
            </w:r>
          </w:p>
          <w:p w14:paraId="2794BE0C" w14:textId="77777777" w:rsidR="00AD589E" w:rsidRPr="00435831" w:rsidRDefault="00AD589E" w:rsidP="00435831">
            <w:pPr>
              <w:spacing w:after="0"/>
              <w:rPr>
                <w:rFonts w:ascii="Arial" w:hAnsi="Arial" w:cs="Arial"/>
                <w:color w:val="006100"/>
                <w:sz w:val="16"/>
                <w:szCs w:val="16"/>
              </w:rPr>
            </w:pPr>
          </w:p>
          <w:p w14:paraId="7E3F0BF5" w14:textId="05DA820F" w:rsidR="00AD589E" w:rsidRPr="004F3D4C" w:rsidRDefault="00AD589E" w:rsidP="00435831">
            <w:pPr>
              <w:spacing w:after="0"/>
              <w:rPr>
                <w:rFonts w:ascii="Arial" w:hAnsi="Arial" w:cs="Arial"/>
                <w:color w:val="006100"/>
                <w:sz w:val="16"/>
                <w:szCs w:val="16"/>
              </w:rPr>
            </w:pPr>
            <w:r w:rsidRPr="00435831">
              <w:rPr>
                <w:rFonts w:ascii="Arial" w:hAnsi="Arial" w:cs="Arial"/>
                <w:color w:val="006100"/>
                <w:sz w:val="16"/>
                <w:szCs w:val="16"/>
              </w:rPr>
              <w:t xml:space="preserve">The measure consists of assessing the national energy efficiency regulatory framework by an independent expert panel to: (i) identify barriers to energy efficiency investments and provide recommendations for changes to the national regulatory framework; (ii) identify options on the structure of the National Fund for Decarbonisation in particular on governance and operating rules; and (iii) identify potential sources for the capitalisation of the National Fund for Decarbonisation, including for technical assistance and mechanisms to use the National Fund for Decarbonisation’s capital to transform from grants to financial instruments. </w:t>
            </w:r>
          </w:p>
        </w:tc>
        <w:tc>
          <w:tcPr>
            <w:tcW w:w="1036" w:type="dxa"/>
            <w:gridSpan w:val="2"/>
            <w:shd w:val="clear" w:color="auto" w:fill="D6E3C6"/>
          </w:tcPr>
          <w:p w14:paraId="76AC8F06" w14:textId="559E94A5"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205B6C2A" w14:textId="519C5D1A" w:rsidR="00AD589E" w:rsidRPr="004F3D4C" w:rsidRDefault="00AD589E" w:rsidP="0063508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02F731EC" w14:textId="1C612394"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75F76F4C" w14:textId="188C429B" w:rsidR="00AD589E" w:rsidRPr="004F3D4C" w:rsidRDefault="00DB68BB" w:rsidP="0063508F">
            <w:pPr>
              <w:spacing w:after="0"/>
              <w:rPr>
                <w:rFonts w:ascii="Arial" w:hAnsi="Arial" w:cs="Arial"/>
                <w:color w:val="006100"/>
                <w:sz w:val="16"/>
                <w:szCs w:val="16"/>
              </w:rPr>
            </w:pPr>
            <w:r>
              <w:rPr>
                <w:rFonts w:ascii="Arial" w:hAnsi="Arial" w:cs="Arial"/>
                <w:color w:val="006100"/>
                <w:sz w:val="16"/>
                <w:szCs w:val="16"/>
              </w:rPr>
              <w:t>-</w:t>
            </w:r>
          </w:p>
        </w:tc>
      </w:tr>
      <w:tr w:rsidR="00AD589E" w:rsidRPr="004F3D4C" w14:paraId="5DA698D4" w14:textId="188AC8E8" w:rsidTr="00596EEA">
        <w:trPr>
          <w:trHeight w:val="309"/>
        </w:trPr>
        <w:tc>
          <w:tcPr>
            <w:tcW w:w="454" w:type="dxa"/>
            <w:shd w:val="clear" w:color="auto" w:fill="D6E3C6"/>
            <w:noWrap/>
          </w:tcPr>
          <w:p w14:paraId="54B58358" w14:textId="493A0402"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64</w:t>
            </w:r>
          </w:p>
        </w:tc>
        <w:tc>
          <w:tcPr>
            <w:tcW w:w="1215" w:type="dxa"/>
            <w:shd w:val="clear" w:color="auto" w:fill="D6E3C6"/>
            <w:noWrap/>
          </w:tcPr>
          <w:p w14:paraId="527C981E" w14:textId="24D8769F"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 Establishment of a National Fund for Decarbonisation</w:t>
            </w:r>
          </w:p>
        </w:tc>
        <w:tc>
          <w:tcPr>
            <w:tcW w:w="956" w:type="dxa"/>
            <w:shd w:val="clear" w:color="auto" w:fill="D6E3C6"/>
            <w:noWrap/>
          </w:tcPr>
          <w:p w14:paraId="10E485E0" w14:textId="1F4B65B0"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29F0A716" w14:textId="2A88E60F"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Entry into force of the law establishing the National Fund for Decarbonisation and its sub- funds and related secondary legislation.</w:t>
            </w:r>
          </w:p>
        </w:tc>
        <w:tc>
          <w:tcPr>
            <w:tcW w:w="1322" w:type="dxa"/>
            <w:shd w:val="clear" w:color="auto" w:fill="D6E3C6"/>
            <w:noWrap/>
          </w:tcPr>
          <w:p w14:paraId="1046C020" w14:textId="60EE8E1C"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each law indicating its entry into force and the one of secondary legislation</w:t>
            </w:r>
          </w:p>
        </w:tc>
        <w:tc>
          <w:tcPr>
            <w:tcW w:w="709" w:type="dxa"/>
            <w:shd w:val="clear" w:color="auto" w:fill="D6E3C6"/>
            <w:noWrap/>
          </w:tcPr>
          <w:p w14:paraId="054549E5"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4E30877E"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36CADA8B"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1F2EE44F" w14:textId="3ACEBF02"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Q1</w:t>
            </w:r>
          </w:p>
        </w:tc>
        <w:tc>
          <w:tcPr>
            <w:tcW w:w="520" w:type="dxa"/>
            <w:shd w:val="clear" w:color="auto" w:fill="D6E3C6"/>
            <w:noWrap/>
          </w:tcPr>
          <w:p w14:paraId="64F96E0F" w14:textId="28828CB7"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50001A9A" w14:textId="31D1E74C"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val="en-US" w:eastAsia="en-GB"/>
              </w:rPr>
              <w:t>Ministry of Energy</w:t>
            </w:r>
          </w:p>
        </w:tc>
        <w:tc>
          <w:tcPr>
            <w:tcW w:w="851" w:type="dxa"/>
            <w:gridSpan w:val="2"/>
            <w:shd w:val="clear" w:color="auto" w:fill="D6E3C6"/>
          </w:tcPr>
          <w:p w14:paraId="2F096807" w14:textId="77777777" w:rsidR="00AD589E" w:rsidRPr="004F3D4C"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1D242231" w14:textId="1C2E202D" w:rsidR="00AD589E" w:rsidRDefault="00AD589E" w:rsidP="0073371A">
            <w:pPr>
              <w:pStyle w:val="ListParagraph"/>
              <w:numPr>
                <w:ilvl w:val="0"/>
                <w:numId w:val="11"/>
              </w:numPr>
              <w:spacing w:after="0"/>
              <w:ind w:left="395"/>
              <w:rPr>
                <w:rFonts w:ascii="Arial" w:hAnsi="Arial" w:cs="Arial"/>
                <w:color w:val="006100"/>
                <w:sz w:val="16"/>
                <w:szCs w:val="16"/>
              </w:rPr>
            </w:pPr>
            <w:r w:rsidRPr="004F3D4C">
              <w:rPr>
                <w:rFonts w:ascii="Arial" w:hAnsi="Arial" w:cs="Arial"/>
                <w:color w:val="006100"/>
                <w:sz w:val="16"/>
                <w:szCs w:val="16"/>
                <w:lang w:eastAsia="en-GB"/>
              </w:rPr>
              <w:t xml:space="preserve">Copy of the publication in the State Gazette of the primary and, if relevant, secondary legislation for the establishment of the National Decarbonisation Fund and its sub-funds, </w:t>
            </w:r>
          </w:p>
          <w:p w14:paraId="7BF80260" w14:textId="440F139E" w:rsidR="00AD589E" w:rsidRPr="0088531F" w:rsidRDefault="00AD589E" w:rsidP="0073371A">
            <w:pPr>
              <w:pStyle w:val="ListParagraph"/>
              <w:numPr>
                <w:ilvl w:val="0"/>
                <w:numId w:val="11"/>
              </w:numPr>
              <w:spacing w:after="0"/>
              <w:ind w:left="395"/>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eference</w:t>
            </w:r>
            <w:r w:rsidR="005752B1">
              <w:rPr>
                <w:rFonts w:ascii="Arial" w:hAnsi="Arial" w:cs="Arial"/>
                <w:color w:val="006100"/>
                <w:sz w:val="16"/>
                <w:szCs w:val="16"/>
                <w:lang w:eastAsia="en-GB"/>
              </w:rPr>
              <w:t xml:space="preserve"> </w:t>
            </w:r>
            <w:r w:rsidRPr="004F3D4C">
              <w:rPr>
                <w:rFonts w:ascii="Arial" w:hAnsi="Arial" w:cs="Arial"/>
                <w:color w:val="006100"/>
                <w:sz w:val="16"/>
                <w:szCs w:val="16"/>
                <w:lang w:eastAsia="en-GB"/>
              </w:rPr>
              <w:t xml:space="preserve">to the relevant provisions indicating the entry into force and the provisions which fulfil the relevant elements of the milestone, as listed in the description of milestone and of the corresponding measure in the CID annex, with </w:t>
            </w:r>
            <w:r w:rsidRPr="004F3D4C">
              <w:rPr>
                <w:rFonts w:ascii="Arial" w:hAnsi="Arial" w:cs="Arial"/>
                <w:color w:val="006100"/>
                <w:sz w:val="16"/>
                <w:szCs w:val="16"/>
                <w:lang w:eastAsia="en-GB"/>
              </w:rPr>
              <w:lastRenderedPageBreak/>
              <w:t>appropriate links to or copies of the documents mentioned in the summary document</w:t>
            </w:r>
          </w:p>
        </w:tc>
        <w:tc>
          <w:tcPr>
            <w:tcW w:w="3402" w:type="dxa"/>
            <w:shd w:val="clear" w:color="auto" w:fill="D6E3C6"/>
          </w:tcPr>
          <w:p w14:paraId="5BDA2EF9" w14:textId="77777777" w:rsidR="00AD589E" w:rsidRDefault="00AD589E" w:rsidP="005A2B3A">
            <w:pPr>
              <w:spacing w:after="0"/>
              <w:rPr>
                <w:rFonts w:ascii="Arial" w:hAnsi="Arial" w:cs="Arial"/>
                <w:color w:val="006100"/>
                <w:sz w:val="16"/>
                <w:szCs w:val="16"/>
              </w:rPr>
            </w:pPr>
            <w:r>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val="en-US" w:eastAsia="en-GB"/>
              </w:rPr>
              <w:t>Ministry of Energy</w:t>
            </w:r>
          </w:p>
          <w:p w14:paraId="5C48DD13" w14:textId="77777777" w:rsidR="00AD589E" w:rsidRDefault="00AD589E" w:rsidP="005A2B3A">
            <w:pPr>
              <w:spacing w:after="0"/>
              <w:rPr>
                <w:rFonts w:ascii="Arial" w:hAnsi="Arial" w:cs="Arial"/>
                <w:color w:val="006100"/>
                <w:sz w:val="16"/>
                <w:szCs w:val="16"/>
              </w:rPr>
            </w:pPr>
          </w:p>
          <w:p w14:paraId="7255FAD7" w14:textId="196223F5" w:rsidR="00AD589E" w:rsidRDefault="00AD589E" w:rsidP="005A2B3A">
            <w:pPr>
              <w:spacing w:after="0"/>
              <w:rPr>
                <w:rFonts w:ascii="Arial" w:hAnsi="Arial" w:cs="Arial"/>
                <w:color w:val="006100"/>
                <w:sz w:val="16"/>
                <w:szCs w:val="16"/>
              </w:rPr>
            </w:pPr>
            <w:r>
              <w:rPr>
                <w:rFonts w:ascii="Arial" w:hAnsi="Arial" w:cs="Arial"/>
                <w:color w:val="006100"/>
                <w:sz w:val="16"/>
                <w:szCs w:val="16"/>
              </w:rPr>
              <w:t xml:space="preserve">What: </w:t>
            </w:r>
            <w:r w:rsidRPr="00B54373">
              <w:rPr>
                <w:rFonts w:ascii="Arial" w:hAnsi="Arial" w:cs="Arial"/>
                <w:color w:val="006100"/>
                <w:sz w:val="16"/>
                <w:szCs w:val="16"/>
              </w:rPr>
              <w:t>Entry into force of the law establishing the National Fund for Decarbonisation and its sub- funds and related secondary legislation</w:t>
            </w:r>
          </w:p>
          <w:p w14:paraId="6784FB3F" w14:textId="77777777" w:rsidR="00AD589E" w:rsidRDefault="00AD589E" w:rsidP="005A2B3A">
            <w:pPr>
              <w:spacing w:after="0"/>
              <w:rPr>
                <w:rFonts w:ascii="Arial" w:hAnsi="Arial" w:cs="Arial"/>
                <w:color w:val="006100"/>
                <w:sz w:val="16"/>
                <w:szCs w:val="16"/>
              </w:rPr>
            </w:pPr>
          </w:p>
          <w:p w14:paraId="73A78483" w14:textId="57E3F1E6" w:rsidR="00AD589E" w:rsidRDefault="00AD589E" w:rsidP="005A2B3A">
            <w:pPr>
              <w:spacing w:after="0"/>
              <w:rPr>
                <w:rFonts w:ascii="Arial" w:hAnsi="Arial" w:cs="Arial"/>
                <w:color w:val="006100"/>
                <w:sz w:val="16"/>
                <w:szCs w:val="16"/>
              </w:rPr>
            </w:pPr>
            <w:r w:rsidRPr="005B07FE">
              <w:rPr>
                <w:rFonts w:ascii="Arial" w:hAnsi="Arial" w:cs="Arial"/>
                <w:color w:val="006100"/>
                <w:sz w:val="16"/>
                <w:szCs w:val="16"/>
              </w:rPr>
              <w:t xml:space="preserve">How: </w:t>
            </w:r>
            <w:r>
              <w:rPr>
                <w:rFonts w:ascii="Arial" w:hAnsi="Arial" w:cs="Arial"/>
                <w:color w:val="006100"/>
                <w:sz w:val="16"/>
                <w:szCs w:val="16"/>
              </w:rPr>
              <w:t>entry into force (evidence</w:t>
            </w:r>
            <w:r w:rsidR="00DB68BB">
              <w:rPr>
                <w:rFonts w:ascii="Arial" w:hAnsi="Arial" w:cs="Arial"/>
                <w:color w:val="006100"/>
                <w:sz w:val="16"/>
                <w:szCs w:val="16"/>
              </w:rPr>
              <w:t>d</w:t>
            </w:r>
            <w:r>
              <w:rPr>
                <w:rFonts w:ascii="Arial" w:hAnsi="Arial" w:cs="Arial"/>
                <w:color w:val="006100"/>
                <w:sz w:val="16"/>
                <w:szCs w:val="16"/>
              </w:rPr>
              <w:t xml:space="preserve"> by a) and reporting (b)</w:t>
            </w:r>
          </w:p>
          <w:p w14:paraId="7C93939E" w14:textId="77777777" w:rsidR="00AD589E" w:rsidRDefault="00AD589E" w:rsidP="005A2B3A">
            <w:pPr>
              <w:spacing w:after="0"/>
              <w:rPr>
                <w:rFonts w:ascii="Arial" w:hAnsi="Arial" w:cs="Arial"/>
                <w:color w:val="006100"/>
                <w:sz w:val="16"/>
                <w:szCs w:val="16"/>
              </w:rPr>
            </w:pPr>
          </w:p>
          <w:p w14:paraId="44930251" w14:textId="097A2243" w:rsidR="00AD589E" w:rsidRDefault="00AD589E" w:rsidP="005A2B3A">
            <w:pPr>
              <w:spacing w:after="0"/>
              <w:rPr>
                <w:rFonts w:ascii="Arial" w:hAnsi="Arial" w:cs="Arial"/>
                <w:color w:val="006100"/>
                <w:sz w:val="16"/>
                <w:szCs w:val="16"/>
              </w:rPr>
            </w:pPr>
            <w:r>
              <w:rPr>
                <w:rFonts w:ascii="Arial" w:hAnsi="Arial" w:cs="Arial"/>
                <w:color w:val="006100"/>
                <w:sz w:val="16"/>
                <w:szCs w:val="16"/>
              </w:rPr>
              <w:t xml:space="preserve">Why: </w:t>
            </w:r>
            <w:r w:rsidRPr="00B54373">
              <w:rPr>
                <w:rFonts w:ascii="Arial" w:hAnsi="Arial" w:cs="Arial"/>
                <w:color w:val="006100"/>
                <w:sz w:val="16"/>
                <w:szCs w:val="16"/>
              </w:rPr>
              <w:t xml:space="preserve">Entry into force of the law and related secondary legislation for the establishment of the National Decarbonisation Fund and its sub-funds. The law shall define the structure, governance and operating rules of the Fund. The governance shall be in line with the relevant OECD guidelines for corporate governance, including the selection and appointment of the fund manager and sub-fund managers through a transparent, open and merit-based procedure. The operating rules shall include the investment strategy, implementation measures, financial products, final recipients, the combination of financial instruments and grants, as well as eligible projects, the promotion of energy efficiency, the use of renewable sources and the </w:t>
            </w:r>
            <w:r w:rsidRPr="00B54373">
              <w:rPr>
                <w:rFonts w:ascii="Arial" w:hAnsi="Arial" w:cs="Arial"/>
                <w:color w:val="006100"/>
                <w:sz w:val="16"/>
                <w:szCs w:val="16"/>
              </w:rPr>
              <w:lastRenderedPageBreak/>
              <w:t>reduction of pollution.</w:t>
            </w:r>
            <w:r>
              <w:rPr>
                <w:rFonts w:ascii="Arial" w:hAnsi="Arial" w:cs="Arial"/>
                <w:color w:val="006100"/>
                <w:sz w:val="16"/>
                <w:szCs w:val="16"/>
              </w:rPr>
              <w:t xml:space="preserve"> </w:t>
            </w:r>
            <w:r w:rsidRPr="009E335D">
              <w:rPr>
                <w:rFonts w:ascii="Arial" w:hAnsi="Arial" w:cs="Arial"/>
                <w:color w:val="006100"/>
                <w:sz w:val="16"/>
                <w:szCs w:val="16"/>
              </w:rPr>
              <w:t>[provide references to the above in the summary document]</w:t>
            </w:r>
          </w:p>
          <w:p w14:paraId="56CCC93F" w14:textId="77777777" w:rsidR="00AD589E" w:rsidRDefault="00AD589E" w:rsidP="005A2B3A">
            <w:pPr>
              <w:spacing w:after="0"/>
              <w:rPr>
                <w:rFonts w:ascii="Arial" w:hAnsi="Arial" w:cs="Arial"/>
                <w:color w:val="006100"/>
                <w:sz w:val="16"/>
                <w:szCs w:val="16"/>
              </w:rPr>
            </w:pPr>
          </w:p>
          <w:p w14:paraId="12D4427D" w14:textId="6413860B" w:rsidR="00AD589E" w:rsidRPr="004F3D4C" w:rsidRDefault="00AD589E" w:rsidP="005A2B3A">
            <w:pPr>
              <w:spacing w:after="0"/>
              <w:rPr>
                <w:rFonts w:ascii="Arial" w:hAnsi="Arial" w:cs="Arial"/>
                <w:color w:val="006100"/>
                <w:sz w:val="16"/>
                <w:szCs w:val="16"/>
              </w:rPr>
            </w:pPr>
            <w:r>
              <w:rPr>
                <w:rFonts w:ascii="Arial" w:hAnsi="Arial" w:cs="Arial"/>
                <w:color w:val="006100"/>
                <w:sz w:val="16"/>
                <w:szCs w:val="16"/>
              </w:rPr>
              <w:t>When: specify the dates of development and entry into force</w:t>
            </w:r>
          </w:p>
        </w:tc>
        <w:tc>
          <w:tcPr>
            <w:tcW w:w="2268" w:type="dxa"/>
            <w:shd w:val="clear" w:color="auto" w:fill="D6E3C6"/>
          </w:tcPr>
          <w:p w14:paraId="0E46C107" w14:textId="77777777" w:rsidR="00AD589E" w:rsidRDefault="00AD589E" w:rsidP="0063508F">
            <w:pPr>
              <w:spacing w:after="0"/>
              <w:rPr>
                <w:rFonts w:ascii="Arial" w:hAnsi="Arial" w:cs="Arial"/>
                <w:color w:val="006100"/>
                <w:sz w:val="16"/>
                <w:szCs w:val="16"/>
              </w:rPr>
            </w:pPr>
            <w:r>
              <w:rPr>
                <w:rFonts w:ascii="Arial" w:hAnsi="Arial" w:cs="Arial"/>
                <w:color w:val="006100"/>
                <w:sz w:val="16"/>
                <w:szCs w:val="16"/>
              </w:rPr>
              <w:lastRenderedPageBreak/>
              <w:t>As above</w:t>
            </w:r>
          </w:p>
          <w:p w14:paraId="6B09D550" w14:textId="77777777" w:rsidR="00AD589E" w:rsidRDefault="00AD589E" w:rsidP="0063508F">
            <w:pPr>
              <w:spacing w:after="0"/>
              <w:rPr>
                <w:rFonts w:ascii="Arial" w:hAnsi="Arial" w:cs="Arial"/>
                <w:color w:val="006100"/>
                <w:sz w:val="16"/>
                <w:szCs w:val="16"/>
              </w:rPr>
            </w:pPr>
          </w:p>
          <w:p w14:paraId="1600EB5B" w14:textId="34E97A2A" w:rsidR="00AD589E" w:rsidRDefault="00AD589E" w:rsidP="00035B9F">
            <w:pPr>
              <w:spacing w:after="0"/>
              <w:rPr>
                <w:rFonts w:ascii="Arial" w:hAnsi="Arial" w:cs="Arial"/>
                <w:color w:val="006100"/>
                <w:sz w:val="16"/>
                <w:szCs w:val="16"/>
              </w:rPr>
            </w:pPr>
            <w:r>
              <w:rPr>
                <w:rFonts w:ascii="Arial" w:hAnsi="Arial" w:cs="Arial"/>
                <w:color w:val="006100"/>
                <w:sz w:val="16"/>
                <w:szCs w:val="16"/>
              </w:rPr>
              <w:t xml:space="preserve">Furthermore, </w:t>
            </w:r>
            <w:r w:rsidRPr="00435831">
              <w:rPr>
                <w:rFonts w:ascii="Arial" w:hAnsi="Arial" w:cs="Arial"/>
                <w:color w:val="006100"/>
                <w:sz w:val="16"/>
                <w:szCs w:val="16"/>
              </w:rPr>
              <w:t>the law and related secondary legislation establishing the National Decarbonisation Fund and its sub-funds shall define the precise structure, governance and operating rules of the Fund.</w:t>
            </w:r>
          </w:p>
          <w:p w14:paraId="3FFAAAA4" w14:textId="77777777" w:rsidR="00AD589E" w:rsidRPr="00435831" w:rsidRDefault="00AD589E" w:rsidP="00035B9F">
            <w:pPr>
              <w:spacing w:after="0"/>
              <w:rPr>
                <w:rFonts w:ascii="Arial" w:hAnsi="Arial" w:cs="Arial"/>
                <w:color w:val="006100"/>
                <w:sz w:val="16"/>
                <w:szCs w:val="16"/>
              </w:rPr>
            </w:pPr>
          </w:p>
          <w:p w14:paraId="5B1A592B" w14:textId="12F71089" w:rsidR="00AD589E" w:rsidRPr="004F3D4C" w:rsidRDefault="00AD589E" w:rsidP="00035B9F">
            <w:pPr>
              <w:spacing w:after="0"/>
              <w:rPr>
                <w:rFonts w:ascii="Arial" w:hAnsi="Arial" w:cs="Arial"/>
                <w:color w:val="006100"/>
                <w:sz w:val="16"/>
                <w:szCs w:val="16"/>
              </w:rPr>
            </w:pPr>
            <w:r w:rsidRPr="00435831">
              <w:rPr>
                <w:rFonts w:ascii="Arial" w:hAnsi="Arial" w:cs="Arial"/>
                <w:color w:val="006100"/>
                <w:sz w:val="16"/>
                <w:szCs w:val="16"/>
              </w:rPr>
              <w:t>The National Fund for Decarbonisation shall be used to offer grants and technical assistance combined</w:t>
            </w:r>
            <w:r>
              <w:rPr>
                <w:rFonts w:ascii="Arial" w:hAnsi="Arial" w:cs="Arial"/>
                <w:color w:val="006100"/>
                <w:sz w:val="16"/>
                <w:szCs w:val="16"/>
              </w:rPr>
              <w:t xml:space="preserve"> </w:t>
            </w:r>
            <w:r w:rsidRPr="00435831">
              <w:rPr>
                <w:rFonts w:ascii="Arial" w:hAnsi="Arial" w:cs="Arial"/>
                <w:color w:val="006100"/>
                <w:sz w:val="16"/>
                <w:szCs w:val="16"/>
              </w:rPr>
              <w:t>with financial instruments including credit lines and guarantees and/or a combination of them. The Fund shall provide for the creation of a single point for technical assistance to applicants through one-stop-shops or similar mechanisms.</w:t>
            </w:r>
          </w:p>
        </w:tc>
        <w:tc>
          <w:tcPr>
            <w:tcW w:w="1036" w:type="dxa"/>
            <w:gridSpan w:val="2"/>
            <w:shd w:val="clear" w:color="auto" w:fill="D6E3C6"/>
          </w:tcPr>
          <w:p w14:paraId="4830A881" w14:textId="3C62929C"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Delays in milestone 63</w:t>
            </w:r>
          </w:p>
        </w:tc>
        <w:tc>
          <w:tcPr>
            <w:tcW w:w="1090" w:type="dxa"/>
            <w:gridSpan w:val="2"/>
            <w:shd w:val="clear" w:color="auto" w:fill="D6E3C6"/>
          </w:tcPr>
          <w:p w14:paraId="547AAA28" w14:textId="5B041F46" w:rsidR="00AD589E" w:rsidRPr="004F3D4C" w:rsidRDefault="00AD589E" w:rsidP="0063508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3A08AB9A" w14:textId="38A6E1F3"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1F4A1BB7" w14:textId="77777777" w:rsidR="00AD589E" w:rsidRPr="004F3D4C" w:rsidRDefault="00AD589E" w:rsidP="0063508F">
            <w:pPr>
              <w:spacing w:after="0"/>
              <w:rPr>
                <w:rFonts w:ascii="Arial" w:hAnsi="Arial" w:cs="Arial"/>
                <w:color w:val="006100"/>
                <w:sz w:val="16"/>
                <w:szCs w:val="16"/>
              </w:rPr>
            </w:pPr>
          </w:p>
        </w:tc>
      </w:tr>
      <w:tr w:rsidR="00AD589E" w:rsidRPr="004F3D4C" w14:paraId="79F804FC" w14:textId="6E3C7F83" w:rsidTr="00596EEA">
        <w:trPr>
          <w:trHeight w:val="309"/>
        </w:trPr>
        <w:tc>
          <w:tcPr>
            <w:tcW w:w="454" w:type="dxa"/>
            <w:shd w:val="clear" w:color="auto" w:fill="D6E3C6"/>
            <w:noWrap/>
          </w:tcPr>
          <w:p w14:paraId="38A6D9C9" w14:textId="5AE9D506"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65</w:t>
            </w:r>
          </w:p>
        </w:tc>
        <w:tc>
          <w:tcPr>
            <w:tcW w:w="1215" w:type="dxa"/>
            <w:shd w:val="clear" w:color="auto" w:fill="D6E3C6"/>
            <w:noWrap/>
          </w:tcPr>
          <w:p w14:paraId="73FDCBE8" w14:textId="553B5BF3"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 Establishment of a National Fund for Decarbonisation</w:t>
            </w:r>
          </w:p>
        </w:tc>
        <w:tc>
          <w:tcPr>
            <w:tcW w:w="956" w:type="dxa"/>
            <w:shd w:val="clear" w:color="auto" w:fill="D6E3C6"/>
            <w:noWrap/>
          </w:tcPr>
          <w:p w14:paraId="6A8485F4" w14:textId="61434A93"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7913D973" w14:textId="6D90C650"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National Fund for Decarbonisation and its sub-funds is operational</w:t>
            </w:r>
          </w:p>
        </w:tc>
        <w:tc>
          <w:tcPr>
            <w:tcW w:w="1322" w:type="dxa"/>
            <w:shd w:val="clear" w:color="auto" w:fill="D6E3C6"/>
            <w:noWrap/>
          </w:tcPr>
          <w:p w14:paraId="0989FBA1" w14:textId="6614CDE4"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Signed contractual agreement between the Bulgarian government and the Fund manager</w:t>
            </w:r>
          </w:p>
        </w:tc>
        <w:tc>
          <w:tcPr>
            <w:tcW w:w="709" w:type="dxa"/>
            <w:shd w:val="clear" w:color="auto" w:fill="D6E3C6"/>
            <w:noWrap/>
          </w:tcPr>
          <w:p w14:paraId="0D8703DE"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0FAC0DDB"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569C327F"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414A04DC" w14:textId="472B9425"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Q3</w:t>
            </w:r>
          </w:p>
        </w:tc>
        <w:tc>
          <w:tcPr>
            <w:tcW w:w="520" w:type="dxa"/>
            <w:shd w:val="clear" w:color="auto" w:fill="D6E3C6"/>
            <w:noWrap/>
          </w:tcPr>
          <w:p w14:paraId="4FA933C7" w14:textId="6DDF33FE"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2024</w:t>
            </w:r>
          </w:p>
        </w:tc>
        <w:tc>
          <w:tcPr>
            <w:tcW w:w="872" w:type="dxa"/>
            <w:gridSpan w:val="2"/>
            <w:shd w:val="clear" w:color="auto" w:fill="D6E3C6"/>
          </w:tcPr>
          <w:p w14:paraId="29343A8D" w14:textId="5CA32EF7"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val="en-US" w:eastAsia="en-GB"/>
              </w:rPr>
              <w:t>Ministry of Energy</w:t>
            </w:r>
          </w:p>
        </w:tc>
        <w:tc>
          <w:tcPr>
            <w:tcW w:w="851" w:type="dxa"/>
            <w:gridSpan w:val="2"/>
            <w:shd w:val="clear" w:color="auto" w:fill="D6E3C6"/>
          </w:tcPr>
          <w:p w14:paraId="53B70438" w14:textId="77777777" w:rsidR="00AD589E" w:rsidRPr="004F3D4C"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7A7FFB09" w14:textId="3AEDF3AC" w:rsidR="00AD589E" w:rsidRDefault="00AD589E" w:rsidP="0073371A">
            <w:pPr>
              <w:pStyle w:val="ListParagraph"/>
              <w:numPr>
                <w:ilvl w:val="0"/>
                <w:numId w:val="12"/>
              </w:numPr>
              <w:spacing w:after="0"/>
              <w:ind w:left="395"/>
              <w:rPr>
                <w:rFonts w:ascii="Arial" w:hAnsi="Arial" w:cs="Arial"/>
                <w:color w:val="006100"/>
                <w:sz w:val="16"/>
                <w:szCs w:val="16"/>
              </w:rPr>
            </w:pPr>
            <w:r>
              <w:rPr>
                <w:rFonts w:ascii="Arial" w:hAnsi="Arial" w:cs="Arial"/>
                <w:color w:val="006100"/>
                <w:sz w:val="16"/>
                <w:szCs w:val="16"/>
                <w:lang w:eastAsia="en-GB"/>
              </w:rPr>
              <w:t>Copy of the signed contract, including its official references</w:t>
            </w:r>
          </w:p>
          <w:p w14:paraId="76F7B6C0" w14:textId="6FCEE755" w:rsidR="00AD589E" w:rsidRPr="00F367DB" w:rsidRDefault="00AD589E" w:rsidP="0073371A">
            <w:pPr>
              <w:pStyle w:val="ListParagraph"/>
              <w:numPr>
                <w:ilvl w:val="0"/>
                <w:numId w:val="12"/>
              </w:numPr>
              <w:spacing w:after="0"/>
              <w:ind w:left="395"/>
              <w:rPr>
                <w:rFonts w:ascii="Arial" w:hAnsi="Arial" w:cs="Arial"/>
                <w:color w:val="006100"/>
                <w:sz w:val="16"/>
                <w:szCs w:val="16"/>
              </w:rPr>
            </w:pPr>
            <w:r>
              <w:rPr>
                <w:rFonts w:ascii="Arial" w:hAnsi="Arial" w:cs="Arial"/>
                <w:color w:val="006100"/>
                <w:sz w:val="16"/>
                <w:szCs w:val="16"/>
                <w:lang w:eastAsia="en-GB"/>
              </w:rPr>
              <w:t>E</w:t>
            </w:r>
            <w:r w:rsidRPr="004F3D4C">
              <w:rPr>
                <w:rFonts w:ascii="Arial" w:hAnsi="Arial" w:cs="Arial"/>
                <w:color w:val="006100"/>
                <w:sz w:val="16"/>
                <w:szCs w:val="16"/>
                <w:lang w:eastAsia="en-GB"/>
              </w:rPr>
              <w:t>xtract of the relevant parts of the specifications of the contract proving alignment with the description of the milestone and of the description of the reform in the CID annex</w:t>
            </w:r>
          </w:p>
        </w:tc>
        <w:tc>
          <w:tcPr>
            <w:tcW w:w="3402" w:type="dxa"/>
            <w:shd w:val="clear" w:color="auto" w:fill="D6E3C6"/>
          </w:tcPr>
          <w:p w14:paraId="1882DA0A" w14:textId="77777777" w:rsidR="00AD589E" w:rsidRDefault="00AD589E" w:rsidP="0005678A">
            <w:pPr>
              <w:spacing w:after="0"/>
              <w:rPr>
                <w:rFonts w:ascii="Arial" w:hAnsi="Arial" w:cs="Arial"/>
                <w:color w:val="006100"/>
                <w:sz w:val="16"/>
                <w:szCs w:val="16"/>
              </w:rPr>
            </w:pPr>
            <w:r>
              <w:rPr>
                <w:rFonts w:ascii="Arial" w:hAnsi="Arial" w:cs="Arial"/>
                <w:color w:val="006100"/>
                <w:sz w:val="16"/>
                <w:szCs w:val="16"/>
              </w:rPr>
              <w:t xml:space="preserve">Institution/s: </w:t>
            </w:r>
            <w:r w:rsidRPr="004F3D4C">
              <w:rPr>
                <w:rFonts w:ascii="Arial" w:eastAsia="Times New Roman" w:hAnsi="Arial" w:cs="Arial"/>
                <w:color w:val="006100"/>
                <w:sz w:val="16"/>
                <w:szCs w:val="16"/>
                <w:lang w:val="en-US" w:eastAsia="en-GB"/>
              </w:rPr>
              <w:t>Ministry of Energy</w:t>
            </w:r>
          </w:p>
          <w:p w14:paraId="6EF376DD" w14:textId="77777777" w:rsidR="00AD589E" w:rsidRDefault="00AD589E" w:rsidP="0005678A">
            <w:pPr>
              <w:spacing w:after="0"/>
              <w:rPr>
                <w:rFonts w:ascii="Arial" w:hAnsi="Arial" w:cs="Arial"/>
                <w:color w:val="006100"/>
                <w:sz w:val="16"/>
                <w:szCs w:val="16"/>
              </w:rPr>
            </w:pPr>
          </w:p>
          <w:p w14:paraId="0D23F632" w14:textId="07860BD3" w:rsidR="00AD589E" w:rsidRDefault="00AD589E" w:rsidP="0005678A">
            <w:pPr>
              <w:spacing w:after="0"/>
              <w:rPr>
                <w:rFonts w:ascii="Arial" w:hAnsi="Arial" w:cs="Arial"/>
                <w:color w:val="006100"/>
                <w:sz w:val="16"/>
                <w:szCs w:val="16"/>
              </w:rPr>
            </w:pPr>
            <w:r>
              <w:rPr>
                <w:rFonts w:ascii="Arial" w:hAnsi="Arial" w:cs="Arial"/>
                <w:color w:val="006100"/>
                <w:sz w:val="16"/>
                <w:szCs w:val="16"/>
              </w:rPr>
              <w:t xml:space="preserve">What: </w:t>
            </w:r>
            <w:r w:rsidRPr="006740BE">
              <w:rPr>
                <w:rFonts w:ascii="Arial" w:hAnsi="Arial" w:cs="Arial"/>
                <w:color w:val="006100"/>
                <w:sz w:val="16"/>
                <w:szCs w:val="16"/>
              </w:rPr>
              <w:t>National Fund for Decarbonisation and its sub-funds is operational</w:t>
            </w:r>
          </w:p>
          <w:p w14:paraId="37A8A405" w14:textId="77777777" w:rsidR="00AD589E" w:rsidRDefault="00AD589E" w:rsidP="0005678A">
            <w:pPr>
              <w:spacing w:after="0"/>
              <w:rPr>
                <w:rFonts w:ascii="Arial" w:hAnsi="Arial" w:cs="Arial"/>
                <w:color w:val="006100"/>
                <w:sz w:val="16"/>
                <w:szCs w:val="16"/>
              </w:rPr>
            </w:pPr>
          </w:p>
          <w:p w14:paraId="5BA93512" w14:textId="3994F223" w:rsidR="00AD589E" w:rsidRDefault="00AD589E" w:rsidP="0005678A">
            <w:pPr>
              <w:spacing w:after="0"/>
              <w:rPr>
                <w:rFonts w:ascii="Arial" w:hAnsi="Arial" w:cs="Arial"/>
                <w:color w:val="006100"/>
                <w:sz w:val="16"/>
                <w:szCs w:val="16"/>
              </w:rPr>
            </w:pPr>
            <w:r w:rsidRPr="005B07FE">
              <w:rPr>
                <w:rFonts w:ascii="Arial" w:hAnsi="Arial" w:cs="Arial"/>
                <w:color w:val="006100"/>
                <w:sz w:val="16"/>
                <w:szCs w:val="16"/>
              </w:rPr>
              <w:t>How</w:t>
            </w:r>
            <w:r w:rsidR="0025409B">
              <w:rPr>
                <w:rFonts w:ascii="Arial" w:hAnsi="Arial" w:cs="Arial"/>
                <w:color w:val="006100"/>
                <w:sz w:val="16"/>
                <w:szCs w:val="16"/>
              </w:rPr>
              <w:t>: contracting (a), reporting (b)</w:t>
            </w:r>
          </w:p>
          <w:p w14:paraId="0565EAE7" w14:textId="77777777" w:rsidR="00AD589E" w:rsidRDefault="00AD589E" w:rsidP="0005678A">
            <w:pPr>
              <w:spacing w:after="0"/>
              <w:rPr>
                <w:rFonts w:ascii="Arial" w:hAnsi="Arial" w:cs="Arial"/>
                <w:color w:val="006100"/>
                <w:sz w:val="16"/>
                <w:szCs w:val="16"/>
              </w:rPr>
            </w:pPr>
          </w:p>
          <w:p w14:paraId="31F160F5" w14:textId="4F8C3B4B" w:rsidR="00AD589E" w:rsidRDefault="00AD589E" w:rsidP="0005678A">
            <w:pPr>
              <w:spacing w:after="0"/>
              <w:rPr>
                <w:rFonts w:ascii="Arial" w:hAnsi="Arial" w:cs="Arial"/>
                <w:color w:val="006100"/>
                <w:sz w:val="16"/>
                <w:szCs w:val="16"/>
              </w:rPr>
            </w:pPr>
            <w:r>
              <w:rPr>
                <w:rFonts w:ascii="Arial" w:hAnsi="Arial" w:cs="Arial"/>
                <w:color w:val="006100"/>
                <w:sz w:val="16"/>
                <w:szCs w:val="16"/>
              </w:rPr>
              <w:t xml:space="preserve">Why: </w:t>
            </w:r>
            <w:r w:rsidRPr="004F3D4C">
              <w:rPr>
                <w:rFonts w:ascii="Arial" w:hAnsi="Arial" w:cs="Arial"/>
                <w:color w:val="006100"/>
                <w:sz w:val="16"/>
                <w:szCs w:val="16"/>
              </w:rPr>
              <w:t>The agreement between the Bulgarian government and the Fund manager shall contain: eligibility criteria for investments and final beneficiaries; details on governance and fund rules, leverage, sources of funding including private funds, implementation arrangements, financial products, risk policy and other relevant policies.</w:t>
            </w:r>
            <w:r>
              <w:rPr>
                <w:rFonts w:ascii="Arial" w:hAnsi="Arial" w:cs="Arial"/>
                <w:color w:val="006100"/>
                <w:sz w:val="16"/>
                <w:szCs w:val="16"/>
              </w:rPr>
              <w:t xml:space="preserve"> </w:t>
            </w:r>
            <w:r w:rsidRPr="009E335D">
              <w:rPr>
                <w:rFonts w:ascii="Arial" w:hAnsi="Arial" w:cs="Arial"/>
                <w:color w:val="006100"/>
                <w:sz w:val="16"/>
                <w:szCs w:val="16"/>
              </w:rPr>
              <w:t>[provide references to the above in the summary document]</w:t>
            </w:r>
          </w:p>
          <w:p w14:paraId="142163F5" w14:textId="77777777" w:rsidR="00AD589E" w:rsidRDefault="00AD589E" w:rsidP="0005678A">
            <w:pPr>
              <w:spacing w:after="0"/>
              <w:rPr>
                <w:rFonts w:ascii="Arial" w:hAnsi="Arial" w:cs="Arial"/>
                <w:color w:val="006100"/>
                <w:sz w:val="16"/>
                <w:szCs w:val="16"/>
              </w:rPr>
            </w:pPr>
          </w:p>
          <w:p w14:paraId="4531B40D" w14:textId="679BFF7F" w:rsidR="00AD589E" w:rsidRPr="004F3D4C" w:rsidRDefault="00AD589E" w:rsidP="0005678A">
            <w:pPr>
              <w:spacing w:after="0"/>
              <w:rPr>
                <w:rFonts w:ascii="Arial" w:hAnsi="Arial" w:cs="Arial"/>
                <w:color w:val="006100"/>
                <w:sz w:val="16"/>
                <w:szCs w:val="16"/>
              </w:rPr>
            </w:pPr>
            <w:r>
              <w:rPr>
                <w:rFonts w:ascii="Arial" w:hAnsi="Arial" w:cs="Arial"/>
                <w:color w:val="006100"/>
                <w:sz w:val="16"/>
                <w:szCs w:val="16"/>
              </w:rPr>
              <w:t>When: specify the dates of signature</w:t>
            </w:r>
          </w:p>
        </w:tc>
        <w:tc>
          <w:tcPr>
            <w:tcW w:w="2268" w:type="dxa"/>
            <w:shd w:val="clear" w:color="auto" w:fill="D6E3C6"/>
          </w:tcPr>
          <w:p w14:paraId="5D40F67A" w14:textId="2340790A"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6C93DC23" w14:textId="368E641A"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As above + delays in milestone 64</w:t>
            </w:r>
          </w:p>
        </w:tc>
        <w:tc>
          <w:tcPr>
            <w:tcW w:w="1090" w:type="dxa"/>
            <w:gridSpan w:val="2"/>
            <w:shd w:val="clear" w:color="auto" w:fill="D6E3C6"/>
          </w:tcPr>
          <w:p w14:paraId="7201DA96" w14:textId="0D28AD7A" w:rsidR="00AD589E" w:rsidRPr="004F3D4C" w:rsidRDefault="00AD589E" w:rsidP="0063508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22534CEE" w14:textId="104B595A"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21F4BC07" w14:textId="5D6223D4" w:rsidR="00AD589E" w:rsidRPr="004F3D4C" w:rsidRDefault="00A668EA" w:rsidP="0063508F">
            <w:pPr>
              <w:spacing w:after="0"/>
              <w:rPr>
                <w:rFonts w:ascii="Arial" w:hAnsi="Arial" w:cs="Arial"/>
                <w:color w:val="006100"/>
                <w:sz w:val="16"/>
                <w:szCs w:val="16"/>
              </w:rPr>
            </w:pPr>
            <w:r>
              <w:rPr>
                <w:rFonts w:ascii="Arial" w:hAnsi="Arial" w:cs="Arial"/>
                <w:color w:val="006100"/>
                <w:sz w:val="16"/>
                <w:szCs w:val="16"/>
              </w:rPr>
              <w:t xml:space="preserve">A likely </w:t>
            </w:r>
            <w:r w:rsidR="00AA0BE7">
              <w:rPr>
                <w:rFonts w:ascii="Arial" w:hAnsi="Arial" w:cs="Arial"/>
                <w:color w:val="006100"/>
                <w:sz w:val="16"/>
                <w:szCs w:val="16"/>
              </w:rPr>
              <w:t xml:space="preserve">monitoring </w:t>
            </w:r>
            <w:r w:rsidR="006C7B25">
              <w:rPr>
                <w:rFonts w:ascii="Arial" w:hAnsi="Arial" w:cs="Arial"/>
                <w:color w:val="006100"/>
                <w:sz w:val="16"/>
                <w:szCs w:val="16"/>
              </w:rPr>
              <w:t xml:space="preserve">step: </w:t>
            </w:r>
            <w:r w:rsidR="00D27EAA" w:rsidRPr="00D27EAA">
              <w:rPr>
                <w:rFonts w:ascii="Arial" w:hAnsi="Arial" w:cs="Arial"/>
                <w:color w:val="006100"/>
                <w:sz w:val="16"/>
                <w:szCs w:val="16"/>
              </w:rPr>
              <w:t>Report on the selection process of the Fund Managers, including the outcome of the technical support from the European Investment Bank and the justification for the selection</w:t>
            </w:r>
            <w:r w:rsidR="00D27EAA">
              <w:rPr>
                <w:rFonts w:ascii="Arial" w:hAnsi="Arial" w:cs="Arial"/>
                <w:color w:val="006100"/>
                <w:sz w:val="16"/>
                <w:szCs w:val="16"/>
              </w:rPr>
              <w:t xml:space="preserve"> (</w:t>
            </w:r>
            <w:r w:rsidR="004E6155">
              <w:rPr>
                <w:rFonts w:ascii="Arial" w:hAnsi="Arial" w:cs="Arial"/>
                <w:color w:val="006100"/>
                <w:sz w:val="16"/>
                <w:szCs w:val="16"/>
              </w:rPr>
              <w:t>Q1 2024</w:t>
            </w:r>
            <w:r w:rsidR="00D27EAA">
              <w:rPr>
                <w:rFonts w:ascii="Arial" w:hAnsi="Arial" w:cs="Arial"/>
                <w:color w:val="006100"/>
                <w:sz w:val="16"/>
                <w:szCs w:val="16"/>
              </w:rPr>
              <w:t>)</w:t>
            </w:r>
          </w:p>
        </w:tc>
      </w:tr>
      <w:tr w:rsidR="00AD589E" w:rsidRPr="004F3D4C" w14:paraId="1694D432" w14:textId="4BB0D79F" w:rsidTr="00596EEA">
        <w:trPr>
          <w:trHeight w:val="309"/>
        </w:trPr>
        <w:tc>
          <w:tcPr>
            <w:tcW w:w="454" w:type="dxa"/>
            <w:shd w:val="clear" w:color="auto" w:fill="D6E3C6"/>
            <w:noWrap/>
          </w:tcPr>
          <w:p w14:paraId="1D9C53E3" w14:textId="03B491CE"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66</w:t>
            </w:r>
          </w:p>
        </w:tc>
        <w:tc>
          <w:tcPr>
            <w:tcW w:w="1215" w:type="dxa"/>
            <w:shd w:val="clear" w:color="auto" w:fill="D6E3C6"/>
            <w:noWrap/>
          </w:tcPr>
          <w:p w14:paraId="114AE58A" w14:textId="11C4F6E0"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C4.R3: Definition of “energy poverty” and of criteria for identifying households in energy poverty and vulnerable consumers</w:t>
            </w:r>
          </w:p>
        </w:tc>
        <w:tc>
          <w:tcPr>
            <w:tcW w:w="956" w:type="dxa"/>
            <w:shd w:val="clear" w:color="auto" w:fill="D6E3C6"/>
            <w:noWrap/>
          </w:tcPr>
          <w:p w14:paraId="015489D9" w14:textId="4C3FB223"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2338EB7A" w14:textId="42A1BC7C"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Entry into force of the amendments to the Energy Act and secondary legislation concerning “energy poverty”</w:t>
            </w:r>
          </w:p>
        </w:tc>
        <w:tc>
          <w:tcPr>
            <w:tcW w:w="1322" w:type="dxa"/>
            <w:shd w:val="clear" w:color="auto" w:fill="D6E3C6"/>
            <w:noWrap/>
          </w:tcPr>
          <w:p w14:paraId="59AE7027" w14:textId="51C8BDBB"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the Energy Act indicating the entry into force of the amendments to the Energy Act and of the secondary legislation</w:t>
            </w:r>
          </w:p>
        </w:tc>
        <w:tc>
          <w:tcPr>
            <w:tcW w:w="709" w:type="dxa"/>
            <w:shd w:val="clear" w:color="auto" w:fill="D6E3C6"/>
            <w:noWrap/>
          </w:tcPr>
          <w:p w14:paraId="14115C6E"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79139211"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7ED79986"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3029938E" w14:textId="1D23A33A"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460E7B63" w14:textId="7B3997F2"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3757CAC3" w14:textId="77777777" w:rsidR="00AD589E" w:rsidRPr="004F3D4C" w:rsidRDefault="00AD589E" w:rsidP="00C22083">
            <w:pPr>
              <w:spacing w:after="0"/>
              <w:rPr>
                <w:rFonts w:ascii="Arial" w:eastAsia="Times New Roman" w:hAnsi="Arial" w:cs="Arial"/>
                <w:color w:val="006100"/>
                <w:sz w:val="16"/>
                <w:szCs w:val="16"/>
                <w:lang w:val="en-US" w:eastAsia="en-GB"/>
              </w:rPr>
            </w:pPr>
            <w:r w:rsidRPr="004F3D4C">
              <w:rPr>
                <w:rFonts w:ascii="Arial" w:eastAsia="Times New Roman" w:hAnsi="Arial" w:cs="Arial"/>
                <w:color w:val="006100"/>
                <w:sz w:val="16"/>
                <w:szCs w:val="16"/>
                <w:lang w:val="en-US" w:eastAsia="en-GB"/>
              </w:rPr>
              <w:t>Ministry of Energy,</w:t>
            </w:r>
          </w:p>
          <w:p w14:paraId="34A065C6" w14:textId="3E0A7847" w:rsidR="00AD589E" w:rsidRPr="004F3D4C" w:rsidRDefault="00AD589E" w:rsidP="00C22083">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val="en-US" w:eastAsia="en-GB"/>
              </w:rPr>
              <w:t>Ministry of Labor and Social Policy</w:t>
            </w:r>
          </w:p>
        </w:tc>
        <w:tc>
          <w:tcPr>
            <w:tcW w:w="851" w:type="dxa"/>
            <w:gridSpan w:val="2"/>
            <w:shd w:val="clear" w:color="auto" w:fill="D6E3C6"/>
          </w:tcPr>
          <w:p w14:paraId="086D2A7C" w14:textId="77777777" w:rsidR="00AD589E" w:rsidRPr="004F3D4C"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5E21B3C3" w14:textId="77777777" w:rsidR="00AD589E" w:rsidRDefault="00AD589E" w:rsidP="0073371A">
            <w:pPr>
              <w:pStyle w:val="ListParagraph"/>
              <w:numPr>
                <w:ilvl w:val="0"/>
                <w:numId w:val="13"/>
              </w:numPr>
              <w:spacing w:after="0"/>
              <w:ind w:left="395" w:hanging="395"/>
              <w:rPr>
                <w:rFonts w:ascii="Arial" w:hAnsi="Arial" w:cs="Arial"/>
                <w:color w:val="006100"/>
                <w:sz w:val="16"/>
                <w:szCs w:val="16"/>
              </w:rPr>
            </w:pPr>
            <w:r w:rsidRPr="004F3D4C">
              <w:rPr>
                <w:rFonts w:ascii="Arial" w:hAnsi="Arial" w:cs="Arial"/>
                <w:color w:val="006100"/>
                <w:sz w:val="16"/>
                <w:szCs w:val="16"/>
                <w:lang w:eastAsia="en-GB"/>
              </w:rPr>
              <w:t>Copy of the publication in the State Gazette of primary and secondary legislation that is critical for achieving the objectives described in the milestone and in the CID annex</w:t>
            </w:r>
          </w:p>
          <w:p w14:paraId="2EBAF68F" w14:textId="76E5446B" w:rsidR="00AD589E" w:rsidRPr="001D3FF1" w:rsidRDefault="00AD589E" w:rsidP="0073371A">
            <w:pPr>
              <w:pStyle w:val="ListParagraph"/>
              <w:numPr>
                <w:ilvl w:val="0"/>
                <w:numId w:val="13"/>
              </w:numPr>
              <w:spacing w:after="0"/>
              <w:ind w:left="395" w:hanging="395"/>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eference to the relevant provisions indicating the entry into force, accompanied by a document duly justifying how the milestone (including all the constitutive elements) was satisfactorily fulfilled</w:t>
            </w:r>
          </w:p>
        </w:tc>
        <w:tc>
          <w:tcPr>
            <w:tcW w:w="3402" w:type="dxa"/>
            <w:shd w:val="clear" w:color="auto" w:fill="D6E3C6"/>
          </w:tcPr>
          <w:p w14:paraId="78BC09A2" w14:textId="2461CD91" w:rsidR="00AD589E" w:rsidRDefault="00AD589E" w:rsidP="001D3FF1">
            <w:pPr>
              <w:spacing w:after="0"/>
              <w:rPr>
                <w:rFonts w:ascii="Arial" w:hAnsi="Arial" w:cs="Arial"/>
                <w:color w:val="006100"/>
                <w:sz w:val="16"/>
                <w:szCs w:val="16"/>
              </w:rPr>
            </w:pPr>
            <w:r>
              <w:rPr>
                <w:rFonts w:ascii="Arial" w:hAnsi="Arial" w:cs="Arial"/>
                <w:color w:val="006100"/>
                <w:sz w:val="16"/>
                <w:szCs w:val="16"/>
              </w:rPr>
              <w:t xml:space="preserve">Institution/s: </w:t>
            </w:r>
            <w:r w:rsidRPr="004F3D4C">
              <w:rPr>
                <w:rFonts w:ascii="Arial" w:eastAsia="Times New Roman" w:hAnsi="Arial" w:cs="Arial"/>
                <w:color w:val="006100"/>
                <w:sz w:val="16"/>
                <w:szCs w:val="16"/>
                <w:lang w:val="en-US" w:eastAsia="en-GB"/>
              </w:rPr>
              <w:t>Ministry of Energy</w:t>
            </w:r>
            <w:r>
              <w:rPr>
                <w:rFonts w:ascii="Arial" w:eastAsia="Times New Roman" w:hAnsi="Arial" w:cs="Arial"/>
                <w:color w:val="006100"/>
                <w:sz w:val="16"/>
                <w:szCs w:val="16"/>
                <w:lang w:val="en-US" w:eastAsia="en-GB"/>
              </w:rPr>
              <w:t>, Ministry of Labor and Social Policy</w:t>
            </w:r>
          </w:p>
          <w:p w14:paraId="60CA8229" w14:textId="77777777" w:rsidR="00AD589E" w:rsidRDefault="00AD589E" w:rsidP="001D3FF1">
            <w:pPr>
              <w:spacing w:after="0"/>
              <w:rPr>
                <w:rFonts w:ascii="Arial" w:hAnsi="Arial" w:cs="Arial"/>
                <w:color w:val="006100"/>
                <w:sz w:val="16"/>
                <w:szCs w:val="16"/>
              </w:rPr>
            </w:pPr>
          </w:p>
          <w:p w14:paraId="53F057E7" w14:textId="75CDFD47" w:rsidR="00AD589E" w:rsidRDefault="00AD589E" w:rsidP="001D3FF1">
            <w:pPr>
              <w:spacing w:after="0"/>
              <w:rPr>
                <w:rFonts w:ascii="Arial" w:hAnsi="Arial" w:cs="Arial"/>
                <w:color w:val="006100"/>
                <w:sz w:val="16"/>
                <w:szCs w:val="16"/>
              </w:rPr>
            </w:pPr>
            <w:r>
              <w:rPr>
                <w:rFonts w:ascii="Arial" w:hAnsi="Arial" w:cs="Arial"/>
                <w:color w:val="006100"/>
                <w:sz w:val="16"/>
                <w:szCs w:val="16"/>
              </w:rPr>
              <w:t xml:space="preserve">What: </w:t>
            </w:r>
            <w:r w:rsidRPr="001D3FF1">
              <w:rPr>
                <w:rFonts w:ascii="Arial" w:hAnsi="Arial" w:cs="Arial"/>
                <w:color w:val="006100"/>
                <w:sz w:val="16"/>
                <w:szCs w:val="16"/>
              </w:rPr>
              <w:t>Entry into force of the amendments to the Energy Act and secondary legislation concerning “energy poverty”</w:t>
            </w:r>
          </w:p>
          <w:p w14:paraId="4669202B" w14:textId="77777777" w:rsidR="00AD589E" w:rsidRDefault="00AD589E" w:rsidP="001D3FF1">
            <w:pPr>
              <w:spacing w:after="0"/>
              <w:rPr>
                <w:rFonts w:ascii="Arial" w:hAnsi="Arial" w:cs="Arial"/>
                <w:color w:val="006100"/>
                <w:sz w:val="16"/>
                <w:szCs w:val="16"/>
              </w:rPr>
            </w:pPr>
          </w:p>
          <w:p w14:paraId="4A03F700" w14:textId="0253D69A" w:rsidR="00AD589E" w:rsidRDefault="00AD589E" w:rsidP="001D3FF1">
            <w:pPr>
              <w:spacing w:after="0"/>
              <w:rPr>
                <w:rFonts w:ascii="Arial" w:hAnsi="Arial" w:cs="Arial"/>
                <w:color w:val="006100"/>
                <w:sz w:val="16"/>
                <w:szCs w:val="16"/>
              </w:rPr>
            </w:pPr>
            <w:r w:rsidRPr="005B07FE">
              <w:rPr>
                <w:rFonts w:ascii="Arial" w:hAnsi="Arial" w:cs="Arial"/>
                <w:color w:val="006100"/>
                <w:sz w:val="16"/>
                <w:szCs w:val="16"/>
              </w:rPr>
              <w:t>How:</w:t>
            </w:r>
            <w:r>
              <w:rPr>
                <w:rFonts w:ascii="Arial" w:hAnsi="Arial" w:cs="Arial"/>
                <w:color w:val="006100"/>
                <w:sz w:val="16"/>
                <w:szCs w:val="16"/>
              </w:rPr>
              <w:t xml:space="preserve"> entry into force (evidence</w:t>
            </w:r>
            <w:r w:rsidR="0045057E">
              <w:rPr>
                <w:rFonts w:ascii="Arial" w:hAnsi="Arial" w:cs="Arial"/>
                <w:color w:val="006100"/>
                <w:sz w:val="16"/>
                <w:szCs w:val="16"/>
              </w:rPr>
              <w:t>d</w:t>
            </w:r>
            <w:r>
              <w:rPr>
                <w:rFonts w:ascii="Arial" w:hAnsi="Arial" w:cs="Arial"/>
                <w:color w:val="006100"/>
                <w:sz w:val="16"/>
                <w:szCs w:val="16"/>
              </w:rPr>
              <w:t xml:space="preserve"> by a) and reporting (b)</w:t>
            </w:r>
          </w:p>
          <w:p w14:paraId="15278BA0" w14:textId="77777777" w:rsidR="00AD589E" w:rsidRDefault="00AD589E" w:rsidP="001D3FF1">
            <w:pPr>
              <w:spacing w:after="0"/>
              <w:rPr>
                <w:rFonts w:ascii="Arial" w:hAnsi="Arial" w:cs="Arial"/>
                <w:color w:val="006100"/>
                <w:sz w:val="16"/>
                <w:szCs w:val="16"/>
              </w:rPr>
            </w:pPr>
          </w:p>
          <w:p w14:paraId="29243DB0" w14:textId="05F2820B" w:rsidR="00AD589E" w:rsidRDefault="00AD589E" w:rsidP="001D3FF1">
            <w:pPr>
              <w:spacing w:after="0"/>
              <w:rPr>
                <w:rFonts w:ascii="Arial" w:hAnsi="Arial" w:cs="Arial"/>
                <w:color w:val="006100"/>
                <w:sz w:val="16"/>
                <w:szCs w:val="16"/>
              </w:rPr>
            </w:pPr>
            <w:r>
              <w:rPr>
                <w:rFonts w:ascii="Arial" w:hAnsi="Arial" w:cs="Arial"/>
                <w:color w:val="006100"/>
                <w:sz w:val="16"/>
                <w:szCs w:val="16"/>
              </w:rPr>
              <w:t xml:space="preserve">Why: </w:t>
            </w:r>
            <w:r w:rsidRPr="004F3D4C">
              <w:rPr>
                <w:rFonts w:ascii="Arial" w:hAnsi="Arial" w:cs="Arial"/>
                <w:color w:val="006100"/>
                <w:sz w:val="16"/>
                <w:szCs w:val="16"/>
              </w:rPr>
              <w:t>The amendments to the Energy Act and the subsequent secondary legislation shall regulate the definition of “energy poverty” and define criteria for identifying households in energy poverty and vulnerable consumers. The amendments shall take into account the criteria listed in the Directive 2019/944: low income, high-energy costs as a share of available income and low energy efficiency.</w:t>
            </w:r>
            <w:r>
              <w:rPr>
                <w:rFonts w:ascii="Arial" w:hAnsi="Arial" w:cs="Arial"/>
                <w:color w:val="006100"/>
                <w:sz w:val="16"/>
                <w:szCs w:val="16"/>
              </w:rPr>
              <w:t xml:space="preserve"> </w:t>
            </w:r>
            <w:r w:rsidRPr="009E335D">
              <w:rPr>
                <w:rFonts w:ascii="Arial" w:hAnsi="Arial" w:cs="Arial"/>
                <w:color w:val="006100"/>
                <w:sz w:val="16"/>
                <w:szCs w:val="16"/>
              </w:rPr>
              <w:t>[provide references to the above in the summary document]</w:t>
            </w:r>
          </w:p>
          <w:p w14:paraId="6E5F4421" w14:textId="77777777" w:rsidR="00AD589E" w:rsidRDefault="00AD589E" w:rsidP="001D3FF1">
            <w:pPr>
              <w:spacing w:after="0"/>
              <w:rPr>
                <w:rFonts w:ascii="Arial" w:hAnsi="Arial" w:cs="Arial"/>
                <w:color w:val="006100"/>
                <w:sz w:val="16"/>
                <w:szCs w:val="16"/>
              </w:rPr>
            </w:pPr>
          </w:p>
          <w:p w14:paraId="5755E739" w14:textId="22B41EB7" w:rsidR="00AD589E" w:rsidRPr="004A3F9B" w:rsidRDefault="00AD589E" w:rsidP="001D3FF1">
            <w:pPr>
              <w:spacing w:after="0"/>
              <w:rPr>
                <w:rFonts w:ascii="Arial" w:hAnsi="Arial" w:cs="Arial"/>
                <w:color w:val="006100"/>
                <w:sz w:val="16"/>
                <w:szCs w:val="16"/>
              </w:rPr>
            </w:pPr>
            <w:r w:rsidRPr="004A3F9B">
              <w:rPr>
                <w:rFonts w:ascii="Arial" w:hAnsi="Arial" w:cs="Arial"/>
                <w:color w:val="006100"/>
                <w:sz w:val="16"/>
                <w:szCs w:val="16"/>
              </w:rPr>
              <w:t xml:space="preserve">When: specify the dates of </w:t>
            </w:r>
            <w:r w:rsidR="00F37B95" w:rsidRPr="004A3F9B">
              <w:rPr>
                <w:rFonts w:ascii="Arial" w:hAnsi="Arial" w:cs="Arial"/>
                <w:color w:val="006100"/>
                <w:sz w:val="16"/>
                <w:szCs w:val="16"/>
              </w:rPr>
              <w:t xml:space="preserve">development and </w:t>
            </w:r>
            <w:r w:rsidRPr="004A3F9B">
              <w:rPr>
                <w:rFonts w:ascii="Arial" w:hAnsi="Arial" w:cs="Arial"/>
                <w:color w:val="006100"/>
                <w:sz w:val="16"/>
                <w:szCs w:val="16"/>
              </w:rPr>
              <w:t>entry into force</w:t>
            </w:r>
          </w:p>
        </w:tc>
        <w:tc>
          <w:tcPr>
            <w:tcW w:w="2268" w:type="dxa"/>
            <w:shd w:val="clear" w:color="auto" w:fill="D6E3C6"/>
          </w:tcPr>
          <w:p w14:paraId="6D8E36A1" w14:textId="691422A6" w:rsidR="00AD589E" w:rsidRPr="004F3D4C" w:rsidRDefault="00AD589E" w:rsidP="0063508F">
            <w:pPr>
              <w:spacing w:after="0"/>
              <w:rPr>
                <w:rFonts w:ascii="Arial" w:hAnsi="Arial" w:cs="Arial"/>
                <w:color w:val="006100"/>
                <w:sz w:val="16"/>
                <w:szCs w:val="16"/>
              </w:rPr>
            </w:pPr>
            <w:r w:rsidRPr="00C335D1">
              <w:rPr>
                <w:rFonts w:ascii="Arial" w:hAnsi="Arial" w:cs="Arial"/>
                <w:color w:val="006100"/>
                <w:sz w:val="16"/>
                <w:szCs w:val="16"/>
              </w:rPr>
              <w:t>The objective of this reform is to contribute to tackle energy poverty and protect vulnerable consumers by introducing in the Energy Act and secondary legislation a definition of “energy poverty” and criteria for identifying households in energy poverty and vulnerable consumers. The reform shall take into account the criteria listed in the Directive (EU) 2019/944: low income, high expenditure of disposable income on energy and poor energy efficiency.</w:t>
            </w:r>
          </w:p>
        </w:tc>
        <w:tc>
          <w:tcPr>
            <w:tcW w:w="1036" w:type="dxa"/>
            <w:gridSpan w:val="2"/>
            <w:shd w:val="clear" w:color="auto" w:fill="D6E3C6"/>
          </w:tcPr>
          <w:p w14:paraId="68B86F46" w14:textId="40378330"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675FBD41" w14:textId="2AAA7788" w:rsidR="00AD589E" w:rsidRPr="004F3D4C" w:rsidRDefault="00AD589E" w:rsidP="0063508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7EE2BF50" w14:textId="2CB099D0"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5A4CD7A9" w14:textId="4633F7A1" w:rsidR="00AD589E" w:rsidRPr="004F3D4C" w:rsidRDefault="00D51BCA" w:rsidP="0063508F">
            <w:pPr>
              <w:spacing w:after="0"/>
              <w:rPr>
                <w:rFonts w:ascii="Arial" w:hAnsi="Arial" w:cs="Arial"/>
                <w:color w:val="006100"/>
                <w:sz w:val="16"/>
                <w:szCs w:val="16"/>
              </w:rPr>
            </w:pPr>
            <w:r>
              <w:rPr>
                <w:rFonts w:ascii="Arial" w:hAnsi="Arial" w:cs="Arial"/>
                <w:color w:val="006100"/>
                <w:sz w:val="16"/>
                <w:szCs w:val="16"/>
              </w:rPr>
              <w:t>-</w:t>
            </w:r>
          </w:p>
        </w:tc>
      </w:tr>
      <w:tr w:rsidR="004A3F9B" w:rsidRPr="004A3F9B" w14:paraId="792D2691" w14:textId="3C3E6F5D" w:rsidTr="00596EEA">
        <w:trPr>
          <w:trHeight w:val="309"/>
        </w:trPr>
        <w:tc>
          <w:tcPr>
            <w:tcW w:w="454" w:type="dxa"/>
            <w:shd w:val="clear" w:color="auto" w:fill="D6E3C6"/>
            <w:noWrap/>
          </w:tcPr>
          <w:p w14:paraId="1A224375" w14:textId="7C726BC4"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67</w:t>
            </w:r>
          </w:p>
        </w:tc>
        <w:tc>
          <w:tcPr>
            <w:tcW w:w="1215" w:type="dxa"/>
            <w:shd w:val="clear" w:color="auto" w:fill="D6E3C6"/>
            <w:noWrap/>
          </w:tcPr>
          <w:p w14:paraId="2F829F1F" w14:textId="65ED5B6A"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C4.R2: Facilitating investments in energy efficiency renovations in residential buildings</w:t>
            </w:r>
          </w:p>
        </w:tc>
        <w:tc>
          <w:tcPr>
            <w:tcW w:w="956" w:type="dxa"/>
            <w:shd w:val="clear" w:color="auto" w:fill="D6E3C6"/>
            <w:noWrap/>
          </w:tcPr>
          <w:p w14:paraId="411F23E8" w14:textId="5DD8F1EF"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Milestone</w:t>
            </w:r>
          </w:p>
        </w:tc>
        <w:tc>
          <w:tcPr>
            <w:tcW w:w="1691" w:type="dxa"/>
            <w:shd w:val="clear" w:color="auto" w:fill="D6E3C6"/>
            <w:noWrap/>
          </w:tcPr>
          <w:p w14:paraId="62B1453C" w14:textId="66C64466"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Entry into force of the amendments to the Condominium Ownership Management Act</w:t>
            </w:r>
          </w:p>
        </w:tc>
        <w:tc>
          <w:tcPr>
            <w:tcW w:w="1322" w:type="dxa"/>
            <w:shd w:val="clear" w:color="auto" w:fill="D6E3C6"/>
            <w:noWrap/>
          </w:tcPr>
          <w:p w14:paraId="45B9F35A" w14:textId="5F3AF071"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Provision in the Condominium Ownership Management Act indicating the entry into force of the amendments</w:t>
            </w:r>
          </w:p>
        </w:tc>
        <w:tc>
          <w:tcPr>
            <w:tcW w:w="709" w:type="dxa"/>
            <w:shd w:val="clear" w:color="auto" w:fill="D6E3C6"/>
            <w:noWrap/>
          </w:tcPr>
          <w:p w14:paraId="09B99466"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2F7EB238"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2A87EBC8"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3B6D1E8A" w14:textId="732714C3"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Q3</w:t>
            </w:r>
          </w:p>
        </w:tc>
        <w:tc>
          <w:tcPr>
            <w:tcW w:w="520" w:type="dxa"/>
            <w:shd w:val="clear" w:color="auto" w:fill="D6E3C6"/>
            <w:noWrap/>
          </w:tcPr>
          <w:p w14:paraId="64396787" w14:textId="3D546464"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2022</w:t>
            </w:r>
          </w:p>
        </w:tc>
        <w:tc>
          <w:tcPr>
            <w:tcW w:w="872" w:type="dxa"/>
            <w:gridSpan w:val="2"/>
            <w:shd w:val="clear" w:color="auto" w:fill="D6E3C6"/>
          </w:tcPr>
          <w:p w14:paraId="09458641" w14:textId="2F35E2F4"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eastAsia="Times New Roman" w:hAnsi="Arial" w:cs="Arial"/>
                <w:color w:val="006100"/>
                <w:sz w:val="16"/>
                <w:szCs w:val="16"/>
                <w:lang w:eastAsia="en-GB"/>
              </w:rPr>
              <w:t>Ministry of Regional Development and Public Works</w:t>
            </w:r>
          </w:p>
        </w:tc>
        <w:tc>
          <w:tcPr>
            <w:tcW w:w="851" w:type="dxa"/>
            <w:gridSpan w:val="2"/>
            <w:shd w:val="clear" w:color="auto" w:fill="D6E3C6"/>
          </w:tcPr>
          <w:p w14:paraId="4B3C27C8" w14:textId="77777777" w:rsidR="00AD589E" w:rsidRPr="004A3F9B"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4529A05D" w14:textId="5DEDFA48" w:rsidR="00AD589E" w:rsidRPr="004A3F9B" w:rsidRDefault="00AD589E" w:rsidP="0073371A">
            <w:pPr>
              <w:pStyle w:val="ListParagraph"/>
              <w:numPr>
                <w:ilvl w:val="0"/>
                <w:numId w:val="14"/>
              </w:numPr>
              <w:spacing w:after="0"/>
              <w:ind w:left="395" w:hanging="395"/>
              <w:rPr>
                <w:rFonts w:ascii="Arial" w:hAnsi="Arial" w:cs="Arial"/>
                <w:color w:val="006100"/>
                <w:sz w:val="16"/>
                <w:szCs w:val="16"/>
              </w:rPr>
            </w:pPr>
            <w:r w:rsidRPr="004A3F9B">
              <w:rPr>
                <w:rFonts w:ascii="Arial" w:hAnsi="Arial" w:cs="Arial"/>
                <w:color w:val="006100"/>
                <w:sz w:val="16"/>
                <w:szCs w:val="16"/>
                <w:lang w:val="en-US" w:eastAsia="en-GB"/>
              </w:rPr>
              <w:t xml:space="preserve">Copy of the publication and/or a link to the website of the </w:t>
            </w:r>
            <w:r w:rsidRPr="004A3F9B">
              <w:rPr>
                <w:rFonts w:ascii="Arial" w:hAnsi="Arial" w:cs="Arial"/>
                <w:color w:val="006100"/>
                <w:sz w:val="16"/>
                <w:szCs w:val="16"/>
                <w:lang w:eastAsia="en-GB"/>
              </w:rPr>
              <w:t xml:space="preserve">State Gazette where the amendments to the </w:t>
            </w:r>
            <w:r w:rsidRPr="004A3F9B">
              <w:rPr>
                <w:rFonts w:ascii="Arial" w:hAnsi="Arial" w:cs="Arial"/>
                <w:color w:val="006100"/>
                <w:sz w:val="16"/>
                <w:szCs w:val="16"/>
              </w:rPr>
              <w:t xml:space="preserve">Condominium Ownership Management Act </w:t>
            </w:r>
            <w:r w:rsidRPr="004A3F9B">
              <w:rPr>
                <w:rFonts w:ascii="Arial" w:hAnsi="Arial" w:cs="Arial"/>
                <w:color w:val="006100"/>
                <w:sz w:val="16"/>
                <w:szCs w:val="16"/>
              </w:rPr>
              <w:lastRenderedPageBreak/>
              <w:t xml:space="preserve">have been published </w:t>
            </w:r>
          </w:p>
          <w:p w14:paraId="3E546E93" w14:textId="6AB8FE71" w:rsidR="00AD589E" w:rsidRPr="004A3F9B" w:rsidRDefault="00AD589E" w:rsidP="0073371A">
            <w:pPr>
              <w:pStyle w:val="ListParagraph"/>
              <w:numPr>
                <w:ilvl w:val="0"/>
                <w:numId w:val="14"/>
              </w:numPr>
              <w:spacing w:after="0"/>
              <w:ind w:left="395" w:hanging="395"/>
              <w:rPr>
                <w:rFonts w:ascii="Arial" w:hAnsi="Arial" w:cs="Arial"/>
                <w:color w:val="006100"/>
                <w:sz w:val="16"/>
                <w:szCs w:val="16"/>
              </w:rPr>
            </w:pPr>
            <w:r w:rsidRPr="004A3F9B">
              <w:rPr>
                <w:rFonts w:ascii="Arial" w:hAnsi="Arial" w:cs="Arial"/>
                <w:color w:val="006100"/>
                <w:sz w:val="16"/>
                <w:szCs w:val="16"/>
                <w:lang w:eastAsia="en-GB"/>
              </w:rPr>
              <w:t>A reference to the relevant provisions in the amended act indicating the entry into force of the provisions which fulfil the relevant elements of the milestone, as listed in the description of the milestone and of the corresponding measure in the CID annex</w:t>
            </w:r>
          </w:p>
        </w:tc>
        <w:tc>
          <w:tcPr>
            <w:tcW w:w="3402" w:type="dxa"/>
            <w:shd w:val="clear" w:color="auto" w:fill="D6E3C6"/>
          </w:tcPr>
          <w:p w14:paraId="7F610B33" w14:textId="56A62F6A" w:rsidR="00AD589E" w:rsidRPr="004A3F9B" w:rsidRDefault="00AD589E" w:rsidP="00192E0F">
            <w:pPr>
              <w:spacing w:after="0"/>
              <w:rPr>
                <w:rFonts w:ascii="Arial" w:hAnsi="Arial" w:cs="Arial"/>
                <w:color w:val="006100"/>
                <w:sz w:val="16"/>
                <w:szCs w:val="16"/>
              </w:rPr>
            </w:pPr>
            <w:r w:rsidRPr="004A3F9B">
              <w:rPr>
                <w:rFonts w:ascii="Arial" w:hAnsi="Arial" w:cs="Arial"/>
                <w:color w:val="006100"/>
                <w:sz w:val="16"/>
                <w:szCs w:val="16"/>
              </w:rPr>
              <w:lastRenderedPageBreak/>
              <w:t>Institution/s: Ministry of Regional Development and Public Works</w:t>
            </w:r>
          </w:p>
          <w:p w14:paraId="48F7B02B" w14:textId="77777777" w:rsidR="00AD589E" w:rsidRPr="004A3F9B" w:rsidRDefault="00AD589E" w:rsidP="00192E0F">
            <w:pPr>
              <w:spacing w:after="0"/>
              <w:rPr>
                <w:rFonts w:ascii="Arial" w:hAnsi="Arial" w:cs="Arial"/>
                <w:color w:val="006100"/>
                <w:sz w:val="16"/>
                <w:szCs w:val="16"/>
              </w:rPr>
            </w:pPr>
          </w:p>
          <w:p w14:paraId="612E5023" w14:textId="53DC1486" w:rsidR="00AD589E" w:rsidRPr="004A3F9B" w:rsidRDefault="00AD589E" w:rsidP="00192E0F">
            <w:pPr>
              <w:spacing w:after="0"/>
              <w:rPr>
                <w:rFonts w:ascii="Arial" w:hAnsi="Arial" w:cs="Arial"/>
                <w:color w:val="006100"/>
                <w:sz w:val="16"/>
                <w:szCs w:val="16"/>
              </w:rPr>
            </w:pPr>
            <w:r w:rsidRPr="004A3F9B">
              <w:rPr>
                <w:rFonts w:ascii="Arial" w:hAnsi="Arial" w:cs="Arial"/>
                <w:color w:val="006100"/>
                <w:sz w:val="16"/>
                <w:szCs w:val="16"/>
              </w:rPr>
              <w:t>What: Entry into force of the amendments to the Condominium Ownership Management Act</w:t>
            </w:r>
          </w:p>
          <w:p w14:paraId="48C54BD8" w14:textId="77777777" w:rsidR="00AD589E" w:rsidRPr="004A3F9B" w:rsidRDefault="00AD589E" w:rsidP="00192E0F">
            <w:pPr>
              <w:spacing w:after="0"/>
              <w:rPr>
                <w:rFonts w:ascii="Arial" w:hAnsi="Arial" w:cs="Arial"/>
                <w:color w:val="006100"/>
                <w:sz w:val="16"/>
                <w:szCs w:val="16"/>
              </w:rPr>
            </w:pPr>
          </w:p>
          <w:p w14:paraId="53FB8458" w14:textId="4FE43F0E" w:rsidR="00AD589E" w:rsidRPr="004A3F9B" w:rsidRDefault="00AD589E" w:rsidP="00192E0F">
            <w:pPr>
              <w:spacing w:after="0"/>
              <w:rPr>
                <w:rFonts w:ascii="Arial" w:hAnsi="Arial" w:cs="Arial"/>
                <w:color w:val="006100"/>
                <w:sz w:val="16"/>
                <w:szCs w:val="16"/>
              </w:rPr>
            </w:pPr>
            <w:r w:rsidRPr="004A3F9B">
              <w:rPr>
                <w:rFonts w:ascii="Arial" w:hAnsi="Arial" w:cs="Arial"/>
                <w:color w:val="006100"/>
                <w:sz w:val="16"/>
                <w:szCs w:val="16"/>
              </w:rPr>
              <w:t xml:space="preserve">How: </w:t>
            </w:r>
            <w:r w:rsidR="00ED32BF" w:rsidRPr="004A3F9B">
              <w:rPr>
                <w:rFonts w:ascii="Arial" w:hAnsi="Arial" w:cs="Arial"/>
                <w:color w:val="006100"/>
                <w:sz w:val="16"/>
                <w:szCs w:val="16"/>
              </w:rPr>
              <w:t>entry into force (evidence</w:t>
            </w:r>
            <w:r w:rsidR="0045057E" w:rsidRPr="004A3F9B">
              <w:rPr>
                <w:rFonts w:ascii="Arial" w:hAnsi="Arial" w:cs="Arial"/>
                <w:color w:val="006100"/>
                <w:sz w:val="16"/>
                <w:szCs w:val="16"/>
              </w:rPr>
              <w:t>d</w:t>
            </w:r>
            <w:r w:rsidR="00ED32BF" w:rsidRPr="004A3F9B">
              <w:rPr>
                <w:rFonts w:ascii="Arial" w:hAnsi="Arial" w:cs="Arial"/>
                <w:color w:val="006100"/>
                <w:sz w:val="16"/>
                <w:szCs w:val="16"/>
              </w:rPr>
              <w:t xml:space="preserve"> by a), reporting (b)</w:t>
            </w:r>
          </w:p>
          <w:p w14:paraId="73110CDE" w14:textId="77777777" w:rsidR="00AD589E" w:rsidRPr="004A3F9B" w:rsidRDefault="00AD589E" w:rsidP="00192E0F">
            <w:pPr>
              <w:spacing w:after="0"/>
              <w:rPr>
                <w:rFonts w:ascii="Arial" w:hAnsi="Arial" w:cs="Arial"/>
                <w:color w:val="006100"/>
                <w:sz w:val="16"/>
                <w:szCs w:val="16"/>
              </w:rPr>
            </w:pPr>
          </w:p>
          <w:p w14:paraId="625C7196" w14:textId="77777777" w:rsidR="00AD589E" w:rsidRPr="004A3F9B" w:rsidRDefault="00AD589E" w:rsidP="00035787">
            <w:pPr>
              <w:spacing w:after="0"/>
              <w:rPr>
                <w:rFonts w:ascii="Arial" w:hAnsi="Arial" w:cs="Arial"/>
                <w:color w:val="006100"/>
                <w:sz w:val="16"/>
                <w:szCs w:val="16"/>
              </w:rPr>
            </w:pPr>
            <w:r w:rsidRPr="004A3F9B">
              <w:rPr>
                <w:rFonts w:ascii="Arial" w:hAnsi="Arial" w:cs="Arial"/>
                <w:color w:val="006100"/>
                <w:sz w:val="16"/>
                <w:szCs w:val="16"/>
              </w:rPr>
              <w:lastRenderedPageBreak/>
              <w:t>Why: The amendments of Condominium Ownership Management Act shall:  - facilitate decision-making by owners of individual sites in multi-apartment buildings by reducing the threshold required to support renovation of buildings;</w:t>
            </w:r>
          </w:p>
          <w:p w14:paraId="0F7E6561" w14:textId="77777777" w:rsidR="00AD589E" w:rsidRPr="004A3F9B" w:rsidRDefault="00AD589E" w:rsidP="00035787">
            <w:pPr>
              <w:spacing w:after="0"/>
              <w:rPr>
                <w:rFonts w:ascii="Arial" w:hAnsi="Arial" w:cs="Arial"/>
                <w:color w:val="006100"/>
                <w:sz w:val="16"/>
                <w:szCs w:val="16"/>
              </w:rPr>
            </w:pPr>
            <w:r w:rsidRPr="004A3F9B">
              <w:rPr>
                <w:rFonts w:ascii="Arial" w:hAnsi="Arial" w:cs="Arial"/>
                <w:color w:val="006100"/>
                <w:sz w:val="16"/>
                <w:szCs w:val="16"/>
              </w:rPr>
              <w:t>- regulate the professional management by creating the conditions for improving its quality;</w:t>
            </w:r>
          </w:p>
          <w:p w14:paraId="702785E0" w14:textId="72C105CB" w:rsidR="00AD589E" w:rsidRPr="004A3F9B" w:rsidRDefault="00AD589E" w:rsidP="00035787">
            <w:pPr>
              <w:spacing w:after="0"/>
              <w:rPr>
                <w:rFonts w:ascii="Arial" w:hAnsi="Arial" w:cs="Arial"/>
                <w:color w:val="006100"/>
                <w:sz w:val="16"/>
                <w:szCs w:val="16"/>
              </w:rPr>
            </w:pPr>
            <w:r w:rsidRPr="004A3F9B">
              <w:rPr>
                <w:rFonts w:ascii="Arial" w:hAnsi="Arial" w:cs="Arial"/>
                <w:color w:val="006100"/>
                <w:sz w:val="16"/>
                <w:szCs w:val="16"/>
              </w:rPr>
              <w:t>- facilitate the application for collective credits by the condominium through the setting up of a joint bank account in the name of the condominium. [provide references to the above in the summary document]</w:t>
            </w:r>
          </w:p>
          <w:p w14:paraId="3747CB80" w14:textId="77777777" w:rsidR="00AD589E" w:rsidRPr="004A3F9B" w:rsidRDefault="00AD589E" w:rsidP="00192E0F">
            <w:pPr>
              <w:spacing w:after="0"/>
              <w:rPr>
                <w:rFonts w:ascii="Arial" w:hAnsi="Arial" w:cs="Arial"/>
                <w:color w:val="006100"/>
                <w:sz w:val="16"/>
                <w:szCs w:val="16"/>
              </w:rPr>
            </w:pPr>
          </w:p>
          <w:p w14:paraId="4F82D935" w14:textId="52DC1399" w:rsidR="00AD589E" w:rsidRPr="004A3F9B" w:rsidRDefault="00AD589E" w:rsidP="00192E0F">
            <w:pPr>
              <w:spacing w:after="0"/>
              <w:rPr>
                <w:rFonts w:ascii="Arial" w:hAnsi="Arial" w:cs="Arial"/>
                <w:color w:val="006100"/>
                <w:sz w:val="16"/>
                <w:szCs w:val="16"/>
              </w:rPr>
            </w:pPr>
            <w:r w:rsidRPr="004A3F9B">
              <w:rPr>
                <w:rFonts w:ascii="Arial" w:hAnsi="Arial" w:cs="Arial"/>
                <w:color w:val="006100"/>
                <w:sz w:val="16"/>
                <w:szCs w:val="16"/>
              </w:rPr>
              <w:t xml:space="preserve">When: specify the dates of </w:t>
            </w:r>
            <w:r w:rsidR="005D7F4C" w:rsidRPr="004A3F9B">
              <w:rPr>
                <w:rFonts w:ascii="Arial" w:hAnsi="Arial" w:cs="Arial"/>
                <w:color w:val="006100"/>
                <w:sz w:val="16"/>
                <w:szCs w:val="16"/>
              </w:rPr>
              <w:t xml:space="preserve">development and </w:t>
            </w:r>
            <w:r w:rsidRPr="004A3F9B">
              <w:rPr>
                <w:rFonts w:ascii="Arial" w:hAnsi="Arial" w:cs="Arial"/>
                <w:color w:val="006100"/>
                <w:sz w:val="16"/>
                <w:szCs w:val="16"/>
              </w:rPr>
              <w:t>entry into force</w:t>
            </w:r>
          </w:p>
        </w:tc>
        <w:tc>
          <w:tcPr>
            <w:tcW w:w="2268" w:type="dxa"/>
            <w:shd w:val="clear" w:color="auto" w:fill="D6E3C6"/>
          </w:tcPr>
          <w:p w14:paraId="4154A54E" w14:textId="77777777" w:rsidR="00AD589E" w:rsidRPr="004A3F9B" w:rsidRDefault="00AD589E" w:rsidP="00DE09EC">
            <w:pPr>
              <w:spacing w:after="0"/>
              <w:rPr>
                <w:rFonts w:ascii="Arial" w:hAnsi="Arial" w:cs="Arial"/>
                <w:color w:val="006100"/>
                <w:sz w:val="16"/>
                <w:szCs w:val="16"/>
              </w:rPr>
            </w:pPr>
            <w:r w:rsidRPr="004A3F9B">
              <w:rPr>
                <w:rFonts w:ascii="Arial" w:hAnsi="Arial" w:cs="Arial"/>
                <w:color w:val="006100"/>
                <w:sz w:val="16"/>
                <w:szCs w:val="16"/>
              </w:rPr>
              <w:lastRenderedPageBreak/>
              <w:t>The objective of the reform is to tackle barriers to energy efficiency investments by amending the Condominium Ownership Management Act to facilitate the decision-making by owners of multi-apartment buildings; to regulate the professional management of condominium property in multi-</w:t>
            </w:r>
            <w:r w:rsidRPr="004A3F9B">
              <w:rPr>
                <w:rFonts w:ascii="Arial" w:hAnsi="Arial" w:cs="Arial"/>
                <w:color w:val="006100"/>
                <w:sz w:val="16"/>
                <w:szCs w:val="16"/>
              </w:rPr>
              <w:lastRenderedPageBreak/>
              <w:t xml:space="preserve">apartment buildings; and to facilitate the application for collective loans to different financial institutions.  </w:t>
            </w:r>
          </w:p>
          <w:p w14:paraId="6756854A" w14:textId="77777777" w:rsidR="00AD589E" w:rsidRPr="004A3F9B" w:rsidRDefault="00AD589E" w:rsidP="00DE09EC">
            <w:pPr>
              <w:spacing w:after="0"/>
              <w:rPr>
                <w:rFonts w:ascii="Arial" w:hAnsi="Arial" w:cs="Arial"/>
                <w:color w:val="006100"/>
                <w:sz w:val="16"/>
                <w:szCs w:val="16"/>
              </w:rPr>
            </w:pPr>
          </w:p>
          <w:p w14:paraId="7B328003" w14:textId="7D444D8F" w:rsidR="00AD589E" w:rsidRPr="004A3F9B" w:rsidRDefault="00AD589E" w:rsidP="00DE09EC">
            <w:pPr>
              <w:spacing w:after="0"/>
              <w:rPr>
                <w:rFonts w:ascii="Arial" w:hAnsi="Arial" w:cs="Arial"/>
                <w:color w:val="006100"/>
                <w:sz w:val="16"/>
                <w:szCs w:val="16"/>
              </w:rPr>
            </w:pPr>
            <w:r w:rsidRPr="004A3F9B">
              <w:rPr>
                <w:rFonts w:ascii="Arial" w:hAnsi="Arial" w:cs="Arial"/>
                <w:color w:val="006100"/>
                <w:sz w:val="16"/>
                <w:szCs w:val="16"/>
              </w:rPr>
              <w:t>The amendments shall be coordinated with related changes to other pieces of primary and secondary legislation. The implementation of the measure is expected to contribute to the efficiency of energy efficiency investments in building renovation.</w:t>
            </w:r>
          </w:p>
        </w:tc>
        <w:tc>
          <w:tcPr>
            <w:tcW w:w="1036" w:type="dxa"/>
            <w:gridSpan w:val="2"/>
            <w:shd w:val="clear" w:color="auto" w:fill="D6E3C6"/>
          </w:tcPr>
          <w:p w14:paraId="3D71F3D1" w14:textId="69755D69"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lastRenderedPageBreak/>
              <w:t>-</w:t>
            </w:r>
          </w:p>
        </w:tc>
        <w:tc>
          <w:tcPr>
            <w:tcW w:w="1090" w:type="dxa"/>
            <w:gridSpan w:val="2"/>
            <w:shd w:val="clear" w:color="auto" w:fill="D6E3C6"/>
          </w:tcPr>
          <w:p w14:paraId="3652BBDC" w14:textId="4DDC5A84"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None</w:t>
            </w:r>
          </w:p>
        </w:tc>
        <w:tc>
          <w:tcPr>
            <w:tcW w:w="992" w:type="dxa"/>
            <w:gridSpan w:val="2"/>
            <w:shd w:val="clear" w:color="auto" w:fill="D6E3C6"/>
          </w:tcPr>
          <w:p w14:paraId="114AE938" w14:textId="198947E2"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w:t>
            </w:r>
          </w:p>
        </w:tc>
        <w:tc>
          <w:tcPr>
            <w:tcW w:w="1418" w:type="dxa"/>
            <w:gridSpan w:val="2"/>
            <w:shd w:val="clear" w:color="auto" w:fill="D6E3C6"/>
          </w:tcPr>
          <w:p w14:paraId="42432398" w14:textId="685B20FA" w:rsidR="00AD589E" w:rsidRPr="004A3F9B" w:rsidRDefault="0045057E" w:rsidP="0063508F">
            <w:pPr>
              <w:spacing w:after="0"/>
              <w:rPr>
                <w:rFonts w:ascii="Arial" w:hAnsi="Arial" w:cs="Arial"/>
                <w:color w:val="006100"/>
                <w:sz w:val="16"/>
                <w:szCs w:val="16"/>
              </w:rPr>
            </w:pPr>
            <w:r w:rsidRPr="004A3F9B">
              <w:rPr>
                <w:rFonts w:ascii="Arial" w:hAnsi="Arial" w:cs="Arial"/>
                <w:color w:val="006100"/>
                <w:sz w:val="16"/>
                <w:szCs w:val="16"/>
              </w:rPr>
              <w:t>-</w:t>
            </w:r>
          </w:p>
        </w:tc>
      </w:tr>
      <w:tr w:rsidR="004A3F9B" w:rsidRPr="004A3F9B" w14:paraId="6D2117FA" w14:textId="5A72ED95" w:rsidTr="00596EEA">
        <w:trPr>
          <w:trHeight w:val="309"/>
        </w:trPr>
        <w:tc>
          <w:tcPr>
            <w:tcW w:w="454" w:type="dxa"/>
            <w:shd w:val="clear" w:color="auto" w:fill="D6E3C6"/>
            <w:noWrap/>
          </w:tcPr>
          <w:p w14:paraId="479D4656" w14:textId="28E3BC16"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68</w:t>
            </w:r>
          </w:p>
        </w:tc>
        <w:tc>
          <w:tcPr>
            <w:tcW w:w="1215" w:type="dxa"/>
            <w:shd w:val="clear" w:color="auto" w:fill="D6E3C6"/>
            <w:noWrap/>
          </w:tcPr>
          <w:p w14:paraId="77A03079" w14:textId="3E0F05E3"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C4.I1: Support for the renovation of the building stock</w:t>
            </w:r>
          </w:p>
        </w:tc>
        <w:tc>
          <w:tcPr>
            <w:tcW w:w="956" w:type="dxa"/>
            <w:shd w:val="clear" w:color="auto" w:fill="D6E3C6"/>
            <w:noWrap/>
          </w:tcPr>
          <w:p w14:paraId="57708CFD" w14:textId="6161A9AF"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Milestone</w:t>
            </w:r>
          </w:p>
        </w:tc>
        <w:tc>
          <w:tcPr>
            <w:tcW w:w="1691" w:type="dxa"/>
            <w:shd w:val="clear" w:color="auto" w:fill="D6E3C6"/>
            <w:noWrap/>
          </w:tcPr>
          <w:p w14:paraId="13DDA9A5" w14:textId="7AB77EB4"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Establishing a national support scheme for energy efficiency renovation for residential and non-residential buildings</w:t>
            </w:r>
          </w:p>
        </w:tc>
        <w:tc>
          <w:tcPr>
            <w:tcW w:w="1322" w:type="dxa"/>
            <w:shd w:val="clear" w:color="auto" w:fill="D6E3C6"/>
            <w:noWrap/>
          </w:tcPr>
          <w:p w14:paraId="39C1C95A" w14:textId="6C84C150"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Publication of the Ministerial order establishing the scheme</w:t>
            </w:r>
          </w:p>
        </w:tc>
        <w:tc>
          <w:tcPr>
            <w:tcW w:w="709" w:type="dxa"/>
            <w:shd w:val="clear" w:color="auto" w:fill="D6E3C6"/>
            <w:noWrap/>
          </w:tcPr>
          <w:p w14:paraId="5A565431"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3CE8B51E"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46790728"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2C145968" w14:textId="3BF91911"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Q3</w:t>
            </w:r>
          </w:p>
        </w:tc>
        <w:tc>
          <w:tcPr>
            <w:tcW w:w="520" w:type="dxa"/>
            <w:shd w:val="clear" w:color="auto" w:fill="D6E3C6"/>
            <w:noWrap/>
          </w:tcPr>
          <w:p w14:paraId="23B6B663" w14:textId="5E437685"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2022</w:t>
            </w:r>
          </w:p>
        </w:tc>
        <w:tc>
          <w:tcPr>
            <w:tcW w:w="872" w:type="dxa"/>
            <w:gridSpan w:val="2"/>
            <w:shd w:val="clear" w:color="auto" w:fill="D6E3C6"/>
          </w:tcPr>
          <w:p w14:paraId="337FB202" w14:textId="673EB7AC"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eastAsia="Times New Roman" w:hAnsi="Arial" w:cs="Arial"/>
                <w:color w:val="006100"/>
                <w:sz w:val="16"/>
                <w:szCs w:val="16"/>
                <w:lang w:eastAsia="en-GB"/>
              </w:rPr>
              <w:t>Ministry of Regional Development and Public Works</w:t>
            </w:r>
          </w:p>
        </w:tc>
        <w:tc>
          <w:tcPr>
            <w:tcW w:w="851" w:type="dxa"/>
            <w:gridSpan w:val="2"/>
            <w:shd w:val="clear" w:color="auto" w:fill="D6E3C6"/>
          </w:tcPr>
          <w:p w14:paraId="44DCB97D" w14:textId="77777777" w:rsidR="00AD589E" w:rsidRPr="004A3F9B"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5E5F4A0B" w14:textId="1888BC97" w:rsidR="00AD589E" w:rsidRPr="004A3F9B" w:rsidRDefault="00AD589E" w:rsidP="000170E7">
            <w:pPr>
              <w:pStyle w:val="ListParagraph"/>
              <w:numPr>
                <w:ilvl w:val="0"/>
                <w:numId w:val="15"/>
              </w:numPr>
              <w:spacing w:after="0"/>
              <w:ind w:left="395"/>
              <w:rPr>
                <w:rFonts w:ascii="Arial" w:hAnsi="Arial" w:cs="Arial"/>
                <w:color w:val="006100"/>
                <w:sz w:val="16"/>
                <w:szCs w:val="16"/>
              </w:rPr>
            </w:pPr>
            <w:r w:rsidRPr="004A3F9B">
              <w:rPr>
                <w:rFonts w:ascii="Arial" w:hAnsi="Arial" w:cs="Arial"/>
                <w:color w:val="006100"/>
                <w:sz w:val="16"/>
                <w:szCs w:val="16"/>
                <w:lang w:eastAsia="en-GB"/>
              </w:rPr>
              <w:t>Copy of the publication and/or a link to the relevant public website with the publication of the Ministerial order establishing the scheme Reference to the relevant provisions in the Ministerial order and/or the published supporting documents stipulating the relevant elements of the milestone, as listed in the description of the milestone and of the corresponding measure in the CID annex, including compliance with the ‘Do no significant harm’ Technical Guidance (2021/C58/01), as specified in the CID annex</w:t>
            </w:r>
          </w:p>
        </w:tc>
        <w:tc>
          <w:tcPr>
            <w:tcW w:w="3402" w:type="dxa"/>
            <w:shd w:val="clear" w:color="auto" w:fill="D6E3C6"/>
          </w:tcPr>
          <w:p w14:paraId="1DE8749A" w14:textId="77777777" w:rsidR="00AD589E" w:rsidRPr="004A3F9B" w:rsidRDefault="00AD589E" w:rsidP="00D26888">
            <w:pPr>
              <w:spacing w:after="0"/>
              <w:rPr>
                <w:rFonts w:ascii="Arial" w:hAnsi="Arial" w:cs="Arial"/>
                <w:color w:val="006100"/>
                <w:sz w:val="16"/>
                <w:szCs w:val="16"/>
              </w:rPr>
            </w:pPr>
            <w:r w:rsidRPr="004A3F9B">
              <w:rPr>
                <w:rFonts w:ascii="Arial" w:hAnsi="Arial" w:cs="Arial"/>
                <w:color w:val="006100"/>
                <w:sz w:val="16"/>
                <w:szCs w:val="16"/>
              </w:rPr>
              <w:t>Institution/s: Ministry of Regional Development and Public Works</w:t>
            </w:r>
          </w:p>
          <w:p w14:paraId="79CDF2C3" w14:textId="77777777" w:rsidR="00AD589E" w:rsidRPr="004A3F9B" w:rsidRDefault="00AD589E" w:rsidP="00D26888">
            <w:pPr>
              <w:spacing w:after="0"/>
              <w:rPr>
                <w:rFonts w:ascii="Arial" w:hAnsi="Arial" w:cs="Arial"/>
                <w:color w:val="006100"/>
                <w:sz w:val="16"/>
                <w:szCs w:val="16"/>
              </w:rPr>
            </w:pPr>
          </w:p>
          <w:p w14:paraId="6CE7133B" w14:textId="6CA9121D" w:rsidR="00AD589E" w:rsidRPr="004A3F9B" w:rsidRDefault="00AD589E" w:rsidP="00D26888">
            <w:pPr>
              <w:spacing w:after="0"/>
              <w:rPr>
                <w:rFonts w:ascii="Arial" w:hAnsi="Arial" w:cs="Arial"/>
                <w:color w:val="006100"/>
                <w:sz w:val="16"/>
                <w:szCs w:val="16"/>
              </w:rPr>
            </w:pPr>
            <w:r w:rsidRPr="004A3F9B">
              <w:rPr>
                <w:rFonts w:ascii="Arial" w:hAnsi="Arial" w:cs="Arial"/>
                <w:color w:val="006100"/>
                <w:sz w:val="16"/>
                <w:szCs w:val="16"/>
              </w:rPr>
              <w:t>What: Establishing a national support scheme for energy efficiency renovation for residential and non-residential buildings</w:t>
            </w:r>
          </w:p>
          <w:p w14:paraId="77D9A9F4" w14:textId="77777777" w:rsidR="00AD589E" w:rsidRPr="004A3F9B" w:rsidRDefault="00AD589E" w:rsidP="00D26888">
            <w:pPr>
              <w:spacing w:after="0"/>
              <w:rPr>
                <w:rFonts w:ascii="Arial" w:hAnsi="Arial" w:cs="Arial"/>
                <w:color w:val="006100"/>
                <w:sz w:val="16"/>
                <w:szCs w:val="16"/>
              </w:rPr>
            </w:pPr>
          </w:p>
          <w:p w14:paraId="7459E8A7" w14:textId="043066CB" w:rsidR="00AD589E" w:rsidRPr="004A3F9B" w:rsidRDefault="00AD589E" w:rsidP="00D26888">
            <w:pPr>
              <w:spacing w:after="0"/>
              <w:rPr>
                <w:rFonts w:ascii="Arial" w:hAnsi="Arial" w:cs="Arial"/>
                <w:color w:val="006100"/>
                <w:sz w:val="16"/>
                <w:szCs w:val="16"/>
              </w:rPr>
            </w:pPr>
            <w:r w:rsidRPr="004A3F9B">
              <w:rPr>
                <w:rFonts w:ascii="Arial" w:hAnsi="Arial" w:cs="Arial"/>
                <w:color w:val="006100"/>
                <w:sz w:val="16"/>
                <w:szCs w:val="16"/>
              </w:rPr>
              <w:t xml:space="preserve">How: </w:t>
            </w:r>
            <w:r w:rsidR="000170E7" w:rsidRPr="004A3F9B">
              <w:rPr>
                <w:rFonts w:ascii="Arial" w:hAnsi="Arial" w:cs="Arial"/>
                <w:color w:val="006100"/>
                <w:sz w:val="16"/>
                <w:szCs w:val="16"/>
              </w:rPr>
              <w:t>entry into force (evidence</w:t>
            </w:r>
            <w:r w:rsidR="0045057E" w:rsidRPr="004A3F9B">
              <w:rPr>
                <w:rFonts w:ascii="Arial" w:hAnsi="Arial" w:cs="Arial"/>
                <w:color w:val="006100"/>
                <w:sz w:val="16"/>
                <w:szCs w:val="16"/>
              </w:rPr>
              <w:t>d</w:t>
            </w:r>
            <w:r w:rsidR="000170E7" w:rsidRPr="004A3F9B">
              <w:rPr>
                <w:rFonts w:ascii="Arial" w:hAnsi="Arial" w:cs="Arial"/>
                <w:color w:val="006100"/>
                <w:sz w:val="16"/>
                <w:szCs w:val="16"/>
              </w:rPr>
              <w:t xml:space="preserve"> by a), reporting (b)</w:t>
            </w:r>
          </w:p>
          <w:p w14:paraId="383F47FA" w14:textId="77777777" w:rsidR="00AD589E" w:rsidRPr="004A3F9B" w:rsidRDefault="00AD589E" w:rsidP="00D26888">
            <w:pPr>
              <w:spacing w:after="0"/>
              <w:rPr>
                <w:rFonts w:ascii="Arial" w:hAnsi="Arial" w:cs="Arial"/>
                <w:color w:val="006100"/>
                <w:sz w:val="16"/>
                <w:szCs w:val="16"/>
              </w:rPr>
            </w:pPr>
          </w:p>
          <w:p w14:paraId="0B42A15A" w14:textId="77777777" w:rsidR="00AD589E" w:rsidRPr="004A3F9B" w:rsidRDefault="00AD589E" w:rsidP="00D26888">
            <w:pPr>
              <w:spacing w:after="0"/>
              <w:rPr>
                <w:rFonts w:ascii="Arial" w:hAnsi="Arial" w:cs="Arial"/>
                <w:color w:val="006100"/>
                <w:sz w:val="16"/>
                <w:szCs w:val="16"/>
              </w:rPr>
            </w:pPr>
            <w:r w:rsidRPr="004A3F9B">
              <w:rPr>
                <w:rFonts w:ascii="Arial" w:hAnsi="Arial" w:cs="Arial"/>
                <w:color w:val="006100"/>
                <w:sz w:val="16"/>
                <w:szCs w:val="16"/>
              </w:rPr>
              <w:t xml:space="preserve">Why: The scheme shall include three sub-measures: sub-measure 1: Energy renovation of at least 3.6 million m² total gross floor area of residential buildings; sub-measure 2 and 3: </w:t>
            </w:r>
          </w:p>
          <w:p w14:paraId="1634C29A" w14:textId="77777777" w:rsidR="00AD589E" w:rsidRPr="004A3F9B" w:rsidRDefault="00AD589E" w:rsidP="00D26888">
            <w:pPr>
              <w:spacing w:after="0"/>
              <w:rPr>
                <w:rFonts w:ascii="Arial" w:hAnsi="Arial" w:cs="Arial"/>
                <w:color w:val="006100"/>
                <w:sz w:val="16"/>
                <w:szCs w:val="16"/>
              </w:rPr>
            </w:pPr>
            <w:r w:rsidRPr="004A3F9B">
              <w:rPr>
                <w:rFonts w:ascii="Arial" w:hAnsi="Arial" w:cs="Arial"/>
                <w:color w:val="006100"/>
                <w:sz w:val="16"/>
                <w:szCs w:val="16"/>
              </w:rPr>
              <w:t xml:space="preserve">- Energy renovation of at least 1.4 million m² non-residential public buildings; </w:t>
            </w:r>
          </w:p>
          <w:p w14:paraId="011A5DAC" w14:textId="77777777" w:rsidR="00AD589E" w:rsidRPr="004A3F9B" w:rsidRDefault="00AD589E" w:rsidP="00D26888">
            <w:pPr>
              <w:spacing w:after="0"/>
              <w:rPr>
                <w:rFonts w:ascii="Arial" w:hAnsi="Arial" w:cs="Arial"/>
                <w:color w:val="006100"/>
                <w:sz w:val="16"/>
                <w:szCs w:val="16"/>
              </w:rPr>
            </w:pPr>
            <w:r w:rsidRPr="004A3F9B">
              <w:rPr>
                <w:rFonts w:ascii="Arial" w:hAnsi="Arial" w:cs="Arial"/>
                <w:color w:val="006100"/>
                <w:sz w:val="16"/>
                <w:szCs w:val="16"/>
              </w:rPr>
              <w:t xml:space="preserve">- renovation of 866 non-residential buildings, incl. public buildings and buildings in manufacturing, trade and services, as well as the tourism sector. </w:t>
            </w:r>
          </w:p>
          <w:p w14:paraId="19AE9558" w14:textId="37D9C6F6" w:rsidR="00AD589E" w:rsidRPr="004A3F9B" w:rsidRDefault="00AD589E" w:rsidP="00D26888">
            <w:pPr>
              <w:spacing w:after="0"/>
              <w:rPr>
                <w:rFonts w:ascii="Arial" w:hAnsi="Arial" w:cs="Arial"/>
                <w:color w:val="006100"/>
                <w:sz w:val="16"/>
                <w:szCs w:val="16"/>
              </w:rPr>
            </w:pPr>
            <w:r w:rsidRPr="004A3F9B">
              <w:rPr>
                <w:rFonts w:ascii="Arial" w:hAnsi="Arial" w:cs="Arial"/>
                <w:color w:val="006100"/>
                <w:sz w:val="16"/>
                <w:szCs w:val="16"/>
              </w:rPr>
              <w:t>The scheme shall ensure a minimum of 30 % of primary energy demand savings compared to pre-renovation state and compliance with the “do no significant harm” Technical Guidance (2021/C58/01). [provide references to the above in the summary document]</w:t>
            </w:r>
          </w:p>
          <w:p w14:paraId="59A415C0" w14:textId="77777777" w:rsidR="00AD589E" w:rsidRPr="004A3F9B" w:rsidRDefault="00AD589E" w:rsidP="00D26888">
            <w:pPr>
              <w:spacing w:after="0"/>
              <w:rPr>
                <w:rFonts w:ascii="Arial" w:hAnsi="Arial" w:cs="Arial"/>
                <w:color w:val="006100"/>
                <w:sz w:val="16"/>
                <w:szCs w:val="16"/>
              </w:rPr>
            </w:pPr>
          </w:p>
          <w:p w14:paraId="71F0AEAA" w14:textId="2DE3E083" w:rsidR="00AD589E" w:rsidRPr="004A3F9B" w:rsidRDefault="00AD589E" w:rsidP="00D26888">
            <w:pPr>
              <w:spacing w:after="0"/>
              <w:rPr>
                <w:rFonts w:ascii="Arial" w:hAnsi="Arial" w:cs="Arial"/>
                <w:color w:val="006100"/>
                <w:sz w:val="16"/>
                <w:szCs w:val="16"/>
              </w:rPr>
            </w:pPr>
            <w:r w:rsidRPr="004A3F9B">
              <w:rPr>
                <w:rFonts w:ascii="Arial" w:hAnsi="Arial" w:cs="Arial"/>
                <w:color w:val="006100"/>
                <w:sz w:val="16"/>
                <w:szCs w:val="16"/>
              </w:rPr>
              <w:t>When: specify the dates of establishment and publication of the Ministerial order</w:t>
            </w:r>
          </w:p>
        </w:tc>
        <w:tc>
          <w:tcPr>
            <w:tcW w:w="2268" w:type="dxa"/>
            <w:shd w:val="clear" w:color="auto" w:fill="D6E3C6"/>
          </w:tcPr>
          <w:p w14:paraId="22602B95" w14:textId="77777777" w:rsidR="00AD589E" w:rsidRPr="004A3F9B" w:rsidRDefault="00AD589E" w:rsidP="0076311F">
            <w:pPr>
              <w:spacing w:after="0"/>
              <w:rPr>
                <w:rFonts w:ascii="Arial" w:hAnsi="Arial" w:cs="Arial"/>
                <w:color w:val="006100"/>
                <w:sz w:val="16"/>
                <w:szCs w:val="16"/>
              </w:rPr>
            </w:pPr>
            <w:r w:rsidRPr="004A3F9B">
              <w:rPr>
                <w:rFonts w:ascii="Arial" w:hAnsi="Arial" w:cs="Arial"/>
                <w:color w:val="006100"/>
                <w:sz w:val="16"/>
                <w:szCs w:val="16"/>
              </w:rPr>
              <w:t xml:space="preserve">The objective of the measure is to improve the energy efficiency of the building stock by reducing on average by at least 30% of primary energy consumption. </w:t>
            </w:r>
          </w:p>
          <w:p w14:paraId="5E74C09A" w14:textId="77777777" w:rsidR="00AD589E" w:rsidRPr="004A3F9B" w:rsidRDefault="00AD589E" w:rsidP="0076311F">
            <w:pPr>
              <w:spacing w:after="0"/>
              <w:rPr>
                <w:rFonts w:ascii="Arial" w:hAnsi="Arial" w:cs="Arial"/>
                <w:color w:val="006100"/>
                <w:sz w:val="16"/>
                <w:szCs w:val="16"/>
              </w:rPr>
            </w:pPr>
          </w:p>
          <w:p w14:paraId="400DCD1B" w14:textId="77777777" w:rsidR="00AD589E" w:rsidRPr="004A3F9B" w:rsidRDefault="00AD589E" w:rsidP="0076311F">
            <w:pPr>
              <w:spacing w:after="0"/>
              <w:rPr>
                <w:rFonts w:ascii="Arial" w:hAnsi="Arial" w:cs="Arial"/>
                <w:color w:val="006100"/>
                <w:sz w:val="16"/>
                <w:szCs w:val="16"/>
              </w:rPr>
            </w:pPr>
            <w:r w:rsidRPr="004A3F9B">
              <w:rPr>
                <w:rFonts w:ascii="Arial" w:hAnsi="Arial" w:cs="Arial"/>
                <w:color w:val="006100"/>
                <w:sz w:val="16"/>
                <w:szCs w:val="16"/>
              </w:rPr>
              <w:t xml:space="preserve">The measure consists of building renovation investments split into three sub-measures: i) energy efficiency renovation of residential buildings; ii) energy efficiency renovation of non-residential buildings, including public buildings and iii) energy efficiency renovation of non-residential buildings in manufacturing, trade and services, as well as buildings in the tourism sector. </w:t>
            </w:r>
          </w:p>
          <w:p w14:paraId="6C8253A1" w14:textId="77777777" w:rsidR="00AD589E" w:rsidRPr="004A3F9B" w:rsidRDefault="00AD589E" w:rsidP="0076311F">
            <w:pPr>
              <w:spacing w:after="0"/>
              <w:rPr>
                <w:rFonts w:ascii="Arial" w:hAnsi="Arial" w:cs="Arial"/>
                <w:color w:val="006100"/>
                <w:sz w:val="16"/>
                <w:szCs w:val="16"/>
              </w:rPr>
            </w:pPr>
          </w:p>
          <w:p w14:paraId="057839F1" w14:textId="5ECF4AFC" w:rsidR="00AD589E" w:rsidRPr="004A3F9B" w:rsidRDefault="00AD589E" w:rsidP="0076311F">
            <w:pPr>
              <w:spacing w:after="0"/>
              <w:rPr>
                <w:rFonts w:ascii="Arial" w:hAnsi="Arial" w:cs="Arial"/>
                <w:color w:val="006100"/>
                <w:sz w:val="16"/>
                <w:szCs w:val="16"/>
              </w:rPr>
            </w:pPr>
            <w:r w:rsidRPr="004A3F9B">
              <w:rPr>
                <w:rFonts w:ascii="Arial" w:hAnsi="Arial" w:cs="Arial"/>
                <w:color w:val="006100"/>
                <w:sz w:val="16"/>
                <w:szCs w:val="16"/>
              </w:rPr>
              <w:t>The sub-measures under this investment are expected to be implemented in complementarity with cohesion policy investments. The demarcation shall be made at project level and a monitoring mechanism shall be in place to avoid double-funding, notably with Programme Development of Regions 2021-2027 and Programme Environment 2021-2027.</w:t>
            </w:r>
          </w:p>
        </w:tc>
        <w:tc>
          <w:tcPr>
            <w:tcW w:w="1036" w:type="dxa"/>
            <w:gridSpan w:val="2"/>
            <w:shd w:val="clear" w:color="auto" w:fill="D6E3C6"/>
          </w:tcPr>
          <w:p w14:paraId="50F9CED9" w14:textId="79442756"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w:t>
            </w:r>
          </w:p>
        </w:tc>
        <w:tc>
          <w:tcPr>
            <w:tcW w:w="1090" w:type="dxa"/>
            <w:gridSpan w:val="2"/>
            <w:shd w:val="clear" w:color="auto" w:fill="D6E3C6"/>
          </w:tcPr>
          <w:p w14:paraId="146EDE9E" w14:textId="4F5D7FB9"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None</w:t>
            </w:r>
          </w:p>
        </w:tc>
        <w:tc>
          <w:tcPr>
            <w:tcW w:w="992" w:type="dxa"/>
            <w:gridSpan w:val="2"/>
            <w:shd w:val="clear" w:color="auto" w:fill="D6E3C6"/>
          </w:tcPr>
          <w:p w14:paraId="3E7C43CD" w14:textId="429758FB"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w:t>
            </w:r>
          </w:p>
        </w:tc>
        <w:tc>
          <w:tcPr>
            <w:tcW w:w="1418" w:type="dxa"/>
            <w:gridSpan w:val="2"/>
            <w:shd w:val="clear" w:color="auto" w:fill="D6E3C6"/>
          </w:tcPr>
          <w:p w14:paraId="06114AB8" w14:textId="0B0D0E2F" w:rsidR="00AD589E" w:rsidRPr="004A3F9B" w:rsidRDefault="0045057E" w:rsidP="0063508F">
            <w:pPr>
              <w:spacing w:after="0"/>
              <w:rPr>
                <w:rFonts w:ascii="Arial" w:hAnsi="Arial" w:cs="Arial"/>
                <w:color w:val="006100"/>
                <w:sz w:val="16"/>
                <w:szCs w:val="16"/>
              </w:rPr>
            </w:pPr>
            <w:r w:rsidRPr="004A3F9B">
              <w:rPr>
                <w:rFonts w:ascii="Arial" w:hAnsi="Arial" w:cs="Arial"/>
                <w:color w:val="006100"/>
                <w:sz w:val="16"/>
                <w:szCs w:val="16"/>
              </w:rPr>
              <w:t>-</w:t>
            </w:r>
          </w:p>
        </w:tc>
      </w:tr>
      <w:tr w:rsidR="004A3F9B" w:rsidRPr="004A3F9B" w14:paraId="20AD84B7" w14:textId="37450895" w:rsidTr="00596EEA">
        <w:trPr>
          <w:trHeight w:val="309"/>
        </w:trPr>
        <w:tc>
          <w:tcPr>
            <w:tcW w:w="454" w:type="dxa"/>
            <w:shd w:val="clear" w:color="auto" w:fill="D6E3C6"/>
            <w:noWrap/>
          </w:tcPr>
          <w:p w14:paraId="329F1D65" w14:textId="7752B0DE"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69</w:t>
            </w:r>
          </w:p>
        </w:tc>
        <w:tc>
          <w:tcPr>
            <w:tcW w:w="1215" w:type="dxa"/>
            <w:shd w:val="clear" w:color="auto" w:fill="D6E3C6"/>
            <w:noWrap/>
          </w:tcPr>
          <w:p w14:paraId="1D3788D4" w14:textId="3402F683"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 xml:space="preserve">C4.I1: Support for the renovation of the building stock Sub-measure 1: Renovation of </w:t>
            </w:r>
            <w:r w:rsidRPr="004A3F9B">
              <w:rPr>
                <w:rFonts w:ascii="Arial" w:hAnsi="Arial" w:cs="Arial"/>
                <w:color w:val="006100"/>
                <w:sz w:val="16"/>
                <w:szCs w:val="16"/>
              </w:rPr>
              <w:lastRenderedPageBreak/>
              <w:t>residential buildings</w:t>
            </w:r>
          </w:p>
        </w:tc>
        <w:tc>
          <w:tcPr>
            <w:tcW w:w="956" w:type="dxa"/>
            <w:shd w:val="clear" w:color="auto" w:fill="D6E3C6"/>
            <w:noWrap/>
          </w:tcPr>
          <w:p w14:paraId="7688FE62" w14:textId="70B7DED2"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lastRenderedPageBreak/>
              <w:t>Milestone</w:t>
            </w:r>
          </w:p>
        </w:tc>
        <w:tc>
          <w:tcPr>
            <w:tcW w:w="1691" w:type="dxa"/>
            <w:shd w:val="clear" w:color="auto" w:fill="D6E3C6"/>
            <w:noWrap/>
          </w:tcPr>
          <w:p w14:paraId="0093FFD9" w14:textId="58EC1952"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Call for proposals for the energy efficiency renovation for residential buildings</w:t>
            </w:r>
          </w:p>
        </w:tc>
        <w:tc>
          <w:tcPr>
            <w:tcW w:w="1322" w:type="dxa"/>
            <w:shd w:val="clear" w:color="auto" w:fill="D6E3C6"/>
            <w:noWrap/>
          </w:tcPr>
          <w:p w14:paraId="48CAE041" w14:textId="74944284"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Publication of call specifications</w:t>
            </w:r>
          </w:p>
        </w:tc>
        <w:tc>
          <w:tcPr>
            <w:tcW w:w="709" w:type="dxa"/>
            <w:shd w:val="clear" w:color="auto" w:fill="D6E3C6"/>
            <w:noWrap/>
          </w:tcPr>
          <w:p w14:paraId="2A09EED7"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5A1C6926"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0EFAB5BE"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431AF2D2" w14:textId="76C8B916"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Q3</w:t>
            </w:r>
          </w:p>
        </w:tc>
        <w:tc>
          <w:tcPr>
            <w:tcW w:w="520" w:type="dxa"/>
            <w:shd w:val="clear" w:color="auto" w:fill="D6E3C6"/>
            <w:noWrap/>
          </w:tcPr>
          <w:p w14:paraId="7BE22FFD" w14:textId="0D717A01"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2022</w:t>
            </w:r>
          </w:p>
        </w:tc>
        <w:tc>
          <w:tcPr>
            <w:tcW w:w="872" w:type="dxa"/>
            <w:gridSpan w:val="2"/>
            <w:shd w:val="clear" w:color="auto" w:fill="D6E3C6"/>
          </w:tcPr>
          <w:p w14:paraId="2F57E49D" w14:textId="33A346C9"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eastAsia="Times New Roman" w:hAnsi="Arial" w:cs="Arial"/>
                <w:color w:val="006100"/>
                <w:sz w:val="16"/>
                <w:szCs w:val="16"/>
                <w:lang w:eastAsia="en-GB"/>
              </w:rPr>
              <w:t>Ministry of Regional Development and Public Works</w:t>
            </w:r>
          </w:p>
        </w:tc>
        <w:tc>
          <w:tcPr>
            <w:tcW w:w="851" w:type="dxa"/>
            <w:gridSpan w:val="2"/>
            <w:shd w:val="clear" w:color="auto" w:fill="D6E3C6"/>
          </w:tcPr>
          <w:p w14:paraId="59EA1D7F" w14:textId="77777777" w:rsidR="00AD589E" w:rsidRPr="004A3F9B"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64DDD472" w14:textId="77777777" w:rsidR="00EC5553" w:rsidRPr="004A3F9B" w:rsidRDefault="00AD589E" w:rsidP="00EC5553">
            <w:pPr>
              <w:pStyle w:val="ListParagraph"/>
              <w:numPr>
                <w:ilvl w:val="0"/>
                <w:numId w:val="16"/>
              </w:numPr>
              <w:spacing w:after="0"/>
              <w:ind w:left="395" w:hanging="395"/>
              <w:rPr>
                <w:rFonts w:ascii="Arial" w:hAnsi="Arial" w:cs="Arial"/>
                <w:color w:val="006100"/>
                <w:sz w:val="16"/>
                <w:szCs w:val="16"/>
              </w:rPr>
            </w:pPr>
            <w:r w:rsidRPr="004A3F9B">
              <w:rPr>
                <w:rFonts w:ascii="Arial" w:hAnsi="Arial" w:cs="Arial"/>
                <w:color w:val="006100"/>
                <w:sz w:val="16"/>
                <w:szCs w:val="16"/>
                <w:lang w:eastAsia="en-GB"/>
              </w:rPr>
              <w:t>Copy of the publication and/or a link to the relevant public website with the publication of the call for proposal</w:t>
            </w:r>
          </w:p>
          <w:p w14:paraId="4E52A5D0" w14:textId="6C2A7B07" w:rsidR="00AD589E" w:rsidRPr="004A3F9B" w:rsidRDefault="00AD589E" w:rsidP="00EC5553">
            <w:pPr>
              <w:pStyle w:val="ListParagraph"/>
              <w:numPr>
                <w:ilvl w:val="0"/>
                <w:numId w:val="16"/>
              </w:numPr>
              <w:spacing w:after="0"/>
              <w:ind w:left="395" w:hanging="395"/>
              <w:rPr>
                <w:rFonts w:ascii="Arial" w:hAnsi="Arial" w:cs="Arial"/>
                <w:color w:val="006100"/>
                <w:sz w:val="16"/>
                <w:szCs w:val="16"/>
              </w:rPr>
            </w:pPr>
            <w:r w:rsidRPr="004A3F9B">
              <w:rPr>
                <w:rFonts w:ascii="Arial" w:hAnsi="Arial" w:cs="Arial"/>
                <w:color w:val="006100"/>
                <w:sz w:val="16"/>
                <w:szCs w:val="16"/>
                <w:lang w:eastAsia="en-GB"/>
              </w:rPr>
              <w:lastRenderedPageBreak/>
              <w:t>Justification that the technical specifications of the call are fully aligned with the requirements in the description of the investment and of sub-measure 1 in the CID annex, incl. A reference to the mechanism to be applied for the avoidance of double funding</w:t>
            </w:r>
          </w:p>
        </w:tc>
        <w:tc>
          <w:tcPr>
            <w:tcW w:w="3402" w:type="dxa"/>
            <w:shd w:val="clear" w:color="auto" w:fill="D6E3C6"/>
          </w:tcPr>
          <w:p w14:paraId="6F408C95" w14:textId="77777777" w:rsidR="00AD589E" w:rsidRPr="004A3F9B" w:rsidRDefault="00AD589E" w:rsidP="008B46F9">
            <w:pPr>
              <w:spacing w:after="0"/>
              <w:rPr>
                <w:rFonts w:ascii="Arial" w:hAnsi="Arial" w:cs="Arial"/>
                <w:color w:val="006100"/>
                <w:sz w:val="16"/>
                <w:szCs w:val="16"/>
              </w:rPr>
            </w:pPr>
            <w:r w:rsidRPr="004A3F9B">
              <w:rPr>
                <w:rFonts w:ascii="Arial" w:hAnsi="Arial" w:cs="Arial"/>
                <w:color w:val="006100"/>
                <w:sz w:val="16"/>
                <w:szCs w:val="16"/>
              </w:rPr>
              <w:lastRenderedPageBreak/>
              <w:t>Institution/s: Ministry of Regional Development and Public Works</w:t>
            </w:r>
          </w:p>
          <w:p w14:paraId="1A5E1DD4" w14:textId="77777777" w:rsidR="00AD589E" w:rsidRPr="004A3F9B" w:rsidRDefault="00AD589E" w:rsidP="008B46F9">
            <w:pPr>
              <w:spacing w:after="0"/>
              <w:rPr>
                <w:rFonts w:ascii="Arial" w:hAnsi="Arial" w:cs="Arial"/>
                <w:color w:val="006100"/>
                <w:sz w:val="16"/>
                <w:szCs w:val="16"/>
              </w:rPr>
            </w:pPr>
          </w:p>
          <w:p w14:paraId="27AAFE7F" w14:textId="6D6DE91C" w:rsidR="00AD589E" w:rsidRPr="004A3F9B" w:rsidRDefault="00AD589E" w:rsidP="008B46F9">
            <w:pPr>
              <w:spacing w:after="0"/>
              <w:rPr>
                <w:rFonts w:ascii="Arial" w:hAnsi="Arial" w:cs="Arial"/>
                <w:color w:val="006100"/>
                <w:sz w:val="16"/>
                <w:szCs w:val="16"/>
              </w:rPr>
            </w:pPr>
            <w:r w:rsidRPr="004A3F9B">
              <w:rPr>
                <w:rFonts w:ascii="Arial" w:hAnsi="Arial" w:cs="Arial"/>
                <w:color w:val="006100"/>
                <w:sz w:val="16"/>
                <w:szCs w:val="16"/>
              </w:rPr>
              <w:t>What: Call for proposals for the energy efficiency renovation for residential buildings</w:t>
            </w:r>
          </w:p>
          <w:p w14:paraId="65F2159E" w14:textId="77777777" w:rsidR="00AD589E" w:rsidRPr="004A3F9B" w:rsidRDefault="00AD589E" w:rsidP="008B46F9">
            <w:pPr>
              <w:spacing w:after="0"/>
              <w:rPr>
                <w:rFonts w:ascii="Arial" w:hAnsi="Arial" w:cs="Arial"/>
                <w:color w:val="006100"/>
                <w:sz w:val="16"/>
                <w:szCs w:val="16"/>
              </w:rPr>
            </w:pPr>
          </w:p>
          <w:p w14:paraId="1334332E" w14:textId="33F0FB69" w:rsidR="00AD589E" w:rsidRPr="004A3F9B" w:rsidRDefault="00AD589E" w:rsidP="008B46F9">
            <w:pPr>
              <w:spacing w:after="0"/>
              <w:rPr>
                <w:rFonts w:ascii="Arial" w:hAnsi="Arial" w:cs="Arial"/>
                <w:color w:val="006100"/>
                <w:sz w:val="16"/>
                <w:szCs w:val="16"/>
              </w:rPr>
            </w:pPr>
            <w:r w:rsidRPr="004A3F9B">
              <w:rPr>
                <w:rFonts w:ascii="Arial" w:hAnsi="Arial" w:cs="Arial"/>
                <w:color w:val="006100"/>
                <w:sz w:val="16"/>
                <w:szCs w:val="16"/>
              </w:rPr>
              <w:t xml:space="preserve">How: </w:t>
            </w:r>
            <w:r w:rsidR="00EC5553" w:rsidRPr="004A3F9B">
              <w:rPr>
                <w:rFonts w:ascii="Arial" w:hAnsi="Arial" w:cs="Arial"/>
                <w:color w:val="006100"/>
                <w:sz w:val="16"/>
                <w:szCs w:val="16"/>
              </w:rPr>
              <w:t>entry into force (evidence by a), reporting (b)</w:t>
            </w:r>
          </w:p>
          <w:p w14:paraId="549C2AF3" w14:textId="77777777" w:rsidR="00AD589E" w:rsidRPr="004A3F9B" w:rsidRDefault="00AD589E" w:rsidP="008B46F9">
            <w:pPr>
              <w:spacing w:after="0"/>
              <w:rPr>
                <w:rFonts w:ascii="Arial" w:hAnsi="Arial" w:cs="Arial"/>
                <w:color w:val="006100"/>
                <w:sz w:val="16"/>
                <w:szCs w:val="16"/>
              </w:rPr>
            </w:pPr>
          </w:p>
          <w:p w14:paraId="0092E6C4" w14:textId="77777777" w:rsidR="00AD589E" w:rsidRPr="004A3F9B" w:rsidRDefault="00AD589E" w:rsidP="008B46F9">
            <w:pPr>
              <w:spacing w:after="0"/>
              <w:rPr>
                <w:rFonts w:ascii="Arial" w:hAnsi="Arial" w:cs="Arial"/>
                <w:color w:val="006100"/>
                <w:sz w:val="16"/>
                <w:szCs w:val="16"/>
              </w:rPr>
            </w:pPr>
            <w:r w:rsidRPr="004A3F9B">
              <w:rPr>
                <w:rFonts w:ascii="Arial" w:hAnsi="Arial" w:cs="Arial"/>
                <w:color w:val="006100"/>
                <w:sz w:val="16"/>
                <w:szCs w:val="16"/>
              </w:rPr>
              <w:t>Why: The call for proposals shall be published by the Ministry of Regional Development and Public Works, which is the responsible authority for the energy efficiency renovation of residential buildings. The call shall include the following two stages of application:</w:t>
            </w:r>
          </w:p>
          <w:p w14:paraId="1EABA2EE" w14:textId="7FC54F7A" w:rsidR="00AD589E" w:rsidRPr="004A3F9B" w:rsidRDefault="00AD589E" w:rsidP="008B46F9">
            <w:pPr>
              <w:spacing w:after="0"/>
              <w:rPr>
                <w:rFonts w:ascii="Arial" w:hAnsi="Arial" w:cs="Arial"/>
                <w:color w:val="006100"/>
                <w:sz w:val="16"/>
                <w:szCs w:val="16"/>
              </w:rPr>
            </w:pPr>
            <w:r w:rsidRPr="004A3F9B">
              <w:rPr>
                <w:rFonts w:ascii="Arial" w:hAnsi="Arial" w:cs="Arial"/>
                <w:color w:val="006100"/>
                <w:sz w:val="16"/>
                <w:szCs w:val="16"/>
              </w:rPr>
              <w:t xml:space="preserve">stage 1 open for applications with 100% grants financing; </w:t>
            </w:r>
          </w:p>
          <w:p w14:paraId="39964101" w14:textId="77777777" w:rsidR="00AD589E" w:rsidRPr="004A3F9B" w:rsidRDefault="00AD589E" w:rsidP="008B46F9">
            <w:pPr>
              <w:spacing w:after="0"/>
              <w:rPr>
                <w:rFonts w:ascii="Arial" w:hAnsi="Arial" w:cs="Arial"/>
                <w:color w:val="006100"/>
                <w:sz w:val="16"/>
                <w:szCs w:val="16"/>
              </w:rPr>
            </w:pPr>
            <w:r w:rsidRPr="004A3F9B">
              <w:rPr>
                <w:rFonts w:ascii="Arial" w:hAnsi="Arial" w:cs="Arial"/>
                <w:color w:val="006100"/>
                <w:sz w:val="16"/>
                <w:szCs w:val="16"/>
              </w:rPr>
              <w:t>stage 2 – open for applications with 80% grants financing and 20% own financing by home owners.</w:t>
            </w:r>
          </w:p>
          <w:p w14:paraId="12FA29D2" w14:textId="1BB682E9" w:rsidR="00AD589E" w:rsidRPr="004A3F9B" w:rsidRDefault="00AD589E" w:rsidP="008B46F9">
            <w:pPr>
              <w:spacing w:after="0"/>
              <w:rPr>
                <w:rFonts w:ascii="Arial" w:hAnsi="Arial" w:cs="Arial"/>
                <w:color w:val="006100"/>
                <w:sz w:val="16"/>
                <w:szCs w:val="16"/>
              </w:rPr>
            </w:pPr>
            <w:r w:rsidRPr="004A3F9B">
              <w:rPr>
                <w:rFonts w:ascii="Arial" w:hAnsi="Arial" w:cs="Arial"/>
                <w:color w:val="006100"/>
                <w:sz w:val="16"/>
                <w:szCs w:val="16"/>
              </w:rPr>
              <w:t>The two stages of application shall run consecutively and not in parallel. [provide references to the above in the summary document]</w:t>
            </w:r>
          </w:p>
          <w:p w14:paraId="22231CC1" w14:textId="77777777" w:rsidR="00AD589E" w:rsidRPr="004A3F9B" w:rsidRDefault="00AD589E" w:rsidP="008B46F9">
            <w:pPr>
              <w:spacing w:after="0"/>
              <w:rPr>
                <w:rFonts w:ascii="Arial" w:hAnsi="Arial" w:cs="Arial"/>
                <w:color w:val="006100"/>
                <w:sz w:val="16"/>
                <w:szCs w:val="16"/>
              </w:rPr>
            </w:pPr>
          </w:p>
          <w:p w14:paraId="135F994F" w14:textId="7DBAE446" w:rsidR="00AD589E" w:rsidRPr="004A3F9B" w:rsidRDefault="00AD589E" w:rsidP="008B46F9">
            <w:pPr>
              <w:spacing w:after="0"/>
              <w:rPr>
                <w:rFonts w:ascii="Arial" w:hAnsi="Arial" w:cs="Arial"/>
                <w:color w:val="006100"/>
                <w:sz w:val="16"/>
                <w:szCs w:val="16"/>
              </w:rPr>
            </w:pPr>
            <w:r w:rsidRPr="004A3F9B">
              <w:rPr>
                <w:rFonts w:ascii="Arial" w:hAnsi="Arial" w:cs="Arial"/>
                <w:color w:val="006100"/>
                <w:sz w:val="16"/>
                <w:szCs w:val="16"/>
              </w:rPr>
              <w:t>When: specify the dates of publication of the calls</w:t>
            </w:r>
          </w:p>
        </w:tc>
        <w:tc>
          <w:tcPr>
            <w:tcW w:w="2268" w:type="dxa"/>
            <w:shd w:val="clear" w:color="auto" w:fill="D6E3C6"/>
          </w:tcPr>
          <w:p w14:paraId="7C72D274" w14:textId="77777777"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lastRenderedPageBreak/>
              <w:t>As above</w:t>
            </w:r>
          </w:p>
          <w:p w14:paraId="226A4BED" w14:textId="77777777" w:rsidR="00AD589E" w:rsidRPr="004A3F9B" w:rsidRDefault="00AD589E" w:rsidP="0063508F">
            <w:pPr>
              <w:spacing w:after="0"/>
              <w:rPr>
                <w:rFonts w:ascii="Arial" w:hAnsi="Arial" w:cs="Arial"/>
                <w:color w:val="006100"/>
                <w:sz w:val="16"/>
                <w:szCs w:val="16"/>
              </w:rPr>
            </w:pPr>
          </w:p>
          <w:p w14:paraId="2085CA08" w14:textId="434F9F7A" w:rsidR="00AD589E" w:rsidRPr="004A3F9B" w:rsidRDefault="00AD589E" w:rsidP="00FE15DE">
            <w:pPr>
              <w:spacing w:after="0"/>
              <w:rPr>
                <w:rFonts w:ascii="Arial" w:hAnsi="Arial" w:cs="Arial"/>
                <w:color w:val="006100"/>
                <w:sz w:val="16"/>
                <w:szCs w:val="16"/>
              </w:rPr>
            </w:pPr>
            <w:r w:rsidRPr="004A3F9B">
              <w:rPr>
                <w:rFonts w:ascii="Arial" w:hAnsi="Arial" w:cs="Arial"/>
                <w:color w:val="006100"/>
                <w:sz w:val="16"/>
                <w:szCs w:val="16"/>
              </w:rPr>
              <w:t xml:space="preserve">Furthermore, the sub-measure shall consist in energy efficiency renovation in multi-apartment buildings. </w:t>
            </w:r>
            <w:r w:rsidR="00CB5D3B" w:rsidRPr="004A3F9B">
              <w:rPr>
                <w:rFonts w:ascii="Arial" w:hAnsi="Arial" w:cs="Arial"/>
                <w:color w:val="006100"/>
                <w:sz w:val="16"/>
                <w:szCs w:val="16"/>
              </w:rPr>
              <w:t>These types of buildings</w:t>
            </w:r>
            <w:r w:rsidRPr="004A3F9B">
              <w:rPr>
                <w:rFonts w:ascii="Arial" w:hAnsi="Arial" w:cs="Arial"/>
                <w:color w:val="006100"/>
                <w:sz w:val="16"/>
                <w:szCs w:val="16"/>
              </w:rPr>
              <w:t xml:space="preserve"> are managed in co-ownership </w:t>
            </w:r>
            <w:r w:rsidRPr="004A3F9B">
              <w:rPr>
                <w:rFonts w:ascii="Arial" w:hAnsi="Arial" w:cs="Arial"/>
                <w:color w:val="006100"/>
                <w:sz w:val="16"/>
                <w:szCs w:val="16"/>
              </w:rPr>
              <w:lastRenderedPageBreak/>
              <w:t>mode in accordance with the Condominium Ownership Management Act tackled by Reform 2 in this component (C4R2). The sub-measure shall lead to the renovation of residential buildings with a total gross floor area of at least 3.6 million m</w:t>
            </w:r>
            <w:r w:rsidRPr="004A3F9B">
              <w:rPr>
                <w:rFonts w:ascii="Arial" w:hAnsi="Arial" w:cs="Arial"/>
                <w:color w:val="006100"/>
                <w:sz w:val="16"/>
                <w:szCs w:val="16"/>
                <w:vertAlign w:val="superscript"/>
              </w:rPr>
              <w:t>2</w:t>
            </w:r>
            <w:r w:rsidRPr="004A3F9B">
              <w:rPr>
                <w:rFonts w:ascii="Arial" w:hAnsi="Arial" w:cs="Arial"/>
                <w:color w:val="006100"/>
                <w:sz w:val="16"/>
                <w:szCs w:val="16"/>
              </w:rPr>
              <w:t xml:space="preserve">.  </w:t>
            </w:r>
          </w:p>
          <w:p w14:paraId="47A44B01" w14:textId="77777777" w:rsidR="00AD589E" w:rsidRPr="004A3F9B" w:rsidRDefault="00AD589E" w:rsidP="00FE15DE">
            <w:pPr>
              <w:spacing w:after="0"/>
              <w:rPr>
                <w:rFonts w:ascii="Arial" w:hAnsi="Arial" w:cs="Arial"/>
                <w:color w:val="006100"/>
                <w:sz w:val="16"/>
                <w:szCs w:val="16"/>
              </w:rPr>
            </w:pPr>
          </w:p>
          <w:p w14:paraId="696C1EF8" w14:textId="04DE44C0" w:rsidR="00AD589E" w:rsidRPr="004A3F9B" w:rsidRDefault="00AD589E" w:rsidP="00FE15DE">
            <w:pPr>
              <w:spacing w:after="0"/>
              <w:rPr>
                <w:rFonts w:ascii="Arial" w:hAnsi="Arial" w:cs="Arial"/>
                <w:color w:val="006100"/>
                <w:sz w:val="16"/>
                <w:szCs w:val="16"/>
              </w:rPr>
            </w:pPr>
            <w:r w:rsidRPr="004A3F9B">
              <w:rPr>
                <w:rFonts w:ascii="Arial" w:hAnsi="Arial" w:cs="Arial"/>
                <w:color w:val="006100"/>
                <w:sz w:val="16"/>
                <w:szCs w:val="16"/>
              </w:rPr>
              <w:t>The scheme under the sub-measure shall stipulate that renovations are, on average, expected to achieve a minimum of 30% primary energy demand savings.</w:t>
            </w:r>
          </w:p>
        </w:tc>
        <w:tc>
          <w:tcPr>
            <w:tcW w:w="1036" w:type="dxa"/>
            <w:gridSpan w:val="2"/>
            <w:shd w:val="clear" w:color="auto" w:fill="D6E3C6"/>
          </w:tcPr>
          <w:p w14:paraId="2DE739A2" w14:textId="3779731A" w:rsidR="00AD589E" w:rsidRPr="004A3F9B" w:rsidRDefault="007B6B7C" w:rsidP="0063508F">
            <w:pPr>
              <w:spacing w:after="0"/>
              <w:rPr>
                <w:rFonts w:ascii="Arial" w:hAnsi="Arial" w:cs="Arial"/>
                <w:color w:val="006100"/>
                <w:sz w:val="16"/>
                <w:szCs w:val="16"/>
              </w:rPr>
            </w:pPr>
            <w:r w:rsidRPr="004A3F9B">
              <w:rPr>
                <w:rFonts w:ascii="Arial" w:hAnsi="Arial" w:cs="Arial"/>
                <w:color w:val="006100"/>
                <w:sz w:val="16"/>
                <w:szCs w:val="16"/>
              </w:rPr>
              <w:lastRenderedPageBreak/>
              <w:t>Delays in the definition of the selection criteria and the launching of the call</w:t>
            </w:r>
          </w:p>
        </w:tc>
        <w:tc>
          <w:tcPr>
            <w:tcW w:w="1090" w:type="dxa"/>
            <w:gridSpan w:val="2"/>
            <w:shd w:val="clear" w:color="auto" w:fill="D6E3C6"/>
          </w:tcPr>
          <w:p w14:paraId="100DFB37" w14:textId="60D6DCF3"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None</w:t>
            </w:r>
          </w:p>
        </w:tc>
        <w:tc>
          <w:tcPr>
            <w:tcW w:w="992" w:type="dxa"/>
            <w:gridSpan w:val="2"/>
            <w:shd w:val="clear" w:color="auto" w:fill="D6E3C6"/>
          </w:tcPr>
          <w:p w14:paraId="00E6B791" w14:textId="446435DE"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w:t>
            </w:r>
          </w:p>
        </w:tc>
        <w:tc>
          <w:tcPr>
            <w:tcW w:w="1418" w:type="dxa"/>
            <w:gridSpan w:val="2"/>
            <w:shd w:val="clear" w:color="auto" w:fill="D6E3C6"/>
          </w:tcPr>
          <w:p w14:paraId="6E67179D" w14:textId="70E6BDB8" w:rsidR="00AD589E" w:rsidRPr="004A3F9B" w:rsidRDefault="005D3BBB" w:rsidP="0063508F">
            <w:pPr>
              <w:spacing w:after="0"/>
              <w:rPr>
                <w:rFonts w:ascii="Arial" w:hAnsi="Arial" w:cs="Arial"/>
                <w:color w:val="006100"/>
                <w:sz w:val="16"/>
                <w:szCs w:val="16"/>
              </w:rPr>
            </w:pPr>
            <w:r w:rsidRPr="004A3F9B">
              <w:rPr>
                <w:rFonts w:ascii="Arial" w:hAnsi="Arial" w:cs="Arial"/>
                <w:color w:val="006100"/>
                <w:sz w:val="16"/>
                <w:szCs w:val="16"/>
              </w:rPr>
              <w:t xml:space="preserve">A likely monitoring step: </w:t>
            </w:r>
            <w:r w:rsidR="008E7D79" w:rsidRPr="004A3F9B">
              <w:rPr>
                <w:rFonts w:ascii="Arial" w:hAnsi="Arial" w:cs="Arial"/>
                <w:color w:val="006100"/>
                <w:sz w:val="16"/>
                <w:szCs w:val="16"/>
              </w:rPr>
              <w:t>Conclusion of the first stage of the call and opening of the second stage (</w:t>
            </w:r>
            <w:r w:rsidR="00E00ACF" w:rsidRPr="004A3F9B">
              <w:rPr>
                <w:rFonts w:ascii="Arial" w:hAnsi="Arial" w:cs="Arial"/>
                <w:color w:val="006100"/>
                <w:sz w:val="16"/>
                <w:szCs w:val="16"/>
              </w:rPr>
              <w:t>Q4 2023</w:t>
            </w:r>
            <w:r w:rsidR="008E7D79" w:rsidRPr="004A3F9B">
              <w:rPr>
                <w:rFonts w:ascii="Arial" w:hAnsi="Arial" w:cs="Arial"/>
                <w:color w:val="006100"/>
                <w:sz w:val="16"/>
                <w:szCs w:val="16"/>
              </w:rPr>
              <w:t>)</w:t>
            </w:r>
          </w:p>
        </w:tc>
      </w:tr>
      <w:tr w:rsidR="004A3F9B" w:rsidRPr="004A3F9B" w14:paraId="622EE4F3" w14:textId="0B514DE9" w:rsidTr="00596EEA">
        <w:trPr>
          <w:trHeight w:val="309"/>
        </w:trPr>
        <w:tc>
          <w:tcPr>
            <w:tcW w:w="454" w:type="dxa"/>
            <w:shd w:val="clear" w:color="auto" w:fill="D6E3C6"/>
            <w:noWrap/>
          </w:tcPr>
          <w:p w14:paraId="3AA5061A" w14:textId="3E4CB1D1"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70</w:t>
            </w:r>
          </w:p>
        </w:tc>
        <w:tc>
          <w:tcPr>
            <w:tcW w:w="1215" w:type="dxa"/>
            <w:shd w:val="clear" w:color="auto" w:fill="D6E3C6"/>
            <w:noWrap/>
          </w:tcPr>
          <w:p w14:paraId="67E7D707" w14:textId="4C322800"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C4.I1: Support for the renovation of the building stock Sub-measure 1: Renovation of residential buildings</w:t>
            </w:r>
          </w:p>
        </w:tc>
        <w:tc>
          <w:tcPr>
            <w:tcW w:w="956" w:type="dxa"/>
            <w:shd w:val="clear" w:color="auto" w:fill="D6E3C6"/>
            <w:noWrap/>
          </w:tcPr>
          <w:p w14:paraId="4431219A" w14:textId="3B35734C"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Milestone</w:t>
            </w:r>
          </w:p>
        </w:tc>
        <w:tc>
          <w:tcPr>
            <w:tcW w:w="1691" w:type="dxa"/>
            <w:shd w:val="clear" w:color="auto" w:fill="D6E3C6"/>
            <w:noWrap/>
          </w:tcPr>
          <w:p w14:paraId="2BE2E6AA" w14:textId="0C9508A6"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Signature of contracts for the energy efficiency renovation for multi-family residential buildings</w:t>
            </w:r>
          </w:p>
        </w:tc>
        <w:tc>
          <w:tcPr>
            <w:tcW w:w="1322" w:type="dxa"/>
            <w:shd w:val="clear" w:color="auto" w:fill="D6E3C6"/>
            <w:noWrap/>
          </w:tcPr>
          <w:p w14:paraId="3AB7D9CE" w14:textId="4C797A35"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Signed contracts by the Ministry of Regional Development and Public Works and beneficiaries</w:t>
            </w:r>
          </w:p>
        </w:tc>
        <w:tc>
          <w:tcPr>
            <w:tcW w:w="709" w:type="dxa"/>
            <w:shd w:val="clear" w:color="auto" w:fill="D6E3C6"/>
            <w:noWrap/>
          </w:tcPr>
          <w:p w14:paraId="3A2B89B4"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334E9E60"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6A1E9680"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32808D3C" w14:textId="6B521C0B"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Q2</w:t>
            </w:r>
          </w:p>
        </w:tc>
        <w:tc>
          <w:tcPr>
            <w:tcW w:w="520" w:type="dxa"/>
            <w:shd w:val="clear" w:color="auto" w:fill="D6E3C6"/>
            <w:noWrap/>
          </w:tcPr>
          <w:p w14:paraId="08B6FD62" w14:textId="480AB533"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2024</w:t>
            </w:r>
          </w:p>
        </w:tc>
        <w:tc>
          <w:tcPr>
            <w:tcW w:w="872" w:type="dxa"/>
            <w:gridSpan w:val="2"/>
            <w:shd w:val="clear" w:color="auto" w:fill="D6E3C6"/>
          </w:tcPr>
          <w:p w14:paraId="6F23501F" w14:textId="7C06AD97"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Ministry of Regional Development and Public Works</w:t>
            </w:r>
          </w:p>
        </w:tc>
        <w:tc>
          <w:tcPr>
            <w:tcW w:w="851" w:type="dxa"/>
            <w:gridSpan w:val="2"/>
            <w:shd w:val="clear" w:color="auto" w:fill="D6E3C6"/>
          </w:tcPr>
          <w:p w14:paraId="38C5A5F4" w14:textId="77777777" w:rsidR="00AD589E" w:rsidRPr="004A3F9B"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05E66749" w14:textId="70E3FCB4" w:rsidR="00AD589E" w:rsidRPr="004A3F9B" w:rsidRDefault="00AD589E" w:rsidP="0073371A">
            <w:pPr>
              <w:pStyle w:val="ListParagraph"/>
              <w:numPr>
                <w:ilvl w:val="0"/>
                <w:numId w:val="17"/>
              </w:numPr>
              <w:spacing w:after="0"/>
              <w:ind w:left="395"/>
              <w:rPr>
                <w:rFonts w:ascii="Arial" w:hAnsi="Arial" w:cs="Arial"/>
                <w:color w:val="006100"/>
                <w:sz w:val="16"/>
                <w:szCs w:val="16"/>
              </w:rPr>
            </w:pPr>
            <w:r w:rsidRPr="004A3F9B">
              <w:rPr>
                <w:rFonts w:ascii="Arial" w:hAnsi="Arial" w:cs="Arial"/>
                <w:color w:val="006100"/>
                <w:sz w:val="16"/>
                <w:szCs w:val="16"/>
                <w:lang w:eastAsia="en-GB"/>
              </w:rPr>
              <w:t>List with the signed contracts, including the official references and other relevant information for the signed contract</w:t>
            </w:r>
          </w:p>
          <w:p w14:paraId="20E8B7F8" w14:textId="2CEE2000" w:rsidR="00AD589E" w:rsidRPr="004A3F9B" w:rsidRDefault="00AD589E" w:rsidP="0073371A">
            <w:pPr>
              <w:pStyle w:val="ListParagraph"/>
              <w:numPr>
                <w:ilvl w:val="0"/>
                <w:numId w:val="17"/>
              </w:numPr>
              <w:spacing w:after="0"/>
              <w:ind w:left="395"/>
              <w:rPr>
                <w:rFonts w:ascii="Arial" w:hAnsi="Arial" w:cs="Arial"/>
                <w:color w:val="006100"/>
                <w:sz w:val="16"/>
                <w:szCs w:val="16"/>
              </w:rPr>
            </w:pPr>
            <w:r w:rsidRPr="004A3F9B">
              <w:rPr>
                <w:rFonts w:ascii="Arial" w:hAnsi="Arial" w:cs="Arial"/>
                <w:color w:val="006100"/>
                <w:sz w:val="16"/>
                <w:szCs w:val="16"/>
                <w:lang w:eastAsia="en-GB"/>
              </w:rPr>
              <w:t>Copies of signed contracts for a selected sampling</w:t>
            </w:r>
          </w:p>
          <w:p w14:paraId="5815FB80" w14:textId="142C4902" w:rsidR="00AD589E" w:rsidRPr="004A3F9B" w:rsidRDefault="00AD589E" w:rsidP="0073371A">
            <w:pPr>
              <w:pStyle w:val="ListParagraph"/>
              <w:numPr>
                <w:ilvl w:val="0"/>
                <w:numId w:val="17"/>
              </w:numPr>
              <w:spacing w:after="0"/>
              <w:ind w:left="395"/>
              <w:rPr>
                <w:rFonts w:ascii="Arial" w:hAnsi="Arial" w:cs="Arial"/>
                <w:color w:val="006100"/>
                <w:sz w:val="16"/>
                <w:szCs w:val="16"/>
              </w:rPr>
            </w:pPr>
            <w:r w:rsidRPr="004A3F9B">
              <w:rPr>
                <w:rFonts w:ascii="Arial" w:hAnsi="Arial" w:cs="Arial"/>
                <w:color w:val="006100"/>
                <w:sz w:val="16"/>
                <w:szCs w:val="16"/>
                <w:lang w:eastAsia="en-GB"/>
              </w:rPr>
              <w:t>Reference to the relevant provisions of the contracts proving alignment with the description of the milestone and of the description of the investment in the CID annex</w:t>
            </w:r>
          </w:p>
        </w:tc>
        <w:tc>
          <w:tcPr>
            <w:tcW w:w="3402" w:type="dxa"/>
            <w:shd w:val="clear" w:color="auto" w:fill="D6E3C6"/>
          </w:tcPr>
          <w:p w14:paraId="0261AD55" w14:textId="77777777" w:rsidR="00AD589E" w:rsidRPr="004A3F9B" w:rsidRDefault="00AD589E" w:rsidP="0097476C">
            <w:pPr>
              <w:spacing w:after="0"/>
              <w:rPr>
                <w:rFonts w:ascii="Arial" w:hAnsi="Arial" w:cs="Arial"/>
                <w:color w:val="006100"/>
                <w:sz w:val="16"/>
                <w:szCs w:val="16"/>
              </w:rPr>
            </w:pPr>
            <w:r w:rsidRPr="004A3F9B">
              <w:rPr>
                <w:rFonts w:ascii="Arial" w:hAnsi="Arial" w:cs="Arial"/>
                <w:color w:val="006100"/>
                <w:sz w:val="16"/>
                <w:szCs w:val="16"/>
              </w:rPr>
              <w:t>Institution/s: Ministry of Regional Development and Public Works</w:t>
            </w:r>
          </w:p>
          <w:p w14:paraId="78435963" w14:textId="77777777" w:rsidR="00AD589E" w:rsidRPr="004A3F9B" w:rsidRDefault="00AD589E" w:rsidP="0097476C">
            <w:pPr>
              <w:spacing w:after="0"/>
              <w:rPr>
                <w:rFonts w:ascii="Arial" w:hAnsi="Arial" w:cs="Arial"/>
                <w:color w:val="006100"/>
                <w:sz w:val="16"/>
                <w:szCs w:val="16"/>
              </w:rPr>
            </w:pPr>
          </w:p>
          <w:p w14:paraId="4AC91E0F" w14:textId="252F8696" w:rsidR="00AD589E" w:rsidRPr="004A3F9B" w:rsidRDefault="00AD589E" w:rsidP="0097476C">
            <w:pPr>
              <w:spacing w:after="0"/>
              <w:rPr>
                <w:rFonts w:ascii="Arial" w:hAnsi="Arial" w:cs="Arial"/>
                <w:color w:val="006100"/>
                <w:sz w:val="16"/>
                <w:szCs w:val="16"/>
              </w:rPr>
            </w:pPr>
            <w:r w:rsidRPr="004A3F9B">
              <w:rPr>
                <w:rFonts w:ascii="Arial" w:hAnsi="Arial" w:cs="Arial"/>
                <w:color w:val="006100"/>
                <w:sz w:val="16"/>
                <w:szCs w:val="16"/>
              </w:rPr>
              <w:t>What: Signature of contracts for the energy efficiency renovation for multi-family residential buildings</w:t>
            </w:r>
          </w:p>
          <w:p w14:paraId="2092F001" w14:textId="77777777" w:rsidR="00AD589E" w:rsidRPr="004A3F9B" w:rsidRDefault="00AD589E" w:rsidP="0097476C">
            <w:pPr>
              <w:spacing w:after="0"/>
              <w:rPr>
                <w:rFonts w:ascii="Arial" w:hAnsi="Arial" w:cs="Arial"/>
                <w:color w:val="006100"/>
                <w:sz w:val="16"/>
                <w:szCs w:val="16"/>
              </w:rPr>
            </w:pPr>
          </w:p>
          <w:p w14:paraId="400E25F0" w14:textId="19B2A3E5" w:rsidR="00AD589E" w:rsidRPr="004A3F9B" w:rsidRDefault="00AD589E" w:rsidP="0097476C">
            <w:pPr>
              <w:spacing w:after="0"/>
              <w:rPr>
                <w:rFonts w:ascii="Arial" w:hAnsi="Arial" w:cs="Arial"/>
                <w:color w:val="006100"/>
                <w:sz w:val="16"/>
                <w:szCs w:val="16"/>
              </w:rPr>
            </w:pPr>
            <w:r w:rsidRPr="004A3F9B">
              <w:rPr>
                <w:rFonts w:ascii="Arial" w:hAnsi="Arial" w:cs="Arial"/>
                <w:color w:val="006100"/>
                <w:sz w:val="16"/>
                <w:szCs w:val="16"/>
              </w:rPr>
              <w:t xml:space="preserve">How: </w:t>
            </w:r>
            <w:r w:rsidR="00137A6B" w:rsidRPr="004A3F9B">
              <w:rPr>
                <w:rFonts w:ascii="Arial" w:hAnsi="Arial" w:cs="Arial"/>
                <w:color w:val="006100"/>
                <w:sz w:val="16"/>
                <w:szCs w:val="16"/>
              </w:rPr>
              <w:t>contracting (a, b), reporting (c)</w:t>
            </w:r>
          </w:p>
          <w:p w14:paraId="79D23E47" w14:textId="77777777" w:rsidR="00AD589E" w:rsidRPr="004A3F9B" w:rsidRDefault="00AD589E" w:rsidP="0097476C">
            <w:pPr>
              <w:spacing w:after="0"/>
              <w:rPr>
                <w:rFonts w:ascii="Arial" w:hAnsi="Arial" w:cs="Arial"/>
                <w:color w:val="006100"/>
                <w:sz w:val="16"/>
                <w:szCs w:val="16"/>
              </w:rPr>
            </w:pPr>
          </w:p>
          <w:p w14:paraId="4E82F6F6" w14:textId="0EE66318" w:rsidR="00AD589E" w:rsidRPr="004A3F9B" w:rsidRDefault="00AD589E" w:rsidP="0097476C">
            <w:pPr>
              <w:spacing w:after="0"/>
              <w:rPr>
                <w:rFonts w:ascii="Arial" w:hAnsi="Arial" w:cs="Arial"/>
                <w:color w:val="006100"/>
                <w:sz w:val="16"/>
                <w:szCs w:val="16"/>
              </w:rPr>
            </w:pPr>
            <w:r w:rsidRPr="004A3F9B">
              <w:rPr>
                <w:rFonts w:ascii="Arial" w:hAnsi="Arial" w:cs="Arial"/>
                <w:color w:val="006100"/>
                <w:sz w:val="16"/>
                <w:szCs w:val="16"/>
              </w:rPr>
              <w:t>Why: Signature of final batch of contracts. All contracts under the scheme shall be made in line with the conditions of milestones 68 and 69. [provide references to the above in the summary document]</w:t>
            </w:r>
          </w:p>
          <w:p w14:paraId="1149282B" w14:textId="77777777" w:rsidR="00AD589E" w:rsidRPr="004A3F9B" w:rsidRDefault="00AD589E" w:rsidP="0097476C">
            <w:pPr>
              <w:spacing w:after="0"/>
              <w:rPr>
                <w:rFonts w:ascii="Arial" w:hAnsi="Arial" w:cs="Arial"/>
                <w:color w:val="006100"/>
                <w:sz w:val="16"/>
                <w:szCs w:val="16"/>
              </w:rPr>
            </w:pPr>
          </w:p>
          <w:p w14:paraId="034B7021" w14:textId="18B2B19D" w:rsidR="00AD589E" w:rsidRPr="004A3F9B" w:rsidRDefault="00AD589E" w:rsidP="0097476C">
            <w:pPr>
              <w:spacing w:after="0"/>
              <w:rPr>
                <w:rFonts w:ascii="Arial" w:hAnsi="Arial" w:cs="Arial"/>
                <w:color w:val="006100"/>
                <w:sz w:val="16"/>
                <w:szCs w:val="16"/>
              </w:rPr>
            </w:pPr>
            <w:r w:rsidRPr="004A3F9B">
              <w:rPr>
                <w:rFonts w:ascii="Arial" w:hAnsi="Arial" w:cs="Arial"/>
                <w:color w:val="006100"/>
                <w:sz w:val="16"/>
                <w:szCs w:val="16"/>
              </w:rPr>
              <w:t xml:space="preserve">When: specify the dates of </w:t>
            </w:r>
            <w:r w:rsidR="002E01DE" w:rsidRPr="004A3F9B">
              <w:rPr>
                <w:rFonts w:ascii="Arial" w:hAnsi="Arial" w:cs="Arial"/>
                <w:color w:val="006100"/>
                <w:sz w:val="16"/>
                <w:szCs w:val="16"/>
              </w:rPr>
              <w:t xml:space="preserve">contract </w:t>
            </w:r>
            <w:r w:rsidRPr="004A3F9B">
              <w:rPr>
                <w:rFonts w:ascii="Arial" w:hAnsi="Arial" w:cs="Arial"/>
                <w:color w:val="006100"/>
                <w:sz w:val="16"/>
                <w:szCs w:val="16"/>
              </w:rPr>
              <w:t>signature</w:t>
            </w:r>
          </w:p>
        </w:tc>
        <w:tc>
          <w:tcPr>
            <w:tcW w:w="2268" w:type="dxa"/>
            <w:shd w:val="clear" w:color="auto" w:fill="D6E3C6"/>
          </w:tcPr>
          <w:p w14:paraId="72468FA0" w14:textId="4230B132"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As above</w:t>
            </w:r>
          </w:p>
        </w:tc>
        <w:tc>
          <w:tcPr>
            <w:tcW w:w="1036" w:type="dxa"/>
            <w:gridSpan w:val="2"/>
            <w:shd w:val="clear" w:color="auto" w:fill="D6E3C6"/>
          </w:tcPr>
          <w:p w14:paraId="4AF9810D" w14:textId="0BD94DE5" w:rsidR="00AD589E" w:rsidRPr="004A3F9B" w:rsidRDefault="002E01DE" w:rsidP="0063508F">
            <w:pPr>
              <w:spacing w:after="0"/>
              <w:rPr>
                <w:rFonts w:ascii="Arial" w:hAnsi="Arial" w:cs="Arial"/>
                <w:color w:val="006100"/>
                <w:sz w:val="16"/>
                <w:szCs w:val="16"/>
              </w:rPr>
            </w:pPr>
            <w:r w:rsidRPr="004A3F9B">
              <w:rPr>
                <w:rFonts w:ascii="Arial" w:hAnsi="Arial" w:cs="Arial"/>
                <w:color w:val="006100"/>
                <w:sz w:val="16"/>
                <w:szCs w:val="16"/>
              </w:rPr>
              <w:t>Delays in milestones 68 and 69</w:t>
            </w:r>
          </w:p>
        </w:tc>
        <w:tc>
          <w:tcPr>
            <w:tcW w:w="1090" w:type="dxa"/>
            <w:gridSpan w:val="2"/>
            <w:shd w:val="clear" w:color="auto" w:fill="D6E3C6"/>
          </w:tcPr>
          <w:p w14:paraId="3D58DC8F" w14:textId="0CDE65F1"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None</w:t>
            </w:r>
          </w:p>
        </w:tc>
        <w:tc>
          <w:tcPr>
            <w:tcW w:w="992" w:type="dxa"/>
            <w:gridSpan w:val="2"/>
            <w:shd w:val="clear" w:color="auto" w:fill="D6E3C6"/>
          </w:tcPr>
          <w:p w14:paraId="73F22EF7" w14:textId="20FD4EF9"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w:t>
            </w:r>
          </w:p>
        </w:tc>
        <w:tc>
          <w:tcPr>
            <w:tcW w:w="1418" w:type="dxa"/>
            <w:gridSpan w:val="2"/>
            <w:shd w:val="clear" w:color="auto" w:fill="D6E3C6"/>
          </w:tcPr>
          <w:p w14:paraId="49268849" w14:textId="3B0E6245" w:rsidR="00AD589E" w:rsidRPr="004A3F9B" w:rsidRDefault="00425E27" w:rsidP="0063508F">
            <w:pPr>
              <w:spacing w:after="0"/>
              <w:rPr>
                <w:rFonts w:ascii="Arial" w:hAnsi="Arial" w:cs="Arial"/>
                <w:color w:val="006100"/>
                <w:sz w:val="16"/>
                <w:szCs w:val="16"/>
              </w:rPr>
            </w:pPr>
            <w:r w:rsidRPr="004A3F9B">
              <w:rPr>
                <w:rFonts w:ascii="Arial" w:hAnsi="Arial" w:cs="Arial"/>
                <w:color w:val="006100"/>
                <w:sz w:val="16"/>
                <w:szCs w:val="16"/>
              </w:rPr>
              <w:t>-</w:t>
            </w:r>
          </w:p>
        </w:tc>
      </w:tr>
      <w:tr w:rsidR="004A3F9B" w:rsidRPr="004A3F9B" w14:paraId="66BE8BAE" w14:textId="5F855F0E" w:rsidTr="00596EEA">
        <w:trPr>
          <w:trHeight w:val="309"/>
        </w:trPr>
        <w:tc>
          <w:tcPr>
            <w:tcW w:w="454" w:type="dxa"/>
            <w:shd w:val="clear" w:color="auto" w:fill="D6E3C6"/>
            <w:noWrap/>
          </w:tcPr>
          <w:p w14:paraId="03E545B9" w14:textId="211D9E66"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71</w:t>
            </w:r>
          </w:p>
        </w:tc>
        <w:tc>
          <w:tcPr>
            <w:tcW w:w="1215" w:type="dxa"/>
            <w:shd w:val="clear" w:color="auto" w:fill="D6E3C6"/>
            <w:noWrap/>
          </w:tcPr>
          <w:p w14:paraId="0DB06F4D" w14:textId="5A46F020"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C4.I1: Support for the renovation of the building stock Sub-measure 1: Renovation of residential buildings</w:t>
            </w:r>
          </w:p>
        </w:tc>
        <w:tc>
          <w:tcPr>
            <w:tcW w:w="956" w:type="dxa"/>
            <w:shd w:val="clear" w:color="auto" w:fill="D6E3C6"/>
            <w:noWrap/>
          </w:tcPr>
          <w:p w14:paraId="44AA8D14" w14:textId="6E76DB88"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Target</w:t>
            </w:r>
          </w:p>
        </w:tc>
        <w:tc>
          <w:tcPr>
            <w:tcW w:w="1691" w:type="dxa"/>
            <w:shd w:val="clear" w:color="auto" w:fill="D6E3C6"/>
            <w:noWrap/>
          </w:tcPr>
          <w:p w14:paraId="5DF30344" w14:textId="60D0F46E"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Completed energy-efficiency renovation of multi-family residential buildings – renovated housing infrastructure (gross floor area)</w:t>
            </w:r>
          </w:p>
        </w:tc>
        <w:tc>
          <w:tcPr>
            <w:tcW w:w="1322" w:type="dxa"/>
            <w:shd w:val="clear" w:color="auto" w:fill="D6E3C6"/>
            <w:noWrap/>
          </w:tcPr>
          <w:p w14:paraId="4ED14116" w14:textId="77777777" w:rsidR="00AD589E" w:rsidRPr="004A3F9B" w:rsidRDefault="00AD589E" w:rsidP="0063508F">
            <w:pPr>
              <w:spacing w:after="0"/>
              <w:rPr>
                <w:rFonts w:ascii="Arial" w:eastAsia="Times New Roman" w:hAnsi="Arial" w:cs="Arial"/>
                <w:color w:val="006100"/>
                <w:sz w:val="16"/>
                <w:szCs w:val="16"/>
                <w:lang w:eastAsia="en-GB"/>
              </w:rPr>
            </w:pPr>
          </w:p>
        </w:tc>
        <w:tc>
          <w:tcPr>
            <w:tcW w:w="709" w:type="dxa"/>
            <w:shd w:val="clear" w:color="auto" w:fill="D6E3C6"/>
            <w:noWrap/>
          </w:tcPr>
          <w:p w14:paraId="4CBACCB9" w14:textId="4B3DFBE6"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Renovated gross floor area of residential buildings (m</w:t>
            </w:r>
            <w:r w:rsidRPr="004A3F9B">
              <w:rPr>
                <w:rFonts w:ascii="Arial" w:hAnsi="Arial" w:cs="Arial"/>
                <w:color w:val="006100"/>
                <w:sz w:val="16"/>
                <w:szCs w:val="16"/>
                <w:vertAlign w:val="superscript"/>
              </w:rPr>
              <w:t>2</w:t>
            </w:r>
            <w:r w:rsidRPr="004A3F9B">
              <w:rPr>
                <w:rFonts w:ascii="Arial" w:hAnsi="Arial" w:cs="Arial"/>
                <w:color w:val="006100"/>
                <w:sz w:val="16"/>
                <w:szCs w:val="16"/>
              </w:rPr>
              <w:t>)</w:t>
            </w:r>
          </w:p>
        </w:tc>
        <w:tc>
          <w:tcPr>
            <w:tcW w:w="614" w:type="dxa"/>
            <w:shd w:val="clear" w:color="auto" w:fill="D6E3C6"/>
            <w:noWrap/>
          </w:tcPr>
          <w:p w14:paraId="354CA5FB" w14:textId="23F57B87"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0</w:t>
            </w:r>
          </w:p>
        </w:tc>
        <w:tc>
          <w:tcPr>
            <w:tcW w:w="731" w:type="dxa"/>
            <w:shd w:val="clear" w:color="auto" w:fill="D6E3C6"/>
            <w:noWrap/>
          </w:tcPr>
          <w:p w14:paraId="588860AE" w14:textId="1B909CC6"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3.6 million</w:t>
            </w:r>
          </w:p>
        </w:tc>
        <w:tc>
          <w:tcPr>
            <w:tcW w:w="756" w:type="dxa"/>
            <w:gridSpan w:val="2"/>
            <w:shd w:val="clear" w:color="auto" w:fill="D6E3C6"/>
            <w:noWrap/>
          </w:tcPr>
          <w:p w14:paraId="02F1CC88" w14:textId="15DB0A49"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Q2</w:t>
            </w:r>
          </w:p>
        </w:tc>
        <w:tc>
          <w:tcPr>
            <w:tcW w:w="520" w:type="dxa"/>
            <w:shd w:val="clear" w:color="auto" w:fill="D6E3C6"/>
            <w:noWrap/>
          </w:tcPr>
          <w:p w14:paraId="11401E4E" w14:textId="0F264865"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2026</w:t>
            </w:r>
          </w:p>
        </w:tc>
        <w:tc>
          <w:tcPr>
            <w:tcW w:w="872" w:type="dxa"/>
            <w:gridSpan w:val="2"/>
            <w:shd w:val="clear" w:color="auto" w:fill="D6E3C6"/>
          </w:tcPr>
          <w:p w14:paraId="63D73FD9" w14:textId="745151EC"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Ministry of Regional Development and Public Works</w:t>
            </w:r>
          </w:p>
        </w:tc>
        <w:tc>
          <w:tcPr>
            <w:tcW w:w="851" w:type="dxa"/>
            <w:gridSpan w:val="2"/>
            <w:shd w:val="clear" w:color="auto" w:fill="D6E3C6"/>
          </w:tcPr>
          <w:p w14:paraId="53B94A70" w14:textId="77777777" w:rsidR="00AD589E" w:rsidRPr="004A3F9B"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1090A73A" w14:textId="30291648" w:rsidR="00AD589E" w:rsidRPr="004A3F9B" w:rsidRDefault="00AD589E" w:rsidP="0073371A">
            <w:pPr>
              <w:pStyle w:val="ListParagraph"/>
              <w:numPr>
                <w:ilvl w:val="0"/>
                <w:numId w:val="18"/>
              </w:numPr>
              <w:spacing w:after="0"/>
              <w:ind w:left="395" w:hanging="395"/>
              <w:rPr>
                <w:rFonts w:ascii="Arial" w:hAnsi="Arial" w:cs="Arial"/>
                <w:color w:val="006100"/>
                <w:sz w:val="16"/>
                <w:szCs w:val="16"/>
              </w:rPr>
            </w:pPr>
            <w:r w:rsidRPr="004A3F9B">
              <w:rPr>
                <w:rFonts w:ascii="Arial" w:hAnsi="Arial" w:cs="Arial"/>
                <w:color w:val="006100"/>
                <w:sz w:val="16"/>
                <w:szCs w:val="16"/>
                <w:lang w:eastAsia="en-GB"/>
              </w:rPr>
              <w:t>Spreadsheet from the responsible authority with the list of individual renovations with a unique identifier and for each renovation the following documentary evidence and elements:</w:t>
            </w:r>
          </w:p>
          <w:p w14:paraId="43ABDFFF" w14:textId="10E57CBB" w:rsidR="00AD589E" w:rsidRPr="004A3F9B" w:rsidRDefault="00AD589E" w:rsidP="0073371A">
            <w:pPr>
              <w:pStyle w:val="ListParagraph"/>
              <w:numPr>
                <w:ilvl w:val="0"/>
                <w:numId w:val="19"/>
              </w:numPr>
              <w:spacing w:after="0"/>
              <w:ind w:left="537" w:hanging="142"/>
              <w:rPr>
                <w:rFonts w:ascii="Arial" w:hAnsi="Arial" w:cs="Arial"/>
                <w:color w:val="006100"/>
                <w:sz w:val="16"/>
                <w:szCs w:val="16"/>
              </w:rPr>
            </w:pPr>
            <w:r w:rsidRPr="004A3F9B">
              <w:rPr>
                <w:rFonts w:ascii="Arial" w:hAnsi="Arial" w:cs="Arial"/>
                <w:color w:val="006100"/>
                <w:sz w:val="16"/>
                <w:szCs w:val="16"/>
                <w:lang w:eastAsia="en-GB"/>
              </w:rPr>
              <w:t>primary energy demand in the energy performance before and after the renovation</w:t>
            </w:r>
          </w:p>
          <w:p w14:paraId="5ED7BE8C" w14:textId="6327B47E" w:rsidR="00AD589E" w:rsidRPr="004A3F9B" w:rsidRDefault="00AD589E" w:rsidP="0073371A">
            <w:pPr>
              <w:pStyle w:val="ListParagraph"/>
              <w:numPr>
                <w:ilvl w:val="0"/>
                <w:numId w:val="19"/>
              </w:numPr>
              <w:spacing w:after="0"/>
              <w:ind w:left="537" w:hanging="142"/>
              <w:rPr>
                <w:rFonts w:ascii="Arial" w:hAnsi="Arial" w:cs="Arial"/>
                <w:color w:val="006100"/>
                <w:sz w:val="16"/>
                <w:szCs w:val="16"/>
              </w:rPr>
            </w:pPr>
            <w:r w:rsidRPr="004A3F9B">
              <w:rPr>
                <w:rFonts w:ascii="Arial" w:hAnsi="Arial" w:cs="Arial"/>
                <w:color w:val="006100"/>
                <w:sz w:val="16"/>
                <w:szCs w:val="16"/>
                <w:lang w:eastAsia="en-GB"/>
              </w:rPr>
              <w:t>gross floor area in m</w:t>
            </w:r>
            <w:r w:rsidRPr="004A3F9B">
              <w:rPr>
                <w:rFonts w:ascii="Arial" w:hAnsi="Arial" w:cs="Arial"/>
                <w:color w:val="006100"/>
                <w:sz w:val="16"/>
                <w:szCs w:val="16"/>
                <w:vertAlign w:val="superscript"/>
                <w:lang w:eastAsia="en-GB"/>
              </w:rPr>
              <w:t>2</w:t>
            </w:r>
            <w:r w:rsidRPr="004A3F9B">
              <w:rPr>
                <w:rFonts w:ascii="Arial" w:hAnsi="Arial" w:cs="Arial"/>
                <w:color w:val="006100"/>
                <w:sz w:val="16"/>
                <w:szCs w:val="16"/>
                <w:lang w:eastAsia="en-GB"/>
              </w:rPr>
              <w:t xml:space="preserve"> covered by the renovations</w:t>
            </w:r>
          </w:p>
          <w:p w14:paraId="7C7627ED" w14:textId="350BA2F1" w:rsidR="00AD589E" w:rsidRPr="004A3F9B" w:rsidRDefault="00AD589E" w:rsidP="0073371A">
            <w:pPr>
              <w:pStyle w:val="ListParagraph"/>
              <w:numPr>
                <w:ilvl w:val="0"/>
                <w:numId w:val="19"/>
              </w:numPr>
              <w:spacing w:after="0"/>
              <w:ind w:left="537" w:hanging="142"/>
              <w:rPr>
                <w:rFonts w:ascii="Arial" w:hAnsi="Arial" w:cs="Arial"/>
                <w:color w:val="006100"/>
                <w:sz w:val="16"/>
                <w:szCs w:val="16"/>
              </w:rPr>
            </w:pPr>
            <w:r w:rsidRPr="004A3F9B">
              <w:rPr>
                <w:rFonts w:ascii="Arial" w:hAnsi="Arial" w:cs="Arial"/>
                <w:color w:val="006100"/>
                <w:sz w:val="16"/>
                <w:szCs w:val="16"/>
                <w:lang w:eastAsia="en-GB"/>
              </w:rPr>
              <w:lastRenderedPageBreak/>
              <w:t>list of reports of completion/acceptance at end-of-works, or equivalent supporting evidence issued in accordance with the national legislation</w:t>
            </w:r>
          </w:p>
        </w:tc>
        <w:tc>
          <w:tcPr>
            <w:tcW w:w="3402" w:type="dxa"/>
            <w:shd w:val="clear" w:color="auto" w:fill="D6E3C6"/>
          </w:tcPr>
          <w:p w14:paraId="6C44EF6F" w14:textId="77777777" w:rsidR="00AD589E" w:rsidRPr="004A3F9B" w:rsidRDefault="00AD589E" w:rsidP="00B36E9D">
            <w:pPr>
              <w:spacing w:after="0"/>
              <w:rPr>
                <w:rFonts w:ascii="Arial" w:hAnsi="Arial" w:cs="Arial"/>
                <w:color w:val="006100"/>
                <w:sz w:val="16"/>
                <w:szCs w:val="16"/>
              </w:rPr>
            </w:pPr>
            <w:r w:rsidRPr="004A3F9B">
              <w:rPr>
                <w:rFonts w:ascii="Arial" w:hAnsi="Arial" w:cs="Arial"/>
                <w:color w:val="006100"/>
                <w:sz w:val="16"/>
                <w:szCs w:val="16"/>
              </w:rPr>
              <w:lastRenderedPageBreak/>
              <w:t>Institution/s: Ministry of Regional Development and Public Works</w:t>
            </w:r>
          </w:p>
          <w:p w14:paraId="2BA26DA9" w14:textId="77777777" w:rsidR="00AD589E" w:rsidRPr="004A3F9B" w:rsidRDefault="00AD589E" w:rsidP="00B36E9D">
            <w:pPr>
              <w:spacing w:after="0"/>
              <w:rPr>
                <w:rFonts w:ascii="Arial" w:hAnsi="Arial" w:cs="Arial"/>
                <w:color w:val="006100"/>
                <w:sz w:val="16"/>
                <w:szCs w:val="16"/>
              </w:rPr>
            </w:pPr>
          </w:p>
          <w:p w14:paraId="1155BB72" w14:textId="691B35CE" w:rsidR="00AD589E" w:rsidRPr="004A3F9B" w:rsidRDefault="00AD589E" w:rsidP="00B36E9D">
            <w:pPr>
              <w:spacing w:after="0"/>
              <w:rPr>
                <w:rFonts w:ascii="Arial" w:hAnsi="Arial" w:cs="Arial"/>
                <w:color w:val="006100"/>
                <w:sz w:val="16"/>
                <w:szCs w:val="16"/>
              </w:rPr>
            </w:pPr>
            <w:r w:rsidRPr="004A3F9B">
              <w:rPr>
                <w:rFonts w:ascii="Arial" w:hAnsi="Arial" w:cs="Arial"/>
                <w:color w:val="006100"/>
                <w:sz w:val="16"/>
                <w:szCs w:val="16"/>
              </w:rPr>
              <w:t>What: Completed energy-efficiency renovation of multi-family residential buildings – renovated housing infrastructure (gross floor area)</w:t>
            </w:r>
          </w:p>
          <w:p w14:paraId="2104D018" w14:textId="77777777" w:rsidR="00AD589E" w:rsidRPr="004A3F9B" w:rsidRDefault="00AD589E" w:rsidP="00B36E9D">
            <w:pPr>
              <w:spacing w:after="0"/>
              <w:rPr>
                <w:rFonts w:ascii="Arial" w:hAnsi="Arial" w:cs="Arial"/>
                <w:color w:val="006100"/>
                <w:sz w:val="16"/>
                <w:szCs w:val="16"/>
              </w:rPr>
            </w:pPr>
          </w:p>
          <w:p w14:paraId="50AFEDBA" w14:textId="500DB18C" w:rsidR="00AD589E" w:rsidRPr="004A3F9B" w:rsidRDefault="00AD589E" w:rsidP="00B36E9D">
            <w:pPr>
              <w:spacing w:after="0"/>
              <w:rPr>
                <w:rFonts w:ascii="Arial" w:hAnsi="Arial" w:cs="Arial"/>
                <w:color w:val="006100"/>
                <w:sz w:val="16"/>
                <w:szCs w:val="16"/>
              </w:rPr>
            </w:pPr>
            <w:r w:rsidRPr="004A3F9B">
              <w:rPr>
                <w:rFonts w:ascii="Arial" w:hAnsi="Arial" w:cs="Arial"/>
                <w:color w:val="006100"/>
                <w:sz w:val="16"/>
                <w:szCs w:val="16"/>
              </w:rPr>
              <w:t>How: reporting (a)</w:t>
            </w:r>
          </w:p>
          <w:p w14:paraId="083FDD94" w14:textId="77777777" w:rsidR="00AD589E" w:rsidRPr="004A3F9B" w:rsidRDefault="00AD589E" w:rsidP="00B36E9D">
            <w:pPr>
              <w:spacing w:after="0"/>
              <w:rPr>
                <w:rFonts w:ascii="Arial" w:hAnsi="Arial" w:cs="Arial"/>
                <w:color w:val="006100"/>
                <w:sz w:val="16"/>
                <w:szCs w:val="16"/>
              </w:rPr>
            </w:pPr>
          </w:p>
          <w:p w14:paraId="1524248D" w14:textId="058CE0F3" w:rsidR="00AD589E" w:rsidRPr="004A3F9B" w:rsidRDefault="00AD589E" w:rsidP="00B36E9D">
            <w:pPr>
              <w:spacing w:after="0"/>
              <w:rPr>
                <w:rFonts w:ascii="Arial" w:hAnsi="Arial" w:cs="Arial"/>
                <w:color w:val="006100"/>
                <w:sz w:val="16"/>
                <w:szCs w:val="16"/>
              </w:rPr>
            </w:pPr>
            <w:r w:rsidRPr="004A3F9B">
              <w:rPr>
                <w:rFonts w:ascii="Arial" w:hAnsi="Arial" w:cs="Arial"/>
                <w:color w:val="006100"/>
                <w:sz w:val="16"/>
                <w:szCs w:val="16"/>
              </w:rPr>
              <w:t>Why: Completion of energy-efficiency renovation of multi-family residential buildings. The renovation shall reduce on average at least 30% of primary energy consumption. [provide references to the above in the summary document]</w:t>
            </w:r>
          </w:p>
          <w:p w14:paraId="269AE807" w14:textId="77777777" w:rsidR="00AD589E" w:rsidRPr="004A3F9B" w:rsidRDefault="00AD589E" w:rsidP="00B36E9D">
            <w:pPr>
              <w:spacing w:after="0"/>
              <w:rPr>
                <w:rFonts w:ascii="Arial" w:hAnsi="Arial" w:cs="Arial"/>
                <w:color w:val="006100"/>
                <w:sz w:val="16"/>
                <w:szCs w:val="16"/>
              </w:rPr>
            </w:pPr>
          </w:p>
          <w:p w14:paraId="329CA0B8" w14:textId="46126FCE" w:rsidR="00AD589E" w:rsidRPr="004A3F9B" w:rsidRDefault="00AD589E" w:rsidP="00B36E9D">
            <w:pPr>
              <w:spacing w:after="0"/>
              <w:rPr>
                <w:rFonts w:ascii="Arial" w:hAnsi="Arial" w:cs="Arial"/>
                <w:color w:val="006100"/>
                <w:sz w:val="16"/>
                <w:szCs w:val="16"/>
              </w:rPr>
            </w:pPr>
            <w:r w:rsidRPr="004A3F9B">
              <w:rPr>
                <w:rFonts w:ascii="Arial" w:hAnsi="Arial" w:cs="Arial"/>
                <w:color w:val="006100"/>
                <w:sz w:val="16"/>
                <w:szCs w:val="16"/>
              </w:rPr>
              <w:t xml:space="preserve">When: </w:t>
            </w:r>
            <w:r w:rsidR="008A7393" w:rsidRPr="004A3F9B">
              <w:rPr>
                <w:rFonts w:ascii="Arial" w:hAnsi="Arial" w:cs="Arial"/>
                <w:color w:val="006100"/>
                <w:sz w:val="16"/>
                <w:szCs w:val="16"/>
              </w:rPr>
              <w:t>after completion of works</w:t>
            </w:r>
          </w:p>
        </w:tc>
        <w:tc>
          <w:tcPr>
            <w:tcW w:w="2268" w:type="dxa"/>
            <w:shd w:val="clear" w:color="auto" w:fill="D6E3C6"/>
          </w:tcPr>
          <w:p w14:paraId="234442F9" w14:textId="30CA9F16"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As above</w:t>
            </w:r>
          </w:p>
        </w:tc>
        <w:tc>
          <w:tcPr>
            <w:tcW w:w="1036" w:type="dxa"/>
            <w:gridSpan w:val="2"/>
            <w:shd w:val="clear" w:color="auto" w:fill="D6E3C6"/>
          </w:tcPr>
          <w:p w14:paraId="4F8D57B1" w14:textId="4BDF64CB" w:rsidR="00AD589E" w:rsidRPr="004A3F9B" w:rsidRDefault="00015639" w:rsidP="007D17C3">
            <w:pPr>
              <w:spacing w:after="0"/>
              <w:rPr>
                <w:rFonts w:ascii="Arial" w:hAnsi="Arial" w:cs="Arial"/>
                <w:color w:val="006100"/>
                <w:sz w:val="16"/>
                <w:szCs w:val="16"/>
              </w:rPr>
            </w:pPr>
            <w:r w:rsidRPr="004A3F9B">
              <w:rPr>
                <w:rFonts w:ascii="Arial" w:hAnsi="Arial" w:cs="Arial"/>
                <w:color w:val="006100"/>
                <w:sz w:val="16"/>
                <w:szCs w:val="16"/>
              </w:rPr>
              <w:t>Delays in the signature of contracts and implementation of the works</w:t>
            </w:r>
          </w:p>
        </w:tc>
        <w:tc>
          <w:tcPr>
            <w:tcW w:w="1090" w:type="dxa"/>
            <w:gridSpan w:val="2"/>
            <w:shd w:val="clear" w:color="auto" w:fill="D6E3C6"/>
          </w:tcPr>
          <w:p w14:paraId="00F496C2" w14:textId="051002C5" w:rsidR="00AD589E" w:rsidRPr="004A3F9B" w:rsidRDefault="00AD589E" w:rsidP="007D17C3">
            <w:pPr>
              <w:spacing w:after="0"/>
              <w:rPr>
                <w:rFonts w:ascii="Arial" w:hAnsi="Arial" w:cs="Arial"/>
                <w:color w:val="006100"/>
                <w:sz w:val="16"/>
                <w:szCs w:val="16"/>
              </w:rPr>
            </w:pPr>
            <w:r w:rsidRPr="004A3F9B">
              <w:rPr>
                <w:rFonts w:ascii="Arial" w:hAnsi="Arial" w:cs="Arial"/>
                <w:color w:val="006100"/>
                <w:sz w:val="16"/>
                <w:szCs w:val="16"/>
              </w:rPr>
              <w:t>Yes, sample-based</w:t>
            </w:r>
          </w:p>
          <w:p w14:paraId="2B6CDF9E" w14:textId="77777777" w:rsidR="00AD589E" w:rsidRPr="004A3F9B" w:rsidRDefault="00AD589E" w:rsidP="0063508F">
            <w:pPr>
              <w:spacing w:after="0"/>
              <w:rPr>
                <w:rFonts w:ascii="Arial" w:hAnsi="Arial" w:cs="Arial"/>
                <w:color w:val="006100"/>
                <w:sz w:val="16"/>
                <w:szCs w:val="16"/>
              </w:rPr>
            </w:pPr>
          </w:p>
        </w:tc>
        <w:tc>
          <w:tcPr>
            <w:tcW w:w="992" w:type="dxa"/>
            <w:gridSpan w:val="2"/>
            <w:shd w:val="clear" w:color="auto" w:fill="D6E3C6"/>
          </w:tcPr>
          <w:p w14:paraId="62511E00" w14:textId="4F2826AE" w:rsidR="00AD589E" w:rsidRPr="004A3F9B" w:rsidRDefault="00435136" w:rsidP="007D17C3">
            <w:pPr>
              <w:spacing w:after="0"/>
              <w:rPr>
                <w:rFonts w:ascii="Arial" w:hAnsi="Arial" w:cs="Arial"/>
                <w:color w:val="006100"/>
                <w:sz w:val="16"/>
                <w:szCs w:val="16"/>
              </w:rPr>
            </w:pPr>
            <w:r w:rsidRPr="004A3F9B">
              <w:rPr>
                <w:rFonts w:ascii="Arial" w:hAnsi="Arial" w:cs="Arial"/>
                <w:color w:val="006100"/>
                <w:sz w:val="16"/>
                <w:szCs w:val="16"/>
              </w:rPr>
              <w:t>1 (energy</w:t>
            </w:r>
            <w:r w:rsidR="00077065" w:rsidRPr="004A3F9B">
              <w:rPr>
                <w:rFonts w:ascii="Arial" w:hAnsi="Arial" w:cs="Arial"/>
                <w:color w:val="006100"/>
                <w:sz w:val="16"/>
                <w:szCs w:val="16"/>
              </w:rPr>
              <w:t xml:space="preserve"> saving</w:t>
            </w:r>
            <w:r w:rsidRPr="004A3F9B">
              <w:rPr>
                <w:rFonts w:ascii="Arial" w:hAnsi="Arial" w:cs="Arial"/>
                <w:color w:val="006100"/>
                <w:sz w:val="16"/>
                <w:szCs w:val="16"/>
              </w:rPr>
              <w:t>)</w:t>
            </w:r>
          </w:p>
        </w:tc>
        <w:tc>
          <w:tcPr>
            <w:tcW w:w="1418" w:type="dxa"/>
            <w:gridSpan w:val="2"/>
            <w:shd w:val="clear" w:color="auto" w:fill="D6E3C6"/>
          </w:tcPr>
          <w:p w14:paraId="1A9C94F3" w14:textId="37DF9AA0" w:rsidR="00AD589E" w:rsidRPr="004A3F9B" w:rsidRDefault="006F34C8" w:rsidP="007D17C3">
            <w:pPr>
              <w:spacing w:after="0"/>
              <w:rPr>
                <w:rFonts w:ascii="Arial" w:hAnsi="Arial" w:cs="Arial"/>
                <w:color w:val="006100"/>
                <w:sz w:val="16"/>
                <w:szCs w:val="16"/>
              </w:rPr>
            </w:pPr>
            <w:r w:rsidRPr="004A3F9B">
              <w:rPr>
                <w:rFonts w:ascii="Arial" w:hAnsi="Arial" w:cs="Arial"/>
                <w:color w:val="006100"/>
                <w:sz w:val="16"/>
                <w:szCs w:val="16"/>
              </w:rPr>
              <w:t>A monitoring step: Progress report detailing the progress achieved towards the fulfilment of the target</w:t>
            </w:r>
            <w:r w:rsidR="00E263F7" w:rsidRPr="004A3F9B">
              <w:rPr>
                <w:rFonts w:ascii="Arial" w:hAnsi="Arial" w:cs="Arial"/>
                <w:color w:val="006100"/>
                <w:sz w:val="16"/>
                <w:szCs w:val="16"/>
              </w:rPr>
              <w:t xml:space="preserve"> (Q2 2025)</w:t>
            </w:r>
          </w:p>
        </w:tc>
      </w:tr>
      <w:tr w:rsidR="004A3F9B" w:rsidRPr="004A3F9B" w14:paraId="1D1E61C2" w14:textId="3B1D652D" w:rsidTr="00596EEA">
        <w:trPr>
          <w:trHeight w:val="309"/>
        </w:trPr>
        <w:tc>
          <w:tcPr>
            <w:tcW w:w="454" w:type="dxa"/>
            <w:shd w:val="clear" w:color="auto" w:fill="D6E3C6"/>
            <w:noWrap/>
          </w:tcPr>
          <w:p w14:paraId="39A72BA6" w14:textId="6F6A41E1"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72</w:t>
            </w:r>
          </w:p>
        </w:tc>
        <w:tc>
          <w:tcPr>
            <w:tcW w:w="1215" w:type="dxa"/>
            <w:shd w:val="clear" w:color="auto" w:fill="D6E3C6"/>
            <w:noWrap/>
          </w:tcPr>
          <w:p w14:paraId="5D424D27" w14:textId="1752D812"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C4.I1: Support for the renovation of the building stock Sub-measure 2: Renovation of non-residential buildings, including public buildings and Sub-measure 3: Renovation of non-residential buildings in manufacturing, trade and services, as well as buildings from the tourism sector</w:t>
            </w:r>
          </w:p>
        </w:tc>
        <w:tc>
          <w:tcPr>
            <w:tcW w:w="956" w:type="dxa"/>
            <w:shd w:val="clear" w:color="auto" w:fill="D6E3C6"/>
            <w:noWrap/>
          </w:tcPr>
          <w:p w14:paraId="5396C6CE" w14:textId="6037F8B0"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Milestone</w:t>
            </w:r>
          </w:p>
        </w:tc>
        <w:tc>
          <w:tcPr>
            <w:tcW w:w="1691" w:type="dxa"/>
            <w:shd w:val="clear" w:color="auto" w:fill="D6E3C6"/>
            <w:noWrap/>
          </w:tcPr>
          <w:p w14:paraId="5A55AD6B" w14:textId="5E4C6315"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Calls for proposals for the energy efficiency renovation for non-residential buildings</w:t>
            </w:r>
          </w:p>
        </w:tc>
        <w:tc>
          <w:tcPr>
            <w:tcW w:w="1322" w:type="dxa"/>
            <w:shd w:val="clear" w:color="auto" w:fill="D6E3C6"/>
            <w:noWrap/>
          </w:tcPr>
          <w:p w14:paraId="23EAC0E2" w14:textId="33821317"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Publication of calls specifications for call 1 (public buildings) and call 2 (buildings in manufacturing, trade and services)</w:t>
            </w:r>
          </w:p>
        </w:tc>
        <w:tc>
          <w:tcPr>
            <w:tcW w:w="709" w:type="dxa"/>
            <w:shd w:val="clear" w:color="auto" w:fill="D6E3C6"/>
            <w:noWrap/>
          </w:tcPr>
          <w:p w14:paraId="7FF65DDD"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297BD73B"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0EFCB44D"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0F9D947D" w14:textId="202339DE"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Q3</w:t>
            </w:r>
          </w:p>
        </w:tc>
        <w:tc>
          <w:tcPr>
            <w:tcW w:w="520" w:type="dxa"/>
            <w:shd w:val="clear" w:color="auto" w:fill="D6E3C6"/>
            <w:noWrap/>
          </w:tcPr>
          <w:p w14:paraId="2B5640D3" w14:textId="026FAB54"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2022</w:t>
            </w:r>
          </w:p>
        </w:tc>
        <w:tc>
          <w:tcPr>
            <w:tcW w:w="872" w:type="dxa"/>
            <w:gridSpan w:val="2"/>
            <w:shd w:val="clear" w:color="auto" w:fill="D6E3C6"/>
          </w:tcPr>
          <w:p w14:paraId="2701A815" w14:textId="71BE8ED9"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eastAsia="Times New Roman" w:hAnsi="Arial" w:cs="Arial"/>
                <w:color w:val="006100"/>
                <w:sz w:val="16"/>
                <w:szCs w:val="16"/>
                <w:lang w:eastAsia="en-GB"/>
              </w:rPr>
              <w:t>Ministry of Regional Development and Public Works</w:t>
            </w:r>
          </w:p>
        </w:tc>
        <w:tc>
          <w:tcPr>
            <w:tcW w:w="851" w:type="dxa"/>
            <w:gridSpan w:val="2"/>
            <w:shd w:val="clear" w:color="auto" w:fill="D6E3C6"/>
          </w:tcPr>
          <w:p w14:paraId="059A07C6" w14:textId="77777777" w:rsidR="00AD589E" w:rsidRPr="004A3F9B"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6C161869" w14:textId="355800B3" w:rsidR="00AD589E" w:rsidRPr="004A3F9B" w:rsidRDefault="00AD589E" w:rsidP="0073371A">
            <w:pPr>
              <w:pStyle w:val="ListParagraph"/>
              <w:numPr>
                <w:ilvl w:val="0"/>
                <w:numId w:val="20"/>
              </w:numPr>
              <w:spacing w:after="0"/>
              <w:ind w:left="395"/>
              <w:rPr>
                <w:rFonts w:ascii="Arial" w:hAnsi="Arial" w:cs="Arial"/>
                <w:color w:val="006100"/>
                <w:sz w:val="16"/>
                <w:szCs w:val="16"/>
              </w:rPr>
            </w:pPr>
            <w:r w:rsidRPr="004A3F9B">
              <w:rPr>
                <w:rFonts w:ascii="Arial" w:hAnsi="Arial" w:cs="Arial"/>
                <w:color w:val="006100"/>
                <w:sz w:val="16"/>
                <w:szCs w:val="16"/>
                <w:lang w:eastAsia="en-GB"/>
              </w:rPr>
              <w:t>Copy of the publication and/or a link to the relevant public website with the publication of the calls for proposal</w:t>
            </w:r>
          </w:p>
          <w:p w14:paraId="71125A6F" w14:textId="6B5774AA" w:rsidR="00AD589E" w:rsidRPr="004A3F9B" w:rsidRDefault="00AD589E" w:rsidP="0073371A">
            <w:pPr>
              <w:pStyle w:val="ListParagraph"/>
              <w:numPr>
                <w:ilvl w:val="0"/>
                <w:numId w:val="20"/>
              </w:numPr>
              <w:spacing w:after="0"/>
              <w:ind w:left="395"/>
              <w:rPr>
                <w:rFonts w:ascii="Arial" w:hAnsi="Arial" w:cs="Arial"/>
                <w:color w:val="006100"/>
                <w:sz w:val="16"/>
                <w:szCs w:val="16"/>
              </w:rPr>
            </w:pPr>
            <w:r w:rsidRPr="004A3F9B">
              <w:rPr>
                <w:rFonts w:ascii="Arial" w:hAnsi="Arial" w:cs="Arial"/>
                <w:color w:val="006100"/>
                <w:sz w:val="16"/>
                <w:szCs w:val="16"/>
                <w:lang w:eastAsia="en-GB"/>
              </w:rPr>
              <w:t>Reference to the specific provisions which fulfil the relevant elements of the milestone, as listed in the description of milestone and the corresponding measure in the CID annex, with appropriate links to or copies of the document(s) mentioned in the summary document</w:t>
            </w:r>
          </w:p>
        </w:tc>
        <w:tc>
          <w:tcPr>
            <w:tcW w:w="3402" w:type="dxa"/>
            <w:shd w:val="clear" w:color="auto" w:fill="D6E3C6"/>
          </w:tcPr>
          <w:p w14:paraId="3700E47A" w14:textId="77777777" w:rsidR="00AD589E" w:rsidRPr="004A3F9B" w:rsidRDefault="00AD589E" w:rsidP="00612767">
            <w:pPr>
              <w:spacing w:after="0"/>
              <w:rPr>
                <w:rFonts w:ascii="Arial" w:hAnsi="Arial" w:cs="Arial"/>
                <w:color w:val="006100"/>
                <w:sz w:val="16"/>
                <w:szCs w:val="16"/>
              </w:rPr>
            </w:pPr>
            <w:r w:rsidRPr="004A3F9B">
              <w:rPr>
                <w:rFonts w:ascii="Arial" w:hAnsi="Arial" w:cs="Arial"/>
                <w:color w:val="006100"/>
                <w:sz w:val="16"/>
                <w:szCs w:val="16"/>
              </w:rPr>
              <w:t>Institution/s: Ministry of Regional Development and Public Works</w:t>
            </w:r>
          </w:p>
          <w:p w14:paraId="3849F051" w14:textId="77777777" w:rsidR="00AD589E" w:rsidRPr="004A3F9B" w:rsidRDefault="00AD589E" w:rsidP="00612767">
            <w:pPr>
              <w:spacing w:after="0"/>
              <w:rPr>
                <w:rFonts w:ascii="Arial" w:hAnsi="Arial" w:cs="Arial"/>
                <w:color w:val="006100"/>
                <w:sz w:val="16"/>
                <w:szCs w:val="16"/>
              </w:rPr>
            </w:pPr>
          </w:p>
          <w:p w14:paraId="07951EA8" w14:textId="0BAF1344" w:rsidR="00AD589E" w:rsidRPr="004A3F9B" w:rsidRDefault="00AD589E" w:rsidP="00612767">
            <w:pPr>
              <w:spacing w:after="0"/>
              <w:rPr>
                <w:rFonts w:ascii="Arial" w:hAnsi="Arial" w:cs="Arial"/>
                <w:color w:val="006100"/>
                <w:sz w:val="16"/>
                <w:szCs w:val="16"/>
              </w:rPr>
            </w:pPr>
            <w:r w:rsidRPr="004A3F9B">
              <w:rPr>
                <w:rFonts w:ascii="Arial" w:hAnsi="Arial" w:cs="Arial"/>
                <w:color w:val="006100"/>
                <w:sz w:val="16"/>
                <w:szCs w:val="16"/>
              </w:rPr>
              <w:t>What: Calls for proposals for the energy efficiency renovation for non-residential buildings</w:t>
            </w:r>
          </w:p>
          <w:p w14:paraId="7EC5D497" w14:textId="77777777" w:rsidR="00AD589E" w:rsidRPr="004A3F9B" w:rsidRDefault="00AD589E" w:rsidP="00612767">
            <w:pPr>
              <w:spacing w:after="0"/>
              <w:rPr>
                <w:rFonts w:ascii="Arial" w:hAnsi="Arial" w:cs="Arial"/>
                <w:color w:val="006100"/>
                <w:sz w:val="16"/>
                <w:szCs w:val="16"/>
              </w:rPr>
            </w:pPr>
          </w:p>
          <w:p w14:paraId="0679A297" w14:textId="24E53F10" w:rsidR="00AD589E" w:rsidRPr="004A3F9B" w:rsidRDefault="00AD589E" w:rsidP="00612767">
            <w:pPr>
              <w:spacing w:after="0"/>
              <w:rPr>
                <w:rFonts w:ascii="Arial" w:hAnsi="Arial" w:cs="Arial"/>
                <w:color w:val="006100"/>
                <w:sz w:val="16"/>
                <w:szCs w:val="16"/>
              </w:rPr>
            </w:pPr>
            <w:r w:rsidRPr="004A3F9B">
              <w:rPr>
                <w:rFonts w:ascii="Arial" w:hAnsi="Arial" w:cs="Arial"/>
                <w:color w:val="006100"/>
                <w:sz w:val="16"/>
                <w:szCs w:val="16"/>
              </w:rPr>
              <w:t xml:space="preserve">How: </w:t>
            </w:r>
            <w:r w:rsidR="00EC3CB8" w:rsidRPr="004A3F9B">
              <w:rPr>
                <w:rFonts w:ascii="Arial" w:hAnsi="Arial" w:cs="Arial"/>
                <w:color w:val="006100"/>
                <w:sz w:val="16"/>
                <w:szCs w:val="16"/>
              </w:rPr>
              <w:t>contracting (a), reporting (b)</w:t>
            </w:r>
          </w:p>
          <w:p w14:paraId="035F268B" w14:textId="77777777" w:rsidR="00AD589E" w:rsidRPr="004A3F9B" w:rsidRDefault="00AD589E" w:rsidP="00612767">
            <w:pPr>
              <w:spacing w:after="0"/>
              <w:rPr>
                <w:rFonts w:ascii="Arial" w:hAnsi="Arial" w:cs="Arial"/>
                <w:color w:val="006100"/>
                <w:sz w:val="16"/>
                <w:szCs w:val="16"/>
              </w:rPr>
            </w:pPr>
          </w:p>
          <w:p w14:paraId="0CBDC0CD" w14:textId="77777777" w:rsidR="00AD589E" w:rsidRPr="004A3F9B" w:rsidRDefault="00AD589E" w:rsidP="002814A4">
            <w:pPr>
              <w:spacing w:after="0"/>
              <w:rPr>
                <w:rFonts w:ascii="Arial" w:hAnsi="Arial" w:cs="Arial"/>
                <w:color w:val="006100"/>
                <w:sz w:val="16"/>
                <w:szCs w:val="16"/>
              </w:rPr>
            </w:pPr>
            <w:r w:rsidRPr="004A3F9B">
              <w:rPr>
                <w:rFonts w:ascii="Arial" w:hAnsi="Arial" w:cs="Arial"/>
                <w:color w:val="006100"/>
                <w:sz w:val="16"/>
                <w:szCs w:val="16"/>
              </w:rPr>
              <w:t xml:space="preserve">Why: The following two calls for proposals shall be published by the Ministry of Regional Development and Public Works for the energy efficiency renovation of non- residential buildings: </w:t>
            </w:r>
          </w:p>
          <w:p w14:paraId="669A262D" w14:textId="77777777" w:rsidR="00AD589E" w:rsidRPr="004A3F9B" w:rsidRDefault="00AD589E" w:rsidP="002814A4">
            <w:pPr>
              <w:spacing w:after="0"/>
              <w:rPr>
                <w:rFonts w:ascii="Arial" w:hAnsi="Arial" w:cs="Arial"/>
                <w:color w:val="006100"/>
                <w:sz w:val="16"/>
                <w:szCs w:val="16"/>
              </w:rPr>
            </w:pPr>
            <w:r w:rsidRPr="004A3F9B">
              <w:rPr>
                <w:rFonts w:ascii="Arial" w:hAnsi="Arial" w:cs="Arial"/>
                <w:color w:val="006100"/>
                <w:sz w:val="16"/>
                <w:szCs w:val="16"/>
              </w:rPr>
              <w:t>- call for public buildings;</w:t>
            </w:r>
          </w:p>
          <w:p w14:paraId="745651FF" w14:textId="407F66FD" w:rsidR="00AD589E" w:rsidRPr="004A3F9B" w:rsidRDefault="00AD589E" w:rsidP="002814A4">
            <w:pPr>
              <w:spacing w:after="0"/>
              <w:rPr>
                <w:rFonts w:ascii="Arial" w:hAnsi="Arial" w:cs="Arial"/>
                <w:color w:val="006100"/>
                <w:sz w:val="16"/>
                <w:szCs w:val="16"/>
              </w:rPr>
            </w:pPr>
            <w:r w:rsidRPr="004A3F9B">
              <w:rPr>
                <w:rFonts w:ascii="Arial" w:hAnsi="Arial" w:cs="Arial"/>
                <w:color w:val="006100"/>
                <w:sz w:val="16"/>
                <w:szCs w:val="16"/>
              </w:rPr>
              <w:t>- call for buildings in manufacturing, trade and services. [provide references to the above in the summary document]</w:t>
            </w:r>
          </w:p>
          <w:p w14:paraId="2E94A9FC" w14:textId="77777777" w:rsidR="00AD589E" w:rsidRPr="004A3F9B" w:rsidRDefault="00AD589E" w:rsidP="00612767">
            <w:pPr>
              <w:spacing w:after="0"/>
              <w:rPr>
                <w:rFonts w:ascii="Arial" w:hAnsi="Arial" w:cs="Arial"/>
                <w:color w:val="006100"/>
                <w:sz w:val="16"/>
                <w:szCs w:val="16"/>
              </w:rPr>
            </w:pPr>
          </w:p>
          <w:p w14:paraId="31419DE5" w14:textId="2434FC29" w:rsidR="00AD589E" w:rsidRPr="004A3F9B" w:rsidRDefault="00AD589E" w:rsidP="00612767">
            <w:pPr>
              <w:spacing w:after="0"/>
              <w:rPr>
                <w:rFonts w:ascii="Arial" w:hAnsi="Arial" w:cs="Arial"/>
                <w:color w:val="006100"/>
                <w:sz w:val="16"/>
                <w:szCs w:val="16"/>
              </w:rPr>
            </w:pPr>
            <w:r w:rsidRPr="004A3F9B">
              <w:rPr>
                <w:rFonts w:ascii="Arial" w:hAnsi="Arial" w:cs="Arial"/>
                <w:color w:val="006100"/>
                <w:sz w:val="16"/>
                <w:szCs w:val="16"/>
              </w:rPr>
              <w:t>When: specify the dates of publication of the calls</w:t>
            </w:r>
          </w:p>
        </w:tc>
        <w:tc>
          <w:tcPr>
            <w:tcW w:w="2268" w:type="dxa"/>
            <w:shd w:val="clear" w:color="auto" w:fill="D6E3C6"/>
          </w:tcPr>
          <w:p w14:paraId="77C8FD8D" w14:textId="5DEAE83D" w:rsidR="00AD589E" w:rsidRPr="004A3F9B" w:rsidRDefault="00AD589E" w:rsidP="00923E5C">
            <w:pPr>
              <w:spacing w:after="0"/>
              <w:rPr>
                <w:rFonts w:ascii="Arial" w:hAnsi="Arial" w:cs="Arial"/>
                <w:color w:val="006100"/>
                <w:sz w:val="16"/>
                <w:szCs w:val="16"/>
              </w:rPr>
            </w:pPr>
            <w:r w:rsidRPr="004A3F9B">
              <w:rPr>
                <w:rFonts w:ascii="Arial" w:hAnsi="Arial" w:cs="Arial"/>
                <w:color w:val="006100"/>
                <w:sz w:val="16"/>
                <w:szCs w:val="16"/>
              </w:rPr>
              <w:t>Sub-measure 2 shall consist in the financing of measures for the sustainable energy renovation of state and municipal buildings (including administrative services buildings, public service buildings in the field of culture and art and sports buildings, as well as buildings owned by the Bulgarian Academy of Sciences). The sub-measure shall lead to the renovation of non-residential buildings with a total surface area of at least 1.4 million m</w:t>
            </w:r>
            <w:r w:rsidRPr="004A3F9B">
              <w:rPr>
                <w:rFonts w:ascii="Arial" w:hAnsi="Arial" w:cs="Arial"/>
                <w:color w:val="006100"/>
                <w:sz w:val="16"/>
                <w:szCs w:val="16"/>
                <w:vertAlign w:val="superscript"/>
              </w:rPr>
              <w:t>2</w:t>
            </w:r>
            <w:r w:rsidRPr="004A3F9B">
              <w:rPr>
                <w:rFonts w:ascii="Arial" w:hAnsi="Arial" w:cs="Arial"/>
                <w:color w:val="006100"/>
                <w:sz w:val="16"/>
                <w:szCs w:val="16"/>
              </w:rPr>
              <w:t xml:space="preserve">.  </w:t>
            </w:r>
          </w:p>
          <w:p w14:paraId="74B3FAFD" w14:textId="77777777" w:rsidR="00AD589E" w:rsidRPr="004A3F9B" w:rsidRDefault="00AD589E" w:rsidP="00923E5C">
            <w:pPr>
              <w:spacing w:after="0"/>
              <w:rPr>
                <w:rFonts w:ascii="Arial" w:hAnsi="Arial" w:cs="Arial"/>
                <w:color w:val="006100"/>
                <w:sz w:val="16"/>
                <w:szCs w:val="16"/>
              </w:rPr>
            </w:pPr>
          </w:p>
          <w:p w14:paraId="47E3D6E4" w14:textId="77777777" w:rsidR="00AD589E" w:rsidRPr="004A3F9B" w:rsidRDefault="00AD589E" w:rsidP="00923E5C">
            <w:pPr>
              <w:spacing w:after="0"/>
              <w:rPr>
                <w:rFonts w:ascii="Arial" w:hAnsi="Arial" w:cs="Arial"/>
                <w:color w:val="006100"/>
                <w:sz w:val="16"/>
                <w:szCs w:val="16"/>
              </w:rPr>
            </w:pPr>
            <w:r w:rsidRPr="004A3F9B">
              <w:rPr>
                <w:rFonts w:ascii="Arial" w:hAnsi="Arial" w:cs="Arial"/>
                <w:color w:val="006100"/>
                <w:sz w:val="16"/>
                <w:szCs w:val="16"/>
              </w:rPr>
              <w:t>The scheme under the sub-measure shall stipulate that renovations are, on average, expected to achieve a minimum of 30% primary energy demand savings.</w:t>
            </w:r>
          </w:p>
          <w:p w14:paraId="4607738D" w14:textId="77777777" w:rsidR="00AD589E" w:rsidRPr="004A3F9B" w:rsidRDefault="00AD589E" w:rsidP="00923E5C">
            <w:pPr>
              <w:spacing w:after="0"/>
              <w:rPr>
                <w:rFonts w:ascii="Arial" w:hAnsi="Arial" w:cs="Arial"/>
                <w:color w:val="006100"/>
                <w:sz w:val="16"/>
                <w:szCs w:val="16"/>
              </w:rPr>
            </w:pPr>
          </w:p>
          <w:p w14:paraId="6CCEAE5A" w14:textId="77777777" w:rsidR="00AD589E" w:rsidRPr="004A3F9B" w:rsidRDefault="00AD589E" w:rsidP="0095638A">
            <w:pPr>
              <w:spacing w:after="0"/>
              <w:rPr>
                <w:rFonts w:ascii="Arial" w:hAnsi="Arial" w:cs="Arial"/>
                <w:color w:val="006100"/>
                <w:sz w:val="16"/>
                <w:szCs w:val="16"/>
              </w:rPr>
            </w:pPr>
            <w:r w:rsidRPr="004A3F9B">
              <w:rPr>
                <w:rFonts w:ascii="Arial" w:hAnsi="Arial" w:cs="Arial"/>
                <w:color w:val="006100"/>
                <w:sz w:val="16"/>
                <w:szCs w:val="16"/>
              </w:rPr>
              <w:t xml:space="preserve">Furthermore, Sub-measure 3 shall consist in financing of measures for sustainable energy efficient renovation of buildings in the fields of manufacturing, trade and services. </w:t>
            </w:r>
          </w:p>
          <w:p w14:paraId="5003A496" w14:textId="77777777" w:rsidR="00AD589E" w:rsidRPr="004A3F9B" w:rsidRDefault="00AD589E" w:rsidP="0095638A">
            <w:pPr>
              <w:spacing w:after="0"/>
              <w:rPr>
                <w:rFonts w:ascii="Arial" w:hAnsi="Arial" w:cs="Arial"/>
                <w:color w:val="006100"/>
                <w:sz w:val="16"/>
                <w:szCs w:val="16"/>
              </w:rPr>
            </w:pPr>
          </w:p>
          <w:p w14:paraId="4E52B656" w14:textId="090D0E2B" w:rsidR="00AD589E" w:rsidRPr="004A3F9B" w:rsidRDefault="00AD589E" w:rsidP="0095638A">
            <w:pPr>
              <w:spacing w:after="0"/>
              <w:rPr>
                <w:rFonts w:ascii="Arial" w:hAnsi="Arial" w:cs="Arial"/>
                <w:color w:val="006100"/>
                <w:sz w:val="16"/>
                <w:szCs w:val="16"/>
              </w:rPr>
            </w:pPr>
            <w:r w:rsidRPr="004A3F9B">
              <w:rPr>
                <w:rFonts w:ascii="Arial" w:hAnsi="Arial" w:cs="Arial"/>
                <w:color w:val="006100"/>
                <w:sz w:val="16"/>
                <w:szCs w:val="16"/>
              </w:rPr>
              <w:t>The scheme under the sub-measure shall stipulate that renovations are, on average, expected to achieve a minimum of 30% primary energy demand savings.</w:t>
            </w:r>
          </w:p>
        </w:tc>
        <w:tc>
          <w:tcPr>
            <w:tcW w:w="1036" w:type="dxa"/>
            <w:gridSpan w:val="2"/>
            <w:shd w:val="clear" w:color="auto" w:fill="D6E3C6"/>
          </w:tcPr>
          <w:p w14:paraId="72067EB1" w14:textId="77A04352"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Delays in milestone 68</w:t>
            </w:r>
          </w:p>
        </w:tc>
        <w:tc>
          <w:tcPr>
            <w:tcW w:w="1090" w:type="dxa"/>
            <w:gridSpan w:val="2"/>
            <w:shd w:val="clear" w:color="auto" w:fill="D6E3C6"/>
          </w:tcPr>
          <w:p w14:paraId="45829E09" w14:textId="55888942"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None</w:t>
            </w:r>
          </w:p>
        </w:tc>
        <w:tc>
          <w:tcPr>
            <w:tcW w:w="992" w:type="dxa"/>
            <w:gridSpan w:val="2"/>
            <w:shd w:val="clear" w:color="auto" w:fill="D6E3C6"/>
          </w:tcPr>
          <w:p w14:paraId="00261F65" w14:textId="622E1309"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w:t>
            </w:r>
          </w:p>
        </w:tc>
        <w:tc>
          <w:tcPr>
            <w:tcW w:w="1418" w:type="dxa"/>
            <w:gridSpan w:val="2"/>
            <w:shd w:val="clear" w:color="auto" w:fill="D6E3C6"/>
          </w:tcPr>
          <w:p w14:paraId="71BF3AF3" w14:textId="57730966" w:rsidR="00AD589E" w:rsidRPr="004A3F9B" w:rsidRDefault="00CF44DB" w:rsidP="0063508F">
            <w:pPr>
              <w:spacing w:after="0"/>
              <w:rPr>
                <w:rFonts w:ascii="Arial" w:hAnsi="Arial" w:cs="Arial"/>
                <w:color w:val="006100"/>
                <w:sz w:val="16"/>
                <w:szCs w:val="16"/>
              </w:rPr>
            </w:pPr>
            <w:r w:rsidRPr="004A3F9B">
              <w:rPr>
                <w:rFonts w:ascii="Arial" w:hAnsi="Arial" w:cs="Arial"/>
                <w:color w:val="006100"/>
                <w:sz w:val="16"/>
                <w:szCs w:val="16"/>
              </w:rPr>
              <w:t>-</w:t>
            </w:r>
          </w:p>
        </w:tc>
      </w:tr>
      <w:tr w:rsidR="004A3F9B" w:rsidRPr="004A3F9B" w14:paraId="636DFCFA" w14:textId="182B4723" w:rsidTr="00596EEA">
        <w:trPr>
          <w:trHeight w:val="309"/>
        </w:trPr>
        <w:tc>
          <w:tcPr>
            <w:tcW w:w="454" w:type="dxa"/>
            <w:shd w:val="clear" w:color="auto" w:fill="D6E3C6"/>
            <w:noWrap/>
          </w:tcPr>
          <w:p w14:paraId="32452EE3" w14:textId="0A29FB27"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73</w:t>
            </w:r>
          </w:p>
        </w:tc>
        <w:tc>
          <w:tcPr>
            <w:tcW w:w="1215" w:type="dxa"/>
            <w:shd w:val="clear" w:color="auto" w:fill="D6E3C6"/>
            <w:noWrap/>
          </w:tcPr>
          <w:p w14:paraId="23248013" w14:textId="03D52F5E"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 xml:space="preserve">C4.I1: Support for the renovation of the building stock Sub-measure 2: Renovation of non-residential buildings, including public buildings and Sub-measure 3: Renovation of </w:t>
            </w:r>
            <w:r w:rsidRPr="004A3F9B">
              <w:rPr>
                <w:rFonts w:ascii="Arial" w:hAnsi="Arial" w:cs="Arial"/>
                <w:color w:val="006100"/>
                <w:sz w:val="16"/>
                <w:szCs w:val="16"/>
              </w:rPr>
              <w:lastRenderedPageBreak/>
              <w:t>non-residential buildings in manufacturing, trade and services, as well as buildings from the tourism sector</w:t>
            </w:r>
          </w:p>
        </w:tc>
        <w:tc>
          <w:tcPr>
            <w:tcW w:w="956" w:type="dxa"/>
            <w:shd w:val="clear" w:color="auto" w:fill="D6E3C6"/>
            <w:noWrap/>
          </w:tcPr>
          <w:p w14:paraId="4A5228ED" w14:textId="2486CD44"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lastRenderedPageBreak/>
              <w:t>Milestone</w:t>
            </w:r>
          </w:p>
        </w:tc>
        <w:tc>
          <w:tcPr>
            <w:tcW w:w="1691" w:type="dxa"/>
            <w:shd w:val="clear" w:color="auto" w:fill="D6E3C6"/>
            <w:noWrap/>
          </w:tcPr>
          <w:p w14:paraId="4CF8E5A3" w14:textId="627D724F"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Signature of contracts for the energy- efficiency renovation for non-residential buildings</w:t>
            </w:r>
          </w:p>
        </w:tc>
        <w:tc>
          <w:tcPr>
            <w:tcW w:w="1322" w:type="dxa"/>
            <w:shd w:val="clear" w:color="auto" w:fill="D6E3C6"/>
            <w:noWrap/>
          </w:tcPr>
          <w:p w14:paraId="038E7A61" w14:textId="01971AEB"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Signed contracts by the Ministry of Regional Development and Public Works and public institutions /owners of buildings</w:t>
            </w:r>
          </w:p>
        </w:tc>
        <w:tc>
          <w:tcPr>
            <w:tcW w:w="709" w:type="dxa"/>
            <w:shd w:val="clear" w:color="auto" w:fill="D6E3C6"/>
            <w:noWrap/>
          </w:tcPr>
          <w:p w14:paraId="0BF99EC1"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024BF87B"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37883A29" w14:textId="77777777" w:rsidR="00AD589E" w:rsidRPr="004A3F9B"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002C0893" w14:textId="1CF05129"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Q4</w:t>
            </w:r>
          </w:p>
        </w:tc>
        <w:tc>
          <w:tcPr>
            <w:tcW w:w="520" w:type="dxa"/>
            <w:shd w:val="clear" w:color="auto" w:fill="D6E3C6"/>
            <w:noWrap/>
          </w:tcPr>
          <w:p w14:paraId="34519312" w14:textId="4A6656AE"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2023</w:t>
            </w:r>
          </w:p>
        </w:tc>
        <w:tc>
          <w:tcPr>
            <w:tcW w:w="872" w:type="dxa"/>
            <w:gridSpan w:val="2"/>
            <w:shd w:val="clear" w:color="auto" w:fill="D6E3C6"/>
          </w:tcPr>
          <w:p w14:paraId="3883DEB3" w14:textId="75F46B51"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Ministry of Regional Development and Public Works</w:t>
            </w:r>
          </w:p>
        </w:tc>
        <w:tc>
          <w:tcPr>
            <w:tcW w:w="851" w:type="dxa"/>
            <w:gridSpan w:val="2"/>
            <w:shd w:val="clear" w:color="auto" w:fill="D6E3C6"/>
          </w:tcPr>
          <w:p w14:paraId="360353FE" w14:textId="77777777" w:rsidR="00AD589E" w:rsidRPr="004A3F9B"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4B26456F" w14:textId="284E60FD" w:rsidR="00AD589E" w:rsidRPr="004A3F9B" w:rsidRDefault="00AD589E" w:rsidP="0073371A">
            <w:pPr>
              <w:pStyle w:val="ListParagraph"/>
              <w:numPr>
                <w:ilvl w:val="0"/>
                <w:numId w:val="21"/>
              </w:numPr>
              <w:spacing w:after="0"/>
              <w:ind w:left="395" w:hanging="395"/>
              <w:rPr>
                <w:rFonts w:ascii="Arial" w:hAnsi="Arial" w:cs="Arial"/>
                <w:color w:val="006100"/>
                <w:sz w:val="16"/>
                <w:szCs w:val="16"/>
              </w:rPr>
            </w:pPr>
            <w:r w:rsidRPr="004A3F9B">
              <w:rPr>
                <w:rFonts w:ascii="Arial" w:hAnsi="Arial" w:cs="Arial"/>
                <w:color w:val="006100"/>
                <w:sz w:val="16"/>
                <w:szCs w:val="16"/>
                <w:lang w:eastAsia="en-GB"/>
              </w:rPr>
              <w:t xml:space="preserve">A list with signed contracts, which can be accessed in the Contracting module of the information system for management and implementation, including official references of the signed contracts </w:t>
            </w:r>
            <w:r w:rsidRPr="004A3F9B">
              <w:rPr>
                <w:rFonts w:ascii="Arial" w:hAnsi="Arial" w:cs="Arial"/>
                <w:color w:val="006100"/>
                <w:sz w:val="16"/>
                <w:szCs w:val="16"/>
                <w:lang w:eastAsia="en-GB"/>
              </w:rPr>
              <w:lastRenderedPageBreak/>
              <w:t xml:space="preserve">and milestones to be achieved </w:t>
            </w:r>
          </w:p>
          <w:p w14:paraId="64DB12AB" w14:textId="014A6E29" w:rsidR="00AD589E" w:rsidRPr="004A3F9B" w:rsidRDefault="00AD589E" w:rsidP="0073371A">
            <w:pPr>
              <w:pStyle w:val="ListParagraph"/>
              <w:numPr>
                <w:ilvl w:val="0"/>
                <w:numId w:val="21"/>
              </w:numPr>
              <w:spacing w:after="0"/>
              <w:ind w:left="395" w:hanging="395"/>
              <w:rPr>
                <w:rFonts w:ascii="Arial" w:hAnsi="Arial" w:cs="Arial"/>
                <w:color w:val="006100"/>
                <w:sz w:val="16"/>
                <w:szCs w:val="16"/>
              </w:rPr>
            </w:pPr>
            <w:r w:rsidRPr="004A3F9B">
              <w:rPr>
                <w:rFonts w:ascii="Arial" w:hAnsi="Arial" w:cs="Arial"/>
                <w:color w:val="006100"/>
                <w:sz w:val="16"/>
                <w:szCs w:val="16"/>
                <w:lang w:eastAsia="en-GB"/>
              </w:rPr>
              <w:t>Copies of the signed contracts for a selected sampling</w:t>
            </w:r>
          </w:p>
          <w:p w14:paraId="74562592" w14:textId="22920C80" w:rsidR="00AD589E" w:rsidRPr="004A3F9B" w:rsidRDefault="00AD589E" w:rsidP="0073371A">
            <w:pPr>
              <w:pStyle w:val="ListParagraph"/>
              <w:numPr>
                <w:ilvl w:val="0"/>
                <w:numId w:val="21"/>
              </w:numPr>
              <w:spacing w:after="0"/>
              <w:ind w:left="395" w:hanging="395"/>
              <w:rPr>
                <w:rFonts w:ascii="Arial" w:hAnsi="Arial" w:cs="Arial"/>
                <w:color w:val="006100"/>
                <w:sz w:val="16"/>
                <w:szCs w:val="16"/>
              </w:rPr>
            </w:pPr>
            <w:r w:rsidRPr="004A3F9B">
              <w:rPr>
                <w:rFonts w:ascii="Arial" w:hAnsi="Arial" w:cs="Arial"/>
                <w:color w:val="006100"/>
                <w:sz w:val="16"/>
                <w:szCs w:val="16"/>
                <w:lang w:eastAsia="en-GB"/>
              </w:rPr>
              <w:t>Reference to the relevant provisions of the contracts proving alignment with the description of the milestone and of the description of the investment in the CID annex</w:t>
            </w:r>
          </w:p>
        </w:tc>
        <w:tc>
          <w:tcPr>
            <w:tcW w:w="3402" w:type="dxa"/>
            <w:shd w:val="clear" w:color="auto" w:fill="D6E3C6"/>
          </w:tcPr>
          <w:p w14:paraId="622CC013" w14:textId="77777777" w:rsidR="00AD589E" w:rsidRPr="004A3F9B" w:rsidRDefault="00AD589E" w:rsidP="0095638A">
            <w:pPr>
              <w:spacing w:after="0"/>
              <w:rPr>
                <w:rFonts w:ascii="Arial" w:hAnsi="Arial" w:cs="Arial"/>
                <w:color w:val="006100"/>
                <w:sz w:val="16"/>
                <w:szCs w:val="16"/>
              </w:rPr>
            </w:pPr>
            <w:r w:rsidRPr="004A3F9B">
              <w:rPr>
                <w:rFonts w:ascii="Arial" w:hAnsi="Arial" w:cs="Arial"/>
                <w:color w:val="006100"/>
                <w:sz w:val="16"/>
                <w:szCs w:val="16"/>
              </w:rPr>
              <w:lastRenderedPageBreak/>
              <w:t>Institution/s: Ministry of Regional Development and Public Works</w:t>
            </w:r>
          </w:p>
          <w:p w14:paraId="69D18C97" w14:textId="77777777" w:rsidR="00AD589E" w:rsidRPr="004A3F9B" w:rsidRDefault="00AD589E" w:rsidP="0095638A">
            <w:pPr>
              <w:spacing w:after="0"/>
              <w:rPr>
                <w:rFonts w:ascii="Arial" w:hAnsi="Arial" w:cs="Arial"/>
                <w:color w:val="006100"/>
                <w:sz w:val="16"/>
                <w:szCs w:val="16"/>
              </w:rPr>
            </w:pPr>
          </w:p>
          <w:p w14:paraId="270B6814" w14:textId="30487907" w:rsidR="00AD589E" w:rsidRPr="004A3F9B" w:rsidRDefault="00AD589E" w:rsidP="0095638A">
            <w:pPr>
              <w:spacing w:after="0"/>
              <w:rPr>
                <w:rFonts w:ascii="Arial" w:hAnsi="Arial" w:cs="Arial"/>
                <w:color w:val="006100"/>
                <w:sz w:val="16"/>
                <w:szCs w:val="16"/>
              </w:rPr>
            </w:pPr>
            <w:r w:rsidRPr="004A3F9B">
              <w:rPr>
                <w:rFonts w:ascii="Arial" w:hAnsi="Arial" w:cs="Arial"/>
                <w:color w:val="006100"/>
                <w:sz w:val="16"/>
                <w:szCs w:val="16"/>
              </w:rPr>
              <w:t>What: Signature of contracts for the energy- efficiency renovation for non-residential buildings</w:t>
            </w:r>
          </w:p>
          <w:p w14:paraId="7BA49E54" w14:textId="77777777" w:rsidR="00AD589E" w:rsidRPr="004A3F9B" w:rsidRDefault="00AD589E" w:rsidP="0095638A">
            <w:pPr>
              <w:spacing w:after="0"/>
              <w:rPr>
                <w:rFonts w:ascii="Arial" w:hAnsi="Arial" w:cs="Arial"/>
                <w:color w:val="006100"/>
                <w:sz w:val="16"/>
                <w:szCs w:val="16"/>
              </w:rPr>
            </w:pPr>
          </w:p>
          <w:p w14:paraId="755AFF43" w14:textId="699EA8FF" w:rsidR="00AD589E" w:rsidRPr="004A3F9B" w:rsidRDefault="00AD589E" w:rsidP="0095638A">
            <w:pPr>
              <w:spacing w:after="0"/>
              <w:rPr>
                <w:rFonts w:ascii="Arial" w:hAnsi="Arial" w:cs="Arial"/>
                <w:color w:val="006100"/>
                <w:sz w:val="16"/>
                <w:szCs w:val="16"/>
              </w:rPr>
            </w:pPr>
            <w:r w:rsidRPr="004A3F9B">
              <w:rPr>
                <w:rFonts w:ascii="Arial" w:hAnsi="Arial" w:cs="Arial"/>
                <w:color w:val="006100"/>
                <w:sz w:val="16"/>
                <w:szCs w:val="16"/>
              </w:rPr>
              <w:t xml:space="preserve">How: </w:t>
            </w:r>
            <w:r w:rsidR="00EC3CB8" w:rsidRPr="004A3F9B">
              <w:rPr>
                <w:rFonts w:ascii="Arial" w:hAnsi="Arial" w:cs="Arial"/>
                <w:color w:val="006100"/>
                <w:sz w:val="16"/>
                <w:szCs w:val="16"/>
              </w:rPr>
              <w:t>contracting (a, b), reporting (c)</w:t>
            </w:r>
          </w:p>
          <w:p w14:paraId="3EFFAC32" w14:textId="77777777" w:rsidR="00AD589E" w:rsidRPr="004A3F9B" w:rsidRDefault="00AD589E" w:rsidP="0095638A">
            <w:pPr>
              <w:spacing w:after="0"/>
              <w:rPr>
                <w:rFonts w:ascii="Arial" w:hAnsi="Arial" w:cs="Arial"/>
                <w:color w:val="006100"/>
                <w:sz w:val="16"/>
                <w:szCs w:val="16"/>
              </w:rPr>
            </w:pPr>
          </w:p>
          <w:p w14:paraId="1139FD8F" w14:textId="505D75E1" w:rsidR="00AD589E" w:rsidRPr="004A3F9B" w:rsidRDefault="00AD589E" w:rsidP="0095638A">
            <w:pPr>
              <w:spacing w:after="0"/>
              <w:rPr>
                <w:rFonts w:ascii="Arial" w:hAnsi="Arial" w:cs="Arial"/>
                <w:color w:val="006100"/>
                <w:sz w:val="16"/>
                <w:szCs w:val="16"/>
              </w:rPr>
            </w:pPr>
            <w:r w:rsidRPr="004A3F9B">
              <w:rPr>
                <w:rFonts w:ascii="Arial" w:hAnsi="Arial" w:cs="Arial"/>
                <w:color w:val="006100"/>
                <w:sz w:val="16"/>
                <w:szCs w:val="16"/>
              </w:rPr>
              <w:t>Why: All contracts under the scheme shall be made in line with the conditions of milestones 68 and 72. [provide references to the above in the summary document]</w:t>
            </w:r>
          </w:p>
          <w:p w14:paraId="78C115BD" w14:textId="77777777" w:rsidR="00AD589E" w:rsidRPr="004A3F9B" w:rsidRDefault="00AD589E" w:rsidP="0095638A">
            <w:pPr>
              <w:spacing w:after="0"/>
              <w:rPr>
                <w:rFonts w:ascii="Arial" w:hAnsi="Arial" w:cs="Arial"/>
                <w:color w:val="006100"/>
                <w:sz w:val="16"/>
                <w:szCs w:val="16"/>
              </w:rPr>
            </w:pPr>
          </w:p>
          <w:p w14:paraId="35C0BEE9" w14:textId="2F81A8B9" w:rsidR="00AD589E" w:rsidRPr="004A3F9B" w:rsidRDefault="00AD589E" w:rsidP="0095638A">
            <w:pPr>
              <w:spacing w:after="0"/>
              <w:rPr>
                <w:rFonts w:ascii="Arial" w:hAnsi="Arial" w:cs="Arial"/>
                <w:color w:val="006100"/>
                <w:sz w:val="16"/>
                <w:szCs w:val="16"/>
              </w:rPr>
            </w:pPr>
            <w:r w:rsidRPr="004A3F9B">
              <w:rPr>
                <w:rFonts w:ascii="Arial" w:hAnsi="Arial" w:cs="Arial"/>
                <w:color w:val="006100"/>
                <w:sz w:val="16"/>
                <w:szCs w:val="16"/>
              </w:rPr>
              <w:t>When: specify the dates of signature</w:t>
            </w:r>
          </w:p>
        </w:tc>
        <w:tc>
          <w:tcPr>
            <w:tcW w:w="2268" w:type="dxa"/>
            <w:shd w:val="clear" w:color="auto" w:fill="D6E3C6"/>
          </w:tcPr>
          <w:p w14:paraId="0F79CEB8" w14:textId="4BCBAF6B"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lastRenderedPageBreak/>
              <w:t>As above</w:t>
            </w:r>
          </w:p>
        </w:tc>
        <w:tc>
          <w:tcPr>
            <w:tcW w:w="1036" w:type="dxa"/>
            <w:gridSpan w:val="2"/>
            <w:shd w:val="clear" w:color="auto" w:fill="D6E3C6"/>
          </w:tcPr>
          <w:p w14:paraId="32A236CB" w14:textId="32F57267"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As above + delays in milestone 72</w:t>
            </w:r>
          </w:p>
        </w:tc>
        <w:tc>
          <w:tcPr>
            <w:tcW w:w="1090" w:type="dxa"/>
            <w:gridSpan w:val="2"/>
            <w:shd w:val="clear" w:color="auto" w:fill="D6E3C6"/>
          </w:tcPr>
          <w:p w14:paraId="007C91DF" w14:textId="0F61B67B"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None</w:t>
            </w:r>
          </w:p>
        </w:tc>
        <w:tc>
          <w:tcPr>
            <w:tcW w:w="992" w:type="dxa"/>
            <w:gridSpan w:val="2"/>
            <w:shd w:val="clear" w:color="auto" w:fill="D6E3C6"/>
          </w:tcPr>
          <w:p w14:paraId="71D56884" w14:textId="2D0889A1"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t>-</w:t>
            </w:r>
          </w:p>
        </w:tc>
        <w:tc>
          <w:tcPr>
            <w:tcW w:w="1418" w:type="dxa"/>
            <w:gridSpan w:val="2"/>
            <w:shd w:val="clear" w:color="auto" w:fill="D6E3C6"/>
          </w:tcPr>
          <w:p w14:paraId="4F54C775" w14:textId="733C6D23" w:rsidR="00AD589E" w:rsidRPr="004A3F9B" w:rsidRDefault="00CF44DB" w:rsidP="0063508F">
            <w:pPr>
              <w:spacing w:after="0"/>
              <w:rPr>
                <w:rFonts w:ascii="Arial" w:hAnsi="Arial" w:cs="Arial"/>
                <w:color w:val="006100"/>
                <w:sz w:val="16"/>
                <w:szCs w:val="16"/>
              </w:rPr>
            </w:pPr>
            <w:r w:rsidRPr="004A3F9B">
              <w:rPr>
                <w:rFonts w:ascii="Arial" w:hAnsi="Arial" w:cs="Arial"/>
                <w:color w:val="006100"/>
                <w:sz w:val="16"/>
                <w:szCs w:val="16"/>
              </w:rPr>
              <w:t>-</w:t>
            </w:r>
          </w:p>
        </w:tc>
      </w:tr>
      <w:tr w:rsidR="004A3F9B" w:rsidRPr="004A3F9B" w14:paraId="5E8CCE52" w14:textId="15DD2157" w:rsidTr="00596EEA">
        <w:trPr>
          <w:trHeight w:val="309"/>
        </w:trPr>
        <w:tc>
          <w:tcPr>
            <w:tcW w:w="454" w:type="dxa"/>
            <w:shd w:val="clear" w:color="auto" w:fill="D6E3C6"/>
            <w:noWrap/>
          </w:tcPr>
          <w:p w14:paraId="06E50301" w14:textId="78FCCFC6"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74</w:t>
            </w:r>
          </w:p>
        </w:tc>
        <w:tc>
          <w:tcPr>
            <w:tcW w:w="1215" w:type="dxa"/>
            <w:shd w:val="clear" w:color="auto" w:fill="D6E3C6"/>
            <w:noWrap/>
          </w:tcPr>
          <w:p w14:paraId="1AB0F7F6" w14:textId="6AC21B72"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C4.I1: Support for the renovation of the building stock Sub-measure 2: Renovation of non-residential buildings, including public buildings</w:t>
            </w:r>
          </w:p>
        </w:tc>
        <w:tc>
          <w:tcPr>
            <w:tcW w:w="956" w:type="dxa"/>
            <w:shd w:val="clear" w:color="auto" w:fill="D6E3C6"/>
            <w:noWrap/>
          </w:tcPr>
          <w:p w14:paraId="12254D7F" w14:textId="33A3CC91"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Target</w:t>
            </w:r>
          </w:p>
        </w:tc>
        <w:tc>
          <w:tcPr>
            <w:tcW w:w="1691" w:type="dxa"/>
            <w:shd w:val="clear" w:color="auto" w:fill="D6E3C6"/>
            <w:noWrap/>
          </w:tcPr>
          <w:p w14:paraId="3C1AAC4C" w14:textId="2DEB9C96"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Completed energy-efficiency renovation of non- residential buildings – renovated surface of public buildings (sub-measure 2)</w:t>
            </w:r>
          </w:p>
        </w:tc>
        <w:tc>
          <w:tcPr>
            <w:tcW w:w="1322" w:type="dxa"/>
            <w:shd w:val="clear" w:color="auto" w:fill="D6E3C6"/>
            <w:noWrap/>
          </w:tcPr>
          <w:p w14:paraId="6650AB0F" w14:textId="77777777" w:rsidR="00AD589E" w:rsidRPr="004A3F9B" w:rsidRDefault="00AD589E" w:rsidP="0063508F">
            <w:pPr>
              <w:spacing w:after="0"/>
              <w:rPr>
                <w:rFonts w:ascii="Arial" w:eastAsia="Times New Roman" w:hAnsi="Arial" w:cs="Arial"/>
                <w:color w:val="006100"/>
                <w:sz w:val="16"/>
                <w:szCs w:val="16"/>
                <w:lang w:eastAsia="en-GB"/>
              </w:rPr>
            </w:pPr>
          </w:p>
        </w:tc>
        <w:tc>
          <w:tcPr>
            <w:tcW w:w="709" w:type="dxa"/>
            <w:shd w:val="clear" w:color="auto" w:fill="D6E3C6"/>
            <w:noWrap/>
          </w:tcPr>
          <w:p w14:paraId="3FBF5B48" w14:textId="42E2EC07"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Renovated gross floor area of public buildings (m2)</w:t>
            </w:r>
          </w:p>
        </w:tc>
        <w:tc>
          <w:tcPr>
            <w:tcW w:w="614" w:type="dxa"/>
            <w:shd w:val="clear" w:color="auto" w:fill="D6E3C6"/>
            <w:noWrap/>
          </w:tcPr>
          <w:p w14:paraId="2B1DA429" w14:textId="1685919A"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0</w:t>
            </w:r>
          </w:p>
        </w:tc>
        <w:tc>
          <w:tcPr>
            <w:tcW w:w="731" w:type="dxa"/>
            <w:shd w:val="clear" w:color="auto" w:fill="D6E3C6"/>
            <w:noWrap/>
          </w:tcPr>
          <w:p w14:paraId="2B2F8BEB" w14:textId="1D2F783F"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1.4 million</w:t>
            </w:r>
          </w:p>
        </w:tc>
        <w:tc>
          <w:tcPr>
            <w:tcW w:w="756" w:type="dxa"/>
            <w:gridSpan w:val="2"/>
            <w:shd w:val="clear" w:color="auto" w:fill="D6E3C6"/>
            <w:noWrap/>
          </w:tcPr>
          <w:p w14:paraId="5A1773BC" w14:textId="4124BE50"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Q2</w:t>
            </w:r>
          </w:p>
        </w:tc>
        <w:tc>
          <w:tcPr>
            <w:tcW w:w="520" w:type="dxa"/>
            <w:shd w:val="clear" w:color="auto" w:fill="D6E3C6"/>
            <w:noWrap/>
          </w:tcPr>
          <w:p w14:paraId="50BFEA6F" w14:textId="39A5CA18"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2026</w:t>
            </w:r>
          </w:p>
        </w:tc>
        <w:tc>
          <w:tcPr>
            <w:tcW w:w="872" w:type="dxa"/>
            <w:gridSpan w:val="2"/>
            <w:shd w:val="clear" w:color="auto" w:fill="D6E3C6"/>
          </w:tcPr>
          <w:p w14:paraId="6D9176D1" w14:textId="47DC7DAA"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Ministry of Regional Development and Public Works</w:t>
            </w:r>
          </w:p>
        </w:tc>
        <w:tc>
          <w:tcPr>
            <w:tcW w:w="851" w:type="dxa"/>
            <w:gridSpan w:val="2"/>
            <w:shd w:val="clear" w:color="auto" w:fill="D6E3C6"/>
          </w:tcPr>
          <w:p w14:paraId="00882F9C" w14:textId="77777777" w:rsidR="00AD589E" w:rsidRPr="004A3F9B"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7099F60E" w14:textId="7CB9BBDA" w:rsidR="00AD589E" w:rsidRPr="004A3F9B" w:rsidRDefault="00AD589E" w:rsidP="0073371A">
            <w:pPr>
              <w:pStyle w:val="ListParagraph"/>
              <w:numPr>
                <w:ilvl w:val="0"/>
                <w:numId w:val="22"/>
              </w:numPr>
              <w:spacing w:after="0"/>
              <w:ind w:left="395"/>
              <w:rPr>
                <w:rFonts w:ascii="Arial" w:hAnsi="Arial" w:cs="Arial"/>
                <w:color w:val="006100"/>
                <w:sz w:val="16"/>
                <w:szCs w:val="16"/>
              </w:rPr>
            </w:pPr>
            <w:r w:rsidRPr="004A3F9B">
              <w:rPr>
                <w:rFonts w:ascii="Arial" w:hAnsi="Arial" w:cs="Arial"/>
                <w:color w:val="006100"/>
                <w:sz w:val="16"/>
                <w:szCs w:val="16"/>
                <w:lang w:eastAsia="en-GB"/>
              </w:rPr>
              <w:t>Spreadsheet from the responsible authority with the list of individual renovations with a unique identifier and for each renovation the following documentary evidence and elements:</w:t>
            </w:r>
          </w:p>
          <w:p w14:paraId="2ABF8CCE" w14:textId="298F833B" w:rsidR="00AD589E" w:rsidRPr="004A3F9B" w:rsidRDefault="00AD589E" w:rsidP="0073371A">
            <w:pPr>
              <w:pStyle w:val="ListParagraph"/>
              <w:numPr>
                <w:ilvl w:val="0"/>
                <w:numId w:val="19"/>
              </w:numPr>
              <w:spacing w:after="0"/>
              <w:ind w:left="537" w:hanging="142"/>
              <w:rPr>
                <w:rFonts w:ascii="Arial" w:hAnsi="Arial" w:cs="Arial"/>
                <w:color w:val="006100"/>
                <w:sz w:val="16"/>
                <w:szCs w:val="16"/>
              </w:rPr>
            </w:pPr>
            <w:r w:rsidRPr="004A3F9B">
              <w:rPr>
                <w:rFonts w:ascii="Arial" w:hAnsi="Arial" w:cs="Arial"/>
                <w:color w:val="006100"/>
                <w:sz w:val="16"/>
                <w:szCs w:val="16"/>
                <w:lang w:eastAsia="en-GB"/>
              </w:rPr>
              <w:t>primary energy demand in the energy performance before and after the renovation</w:t>
            </w:r>
          </w:p>
          <w:p w14:paraId="3008C593" w14:textId="5B906C3F" w:rsidR="00AD589E" w:rsidRPr="004A3F9B" w:rsidRDefault="00AD589E" w:rsidP="0073371A">
            <w:pPr>
              <w:pStyle w:val="ListParagraph"/>
              <w:numPr>
                <w:ilvl w:val="0"/>
                <w:numId w:val="19"/>
              </w:numPr>
              <w:spacing w:after="0"/>
              <w:ind w:left="537" w:hanging="142"/>
              <w:rPr>
                <w:rFonts w:ascii="Arial" w:hAnsi="Arial" w:cs="Arial"/>
                <w:color w:val="006100"/>
                <w:sz w:val="16"/>
                <w:szCs w:val="16"/>
              </w:rPr>
            </w:pPr>
            <w:r w:rsidRPr="004A3F9B">
              <w:rPr>
                <w:rFonts w:ascii="Arial" w:hAnsi="Arial" w:cs="Arial"/>
                <w:color w:val="006100"/>
                <w:sz w:val="16"/>
                <w:szCs w:val="16"/>
              </w:rPr>
              <w:t>gross floor area</w:t>
            </w:r>
            <w:r w:rsidRPr="004A3F9B">
              <w:rPr>
                <w:rFonts w:ascii="Arial" w:hAnsi="Arial" w:cs="Arial"/>
                <w:color w:val="006100"/>
                <w:sz w:val="16"/>
                <w:szCs w:val="16"/>
                <w:lang w:eastAsia="en-GB"/>
              </w:rPr>
              <w:t xml:space="preserve"> in m</w:t>
            </w:r>
            <w:r w:rsidRPr="004A3F9B">
              <w:rPr>
                <w:rFonts w:ascii="Arial" w:hAnsi="Arial" w:cs="Arial"/>
                <w:color w:val="006100"/>
                <w:sz w:val="16"/>
                <w:szCs w:val="16"/>
                <w:vertAlign w:val="superscript"/>
                <w:lang w:eastAsia="en-GB"/>
              </w:rPr>
              <w:t>2</w:t>
            </w:r>
            <w:r w:rsidRPr="004A3F9B">
              <w:rPr>
                <w:rFonts w:ascii="Arial" w:hAnsi="Arial" w:cs="Arial"/>
                <w:color w:val="006100"/>
                <w:sz w:val="16"/>
                <w:szCs w:val="16"/>
                <w:lang w:eastAsia="en-GB"/>
              </w:rPr>
              <w:t xml:space="preserve"> covered by the renovations</w:t>
            </w:r>
          </w:p>
          <w:p w14:paraId="3F183C40" w14:textId="68C4E5B2" w:rsidR="00AD589E" w:rsidRPr="004A3F9B" w:rsidRDefault="00AD589E" w:rsidP="0073371A">
            <w:pPr>
              <w:pStyle w:val="ListParagraph"/>
              <w:numPr>
                <w:ilvl w:val="0"/>
                <w:numId w:val="19"/>
              </w:numPr>
              <w:spacing w:after="0"/>
              <w:ind w:left="537" w:hanging="142"/>
              <w:rPr>
                <w:rFonts w:ascii="Arial" w:hAnsi="Arial" w:cs="Arial"/>
                <w:color w:val="006100"/>
                <w:sz w:val="16"/>
                <w:szCs w:val="16"/>
              </w:rPr>
            </w:pPr>
            <w:r w:rsidRPr="004A3F9B">
              <w:rPr>
                <w:rFonts w:ascii="Arial" w:hAnsi="Arial" w:cs="Arial"/>
                <w:color w:val="006100"/>
                <w:sz w:val="16"/>
                <w:szCs w:val="16"/>
                <w:lang w:eastAsia="en-GB"/>
              </w:rPr>
              <w:t>a list of reports of completion/acceptance at end-of-works, or equivalent supporting evidence issued in accordance with the national legislation</w:t>
            </w:r>
          </w:p>
        </w:tc>
        <w:tc>
          <w:tcPr>
            <w:tcW w:w="3402" w:type="dxa"/>
            <w:shd w:val="clear" w:color="auto" w:fill="D6E3C6"/>
          </w:tcPr>
          <w:p w14:paraId="7724E67A" w14:textId="77777777" w:rsidR="00AD589E" w:rsidRPr="004A3F9B" w:rsidRDefault="00AD589E" w:rsidP="00AF2A28">
            <w:pPr>
              <w:spacing w:after="0"/>
              <w:rPr>
                <w:rFonts w:ascii="Arial" w:hAnsi="Arial" w:cs="Arial"/>
                <w:color w:val="006100"/>
                <w:sz w:val="16"/>
                <w:szCs w:val="16"/>
              </w:rPr>
            </w:pPr>
            <w:r w:rsidRPr="004A3F9B">
              <w:rPr>
                <w:rFonts w:ascii="Arial" w:hAnsi="Arial" w:cs="Arial"/>
                <w:color w:val="006100"/>
                <w:sz w:val="16"/>
                <w:szCs w:val="16"/>
              </w:rPr>
              <w:t>Institution/s: Ministry of Regional Development and Public Works</w:t>
            </w:r>
          </w:p>
          <w:p w14:paraId="5DAABE18" w14:textId="77777777" w:rsidR="00AD589E" w:rsidRPr="004A3F9B" w:rsidRDefault="00AD589E" w:rsidP="00AF2A28">
            <w:pPr>
              <w:spacing w:after="0"/>
              <w:rPr>
                <w:rFonts w:ascii="Arial" w:hAnsi="Arial" w:cs="Arial"/>
                <w:color w:val="006100"/>
                <w:sz w:val="16"/>
                <w:szCs w:val="16"/>
              </w:rPr>
            </w:pPr>
          </w:p>
          <w:p w14:paraId="7A4B8E95" w14:textId="3603BB70" w:rsidR="00AD589E" w:rsidRPr="004A3F9B" w:rsidRDefault="00AD589E" w:rsidP="00AF2A28">
            <w:pPr>
              <w:spacing w:after="0"/>
              <w:rPr>
                <w:rFonts w:ascii="Arial" w:hAnsi="Arial" w:cs="Arial"/>
                <w:color w:val="006100"/>
                <w:sz w:val="16"/>
                <w:szCs w:val="16"/>
              </w:rPr>
            </w:pPr>
            <w:r w:rsidRPr="004A3F9B">
              <w:rPr>
                <w:rFonts w:ascii="Arial" w:hAnsi="Arial" w:cs="Arial"/>
                <w:color w:val="006100"/>
                <w:sz w:val="16"/>
                <w:szCs w:val="16"/>
              </w:rPr>
              <w:t>What: Completed energy-efficiency renovation of non- residential buildings – renovated surface of public buildings (sub-measure 2)</w:t>
            </w:r>
          </w:p>
          <w:p w14:paraId="3FA9F199" w14:textId="77777777" w:rsidR="00AD589E" w:rsidRPr="004A3F9B" w:rsidRDefault="00AD589E" w:rsidP="00AF2A28">
            <w:pPr>
              <w:spacing w:after="0"/>
              <w:rPr>
                <w:rFonts w:ascii="Arial" w:hAnsi="Arial" w:cs="Arial"/>
                <w:color w:val="006100"/>
                <w:sz w:val="16"/>
                <w:szCs w:val="16"/>
              </w:rPr>
            </w:pPr>
          </w:p>
          <w:p w14:paraId="75A66401" w14:textId="61C3604F" w:rsidR="00AD589E" w:rsidRPr="004A3F9B" w:rsidRDefault="00AD589E" w:rsidP="00AF2A28">
            <w:pPr>
              <w:spacing w:after="0"/>
              <w:rPr>
                <w:rFonts w:ascii="Arial" w:hAnsi="Arial" w:cs="Arial"/>
                <w:color w:val="006100"/>
                <w:sz w:val="16"/>
                <w:szCs w:val="16"/>
              </w:rPr>
            </w:pPr>
            <w:r w:rsidRPr="004A3F9B">
              <w:rPr>
                <w:rFonts w:ascii="Arial" w:hAnsi="Arial" w:cs="Arial"/>
                <w:color w:val="006100"/>
                <w:sz w:val="16"/>
                <w:szCs w:val="16"/>
              </w:rPr>
              <w:t>How: reporting (a)</w:t>
            </w:r>
          </w:p>
          <w:p w14:paraId="0B576A03" w14:textId="77777777" w:rsidR="00AD589E" w:rsidRPr="004A3F9B" w:rsidRDefault="00AD589E" w:rsidP="00AF2A28">
            <w:pPr>
              <w:spacing w:after="0"/>
              <w:rPr>
                <w:rFonts w:ascii="Arial" w:hAnsi="Arial" w:cs="Arial"/>
                <w:color w:val="006100"/>
                <w:sz w:val="16"/>
                <w:szCs w:val="16"/>
              </w:rPr>
            </w:pPr>
          </w:p>
          <w:p w14:paraId="338A9B14" w14:textId="7ED34DF8" w:rsidR="00AD589E" w:rsidRPr="004A3F9B" w:rsidRDefault="00AD589E" w:rsidP="00AF2A28">
            <w:pPr>
              <w:spacing w:after="0"/>
              <w:rPr>
                <w:rFonts w:ascii="Arial" w:hAnsi="Arial" w:cs="Arial"/>
                <w:color w:val="006100"/>
                <w:sz w:val="16"/>
                <w:szCs w:val="16"/>
              </w:rPr>
            </w:pPr>
            <w:r w:rsidRPr="004A3F9B">
              <w:rPr>
                <w:rFonts w:ascii="Arial" w:hAnsi="Arial" w:cs="Arial"/>
                <w:color w:val="006100"/>
                <w:sz w:val="16"/>
                <w:szCs w:val="16"/>
              </w:rPr>
              <w:t>Why: Completion of energy-efficiency renovation of non-residential buildings, in accordance with the conditions in milestone 73. The renovation shall reduce on average at least 30% of primary energy consumption. [provide references to the above in the summary document]</w:t>
            </w:r>
          </w:p>
          <w:p w14:paraId="676C2BA0" w14:textId="77777777" w:rsidR="00AD589E" w:rsidRPr="004A3F9B" w:rsidRDefault="00AD589E" w:rsidP="00AF2A28">
            <w:pPr>
              <w:spacing w:after="0"/>
              <w:rPr>
                <w:rFonts w:ascii="Arial" w:hAnsi="Arial" w:cs="Arial"/>
                <w:color w:val="006100"/>
                <w:sz w:val="16"/>
                <w:szCs w:val="16"/>
              </w:rPr>
            </w:pPr>
          </w:p>
          <w:p w14:paraId="5AE67C85" w14:textId="49E741D7" w:rsidR="00AD589E" w:rsidRPr="004A3F9B" w:rsidRDefault="00AD589E" w:rsidP="00AF2A28">
            <w:pPr>
              <w:spacing w:after="0"/>
              <w:rPr>
                <w:rFonts w:ascii="Arial" w:hAnsi="Arial" w:cs="Arial"/>
                <w:color w:val="006100"/>
                <w:sz w:val="16"/>
                <w:szCs w:val="16"/>
              </w:rPr>
            </w:pPr>
            <w:r w:rsidRPr="004A3F9B">
              <w:rPr>
                <w:rFonts w:ascii="Arial" w:hAnsi="Arial" w:cs="Arial"/>
                <w:color w:val="006100"/>
                <w:sz w:val="16"/>
                <w:szCs w:val="16"/>
              </w:rPr>
              <w:t>When: specify the dates of selection, award, and contracting</w:t>
            </w:r>
          </w:p>
        </w:tc>
        <w:tc>
          <w:tcPr>
            <w:tcW w:w="2268" w:type="dxa"/>
            <w:shd w:val="clear" w:color="auto" w:fill="D6E3C6"/>
          </w:tcPr>
          <w:p w14:paraId="35C4ECCA" w14:textId="77777777" w:rsidR="00AD589E" w:rsidRPr="004A3F9B" w:rsidRDefault="00AD589E" w:rsidP="00DC6046">
            <w:pPr>
              <w:spacing w:after="0"/>
              <w:rPr>
                <w:rFonts w:ascii="Arial" w:hAnsi="Arial" w:cs="Arial"/>
                <w:color w:val="006100"/>
                <w:sz w:val="16"/>
                <w:szCs w:val="16"/>
              </w:rPr>
            </w:pPr>
            <w:r w:rsidRPr="004A3F9B">
              <w:rPr>
                <w:rFonts w:ascii="Arial" w:hAnsi="Arial" w:cs="Arial"/>
                <w:color w:val="006100"/>
                <w:sz w:val="16"/>
                <w:szCs w:val="16"/>
              </w:rPr>
              <w:t>The sub-measure shall consist in the financing of measures for the sustainable energy renovation of state and municipal buildings (including administrative services buildings, public service buildings in the field of culture and art and sports buildings, as well as buildings owned by the Bulgarian Academy of Sciences). The sub-measure shall lead to the renovation of non-residential buildings with a total surface area of at least 1.4 million m</w:t>
            </w:r>
            <w:r w:rsidRPr="004A3F9B">
              <w:rPr>
                <w:rFonts w:ascii="Arial" w:hAnsi="Arial" w:cs="Arial"/>
                <w:color w:val="006100"/>
                <w:sz w:val="16"/>
                <w:szCs w:val="16"/>
                <w:vertAlign w:val="superscript"/>
              </w:rPr>
              <w:t>2</w:t>
            </w:r>
            <w:r w:rsidRPr="004A3F9B">
              <w:rPr>
                <w:rFonts w:ascii="Arial" w:hAnsi="Arial" w:cs="Arial"/>
                <w:color w:val="006100"/>
                <w:sz w:val="16"/>
                <w:szCs w:val="16"/>
              </w:rPr>
              <w:t xml:space="preserve">.  </w:t>
            </w:r>
          </w:p>
          <w:p w14:paraId="5EBCDF0B" w14:textId="77777777" w:rsidR="00AD589E" w:rsidRPr="004A3F9B" w:rsidRDefault="00AD589E" w:rsidP="00DC6046">
            <w:pPr>
              <w:spacing w:after="0"/>
              <w:rPr>
                <w:rFonts w:ascii="Arial" w:hAnsi="Arial" w:cs="Arial"/>
                <w:color w:val="006100"/>
                <w:sz w:val="16"/>
                <w:szCs w:val="16"/>
              </w:rPr>
            </w:pPr>
          </w:p>
          <w:p w14:paraId="0217E086" w14:textId="0EC584C9" w:rsidR="00AD589E" w:rsidRPr="004A3F9B" w:rsidRDefault="00AD589E" w:rsidP="00DC6046">
            <w:pPr>
              <w:spacing w:after="0"/>
              <w:rPr>
                <w:rFonts w:ascii="Arial" w:hAnsi="Arial" w:cs="Arial"/>
                <w:color w:val="006100"/>
                <w:sz w:val="16"/>
                <w:szCs w:val="16"/>
              </w:rPr>
            </w:pPr>
            <w:r w:rsidRPr="004A3F9B">
              <w:rPr>
                <w:rFonts w:ascii="Arial" w:hAnsi="Arial" w:cs="Arial"/>
                <w:color w:val="006100"/>
                <w:sz w:val="16"/>
                <w:szCs w:val="16"/>
              </w:rPr>
              <w:t>The scheme under the sub-measure shall stipulate that renovations are, on average, expected to achieve a minimum of 30% primary energy demand savings.</w:t>
            </w:r>
          </w:p>
        </w:tc>
        <w:tc>
          <w:tcPr>
            <w:tcW w:w="1036" w:type="dxa"/>
            <w:gridSpan w:val="2"/>
            <w:shd w:val="clear" w:color="auto" w:fill="D6E3C6"/>
          </w:tcPr>
          <w:p w14:paraId="73B2060B" w14:textId="68AF7563" w:rsidR="00AD589E" w:rsidRPr="004A3F9B" w:rsidRDefault="00AD589E" w:rsidP="007D17C3">
            <w:pPr>
              <w:spacing w:after="0"/>
              <w:rPr>
                <w:rFonts w:ascii="Arial" w:hAnsi="Arial" w:cs="Arial"/>
                <w:color w:val="006100"/>
                <w:sz w:val="16"/>
                <w:szCs w:val="16"/>
              </w:rPr>
            </w:pPr>
            <w:r w:rsidRPr="004A3F9B">
              <w:rPr>
                <w:rFonts w:ascii="Arial" w:hAnsi="Arial" w:cs="Arial"/>
                <w:color w:val="006100"/>
                <w:sz w:val="16"/>
                <w:szCs w:val="16"/>
              </w:rPr>
              <w:t>As above + delays in milestone 73</w:t>
            </w:r>
          </w:p>
        </w:tc>
        <w:tc>
          <w:tcPr>
            <w:tcW w:w="1090" w:type="dxa"/>
            <w:gridSpan w:val="2"/>
            <w:shd w:val="clear" w:color="auto" w:fill="D6E3C6"/>
          </w:tcPr>
          <w:p w14:paraId="7E72073C" w14:textId="77777777" w:rsidR="00AD589E" w:rsidRPr="004A3F9B" w:rsidRDefault="00AD589E" w:rsidP="009502E1">
            <w:pPr>
              <w:spacing w:after="0"/>
              <w:rPr>
                <w:rFonts w:ascii="Arial" w:hAnsi="Arial" w:cs="Arial"/>
                <w:color w:val="006100"/>
                <w:sz w:val="16"/>
                <w:szCs w:val="16"/>
              </w:rPr>
            </w:pPr>
            <w:r w:rsidRPr="004A3F9B">
              <w:rPr>
                <w:rFonts w:ascii="Arial" w:hAnsi="Arial" w:cs="Arial"/>
                <w:color w:val="006100"/>
                <w:sz w:val="16"/>
                <w:szCs w:val="16"/>
              </w:rPr>
              <w:t>Yes, sample-based</w:t>
            </w:r>
          </w:p>
          <w:p w14:paraId="75AF389B" w14:textId="77777777" w:rsidR="00AD589E" w:rsidRPr="004A3F9B" w:rsidRDefault="00AD589E" w:rsidP="0063508F">
            <w:pPr>
              <w:spacing w:after="0"/>
              <w:rPr>
                <w:rFonts w:ascii="Arial" w:hAnsi="Arial" w:cs="Arial"/>
                <w:color w:val="006100"/>
                <w:sz w:val="16"/>
                <w:szCs w:val="16"/>
              </w:rPr>
            </w:pPr>
          </w:p>
        </w:tc>
        <w:tc>
          <w:tcPr>
            <w:tcW w:w="992" w:type="dxa"/>
            <w:gridSpan w:val="2"/>
            <w:shd w:val="clear" w:color="auto" w:fill="D6E3C6"/>
          </w:tcPr>
          <w:p w14:paraId="43B5CCB7" w14:textId="7EDDA084" w:rsidR="00AD589E" w:rsidRPr="004A3F9B" w:rsidRDefault="009D5918" w:rsidP="007D17C3">
            <w:pPr>
              <w:spacing w:after="0"/>
              <w:rPr>
                <w:rFonts w:ascii="Arial" w:hAnsi="Arial" w:cs="Arial"/>
                <w:color w:val="006100"/>
                <w:sz w:val="16"/>
                <w:szCs w:val="16"/>
              </w:rPr>
            </w:pPr>
            <w:r w:rsidRPr="004A3F9B">
              <w:rPr>
                <w:rFonts w:ascii="Arial" w:hAnsi="Arial" w:cs="Arial"/>
                <w:color w:val="006100"/>
                <w:sz w:val="16"/>
                <w:szCs w:val="16"/>
              </w:rPr>
              <w:t>1 (energy saving)</w:t>
            </w:r>
          </w:p>
        </w:tc>
        <w:tc>
          <w:tcPr>
            <w:tcW w:w="1418" w:type="dxa"/>
            <w:gridSpan w:val="2"/>
            <w:shd w:val="clear" w:color="auto" w:fill="D6E3C6"/>
          </w:tcPr>
          <w:p w14:paraId="5F54D341" w14:textId="7F3F9412" w:rsidR="00AD589E" w:rsidRPr="004A3F9B" w:rsidRDefault="00FF174F" w:rsidP="007D17C3">
            <w:pPr>
              <w:spacing w:after="0"/>
              <w:rPr>
                <w:rFonts w:ascii="Arial" w:hAnsi="Arial" w:cs="Arial"/>
                <w:color w:val="006100"/>
                <w:sz w:val="16"/>
                <w:szCs w:val="16"/>
              </w:rPr>
            </w:pPr>
            <w:r w:rsidRPr="004A3F9B">
              <w:rPr>
                <w:rFonts w:ascii="Arial" w:hAnsi="Arial" w:cs="Arial"/>
                <w:color w:val="006100"/>
                <w:sz w:val="16"/>
                <w:szCs w:val="16"/>
              </w:rPr>
              <w:t xml:space="preserve">A monitoring step: </w:t>
            </w:r>
            <w:r w:rsidR="00754226" w:rsidRPr="004A3F9B">
              <w:rPr>
                <w:rFonts w:ascii="Arial" w:hAnsi="Arial" w:cs="Arial"/>
                <w:color w:val="006100"/>
                <w:sz w:val="16"/>
                <w:szCs w:val="16"/>
              </w:rPr>
              <w:t>Progress report detailing the progress achieved towards the fulfilment of the target (</w:t>
            </w:r>
            <w:r w:rsidR="00E50FB8" w:rsidRPr="004A3F9B">
              <w:rPr>
                <w:rFonts w:ascii="Arial" w:hAnsi="Arial" w:cs="Arial"/>
                <w:color w:val="006100"/>
                <w:sz w:val="16"/>
                <w:szCs w:val="16"/>
              </w:rPr>
              <w:t>Q1 2025</w:t>
            </w:r>
            <w:r w:rsidR="00754226" w:rsidRPr="004A3F9B">
              <w:rPr>
                <w:rFonts w:ascii="Arial" w:hAnsi="Arial" w:cs="Arial"/>
                <w:color w:val="006100"/>
                <w:sz w:val="16"/>
                <w:szCs w:val="16"/>
              </w:rPr>
              <w:t>)</w:t>
            </w:r>
          </w:p>
        </w:tc>
      </w:tr>
      <w:tr w:rsidR="004A3F9B" w:rsidRPr="004A3F9B" w14:paraId="45B9ACCF" w14:textId="13AD8A25" w:rsidTr="00596EEA">
        <w:trPr>
          <w:trHeight w:val="309"/>
        </w:trPr>
        <w:tc>
          <w:tcPr>
            <w:tcW w:w="454" w:type="dxa"/>
            <w:shd w:val="clear" w:color="auto" w:fill="D6E3C6"/>
            <w:noWrap/>
          </w:tcPr>
          <w:p w14:paraId="5AD40B3C" w14:textId="4E0E5671"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75</w:t>
            </w:r>
          </w:p>
        </w:tc>
        <w:tc>
          <w:tcPr>
            <w:tcW w:w="1215" w:type="dxa"/>
            <w:shd w:val="clear" w:color="auto" w:fill="D6E3C6"/>
            <w:noWrap/>
          </w:tcPr>
          <w:p w14:paraId="13BFE8C6" w14:textId="35916138"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 xml:space="preserve">C4.I1: Support for the renovation of the building stock Sub-measure 2: Renovation of non-residential buildings, including public buildings and Sub-measure 3: </w:t>
            </w:r>
            <w:r w:rsidRPr="004A3F9B">
              <w:rPr>
                <w:rFonts w:ascii="Arial" w:hAnsi="Arial" w:cs="Arial"/>
                <w:color w:val="006100"/>
                <w:sz w:val="16"/>
                <w:szCs w:val="16"/>
              </w:rPr>
              <w:lastRenderedPageBreak/>
              <w:t>Renovation of non-residential buildings in manufacturing, trade and services, as well as buildings from the tourism sector</w:t>
            </w:r>
          </w:p>
        </w:tc>
        <w:tc>
          <w:tcPr>
            <w:tcW w:w="956" w:type="dxa"/>
            <w:shd w:val="clear" w:color="auto" w:fill="D6E3C6"/>
            <w:noWrap/>
          </w:tcPr>
          <w:p w14:paraId="44519D97" w14:textId="254B6EAC"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lastRenderedPageBreak/>
              <w:t>Target</w:t>
            </w:r>
          </w:p>
        </w:tc>
        <w:tc>
          <w:tcPr>
            <w:tcW w:w="1691" w:type="dxa"/>
            <w:shd w:val="clear" w:color="auto" w:fill="D6E3C6"/>
            <w:noWrap/>
          </w:tcPr>
          <w:p w14:paraId="0A178366" w14:textId="59E18158"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Completed energy renovation of non-residential buildings – number of renovated buildings (sub-measures 2 and 3)</w:t>
            </w:r>
          </w:p>
        </w:tc>
        <w:tc>
          <w:tcPr>
            <w:tcW w:w="1322" w:type="dxa"/>
            <w:shd w:val="clear" w:color="auto" w:fill="D6E3C6"/>
            <w:noWrap/>
          </w:tcPr>
          <w:p w14:paraId="431895DA" w14:textId="77777777" w:rsidR="00AD589E" w:rsidRPr="004A3F9B" w:rsidRDefault="00AD589E" w:rsidP="0063508F">
            <w:pPr>
              <w:spacing w:after="0"/>
              <w:rPr>
                <w:rFonts w:ascii="Arial" w:eastAsia="Times New Roman" w:hAnsi="Arial" w:cs="Arial"/>
                <w:color w:val="006100"/>
                <w:sz w:val="16"/>
                <w:szCs w:val="16"/>
                <w:lang w:eastAsia="en-GB"/>
              </w:rPr>
            </w:pPr>
          </w:p>
        </w:tc>
        <w:tc>
          <w:tcPr>
            <w:tcW w:w="709" w:type="dxa"/>
            <w:shd w:val="clear" w:color="auto" w:fill="D6E3C6"/>
            <w:noWrap/>
          </w:tcPr>
          <w:p w14:paraId="2139B612" w14:textId="3B2BE409"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Number</w:t>
            </w:r>
          </w:p>
        </w:tc>
        <w:tc>
          <w:tcPr>
            <w:tcW w:w="614" w:type="dxa"/>
            <w:shd w:val="clear" w:color="auto" w:fill="D6E3C6"/>
            <w:noWrap/>
          </w:tcPr>
          <w:p w14:paraId="3E0A9D44" w14:textId="1DD809A9"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0</w:t>
            </w:r>
          </w:p>
        </w:tc>
        <w:tc>
          <w:tcPr>
            <w:tcW w:w="731" w:type="dxa"/>
            <w:shd w:val="clear" w:color="auto" w:fill="D6E3C6"/>
            <w:noWrap/>
          </w:tcPr>
          <w:p w14:paraId="3840138B" w14:textId="03F74A73"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866</w:t>
            </w:r>
          </w:p>
        </w:tc>
        <w:tc>
          <w:tcPr>
            <w:tcW w:w="756" w:type="dxa"/>
            <w:gridSpan w:val="2"/>
            <w:shd w:val="clear" w:color="auto" w:fill="D6E3C6"/>
            <w:noWrap/>
          </w:tcPr>
          <w:p w14:paraId="0D3A8D2C" w14:textId="40EFDE24"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Q2</w:t>
            </w:r>
          </w:p>
        </w:tc>
        <w:tc>
          <w:tcPr>
            <w:tcW w:w="520" w:type="dxa"/>
            <w:shd w:val="clear" w:color="auto" w:fill="D6E3C6"/>
            <w:noWrap/>
          </w:tcPr>
          <w:p w14:paraId="1A468403" w14:textId="4D29E60A" w:rsidR="00AD589E" w:rsidRPr="004A3F9B" w:rsidRDefault="00AD589E" w:rsidP="0063508F">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2026</w:t>
            </w:r>
          </w:p>
        </w:tc>
        <w:tc>
          <w:tcPr>
            <w:tcW w:w="872" w:type="dxa"/>
            <w:gridSpan w:val="2"/>
            <w:shd w:val="clear" w:color="auto" w:fill="D6E3C6"/>
          </w:tcPr>
          <w:p w14:paraId="1E433551" w14:textId="70CDB04E" w:rsidR="00AD589E" w:rsidRPr="004A3F9B" w:rsidRDefault="00AD589E" w:rsidP="0063508F">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Ministry of Regional Development and Public Works</w:t>
            </w:r>
          </w:p>
        </w:tc>
        <w:tc>
          <w:tcPr>
            <w:tcW w:w="851" w:type="dxa"/>
            <w:gridSpan w:val="2"/>
            <w:shd w:val="clear" w:color="auto" w:fill="D6E3C6"/>
          </w:tcPr>
          <w:p w14:paraId="1361302E" w14:textId="77777777" w:rsidR="00AD589E" w:rsidRPr="004A3F9B"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38F8C76C" w14:textId="6E7EFB1E" w:rsidR="00AD589E" w:rsidRPr="004A3F9B" w:rsidRDefault="00AD589E" w:rsidP="0073371A">
            <w:pPr>
              <w:pStyle w:val="ListParagraph"/>
              <w:numPr>
                <w:ilvl w:val="0"/>
                <w:numId w:val="23"/>
              </w:numPr>
              <w:spacing w:after="0"/>
              <w:rPr>
                <w:rFonts w:ascii="Arial" w:hAnsi="Arial" w:cs="Arial"/>
                <w:color w:val="006100"/>
                <w:sz w:val="16"/>
                <w:szCs w:val="16"/>
              </w:rPr>
            </w:pPr>
            <w:r w:rsidRPr="004A3F9B">
              <w:rPr>
                <w:rFonts w:ascii="Arial" w:hAnsi="Arial" w:cs="Arial"/>
                <w:color w:val="006100"/>
                <w:sz w:val="16"/>
                <w:szCs w:val="16"/>
                <w:lang w:eastAsia="en-GB"/>
              </w:rPr>
              <w:t>Spreadsheet with the following documentary evidence:</w:t>
            </w:r>
          </w:p>
          <w:p w14:paraId="02895A6C" w14:textId="77777777" w:rsidR="00AD589E" w:rsidRPr="004A3F9B" w:rsidRDefault="00AD589E" w:rsidP="0073371A">
            <w:pPr>
              <w:pStyle w:val="ListParagraph"/>
              <w:numPr>
                <w:ilvl w:val="0"/>
                <w:numId w:val="19"/>
              </w:numPr>
              <w:spacing w:after="0"/>
              <w:ind w:left="537" w:hanging="177"/>
              <w:rPr>
                <w:rFonts w:ascii="Arial" w:hAnsi="Arial" w:cs="Arial"/>
                <w:color w:val="006100"/>
                <w:sz w:val="16"/>
                <w:szCs w:val="16"/>
              </w:rPr>
            </w:pPr>
            <w:r w:rsidRPr="004A3F9B">
              <w:rPr>
                <w:rFonts w:ascii="Arial" w:hAnsi="Arial" w:cs="Arial"/>
                <w:color w:val="006100"/>
                <w:sz w:val="16"/>
                <w:szCs w:val="16"/>
                <w:lang w:eastAsia="en-GB"/>
              </w:rPr>
              <w:t xml:space="preserve">a list of finalised renovations of non-residential buildings per sector, and for each item: a unique identifier, the </w:t>
            </w:r>
            <w:r w:rsidRPr="004A3F9B">
              <w:rPr>
                <w:rFonts w:ascii="Arial" w:hAnsi="Arial" w:cs="Arial"/>
                <w:color w:val="006100"/>
                <w:sz w:val="16"/>
                <w:szCs w:val="16"/>
                <w:lang w:eastAsia="en-GB"/>
              </w:rPr>
              <w:lastRenderedPageBreak/>
              <w:t>primary energy demand in the energy performance before and after the renovation</w:t>
            </w:r>
          </w:p>
          <w:p w14:paraId="2EC6487C" w14:textId="77777777" w:rsidR="00AD589E" w:rsidRPr="004A3F9B" w:rsidRDefault="00AD589E" w:rsidP="0073371A">
            <w:pPr>
              <w:pStyle w:val="ListParagraph"/>
              <w:numPr>
                <w:ilvl w:val="0"/>
                <w:numId w:val="19"/>
              </w:numPr>
              <w:spacing w:after="0"/>
              <w:ind w:left="537" w:hanging="177"/>
              <w:rPr>
                <w:rFonts w:ascii="Arial" w:hAnsi="Arial" w:cs="Arial"/>
                <w:color w:val="006100"/>
                <w:sz w:val="16"/>
                <w:szCs w:val="16"/>
              </w:rPr>
            </w:pPr>
            <w:r w:rsidRPr="004A3F9B">
              <w:rPr>
                <w:rFonts w:ascii="Arial" w:hAnsi="Arial" w:cs="Arial"/>
                <w:color w:val="006100"/>
                <w:sz w:val="16"/>
                <w:szCs w:val="16"/>
              </w:rPr>
              <w:t>gross floor area in m</w:t>
            </w:r>
            <w:r w:rsidRPr="004A3F9B">
              <w:rPr>
                <w:rFonts w:ascii="Arial" w:hAnsi="Arial" w:cs="Arial"/>
                <w:color w:val="006100"/>
                <w:sz w:val="16"/>
                <w:szCs w:val="16"/>
                <w:vertAlign w:val="superscript"/>
              </w:rPr>
              <w:t>2</w:t>
            </w:r>
            <w:r w:rsidRPr="004A3F9B">
              <w:rPr>
                <w:rFonts w:ascii="Arial" w:hAnsi="Arial" w:cs="Arial"/>
                <w:color w:val="006100"/>
                <w:sz w:val="16"/>
                <w:szCs w:val="16"/>
              </w:rPr>
              <w:t xml:space="preserve"> covered by the renovations</w:t>
            </w:r>
          </w:p>
          <w:p w14:paraId="31AE91B7" w14:textId="73BDFBEF" w:rsidR="00AD589E" w:rsidRPr="004A3F9B" w:rsidRDefault="00AD589E" w:rsidP="0073371A">
            <w:pPr>
              <w:pStyle w:val="ListParagraph"/>
              <w:numPr>
                <w:ilvl w:val="0"/>
                <w:numId w:val="19"/>
              </w:numPr>
              <w:spacing w:after="0"/>
              <w:ind w:left="537" w:hanging="177"/>
              <w:rPr>
                <w:rFonts w:ascii="Arial" w:hAnsi="Arial" w:cs="Arial"/>
                <w:color w:val="006100"/>
                <w:sz w:val="16"/>
                <w:szCs w:val="16"/>
              </w:rPr>
            </w:pPr>
            <w:r w:rsidRPr="004A3F9B">
              <w:rPr>
                <w:rFonts w:ascii="Arial" w:hAnsi="Arial" w:cs="Arial"/>
                <w:color w:val="006100"/>
                <w:sz w:val="16"/>
                <w:szCs w:val="16"/>
              </w:rPr>
              <w:t>official references to the certificates of works completion issued in accordance with the national legislation</w:t>
            </w:r>
          </w:p>
        </w:tc>
        <w:tc>
          <w:tcPr>
            <w:tcW w:w="3402" w:type="dxa"/>
            <w:shd w:val="clear" w:color="auto" w:fill="D6E3C6"/>
          </w:tcPr>
          <w:p w14:paraId="43FD4137" w14:textId="77777777" w:rsidR="00AD589E" w:rsidRPr="004A3F9B" w:rsidRDefault="00AD589E" w:rsidP="00295AC1">
            <w:pPr>
              <w:spacing w:after="0"/>
              <w:rPr>
                <w:rFonts w:ascii="Arial" w:hAnsi="Arial" w:cs="Arial"/>
                <w:color w:val="006100"/>
                <w:sz w:val="16"/>
                <w:szCs w:val="16"/>
              </w:rPr>
            </w:pPr>
            <w:r w:rsidRPr="004A3F9B">
              <w:rPr>
                <w:rFonts w:ascii="Arial" w:hAnsi="Arial" w:cs="Arial"/>
                <w:color w:val="006100"/>
                <w:sz w:val="16"/>
                <w:szCs w:val="16"/>
              </w:rPr>
              <w:lastRenderedPageBreak/>
              <w:t>Institution/s: Ministry of Regional Development and Public Works</w:t>
            </w:r>
          </w:p>
          <w:p w14:paraId="65BBB1E5" w14:textId="77777777" w:rsidR="00AD589E" w:rsidRPr="004A3F9B" w:rsidRDefault="00AD589E" w:rsidP="00295AC1">
            <w:pPr>
              <w:spacing w:after="0"/>
              <w:rPr>
                <w:rFonts w:ascii="Arial" w:hAnsi="Arial" w:cs="Arial"/>
                <w:color w:val="006100"/>
                <w:sz w:val="16"/>
                <w:szCs w:val="16"/>
              </w:rPr>
            </w:pPr>
          </w:p>
          <w:p w14:paraId="6CA49301" w14:textId="1DDC9BCA" w:rsidR="00AD589E" w:rsidRPr="004A3F9B" w:rsidRDefault="00AD589E" w:rsidP="00295AC1">
            <w:pPr>
              <w:spacing w:after="0"/>
              <w:rPr>
                <w:rFonts w:ascii="Arial" w:hAnsi="Arial" w:cs="Arial"/>
                <w:color w:val="006100"/>
                <w:sz w:val="16"/>
                <w:szCs w:val="16"/>
              </w:rPr>
            </w:pPr>
            <w:r w:rsidRPr="004A3F9B">
              <w:rPr>
                <w:rFonts w:ascii="Arial" w:hAnsi="Arial" w:cs="Arial"/>
                <w:color w:val="006100"/>
                <w:sz w:val="16"/>
                <w:szCs w:val="16"/>
              </w:rPr>
              <w:t>What: Completed energy renovation of non-residential buildings – number of renovated buildings (sub-measures 2 and 3)</w:t>
            </w:r>
          </w:p>
          <w:p w14:paraId="00A86E06" w14:textId="77777777" w:rsidR="00AD589E" w:rsidRPr="004A3F9B" w:rsidRDefault="00AD589E" w:rsidP="00295AC1">
            <w:pPr>
              <w:spacing w:after="0"/>
              <w:rPr>
                <w:rFonts w:ascii="Arial" w:hAnsi="Arial" w:cs="Arial"/>
                <w:color w:val="006100"/>
                <w:sz w:val="16"/>
                <w:szCs w:val="16"/>
              </w:rPr>
            </w:pPr>
          </w:p>
          <w:p w14:paraId="58919BF1" w14:textId="1FAD1EC6" w:rsidR="00AD589E" w:rsidRPr="004A3F9B" w:rsidRDefault="00AD589E" w:rsidP="00295AC1">
            <w:pPr>
              <w:spacing w:after="0"/>
              <w:rPr>
                <w:rFonts w:ascii="Arial" w:hAnsi="Arial" w:cs="Arial"/>
                <w:color w:val="006100"/>
                <w:sz w:val="16"/>
                <w:szCs w:val="16"/>
              </w:rPr>
            </w:pPr>
            <w:r w:rsidRPr="004A3F9B">
              <w:rPr>
                <w:rFonts w:ascii="Arial" w:hAnsi="Arial" w:cs="Arial"/>
                <w:color w:val="006100"/>
                <w:sz w:val="16"/>
                <w:szCs w:val="16"/>
              </w:rPr>
              <w:t>How: reporting (a)</w:t>
            </w:r>
          </w:p>
          <w:p w14:paraId="65185C7E" w14:textId="77777777" w:rsidR="00AD589E" w:rsidRPr="004A3F9B" w:rsidRDefault="00AD589E" w:rsidP="00295AC1">
            <w:pPr>
              <w:spacing w:after="0"/>
              <w:rPr>
                <w:rFonts w:ascii="Arial" w:hAnsi="Arial" w:cs="Arial"/>
                <w:color w:val="006100"/>
                <w:sz w:val="16"/>
                <w:szCs w:val="16"/>
              </w:rPr>
            </w:pPr>
          </w:p>
          <w:p w14:paraId="72A1414F" w14:textId="174489A0" w:rsidR="00AD589E" w:rsidRPr="004A3F9B" w:rsidRDefault="00AD589E" w:rsidP="00295AC1">
            <w:pPr>
              <w:spacing w:after="0"/>
              <w:rPr>
                <w:rFonts w:ascii="Arial" w:hAnsi="Arial" w:cs="Arial"/>
                <w:color w:val="006100"/>
                <w:sz w:val="16"/>
                <w:szCs w:val="16"/>
              </w:rPr>
            </w:pPr>
            <w:r w:rsidRPr="004A3F9B">
              <w:rPr>
                <w:rFonts w:ascii="Arial" w:hAnsi="Arial" w:cs="Arial"/>
                <w:color w:val="006100"/>
                <w:sz w:val="16"/>
                <w:szCs w:val="16"/>
              </w:rPr>
              <w:t xml:space="preserve">Why: Completion of energy-efficiency renovation of non-residential buildings, in accordance with the conditions in milestone </w:t>
            </w:r>
            <w:r w:rsidRPr="004A3F9B">
              <w:rPr>
                <w:rFonts w:ascii="Arial" w:hAnsi="Arial" w:cs="Arial"/>
                <w:color w:val="006100"/>
                <w:sz w:val="16"/>
                <w:szCs w:val="16"/>
              </w:rPr>
              <w:lastRenderedPageBreak/>
              <w:t>73. The renovation shall reduce on average at least 30% of primary energy consumption. [provide references to the above in the summary document]</w:t>
            </w:r>
          </w:p>
          <w:p w14:paraId="2F537759" w14:textId="77777777" w:rsidR="00AD589E" w:rsidRPr="004A3F9B" w:rsidRDefault="00AD589E" w:rsidP="00295AC1">
            <w:pPr>
              <w:spacing w:after="0"/>
              <w:rPr>
                <w:rFonts w:ascii="Arial" w:hAnsi="Arial" w:cs="Arial"/>
                <w:color w:val="006100"/>
                <w:sz w:val="16"/>
                <w:szCs w:val="16"/>
              </w:rPr>
            </w:pPr>
          </w:p>
          <w:p w14:paraId="6F777B1B" w14:textId="119ADA99" w:rsidR="00AD589E" w:rsidRPr="004A3F9B" w:rsidRDefault="00AD589E" w:rsidP="00295AC1">
            <w:pPr>
              <w:spacing w:after="0"/>
              <w:rPr>
                <w:rFonts w:ascii="Arial" w:hAnsi="Arial" w:cs="Arial"/>
                <w:color w:val="006100"/>
                <w:sz w:val="16"/>
                <w:szCs w:val="16"/>
              </w:rPr>
            </w:pPr>
            <w:r w:rsidRPr="004A3F9B">
              <w:rPr>
                <w:rFonts w:ascii="Arial" w:hAnsi="Arial" w:cs="Arial"/>
                <w:color w:val="006100"/>
                <w:sz w:val="16"/>
                <w:szCs w:val="16"/>
              </w:rPr>
              <w:t>When: specify the dates of selection, award, and contracting</w:t>
            </w:r>
          </w:p>
        </w:tc>
        <w:tc>
          <w:tcPr>
            <w:tcW w:w="2268" w:type="dxa"/>
            <w:shd w:val="clear" w:color="auto" w:fill="D6E3C6"/>
          </w:tcPr>
          <w:p w14:paraId="6768A7A0" w14:textId="77777777" w:rsidR="00AD589E" w:rsidRPr="004A3F9B" w:rsidRDefault="00AD589E" w:rsidP="0063508F">
            <w:pPr>
              <w:spacing w:after="0"/>
              <w:rPr>
                <w:rFonts w:ascii="Arial" w:hAnsi="Arial" w:cs="Arial"/>
                <w:color w:val="006100"/>
                <w:sz w:val="16"/>
                <w:szCs w:val="16"/>
              </w:rPr>
            </w:pPr>
            <w:r w:rsidRPr="004A3F9B">
              <w:rPr>
                <w:rFonts w:ascii="Arial" w:hAnsi="Arial" w:cs="Arial"/>
                <w:color w:val="006100"/>
                <w:sz w:val="16"/>
                <w:szCs w:val="16"/>
              </w:rPr>
              <w:lastRenderedPageBreak/>
              <w:t>As above</w:t>
            </w:r>
          </w:p>
          <w:p w14:paraId="7E742337" w14:textId="77777777" w:rsidR="00AD589E" w:rsidRPr="004A3F9B" w:rsidRDefault="00AD589E" w:rsidP="0063508F">
            <w:pPr>
              <w:spacing w:after="0"/>
              <w:rPr>
                <w:rFonts w:ascii="Arial" w:hAnsi="Arial" w:cs="Arial"/>
                <w:color w:val="006100"/>
                <w:sz w:val="16"/>
                <w:szCs w:val="16"/>
              </w:rPr>
            </w:pPr>
          </w:p>
          <w:p w14:paraId="3A383C94" w14:textId="549BD0A0" w:rsidR="00AD589E" w:rsidRPr="004A3F9B" w:rsidRDefault="00AD589E" w:rsidP="00760EE1">
            <w:pPr>
              <w:spacing w:after="0"/>
              <w:rPr>
                <w:rFonts w:ascii="Arial" w:hAnsi="Arial" w:cs="Arial"/>
                <w:color w:val="006100"/>
                <w:sz w:val="16"/>
                <w:szCs w:val="16"/>
              </w:rPr>
            </w:pPr>
            <w:r w:rsidRPr="004A3F9B">
              <w:rPr>
                <w:rFonts w:ascii="Arial" w:hAnsi="Arial" w:cs="Arial"/>
                <w:color w:val="006100"/>
                <w:sz w:val="16"/>
                <w:szCs w:val="16"/>
              </w:rPr>
              <w:t xml:space="preserve">Furthermore, Sub-measure 3 shall consist in financing of measures for sustainable energy efficient renovation of buildings in the fields of manufacturing, trade and services. </w:t>
            </w:r>
          </w:p>
          <w:p w14:paraId="1A78D88D" w14:textId="77777777" w:rsidR="00AD589E" w:rsidRPr="004A3F9B" w:rsidRDefault="00AD589E" w:rsidP="00760EE1">
            <w:pPr>
              <w:spacing w:after="0"/>
              <w:rPr>
                <w:rFonts w:ascii="Arial" w:hAnsi="Arial" w:cs="Arial"/>
                <w:color w:val="006100"/>
                <w:sz w:val="16"/>
                <w:szCs w:val="16"/>
              </w:rPr>
            </w:pPr>
          </w:p>
          <w:p w14:paraId="27D8F497" w14:textId="273D93DF" w:rsidR="00AD589E" w:rsidRPr="004A3F9B" w:rsidRDefault="00AD589E" w:rsidP="00760EE1">
            <w:pPr>
              <w:spacing w:after="0"/>
              <w:rPr>
                <w:rFonts w:ascii="Arial" w:hAnsi="Arial" w:cs="Arial"/>
                <w:color w:val="006100"/>
                <w:sz w:val="16"/>
                <w:szCs w:val="16"/>
              </w:rPr>
            </w:pPr>
            <w:r w:rsidRPr="004A3F9B">
              <w:rPr>
                <w:rFonts w:ascii="Arial" w:hAnsi="Arial" w:cs="Arial"/>
                <w:color w:val="006100"/>
                <w:sz w:val="16"/>
                <w:szCs w:val="16"/>
              </w:rPr>
              <w:t xml:space="preserve">The scheme under the sub-measure shall stipulate that </w:t>
            </w:r>
            <w:r w:rsidRPr="004A3F9B">
              <w:rPr>
                <w:rFonts w:ascii="Arial" w:hAnsi="Arial" w:cs="Arial"/>
                <w:color w:val="006100"/>
                <w:sz w:val="16"/>
                <w:szCs w:val="16"/>
              </w:rPr>
              <w:lastRenderedPageBreak/>
              <w:t>renovations are, on average, expected to achieve a minimum of 30% primary energy demand savings.</w:t>
            </w:r>
          </w:p>
        </w:tc>
        <w:tc>
          <w:tcPr>
            <w:tcW w:w="1036" w:type="dxa"/>
            <w:gridSpan w:val="2"/>
            <w:shd w:val="clear" w:color="auto" w:fill="D6E3C6"/>
          </w:tcPr>
          <w:p w14:paraId="7A62EB5E" w14:textId="2E3A0FFB" w:rsidR="00AD589E" w:rsidRPr="004A3F9B" w:rsidRDefault="00AD589E" w:rsidP="00931095">
            <w:pPr>
              <w:spacing w:after="0"/>
              <w:rPr>
                <w:rFonts w:ascii="Arial" w:hAnsi="Arial" w:cs="Arial"/>
                <w:color w:val="006100"/>
                <w:sz w:val="16"/>
                <w:szCs w:val="16"/>
              </w:rPr>
            </w:pPr>
            <w:r w:rsidRPr="004A3F9B">
              <w:rPr>
                <w:rFonts w:ascii="Arial" w:hAnsi="Arial" w:cs="Arial"/>
                <w:color w:val="006100"/>
                <w:sz w:val="16"/>
                <w:szCs w:val="16"/>
              </w:rPr>
              <w:lastRenderedPageBreak/>
              <w:t>Delays in milestones 68, 72 and 73</w:t>
            </w:r>
          </w:p>
        </w:tc>
        <w:tc>
          <w:tcPr>
            <w:tcW w:w="1090" w:type="dxa"/>
            <w:gridSpan w:val="2"/>
            <w:shd w:val="clear" w:color="auto" w:fill="D6E3C6"/>
          </w:tcPr>
          <w:p w14:paraId="74949C47" w14:textId="77777777" w:rsidR="00AD589E" w:rsidRPr="004A3F9B" w:rsidRDefault="00AD589E" w:rsidP="009502E1">
            <w:pPr>
              <w:spacing w:after="0"/>
              <w:rPr>
                <w:rFonts w:ascii="Arial" w:hAnsi="Arial" w:cs="Arial"/>
                <w:color w:val="006100"/>
                <w:sz w:val="16"/>
                <w:szCs w:val="16"/>
              </w:rPr>
            </w:pPr>
            <w:r w:rsidRPr="004A3F9B">
              <w:rPr>
                <w:rFonts w:ascii="Arial" w:hAnsi="Arial" w:cs="Arial"/>
                <w:color w:val="006100"/>
                <w:sz w:val="16"/>
                <w:szCs w:val="16"/>
              </w:rPr>
              <w:t>Yes, sample-based</w:t>
            </w:r>
          </w:p>
          <w:p w14:paraId="63D9179D" w14:textId="77777777" w:rsidR="00AD589E" w:rsidRPr="004A3F9B" w:rsidRDefault="00AD589E" w:rsidP="0063508F">
            <w:pPr>
              <w:spacing w:after="0"/>
              <w:rPr>
                <w:rFonts w:ascii="Arial" w:hAnsi="Arial" w:cs="Arial"/>
                <w:color w:val="006100"/>
                <w:sz w:val="16"/>
                <w:szCs w:val="16"/>
              </w:rPr>
            </w:pPr>
          </w:p>
        </w:tc>
        <w:tc>
          <w:tcPr>
            <w:tcW w:w="992" w:type="dxa"/>
            <w:gridSpan w:val="2"/>
            <w:shd w:val="clear" w:color="auto" w:fill="D6E3C6"/>
          </w:tcPr>
          <w:p w14:paraId="767A5D4D" w14:textId="504FB0DD" w:rsidR="00AD589E" w:rsidRPr="004A3F9B" w:rsidRDefault="002B709A" w:rsidP="00931095">
            <w:pPr>
              <w:spacing w:after="0"/>
              <w:rPr>
                <w:rFonts w:ascii="Arial" w:hAnsi="Arial" w:cs="Arial"/>
                <w:color w:val="006100"/>
                <w:sz w:val="16"/>
                <w:szCs w:val="16"/>
              </w:rPr>
            </w:pPr>
            <w:r w:rsidRPr="004A3F9B">
              <w:rPr>
                <w:rFonts w:ascii="Arial" w:hAnsi="Arial" w:cs="Arial"/>
                <w:color w:val="006100"/>
                <w:sz w:val="16"/>
                <w:szCs w:val="16"/>
              </w:rPr>
              <w:t>1 (energy saving)</w:t>
            </w:r>
          </w:p>
        </w:tc>
        <w:tc>
          <w:tcPr>
            <w:tcW w:w="1418" w:type="dxa"/>
            <w:gridSpan w:val="2"/>
            <w:shd w:val="clear" w:color="auto" w:fill="D6E3C6"/>
          </w:tcPr>
          <w:p w14:paraId="039958D4" w14:textId="1C40DE29" w:rsidR="00AD589E" w:rsidRPr="004A3F9B" w:rsidRDefault="002B709A" w:rsidP="00931095">
            <w:pPr>
              <w:spacing w:after="0"/>
              <w:rPr>
                <w:rFonts w:ascii="Arial" w:hAnsi="Arial" w:cs="Arial"/>
                <w:color w:val="006100"/>
                <w:sz w:val="16"/>
                <w:szCs w:val="16"/>
              </w:rPr>
            </w:pPr>
            <w:r w:rsidRPr="004A3F9B">
              <w:rPr>
                <w:rFonts w:ascii="Arial" w:hAnsi="Arial" w:cs="Arial"/>
                <w:color w:val="006100"/>
                <w:sz w:val="16"/>
                <w:szCs w:val="16"/>
              </w:rPr>
              <w:t>-</w:t>
            </w:r>
          </w:p>
        </w:tc>
      </w:tr>
      <w:tr w:rsidR="00AD589E" w:rsidRPr="004F3D4C" w14:paraId="24A53CE3" w14:textId="3D62E24B" w:rsidTr="00596EEA">
        <w:trPr>
          <w:trHeight w:val="309"/>
        </w:trPr>
        <w:tc>
          <w:tcPr>
            <w:tcW w:w="454" w:type="dxa"/>
            <w:shd w:val="clear" w:color="auto" w:fill="D6E3C6"/>
            <w:noWrap/>
          </w:tcPr>
          <w:p w14:paraId="7F2756D7" w14:textId="7F4E18DB"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76</w:t>
            </w:r>
          </w:p>
        </w:tc>
        <w:tc>
          <w:tcPr>
            <w:tcW w:w="1215" w:type="dxa"/>
            <w:shd w:val="clear" w:color="auto" w:fill="D6E3C6"/>
            <w:noWrap/>
          </w:tcPr>
          <w:p w14:paraId="233B678D" w14:textId="75FFFF3A"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C4.I2: Support for renewable energy for households</w:t>
            </w:r>
          </w:p>
        </w:tc>
        <w:tc>
          <w:tcPr>
            <w:tcW w:w="956" w:type="dxa"/>
            <w:shd w:val="clear" w:color="auto" w:fill="D6E3C6"/>
            <w:noWrap/>
          </w:tcPr>
          <w:p w14:paraId="39004000" w14:textId="78EF5E16"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59A4072E" w14:textId="11F96250"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Establishing a national renewable energy support scheme for households</w:t>
            </w:r>
          </w:p>
        </w:tc>
        <w:tc>
          <w:tcPr>
            <w:tcW w:w="1322" w:type="dxa"/>
            <w:shd w:val="clear" w:color="auto" w:fill="D6E3C6"/>
            <w:noWrap/>
          </w:tcPr>
          <w:p w14:paraId="04B45EFC" w14:textId="273D5554"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Publication of the Ministerial order establishing the scheme</w:t>
            </w:r>
          </w:p>
        </w:tc>
        <w:tc>
          <w:tcPr>
            <w:tcW w:w="709" w:type="dxa"/>
            <w:shd w:val="clear" w:color="auto" w:fill="D6E3C6"/>
            <w:noWrap/>
          </w:tcPr>
          <w:p w14:paraId="16AC92E9"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758CB24F"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31A16D59"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18ECB17F" w14:textId="76FF4F2E"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4B621786" w14:textId="3B8D857B"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0D2D46F9" w14:textId="5586DFEE"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2182449A" w14:textId="77777777" w:rsidR="00AD589E" w:rsidRPr="004F3D4C" w:rsidRDefault="00AD589E" w:rsidP="00242069">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The investment shall support at least 10 000 households with inefficient solid fuel </w:t>
            </w:r>
          </w:p>
          <w:p w14:paraId="1D8E987F" w14:textId="77777777" w:rsidR="00AD589E" w:rsidRPr="004F3D4C" w:rsidRDefault="00AD589E" w:rsidP="00242069">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heat sources for their replacement by ‘best in class’ solar domestic hot water (DHW) </w:t>
            </w:r>
          </w:p>
          <w:p w14:paraId="1D088963" w14:textId="027CFDBB" w:rsidR="00AD589E" w:rsidRPr="004F3D4C" w:rsidRDefault="00AD589E" w:rsidP="00242069">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or photovoltaic systems.</w:t>
            </w:r>
          </w:p>
        </w:tc>
        <w:tc>
          <w:tcPr>
            <w:tcW w:w="1751" w:type="dxa"/>
            <w:gridSpan w:val="2"/>
            <w:shd w:val="clear" w:color="auto" w:fill="D6E3C6"/>
          </w:tcPr>
          <w:p w14:paraId="1F56540D" w14:textId="0E91E96F" w:rsidR="00AD589E" w:rsidRDefault="00AD589E" w:rsidP="0073371A">
            <w:pPr>
              <w:pStyle w:val="ListParagraph"/>
              <w:numPr>
                <w:ilvl w:val="0"/>
                <w:numId w:val="24"/>
              </w:numPr>
              <w:spacing w:after="0"/>
              <w:ind w:left="395"/>
              <w:rPr>
                <w:rFonts w:ascii="Arial" w:hAnsi="Arial" w:cs="Arial"/>
                <w:color w:val="006100"/>
                <w:sz w:val="16"/>
                <w:szCs w:val="16"/>
              </w:rPr>
            </w:pPr>
            <w:r w:rsidRPr="004F3D4C">
              <w:rPr>
                <w:rFonts w:ascii="Arial" w:hAnsi="Arial" w:cs="Arial"/>
                <w:color w:val="006100"/>
                <w:sz w:val="16"/>
                <w:szCs w:val="16"/>
                <w:lang w:eastAsia="en-GB"/>
              </w:rPr>
              <w:t xml:space="preserve">Publication </w:t>
            </w:r>
            <w:r w:rsidRPr="004F3D4C">
              <w:rPr>
                <w:rFonts w:ascii="Arial" w:hAnsi="Arial" w:cs="Arial"/>
                <w:color w:val="006100"/>
                <w:sz w:val="16"/>
                <w:szCs w:val="16"/>
                <w:lang w:val="en-US" w:eastAsia="en-GB"/>
              </w:rPr>
              <w:t xml:space="preserve">on Ministry’s </w:t>
            </w:r>
            <w:r w:rsidRPr="004F3D4C">
              <w:rPr>
                <w:rFonts w:ascii="Arial" w:hAnsi="Arial" w:cs="Arial"/>
                <w:color w:val="006100"/>
                <w:sz w:val="16"/>
                <w:szCs w:val="16"/>
                <w:lang w:eastAsia="en-GB"/>
              </w:rPr>
              <w:t>website</w:t>
            </w:r>
          </w:p>
          <w:p w14:paraId="7495C27C" w14:textId="6C36018F" w:rsidR="00AD589E" w:rsidRPr="004B44DD" w:rsidRDefault="00AD589E" w:rsidP="0073371A">
            <w:pPr>
              <w:pStyle w:val="ListParagraph"/>
              <w:numPr>
                <w:ilvl w:val="0"/>
                <w:numId w:val="24"/>
              </w:numPr>
              <w:spacing w:after="0"/>
              <w:ind w:left="395"/>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eference</w:t>
            </w:r>
            <w:r w:rsidR="00551607">
              <w:rPr>
                <w:rFonts w:ascii="Arial" w:hAnsi="Arial" w:cs="Arial"/>
                <w:color w:val="006100"/>
                <w:sz w:val="16"/>
                <w:szCs w:val="16"/>
                <w:lang w:eastAsia="en-GB"/>
              </w:rPr>
              <w:t xml:space="preserve"> </w:t>
            </w:r>
            <w:r w:rsidRPr="004F3D4C">
              <w:rPr>
                <w:rFonts w:ascii="Arial" w:hAnsi="Arial" w:cs="Arial"/>
                <w:color w:val="006100"/>
                <w:sz w:val="16"/>
                <w:szCs w:val="16"/>
                <w:lang w:eastAsia="en-GB"/>
              </w:rPr>
              <w:t>to the relevant provisions indicating the entry into force and to the provisions which fulfil the relevant elements of the milestone, as listed in the description of milestone and of the corresponding measure in the CID annex</w:t>
            </w:r>
            <w:r>
              <w:rPr>
                <w:rFonts w:ascii="Arial" w:hAnsi="Arial" w:cs="Arial"/>
                <w:color w:val="006100"/>
                <w:sz w:val="16"/>
                <w:szCs w:val="16"/>
                <w:lang w:eastAsia="en-GB"/>
              </w:rPr>
              <w:t xml:space="preserve">, </w:t>
            </w:r>
            <w:r w:rsidRPr="004F3D4C">
              <w:rPr>
                <w:rFonts w:ascii="Arial" w:hAnsi="Arial" w:cs="Arial"/>
                <w:color w:val="006100"/>
                <w:sz w:val="16"/>
                <w:szCs w:val="16"/>
                <w:lang w:eastAsia="en-GB"/>
              </w:rPr>
              <w:t>with appropriate links to or copies of the documents mentioned in the summary document – including compliance with the ‘Do no significant harm’ Technical Guidance (2021/C58/01), as specified in the CID annex</w:t>
            </w:r>
          </w:p>
        </w:tc>
        <w:tc>
          <w:tcPr>
            <w:tcW w:w="3402" w:type="dxa"/>
            <w:shd w:val="clear" w:color="auto" w:fill="D6E3C6"/>
          </w:tcPr>
          <w:p w14:paraId="2AC889D4" w14:textId="265C150F" w:rsidR="00AD589E" w:rsidRPr="004D1B46" w:rsidRDefault="00AD589E" w:rsidP="004D1B46">
            <w:pPr>
              <w:spacing w:after="0"/>
              <w:rPr>
                <w:rFonts w:ascii="Arial" w:hAnsi="Arial" w:cs="Arial"/>
                <w:color w:val="006100"/>
                <w:sz w:val="16"/>
                <w:szCs w:val="16"/>
              </w:rPr>
            </w:pPr>
            <w:r w:rsidRPr="004D1B46">
              <w:rPr>
                <w:rFonts w:ascii="Arial" w:hAnsi="Arial" w:cs="Arial"/>
                <w:color w:val="006100"/>
                <w:sz w:val="16"/>
                <w:szCs w:val="16"/>
              </w:rPr>
              <w:t xml:space="preserve">Institution/s: Ministry of </w:t>
            </w:r>
            <w:r>
              <w:rPr>
                <w:rFonts w:ascii="Arial" w:hAnsi="Arial" w:cs="Arial"/>
                <w:color w:val="006100"/>
                <w:sz w:val="16"/>
                <w:szCs w:val="16"/>
              </w:rPr>
              <w:t>Energy</w:t>
            </w:r>
          </w:p>
          <w:p w14:paraId="6A5C64C0" w14:textId="77777777" w:rsidR="00AD589E" w:rsidRPr="004D1B46" w:rsidRDefault="00AD589E" w:rsidP="004D1B46">
            <w:pPr>
              <w:spacing w:after="0"/>
              <w:rPr>
                <w:rFonts w:ascii="Arial" w:hAnsi="Arial" w:cs="Arial"/>
                <w:color w:val="006100"/>
                <w:sz w:val="16"/>
                <w:szCs w:val="16"/>
              </w:rPr>
            </w:pPr>
          </w:p>
          <w:p w14:paraId="759218AD" w14:textId="0B5E71F5" w:rsidR="00AD589E" w:rsidRPr="004D1B46" w:rsidRDefault="00AD589E" w:rsidP="004D1B46">
            <w:pPr>
              <w:spacing w:after="0"/>
              <w:rPr>
                <w:rFonts w:ascii="Arial" w:hAnsi="Arial" w:cs="Arial"/>
                <w:color w:val="006100"/>
                <w:sz w:val="16"/>
                <w:szCs w:val="16"/>
              </w:rPr>
            </w:pPr>
            <w:r w:rsidRPr="004D1B46">
              <w:rPr>
                <w:rFonts w:ascii="Arial" w:hAnsi="Arial" w:cs="Arial"/>
                <w:color w:val="006100"/>
                <w:sz w:val="16"/>
                <w:szCs w:val="16"/>
              </w:rPr>
              <w:t>What: Establishing a national renewable energy support scheme for households</w:t>
            </w:r>
          </w:p>
          <w:p w14:paraId="00C99984" w14:textId="77777777" w:rsidR="00AD589E" w:rsidRPr="004D1B46" w:rsidRDefault="00AD589E" w:rsidP="004D1B46">
            <w:pPr>
              <w:spacing w:after="0"/>
              <w:rPr>
                <w:rFonts w:ascii="Arial" w:hAnsi="Arial" w:cs="Arial"/>
                <w:color w:val="006100"/>
                <w:sz w:val="16"/>
                <w:szCs w:val="16"/>
              </w:rPr>
            </w:pPr>
          </w:p>
          <w:p w14:paraId="51130963" w14:textId="0172362A" w:rsidR="00AD589E" w:rsidRPr="004D1B46" w:rsidRDefault="00AD589E" w:rsidP="004D1B46">
            <w:pPr>
              <w:spacing w:after="0"/>
              <w:rPr>
                <w:rFonts w:ascii="Arial" w:hAnsi="Arial" w:cs="Arial"/>
                <w:color w:val="006100"/>
                <w:sz w:val="16"/>
                <w:szCs w:val="16"/>
              </w:rPr>
            </w:pPr>
            <w:r w:rsidRPr="004D1B46">
              <w:rPr>
                <w:rFonts w:ascii="Arial" w:hAnsi="Arial" w:cs="Arial"/>
                <w:color w:val="006100"/>
                <w:sz w:val="16"/>
                <w:szCs w:val="16"/>
              </w:rPr>
              <w:t>How:</w:t>
            </w:r>
            <w:r>
              <w:rPr>
                <w:rFonts w:ascii="Arial" w:hAnsi="Arial" w:cs="Arial"/>
                <w:color w:val="006100"/>
                <w:sz w:val="16"/>
                <w:szCs w:val="16"/>
              </w:rPr>
              <w:t xml:space="preserve"> entry into force (evidence by a)</w:t>
            </w:r>
            <w:r w:rsidRPr="004D1B46">
              <w:rPr>
                <w:rFonts w:ascii="Arial" w:hAnsi="Arial" w:cs="Arial"/>
                <w:color w:val="006100"/>
                <w:sz w:val="16"/>
                <w:szCs w:val="16"/>
              </w:rPr>
              <w:t xml:space="preserve"> </w:t>
            </w:r>
            <w:r>
              <w:rPr>
                <w:rFonts w:ascii="Arial" w:hAnsi="Arial" w:cs="Arial"/>
                <w:color w:val="006100"/>
                <w:sz w:val="16"/>
                <w:szCs w:val="16"/>
              </w:rPr>
              <w:t>and reporting (b)</w:t>
            </w:r>
          </w:p>
          <w:p w14:paraId="625BE9CA" w14:textId="77777777" w:rsidR="00AD589E" w:rsidRPr="004D1B46" w:rsidRDefault="00AD589E" w:rsidP="004D1B46">
            <w:pPr>
              <w:spacing w:after="0"/>
              <w:rPr>
                <w:rFonts w:ascii="Arial" w:hAnsi="Arial" w:cs="Arial"/>
                <w:color w:val="006100"/>
                <w:sz w:val="16"/>
                <w:szCs w:val="16"/>
              </w:rPr>
            </w:pPr>
          </w:p>
          <w:p w14:paraId="7B24D2FB" w14:textId="79648250" w:rsidR="00AD589E" w:rsidRPr="004D1B46" w:rsidRDefault="00AD589E" w:rsidP="004D1B46">
            <w:pPr>
              <w:spacing w:after="0"/>
              <w:rPr>
                <w:rFonts w:ascii="Arial" w:hAnsi="Arial" w:cs="Arial"/>
                <w:color w:val="006100"/>
                <w:sz w:val="16"/>
                <w:szCs w:val="16"/>
              </w:rPr>
            </w:pPr>
            <w:r w:rsidRPr="004D1B46">
              <w:rPr>
                <w:rFonts w:ascii="Arial" w:hAnsi="Arial" w:cs="Arial"/>
                <w:color w:val="006100"/>
                <w:sz w:val="16"/>
                <w:szCs w:val="16"/>
              </w:rPr>
              <w:t>Why:</w:t>
            </w:r>
            <w:r>
              <w:rPr>
                <w:rFonts w:ascii="Arial" w:hAnsi="Arial" w:cs="Arial"/>
                <w:color w:val="006100"/>
                <w:sz w:val="16"/>
                <w:szCs w:val="16"/>
              </w:rPr>
              <w:t xml:space="preserve"> </w:t>
            </w:r>
            <w:r w:rsidRPr="004F3D4C">
              <w:rPr>
                <w:rFonts w:ascii="Arial" w:hAnsi="Arial" w:cs="Arial"/>
                <w:color w:val="006100"/>
                <w:sz w:val="16"/>
                <w:szCs w:val="16"/>
              </w:rPr>
              <w:t>The scheme shall finance the purchase ‘best in class’ solar domestic hot water (DHW) or photovoltaic systems up to 10kWp and ensure compliance with the “do no significant harm” Technical Guidance (2021/C58/01).</w:t>
            </w:r>
            <w:r>
              <w:rPr>
                <w:rFonts w:ascii="Arial" w:hAnsi="Arial" w:cs="Arial"/>
                <w:color w:val="006100"/>
                <w:sz w:val="16"/>
                <w:szCs w:val="16"/>
              </w:rPr>
              <w:t xml:space="preserve"> </w:t>
            </w:r>
            <w:r w:rsidRPr="004D1B46">
              <w:rPr>
                <w:rFonts w:ascii="Arial" w:hAnsi="Arial" w:cs="Arial"/>
                <w:color w:val="006100"/>
                <w:sz w:val="16"/>
                <w:szCs w:val="16"/>
              </w:rPr>
              <w:t>[provide references to the above in the summary document]</w:t>
            </w:r>
          </w:p>
          <w:p w14:paraId="4EBED6E7" w14:textId="77777777" w:rsidR="00AD589E" w:rsidRPr="004D1B46" w:rsidRDefault="00AD589E" w:rsidP="004D1B46">
            <w:pPr>
              <w:spacing w:after="0"/>
              <w:rPr>
                <w:rFonts w:ascii="Arial" w:hAnsi="Arial" w:cs="Arial"/>
                <w:color w:val="006100"/>
                <w:sz w:val="16"/>
                <w:szCs w:val="16"/>
              </w:rPr>
            </w:pPr>
          </w:p>
          <w:p w14:paraId="3BA7C694" w14:textId="1F0982DA" w:rsidR="00AD589E" w:rsidRPr="004F3D4C" w:rsidRDefault="00AD589E" w:rsidP="004D1B46">
            <w:pPr>
              <w:spacing w:after="0"/>
              <w:rPr>
                <w:rFonts w:ascii="Arial" w:hAnsi="Arial" w:cs="Arial"/>
                <w:color w:val="006100"/>
                <w:sz w:val="16"/>
                <w:szCs w:val="16"/>
              </w:rPr>
            </w:pPr>
            <w:r w:rsidRPr="004D1B46">
              <w:rPr>
                <w:rFonts w:ascii="Arial" w:hAnsi="Arial" w:cs="Arial"/>
                <w:color w:val="006100"/>
                <w:sz w:val="16"/>
                <w:szCs w:val="16"/>
              </w:rPr>
              <w:t xml:space="preserve">When: </w:t>
            </w:r>
            <w:r>
              <w:rPr>
                <w:rFonts w:ascii="Arial" w:hAnsi="Arial" w:cs="Arial"/>
                <w:color w:val="006100"/>
                <w:sz w:val="16"/>
                <w:szCs w:val="16"/>
              </w:rPr>
              <w:t>specify the dates of establishment and publication</w:t>
            </w:r>
          </w:p>
        </w:tc>
        <w:tc>
          <w:tcPr>
            <w:tcW w:w="2268" w:type="dxa"/>
            <w:shd w:val="clear" w:color="auto" w:fill="D6E3C6"/>
          </w:tcPr>
          <w:p w14:paraId="42C783F5" w14:textId="77777777" w:rsidR="00AD589E" w:rsidRPr="00F80371" w:rsidRDefault="00AD589E" w:rsidP="00F80371">
            <w:pPr>
              <w:spacing w:after="0"/>
              <w:rPr>
                <w:rFonts w:ascii="Arial" w:hAnsi="Arial" w:cs="Arial"/>
                <w:color w:val="006100"/>
                <w:sz w:val="16"/>
                <w:szCs w:val="16"/>
              </w:rPr>
            </w:pPr>
            <w:r w:rsidRPr="00F80371">
              <w:rPr>
                <w:rFonts w:ascii="Arial" w:hAnsi="Arial" w:cs="Arial"/>
                <w:color w:val="006100"/>
                <w:sz w:val="16"/>
                <w:szCs w:val="16"/>
              </w:rPr>
              <w:t xml:space="preserve">The objective of the measure is to increase the use of renewable energy in final energy consumption in the household sector by financing the purchase of new ‘best in class’ solar systems for domestic hot water and photovoltaic systems.  </w:t>
            </w:r>
          </w:p>
          <w:p w14:paraId="7B1E2AE9" w14:textId="77777777" w:rsidR="00AD589E" w:rsidRPr="00F80371" w:rsidRDefault="00AD589E" w:rsidP="00F80371">
            <w:pPr>
              <w:spacing w:after="0"/>
              <w:rPr>
                <w:rFonts w:ascii="Arial" w:hAnsi="Arial" w:cs="Arial"/>
                <w:color w:val="006100"/>
                <w:sz w:val="16"/>
                <w:szCs w:val="16"/>
              </w:rPr>
            </w:pPr>
          </w:p>
          <w:p w14:paraId="4F6135D6" w14:textId="77777777" w:rsidR="00AD589E" w:rsidRPr="00F80371" w:rsidRDefault="00AD589E" w:rsidP="00F80371">
            <w:pPr>
              <w:spacing w:after="0"/>
              <w:rPr>
                <w:rFonts w:ascii="Arial" w:hAnsi="Arial" w:cs="Arial"/>
                <w:color w:val="006100"/>
                <w:sz w:val="16"/>
                <w:szCs w:val="16"/>
              </w:rPr>
            </w:pPr>
            <w:r w:rsidRPr="00F80371">
              <w:rPr>
                <w:rFonts w:ascii="Arial" w:hAnsi="Arial" w:cs="Arial"/>
                <w:color w:val="006100"/>
                <w:sz w:val="16"/>
                <w:szCs w:val="16"/>
              </w:rPr>
              <w:t xml:space="preserve">The measure consists of the financing of two types of measures for the use of renewable energy by households: i) installation of solar systems for domestic hot water supply and ii) installation of photovoltaic systems of up to 10 kWp, including electricity storage.  </w:t>
            </w:r>
          </w:p>
          <w:p w14:paraId="5F5B430F" w14:textId="77777777" w:rsidR="00AD589E" w:rsidRPr="00F80371" w:rsidRDefault="00AD589E" w:rsidP="00F80371">
            <w:pPr>
              <w:spacing w:after="0"/>
              <w:rPr>
                <w:rFonts w:ascii="Arial" w:hAnsi="Arial" w:cs="Arial"/>
                <w:color w:val="006100"/>
                <w:sz w:val="16"/>
                <w:szCs w:val="16"/>
              </w:rPr>
            </w:pPr>
          </w:p>
          <w:p w14:paraId="456E64F7" w14:textId="6BA9D17A" w:rsidR="00AD589E" w:rsidRPr="004F3D4C" w:rsidRDefault="00AD589E" w:rsidP="00F80371">
            <w:pPr>
              <w:spacing w:after="0"/>
              <w:rPr>
                <w:rFonts w:ascii="Arial" w:hAnsi="Arial" w:cs="Arial"/>
                <w:color w:val="006100"/>
                <w:sz w:val="16"/>
                <w:szCs w:val="16"/>
              </w:rPr>
            </w:pPr>
            <w:r w:rsidRPr="00F80371">
              <w:rPr>
                <w:rFonts w:ascii="Arial" w:hAnsi="Arial" w:cs="Arial"/>
                <w:color w:val="006100"/>
                <w:sz w:val="16"/>
                <w:szCs w:val="16"/>
              </w:rPr>
              <w:t>The investment shall support at least 10 000 households with inefficient solid fuel heat sources for their replacement by ‘best in class’ solar domestic hot water (DHW) or photovoltaic systems.</w:t>
            </w:r>
          </w:p>
        </w:tc>
        <w:tc>
          <w:tcPr>
            <w:tcW w:w="1036" w:type="dxa"/>
            <w:gridSpan w:val="2"/>
            <w:shd w:val="clear" w:color="auto" w:fill="D6E3C6"/>
          </w:tcPr>
          <w:p w14:paraId="5499E571" w14:textId="58EDF49B"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4742443B" w14:textId="1A6CA245" w:rsidR="00AD589E" w:rsidRPr="004F3D4C" w:rsidRDefault="00AD589E" w:rsidP="0063508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28132CC1" w14:textId="10B3B330"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15901FB4" w14:textId="68CE1A31" w:rsidR="00AD589E" w:rsidRPr="004F3D4C" w:rsidRDefault="002A2260" w:rsidP="0063508F">
            <w:pPr>
              <w:spacing w:after="0"/>
              <w:rPr>
                <w:rFonts w:ascii="Arial" w:hAnsi="Arial" w:cs="Arial"/>
                <w:color w:val="006100"/>
                <w:sz w:val="16"/>
                <w:szCs w:val="16"/>
              </w:rPr>
            </w:pPr>
            <w:r>
              <w:rPr>
                <w:rFonts w:ascii="Arial" w:hAnsi="Arial" w:cs="Arial"/>
                <w:color w:val="006100"/>
                <w:sz w:val="16"/>
                <w:szCs w:val="16"/>
              </w:rPr>
              <w:t>-</w:t>
            </w:r>
          </w:p>
        </w:tc>
      </w:tr>
      <w:tr w:rsidR="00AD589E" w:rsidRPr="004F3D4C" w14:paraId="39713436" w14:textId="6850B1FC" w:rsidTr="00596EEA">
        <w:trPr>
          <w:trHeight w:val="309"/>
        </w:trPr>
        <w:tc>
          <w:tcPr>
            <w:tcW w:w="454" w:type="dxa"/>
            <w:shd w:val="clear" w:color="auto" w:fill="D6E3C6"/>
            <w:noWrap/>
          </w:tcPr>
          <w:p w14:paraId="721D8E0E" w14:textId="56DC04E2"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77</w:t>
            </w:r>
          </w:p>
        </w:tc>
        <w:tc>
          <w:tcPr>
            <w:tcW w:w="1215" w:type="dxa"/>
            <w:shd w:val="clear" w:color="auto" w:fill="D6E3C6"/>
            <w:noWrap/>
          </w:tcPr>
          <w:p w14:paraId="72DF94C3" w14:textId="0F6F5B2F"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C4.I2: Support for renewable energy for households</w:t>
            </w:r>
          </w:p>
        </w:tc>
        <w:tc>
          <w:tcPr>
            <w:tcW w:w="956" w:type="dxa"/>
            <w:shd w:val="clear" w:color="auto" w:fill="D6E3C6"/>
            <w:noWrap/>
          </w:tcPr>
          <w:p w14:paraId="065AE96A" w14:textId="3E09D62B"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68B942A0" w14:textId="1A69FD06"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Signature of contracts for installation of renewable energy sources (RES)</w:t>
            </w:r>
          </w:p>
        </w:tc>
        <w:tc>
          <w:tcPr>
            <w:tcW w:w="1322" w:type="dxa"/>
            <w:shd w:val="clear" w:color="auto" w:fill="D6E3C6"/>
            <w:noWrap/>
          </w:tcPr>
          <w:p w14:paraId="263DDA08" w14:textId="6F1C9B01"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Signed contracts with successful applicants</w:t>
            </w:r>
          </w:p>
        </w:tc>
        <w:tc>
          <w:tcPr>
            <w:tcW w:w="709" w:type="dxa"/>
            <w:shd w:val="clear" w:color="auto" w:fill="D6E3C6"/>
            <w:noWrap/>
          </w:tcPr>
          <w:p w14:paraId="2DE21995"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55FC3734"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47DEAA12"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442F48C2" w14:textId="37736EAC"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Q1</w:t>
            </w:r>
          </w:p>
        </w:tc>
        <w:tc>
          <w:tcPr>
            <w:tcW w:w="520" w:type="dxa"/>
            <w:shd w:val="clear" w:color="auto" w:fill="D6E3C6"/>
            <w:noWrap/>
          </w:tcPr>
          <w:p w14:paraId="65071A9C" w14:textId="62699952"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2024</w:t>
            </w:r>
          </w:p>
        </w:tc>
        <w:tc>
          <w:tcPr>
            <w:tcW w:w="872" w:type="dxa"/>
            <w:gridSpan w:val="2"/>
            <w:shd w:val="clear" w:color="auto" w:fill="D6E3C6"/>
          </w:tcPr>
          <w:p w14:paraId="5C94AE3C" w14:textId="479EE6C4" w:rsidR="00AD589E" w:rsidRPr="004F3D4C" w:rsidRDefault="00AD589E" w:rsidP="0063508F">
            <w:pPr>
              <w:spacing w:after="0"/>
              <w:rPr>
                <w:rFonts w:ascii="Arial" w:eastAsia="Times New Roman" w:hAnsi="Arial" w:cs="Arial"/>
                <w:color w:val="006100"/>
                <w:sz w:val="16"/>
                <w:szCs w:val="16"/>
                <w:lang w:val="en-US"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4EED0C49" w14:textId="77777777" w:rsidR="00AD589E" w:rsidRPr="004F3D4C"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328535AE" w14:textId="01AC85B5" w:rsidR="00AD589E" w:rsidRPr="00910AB8" w:rsidRDefault="00AD589E" w:rsidP="00551607">
            <w:pPr>
              <w:pStyle w:val="ListParagraph"/>
              <w:numPr>
                <w:ilvl w:val="0"/>
                <w:numId w:val="25"/>
              </w:numPr>
              <w:spacing w:after="0"/>
              <w:ind w:left="391" w:hanging="357"/>
              <w:rPr>
                <w:rFonts w:ascii="Arial" w:hAnsi="Arial" w:cs="Arial"/>
                <w:color w:val="006100"/>
                <w:sz w:val="16"/>
                <w:szCs w:val="16"/>
              </w:rPr>
            </w:pPr>
            <w:r>
              <w:rPr>
                <w:rFonts w:ascii="Arial" w:hAnsi="Arial" w:cs="Arial"/>
                <w:color w:val="006100"/>
                <w:sz w:val="16"/>
                <w:szCs w:val="16"/>
                <w:lang w:eastAsia="en-GB"/>
              </w:rPr>
              <w:t>C</w:t>
            </w:r>
            <w:r w:rsidRPr="004F3D4C">
              <w:rPr>
                <w:rFonts w:ascii="Arial" w:hAnsi="Arial" w:cs="Arial"/>
                <w:color w:val="006100"/>
                <w:sz w:val="16"/>
                <w:szCs w:val="16"/>
                <w:lang w:eastAsia="en-GB"/>
              </w:rPr>
              <w:t>opy of the signed contracts, including official references of the signed contracts</w:t>
            </w:r>
            <w:r>
              <w:rPr>
                <w:rFonts w:ascii="Arial" w:hAnsi="Arial" w:cs="Arial"/>
                <w:color w:val="006100"/>
                <w:sz w:val="16"/>
                <w:szCs w:val="16"/>
                <w:lang w:eastAsia="en-GB"/>
              </w:rPr>
              <w:t xml:space="preserve"> E</w:t>
            </w:r>
            <w:r w:rsidRPr="004F3D4C">
              <w:rPr>
                <w:rFonts w:ascii="Arial" w:hAnsi="Arial" w:cs="Arial"/>
                <w:color w:val="006100"/>
                <w:sz w:val="16"/>
                <w:szCs w:val="16"/>
                <w:lang w:eastAsia="en-GB"/>
              </w:rPr>
              <w:t xml:space="preserve">xtract of the official documents/copy </w:t>
            </w:r>
            <w:r w:rsidRPr="004F3D4C" w:rsidDel="00FC1944">
              <w:rPr>
                <w:rFonts w:ascii="Arial" w:hAnsi="Arial" w:cs="Arial"/>
                <w:color w:val="006100"/>
                <w:sz w:val="16"/>
                <w:szCs w:val="16"/>
                <w:lang w:eastAsia="en-GB"/>
              </w:rPr>
              <w:t xml:space="preserve"> </w:t>
            </w:r>
            <w:r w:rsidRPr="004F3D4C">
              <w:rPr>
                <w:rFonts w:ascii="Arial" w:hAnsi="Arial" w:cs="Arial"/>
                <w:color w:val="006100"/>
                <w:sz w:val="16"/>
                <w:szCs w:val="16"/>
                <w:lang w:val="bg-BG" w:eastAsia="en-GB"/>
              </w:rPr>
              <w:t xml:space="preserve"> </w:t>
            </w:r>
            <w:r w:rsidRPr="004F3D4C">
              <w:rPr>
                <w:rFonts w:ascii="Arial" w:hAnsi="Arial" w:cs="Arial"/>
                <w:color w:val="006100"/>
                <w:sz w:val="16"/>
                <w:szCs w:val="16"/>
                <w:lang w:val="en-US" w:eastAsia="en-GB"/>
              </w:rPr>
              <w:t xml:space="preserve">and </w:t>
            </w:r>
            <w:r w:rsidRPr="004F3D4C">
              <w:rPr>
                <w:rFonts w:ascii="Arial" w:hAnsi="Arial" w:cs="Arial"/>
                <w:color w:val="006100"/>
                <w:sz w:val="16"/>
                <w:szCs w:val="16"/>
                <w:lang w:eastAsia="en-GB"/>
              </w:rPr>
              <w:t xml:space="preserve">technical </w:t>
            </w:r>
            <w:r w:rsidRPr="004F3D4C">
              <w:rPr>
                <w:rFonts w:ascii="Arial" w:hAnsi="Arial" w:cs="Arial"/>
                <w:color w:val="006100"/>
                <w:sz w:val="16"/>
                <w:szCs w:val="16"/>
                <w:lang w:eastAsia="en-GB"/>
              </w:rPr>
              <w:lastRenderedPageBreak/>
              <w:t>specifications ensured compliance with the ‘Do no significant harm’ Technical Guidance (2021/C58/01), as specified in the CID annex</w:t>
            </w:r>
          </w:p>
        </w:tc>
        <w:tc>
          <w:tcPr>
            <w:tcW w:w="3402" w:type="dxa"/>
            <w:shd w:val="clear" w:color="auto" w:fill="D6E3C6"/>
          </w:tcPr>
          <w:p w14:paraId="5B6A1ACF" w14:textId="77777777" w:rsidR="00AD589E" w:rsidRPr="004D1B46" w:rsidRDefault="00AD589E" w:rsidP="00910AB8">
            <w:pPr>
              <w:spacing w:after="0"/>
              <w:rPr>
                <w:rFonts w:ascii="Arial" w:hAnsi="Arial" w:cs="Arial"/>
                <w:color w:val="006100"/>
                <w:sz w:val="16"/>
                <w:szCs w:val="16"/>
              </w:rPr>
            </w:pPr>
            <w:r w:rsidRPr="004D1B46">
              <w:rPr>
                <w:rFonts w:ascii="Arial" w:hAnsi="Arial" w:cs="Arial"/>
                <w:color w:val="006100"/>
                <w:sz w:val="16"/>
                <w:szCs w:val="16"/>
              </w:rPr>
              <w:lastRenderedPageBreak/>
              <w:t xml:space="preserve">Institution/s: Ministry of </w:t>
            </w:r>
            <w:r>
              <w:rPr>
                <w:rFonts w:ascii="Arial" w:hAnsi="Arial" w:cs="Arial"/>
                <w:color w:val="006100"/>
                <w:sz w:val="16"/>
                <w:szCs w:val="16"/>
              </w:rPr>
              <w:t>Energy</w:t>
            </w:r>
          </w:p>
          <w:p w14:paraId="10936619" w14:textId="77777777" w:rsidR="00AD589E" w:rsidRPr="004D1B46" w:rsidRDefault="00AD589E" w:rsidP="00910AB8">
            <w:pPr>
              <w:spacing w:after="0"/>
              <w:rPr>
                <w:rFonts w:ascii="Arial" w:hAnsi="Arial" w:cs="Arial"/>
                <w:color w:val="006100"/>
                <w:sz w:val="16"/>
                <w:szCs w:val="16"/>
              </w:rPr>
            </w:pPr>
          </w:p>
          <w:p w14:paraId="01C079F8" w14:textId="71EE15E2" w:rsidR="00AD589E" w:rsidRPr="004D1B46" w:rsidRDefault="00AD589E" w:rsidP="00910AB8">
            <w:pPr>
              <w:spacing w:after="0"/>
              <w:rPr>
                <w:rFonts w:ascii="Arial" w:hAnsi="Arial" w:cs="Arial"/>
                <w:color w:val="006100"/>
                <w:sz w:val="16"/>
                <w:szCs w:val="16"/>
              </w:rPr>
            </w:pPr>
            <w:r w:rsidRPr="004D1B46">
              <w:rPr>
                <w:rFonts w:ascii="Arial" w:hAnsi="Arial" w:cs="Arial"/>
                <w:color w:val="006100"/>
                <w:sz w:val="16"/>
                <w:szCs w:val="16"/>
              </w:rPr>
              <w:t xml:space="preserve">What: </w:t>
            </w:r>
            <w:r w:rsidRPr="00910AB8">
              <w:rPr>
                <w:rFonts w:ascii="Arial" w:hAnsi="Arial" w:cs="Arial"/>
                <w:color w:val="006100"/>
                <w:sz w:val="16"/>
                <w:szCs w:val="16"/>
              </w:rPr>
              <w:t>Signature of contracts for installation of renewable energy sources (RES)</w:t>
            </w:r>
          </w:p>
          <w:p w14:paraId="5013CB00" w14:textId="77777777" w:rsidR="00AD589E" w:rsidRPr="004D1B46" w:rsidRDefault="00AD589E" w:rsidP="00910AB8">
            <w:pPr>
              <w:spacing w:after="0"/>
              <w:rPr>
                <w:rFonts w:ascii="Arial" w:hAnsi="Arial" w:cs="Arial"/>
                <w:color w:val="006100"/>
                <w:sz w:val="16"/>
                <w:szCs w:val="16"/>
              </w:rPr>
            </w:pPr>
          </w:p>
          <w:p w14:paraId="225FA9C7" w14:textId="75A1C033" w:rsidR="00AD589E" w:rsidRPr="004D1B46" w:rsidRDefault="00AD589E" w:rsidP="00910AB8">
            <w:pPr>
              <w:spacing w:after="0"/>
              <w:rPr>
                <w:rFonts w:ascii="Arial" w:hAnsi="Arial" w:cs="Arial"/>
                <w:color w:val="006100"/>
                <w:sz w:val="16"/>
                <w:szCs w:val="16"/>
              </w:rPr>
            </w:pPr>
            <w:r w:rsidRPr="004D1B46">
              <w:rPr>
                <w:rFonts w:ascii="Arial" w:hAnsi="Arial" w:cs="Arial"/>
                <w:color w:val="006100"/>
                <w:sz w:val="16"/>
                <w:szCs w:val="16"/>
              </w:rPr>
              <w:t>How</w:t>
            </w:r>
            <w:r w:rsidR="00551607">
              <w:rPr>
                <w:rFonts w:ascii="Arial" w:hAnsi="Arial" w:cs="Arial"/>
                <w:color w:val="006100"/>
                <w:sz w:val="16"/>
                <w:szCs w:val="16"/>
              </w:rPr>
              <w:t>: contracting (a)</w:t>
            </w:r>
          </w:p>
          <w:p w14:paraId="4B00FB8D" w14:textId="77777777" w:rsidR="00AD589E" w:rsidRPr="004D1B46" w:rsidRDefault="00AD589E" w:rsidP="00910AB8">
            <w:pPr>
              <w:spacing w:after="0"/>
              <w:rPr>
                <w:rFonts w:ascii="Arial" w:hAnsi="Arial" w:cs="Arial"/>
                <w:color w:val="006100"/>
                <w:sz w:val="16"/>
                <w:szCs w:val="16"/>
              </w:rPr>
            </w:pPr>
          </w:p>
          <w:p w14:paraId="7FBF3C44" w14:textId="66B78A5C" w:rsidR="00AD589E" w:rsidRPr="004D1B46" w:rsidRDefault="00AD589E" w:rsidP="00910AB8">
            <w:pPr>
              <w:spacing w:after="0"/>
              <w:rPr>
                <w:rFonts w:ascii="Arial" w:hAnsi="Arial" w:cs="Arial"/>
                <w:color w:val="006100"/>
                <w:sz w:val="16"/>
                <w:szCs w:val="16"/>
              </w:rPr>
            </w:pPr>
            <w:r w:rsidRPr="004D1B46">
              <w:rPr>
                <w:rFonts w:ascii="Arial" w:hAnsi="Arial" w:cs="Arial"/>
                <w:color w:val="006100"/>
                <w:sz w:val="16"/>
                <w:szCs w:val="16"/>
              </w:rPr>
              <w:t>Why:</w:t>
            </w:r>
            <w:r>
              <w:rPr>
                <w:rFonts w:ascii="Arial" w:hAnsi="Arial" w:cs="Arial"/>
                <w:color w:val="006100"/>
                <w:sz w:val="16"/>
                <w:szCs w:val="16"/>
              </w:rPr>
              <w:t xml:space="preserve"> </w:t>
            </w:r>
            <w:r w:rsidRPr="00910AB8">
              <w:rPr>
                <w:rFonts w:ascii="Arial" w:hAnsi="Arial" w:cs="Arial"/>
                <w:color w:val="006100"/>
                <w:sz w:val="16"/>
                <w:szCs w:val="16"/>
              </w:rPr>
              <w:t xml:space="preserve">At least 6 000 contracts for measures for renewable energy are signed with </w:t>
            </w:r>
            <w:r w:rsidRPr="00910AB8">
              <w:rPr>
                <w:rFonts w:ascii="Arial" w:hAnsi="Arial" w:cs="Arial"/>
                <w:color w:val="006100"/>
                <w:sz w:val="16"/>
                <w:szCs w:val="16"/>
              </w:rPr>
              <w:lastRenderedPageBreak/>
              <w:t>beneficiaries.</w:t>
            </w:r>
            <w:r>
              <w:rPr>
                <w:rFonts w:ascii="Arial" w:hAnsi="Arial" w:cs="Arial"/>
                <w:color w:val="006100"/>
                <w:sz w:val="16"/>
                <w:szCs w:val="16"/>
              </w:rPr>
              <w:t xml:space="preserve"> </w:t>
            </w:r>
            <w:r w:rsidRPr="004D1B46">
              <w:rPr>
                <w:rFonts w:ascii="Arial" w:hAnsi="Arial" w:cs="Arial"/>
                <w:color w:val="006100"/>
                <w:sz w:val="16"/>
                <w:szCs w:val="16"/>
              </w:rPr>
              <w:t>[provide references to the above in the summary document]</w:t>
            </w:r>
          </w:p>
          <w:p w14:paraId="6677FA0E" w14:textId="77777777" w:rsidR="00AD589E" w:rsidRPr="004D1B46" w:rsidRDefault="00AD589E" w:rsidP="00910AB8">
            <w:pPr>
              <w:spacing w:after="0"/>
              <w:rPr>
                <w:rFonts w:ascii="Arial" w:hAnsi="Arial" w:cs="Arial"/>
                <w:color w:val="006100"/>
                <w:sz w:val="16"/>
                <w:szCs w:val="16"/>
              </w:rPr>
            </w:pPr>
          </w:p>
          <w:p w14:paraId="6828F309" w14:textId="70BE1B3C" w:rsidR="00AD589E" w:rsidRPr="004F3D4C" w:rsidRDefault="00AD589E" w:rsidP="00910AB8">
            <w:pPr>
              <w:spacing w:after="0"/>
              <w:rPr>
                <w:rFonts w:ascii="Arial" w:hAnsi="Arial" w:cs="Arial"/>
                <w:color w:val="006100"/>
                <w:sz w:val="16"/>
                <w:szCs w:val="16"/>
              </w:rPr>
            </w:pPr>
            <w:r w:rsidRPr="004D1B46">
              <w:rPr>
                <w:rFonts w:ascii="Arial" w:hAnsi="Arial" w:cs="Arial"/>
                <w:color w:val="006100"/>
                <w:sz w:val="16"/>
                <w:szCs w:val="16"/>
              </w:rPr>
              <w:t xml:space="preserve">When: </w:t>
            </w:r>
            <w:r w:rsidRPr="00CA6D79">
              <w:rPr>
                <w:rFonts w:ascii="Arial" w:hAnsi="Arial" w:cs="Arial"/>
                <w:color w:val="006100"/>
                <w:sz w:val="16"/>
                <w:szCs w:val="16"/>
              </w:rPr>
              <w:t>specify the dates of signature</w:t>
            </w:r>
          </w:p>
        </w:tc>
        <w:tc>
          <w:tcPr>
            <w:tcW w:w="2268" w:type="dxa"/>
            <w:shd w:val="clear" w:color="auto" w:fill="D6E3C6"/>
          </w:tcPr>
          <w:p w14:paraId="58017275" w14:textId="43D53345"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36" w:type="dxa"/>
            <w:gridSpan w:val="2"/>
            <w:shd w:val="clear" w:color="auto" w:fill="D6E3C6"/>
          </w:tcPr>
          <w:p w14:paraId="4B55E99B" w14:textId="57DB17D5" w:rsidR="00AD589E" w:rsidRPr="004F3D4C" w:rsidRDefault="0090532E" w:rsidP="0063508F">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4A15127C" w14:textId="41E00CC0" w:rsidR="00AD589E" w:rsidRPr="004F3D4C" w:rsidRDefault="00AD589E" w:rsidP="0063508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0A1E45FE" w14:textId="3563BC37"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7AC90E0C" w14:textId="45CFC91B" w:rsidR="00AD589E" w:rsidRPr="004F3D4C" w:rsidRDefault="002A2260" w:rsidP="0063508F">
            <w:pPr>
              <w:spacing w:after="0"/>
              <w:rPr>
                <w:rFonts w:ascii="Arial" w:hAnsi="Arial" w:cs="Arial"/>
                <w:color w:val="006100"/>
                <w:sz w:val="16"/>
                <w:szCs w:val="16"/>
              </w:rPr>
            </w:pPr>
            <w:r>
              <w:rPr>
                <w:rFonts w:ascii="Arial" w:hAnsi="Arial" w:cs="Arial"/>
                <w:color w:val="006100"/>
                <w:sz w:val="16"/>
                <w:szCs w:val="16"/>
              </w:rPr>
              <w:t>-</w:t>
            </w:r>
          </w:p>
        </w:tc>
      </w:tr>
      <w:tr w:rsidR="00AD589E" w:rsidRPr="004F3D4C" w14:paraId="61809ABC" w14:textId="28BB07CB" w:rsidTr="00596EEA">
        <w:trPr>
          <w:trHeight w:val="309"/>
        </w:trPr>
        <w:tc>
          <w:tcPr>
            <w:tcW w:w="454" w:type="dxa"/>
            <w:shd w:val="clear" w:color="auto" w:fill="D6E3C6"/>
            <w:noWrap/>
          </w:tcPr>
          <w:p w14:paraId="46ECC113" w14:textId="72F853E3"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78</w:t>
            </w:r>
          </w:p>
        </w:tc>
        <w:tc>
          <w:tcPr>
            <w:tcW w:w="1215" w:type="dxa"/>
            <w:shd w:val="clear" w:color="auto" w:fill="D6E3C6"/>
            <w:noWrap/>
          </w:tcPr>
          <w:p w14:paraId="03B7DE5B" w14:textId="0E038B56"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C4.I2: Support for renewable energy for households</w:t>
            </w:r>
          </w:p>
        </w:tc>
        <w:tc>
          <w:tcPr>
            <w:tcW w:w="956" w:type="dxa"/>
            <w:shd w:val="clear" w:color="auto" w:fill="D6E3C6"/>
            <w:noWrap/>
          </w:tcPr>
          <w:p w14:paraId="3FDA047A" w14:textId="39051438"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29EA97BC" w14:textId="12E5881B"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Number of assisted households benefiting from RES</w:t>
            </w:r>
          </w:p>
        </w:tc>
        <w:tc>
          <w:tcPr>
            <w:tcW w:w="1322" w:type="dxa"/>
            <w:shd w:val="clear" w:color="auto" w:fill="D6E3C6"/>
            <w:noWrap/>
          </w:tcPr>
          <w:p w14:paraId="27CBD1DA" w14:textId="77777777" w:rsidR="00AD589E" w:rsidRPr="004F3D4C" w:rsidRDefault="00AD589E" w:rsidP="0063508F">
            <w:pPr>
              <w:spacing w:after="0"/>
              <w:rPr>
                <w:rFonts w:ascii="Arial" w:eastAsia="Times New Roman" w:hAnsi="Arial" w:cs="Arial"/>
                <w:color w:val="006100"/>
                <w:sz w:val="16"/>
                <w:szCs w:val="16"/>
                <w:lang w:eastAsia="en-GB"/>
              </w:rPr>
            </w:pPr>
          </w:p>
        </w:tc>
        <w:tc>
          <w:tcPr>
            <w:tcW w:w="709" w:type="dxa"/>
            <w:shd w:val="clear" w:color="auto" w:fill="D6E3C6"/>
            <w:noWrap/>
          </w:tcPr>
          <w:p w14:paraId="513E67C5" w14:textId="0AA32C88"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Number</w:t>
            </w:r>
          </w:p>
        </w:tc>
        <w:tc>
          <w:tcPr>
            <w:tcW w:w="614" w:type="dxa"/>
            <w:shd w:val="clear" w:color="auto" w:fill="D6E3C6"/>
            <w:noWrap/>
          </w:tcPr>
          <w:p w14:paraId="621FC6A8" w14:textId="30F02424"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0</w:t>
            </w:r>
          </w:p>
        </w:tc>
        <w:tc>
          <w:tcPr>
            <w:tcW w:w="731" w:type="dxa"/>
            <w:shd w:val="clear" w:color="auto" w:fill="D6E3C6"/>
            <w:noWrap/>
          </w:tcPr>
          <w:p w14:paraId="78150FEB" w14:textId="07A73E8A"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10 000</w:t>
            </w:r>
          </w:p>
        </w:tc>
        <w:tc>
          <w:tcPr>
            <w:tcW w:w="756" w:type="dxa"/>
            <w:gridSpan w:val="2"/>
            <w:shd w:val="clear" w:color="auto" w:fill="D6E3C6"/>
            <w:noWrap/>
          </w:tcPr>
          <w:p w14:paraId="5B1091FF" w14:textId="3616F638"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25BDC592" w14:textId="29F0A420"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2025</w:t>
            </w:r>
          </w:p>
        </w:tc>
        <w:tc>
          <w:tcPr>
            <w:tcW w:w="872" w:type="dxa"/>
            <w:gridSpan w:val="2"/>
            <w:shd w:val="clear" w:color="auto" w:fill="D6E3C6"/>
          </w:tcPr>
          <w:p w14:paraId="7C513506" w14:textId="0169E10E"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526C0FDB" w14:textId="77777777" w:rsidR="00AD589E" w:rsidRPr="004F3D4C"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21152C2D" w14:textId="77777777" w:rsidR="00FC1795" w:rsidRPr="00FC1795" w:rsidRDefault="00AD589E" w:rsidP="00FC1795">
            <w:pPr>
              <w:pStyle w:val="ListParagraph"/>
              <w:numPr>
                <w:ilvl w:val="0"/>
                <w:numId w:val="26"/>
              </w:numPr>
              <w:spacing w:after="0"/>
              <w:ind w:left="391" w:hanging="357"/>
              <w:rPr>
                <w:rFonts w:ascii="Arial" w:hAnsi="Arial" w:cs="Arial"/>
                <w:color w:val="006100"/>
                <w:sz w:val="16"/>
                <w:szCs w:val="16"/>
              </w:rPr>
            </w:pPr>
            <w:r>
              <w:rPr>
                <w:rFonts w:ascii="Arial" w:hAnsi="Arial" w:cs="Arial"/>
                <w:color w:val="006100"/>
                <w:sz w:val="16"/>
                <w:szCs w:val="16"/>
                <w:lang w:eastAsia="en-GB"/>
              </w:rPr>
              <w:t>L</w:t>
            </w:r>
            <w:r w:rsidRPr="004F3D4C">
              <w:rPr>
                <w:rFonts w:ascii="Arial" w:hAnsi="Arial" w:cs="Arial"/>
                <w:color w:val="006100"/>
                <w:sz w:val="16"/>
                <w:szCs w:val="16"/>
                <w:lang w:eastAsia="en-GB"/>
              </w:rPr>
              <w:t xml:space="preserve">ist of all households supported, specifying the type of heat source replaced </w:t>
            </w:r>
            <w:r w:rsidRPr="004F3D4C">
              <w:rPr>
                <w:rFonts w:ascii="Arial" w:hAnsi="Arial" w:cs="Arial"/>
                <w:color w:val="006100"/>
                <w:sz w:val="16"/>
                <w:szCs w:val="16"/>
                <w:lang w:val="en-US" w:eastAsia="en-GB"/>
              </w:rPr>
              <w:t>or assi</w:t>
            </w:r>
            <w:r w:rsidR="00B55F27">
              <w:rPr>
                <w:rFonts w:ascii="Arial" w:hAnsi="Arial" w:cs="Arial"/>
                <w:color w:val="006100"/>
                <w:sz w:val="16"/>
                <w:szCs w:val="16"/>
                <w:lang w:val="en-US" w:eastAsia="en-GB"/>
              </w:rPr>
              <w:t>s</w:t>
            </w:r>
            <w:r w:rsidRPr="004F3D4C">
              <w:rPr>
                <w:rFonts w:ascii="Arial" w:hAnsi="Arial" w:cs="Arial"/>
                <w:color w:val="006100"/>
                <w:sz w:val="16"/>
                <w:szCs w:val="16"/>
                <w:lang w:val="en-US" w:eastAsia="en-GB"/>
              </w:rPr>
              <w:t>ted</w:t>
            </w:r>
            <w:r>
              <w:rPr>
                <w:rFonts w:ascii="Arial" w:hAnsi="Arial" w:cs="Arial"/>
                <w:color w:val="006100"/>
                <w:sz w:val="16"/>
                <w:szCs w:val="16"/>
                <w:lang w:val="en-US" w:eastAsia="en-GB"/>
              </w:rPr>
              <w:t xml:space="preserve"> </w:t>
            </w:r>
          </w:p>
          <w:p w14:paraId="6033BC15" w14:textId="147329BE" w:rsidR="00AD589E" w:rsidRPr="00A3080C" w:rsidRDefault="00AD589E" w:rsidP="00FC1795">
            <w:pPr>
              <w:pStyle w:val="ListParagraph"/>
              <w:numPr>
                <w:ilvl w:val="0"/>
                <w:numId w:val="26"/>
              </w:numPr>
              <w:spacing w:after="0"/>
              <w:ind w:left="391" w:hanging="357"/>
              <w:rPr>
                <w:rFonts w:ascii="Arial" w:hAnsi="Arial" w:cs="Arial"/>
                <w:color w:val="006100"/>
                <w:sz w:val="16"/>
                <w:szCs w:val="16"/>
              </w:rPr>
            </w:pPr>
            <w:r>
              <w:rPr>
                <w:rFonts w:ascii="Arial" w:hAnsi="Arial" w:cs="Arial"/>
                <w:color w:val="006100"/>
                <w:sz w:val="16"/>
                <w:szCs w:val="16"/>
                <w:lang w:eastAsia="en-GB"/>
              </w:rPr>
              <w:t>L</w:t>
            </w:r>
            <w:r w:rsidRPr="004F3D4C">
              <w:rPr>
                <w:rFonts w:ascii="Arial" w:hAnsi="Arial" w:cs="Arial"/>
                <w:color w:val="006100"/>
                <w:sz w:val="16"/>
                <w:szCs w:val="16"/>
                <w:lang w:eastAsia="en-GB"/>
              </w:rPr>
              <w:t>ist of official references of contracts signed with beneficiaries</w:t>
            </w:r>
          </w:p>
        </w:tc>
        <w:tc>
          <w:tcPr>
            <w:tcW w:w="3402" w:type="dxa"/>
            <w:shd w:val="clear" w:color="auto" w:fill="D6E3C6"/>
          </w:tcPr>
          <w:p w14:paraId="3C845BFC" w14:textId="77777777" w:rsidR="00AD589E" w:rsidRPr="004D1B46" w:rsidRDefault="00AD589E" w:rsidP="0025040E">
            <w:pPr>
              <w:spacing w:after="0"/>
              <w:rPr>
                <w:rFonts w:ascii="Arial" w:hAnsi="Arial" w:cs="Arial"/>
                <w:color w:val="006100"/>
                <w:sz w:val="16"/>
                <w:szCs w:val="16"/>
              </w:rPr>
            </w:pPr>
            <w:r w:rsidRPr="004D1B46">
              <w:rPr>
                <w:rFonts w:ascii="Arial" w:hAnsi="Arial" w:cs="Arial"/>
                <w:color w:val="006100"/>
                <w:sz w:val="16"/>
                <w:szCs w:val="16"/>
              </w:rPr>
              <w:t xml:space="preserve">Institution/s: Ministry of </w:t>
            </w:r>
            <w:r>
              <w:rPr>
                <w:rFonts w:ascii="Arial" w:hAnsi="Arial" w:cs="Arial"/>
                <w:color w:val="006100"/>
                <w:sz w:val="16"/>
                <w:szCs w:val="16"/>
              </w:rPr>
              <w:t>Energy</w:t>
            </w:r>
          </w:p>
          <w:p w14:paraId="3CC996CF" w14:textId="77777777" w:rsidR="00AD589E" w:rsidRPr="004D1B46" w:rsidRDefault="00AD589E" w:rsidP="0025040E">
            <w:pPr>
              <w:spacing w:after="0"/>
              <w:rPr>
                <w:rFonts w:ascii="Arial" w:hAnsi="Arial" w:cs="Arial"/>
                <w:color w:val="006100"/>
                <w:sz w:val="16"/>
                <w:szCs w:val="16"/>
              </w:rPr>
            </w:pPr>
          </w:p>
          <w:p w14:paraId="1CAB48E3" w14:textId="1A2474C2" w:rsidR="00AD589E" w:rsidRPr="004D1B46" w:rsidRDefault="00AD589E" w:rsidP="0025040E">
            <w:pPr>
              <w:spacing w:after="0"/>
              <w:rPr>
                <w:rFonts w:ascii="Arial" w:hAnsi="Arial" w:cs="Arial"/>
                <w:color w:val="006100"/>
                <w:sz w:val="16"/>
                <w:szCs w:val="16"/>
              </w:rPr>
            </w:pPr>
            <w:r w:rsidRPr="004D1B46">
              <w:rPr>
                <w:rFonts w:ascii="Arial" w:hAnsi="Arial" w:cs="Arial"/>
                <w:color w:val="006100"/>
                <w:sz w:val="16"/>
                <w:szCs w:val="16"/>
              </w:rPr>
              <w:t xml:space="preserve">What: </w:t>
            </w:r>
            <w:r w:rsidRPr="0025040E">
              <w:rPr>
                <w:rFonts w:ascii="Arial" w:hAnsi="Arial" w:cs="Arial"/>
                <w:color w:val="006100"/>
                <w:sz w:val="16"/>
                <w:szCs w:val="16"/>
              </w:rPr>
              <w:t>Number of assisted households benefiting from RES</w:t>
            </w:r>
          </w:p>
          <w:p w14:paraId="7217DD17" w14:textId="77777777" w:rsidR="00AD589E" w:rsidRPr="004D1B46" w:rsidRDefault="00AD589E" w:rsidP="0025040E">
            <w:pPr>
              <w:spacing w:after="0"/>
              <w:rPr>
                <w:rFonts w:ascii="Arial" w:hAnsi="Arial" w:cs="Arial"/>
                <w:color w:val="006100"/>
                <w:sz w:val="16"/>
                <w:szCs w:val="16"/>
              </w:rPr>
            </w:pPr>
          </w:p>
          <w:p w14:paraId="1889B724" w14:textId="6B15F1B7" w:rsidR="00AD589E" w:rsidRPr="004D1B46" w:rsidRDefault="00AD589E" w:rsidP="0025040E">
            <w:pPr>
              <w:spacing w:after="0"/>
              <w:rPr>
                <w:rFonts w:ascii="Arial" w:hAnsi="Arial" w:cs="Arial"/>
                <w:color w:val="006100"/>
                <w:sz w:val="16"/>
                <w:szCs w:val="16"/>
              </w:rPr>
            </w:pPr>
            <w:r w:rsidRPr="004D1B46">
              <w:rPr>
                <w:rFonts w:ascii="Arial" w:hAnsi="Arial" w:cs="Arial"/>
                <w:color w:val="006100"/>
                <w:sz w:val="16"/>
                <w:szCs w:val="16"/>
              </w:rPr>
              <w:t>How</w:t>
            </w:r>
            <w:r>
              <w:rPr>
                <w:rFonts w:ascii="Arial" w:hAnsi="Arial" w:cs="Arial"/>
                <w:color w:val="006100"/>
                <w:sz w:val="16"/>
                <w:szCs w:val="16"/>
              </w:rPr>
              <w:t xml:space="preserve">: </w:t>
            </w:r>
            <w:r w:rsidR="00383525">
              <w:rPr>
                <w:rFonts w:ascii="Arial" w:hAnsi="Arial" w:cs="Arial"/>
                <w:color w:val="006100"/>
                <w:sz w:val="16"/>
                <w:szCs w:val="16"/>
              </w:rPr>
              <w:t>selection (a), reporting (b)</w:t>
            </w:r>
          </w:p>
          <w:p w14:paraId="76439640" w14:textId="77777777" w:rsidR="00AD589E" w:rsidRPr="004D1B46" w:rsidRDefault="00AD589E" w:rsidP="0025040E">
            <w:pPr>
              <w:spacing w:after="0"/>
              <w:rPr>
                <w:rFonts w:ascii="Arial" w:hAnsi="Arial" w:cs="Arial"/>
                <w:color w:val="006100"/>
                <w:sz w:val="16"/>
                <w:szCs w:val="16"/>
              </w:rPr>
            </w:pPr>
          </w:p>
          <w:p w14:paraId="19E7FB9B" w14:textId="63F5CDB5" w:rsidR="00AD589E" w:rsidRPr="004D1B46" w:rsidRDefault="00AD589E" w:rsidP="0025040E">
            <w:pPr>
              <w:spacing w:after="0"/>
              <w:rPr>
                <w:rFonts w:ascii="Arial" w:hAnsi="Arial" w:cs="Arial"/>
                <w:color w:val="006100"/>
                <w:sz w:val="16"/>
                <w:szCs w:val="16"/>
              </w:rPr>
            </w:pPr>
            <w:r w:rsidRPr="004D1B46">
              <w:rPr>
                <w:rFonts w:ascii="Arial" w:hAnsi="Arial" w:cs="Arial"/>
                <w:color w:val="006100"/>
                <w:sz w:val="16"/>
                <w:szCs w:val="16"/>
              </w:rPr>
              <w:t>Why:</w:t>
            </w:r>
            <w:r>
              <w:rPr>
                <w:rFonts w:ascii="Arial" w:hAnsi="Arial" w:cs="Arial"/>
                <w:color w:val="006100"/>
                <w:sz w:val="16"/>
                <w:szCs w:val="16"/>
              </w:rPr>
              <w:t xml:space="preserve"> </w:t>
            </w:r>
            <w:r w:rsidRPr="004F3D4C">
              <w:rPr>
                <w:rFonts w:ascii="Arial" w:hAnsi="Arial" w:cs="Arial"/>
                <w:color w:val="006100"/>
                <w:sz w:val="16"/>
                <w:szCs w:val="16"/>
              </w:rPr>
              <w:t>At least 10 000 households with inefficient solid fuel heat sources have installed best in class solar domestic hot water (DHW) or photovoltaic systems.</w:t>
            </w:r>
            <w:r>
              <w:rPr>
                <w:rFonts w:ascii="Arial" w:hAnsi="Arial" w:cs="Arial"/>
                <w:color w:val="006100"/>
                <w:sz w:val="16"/>
                <w:szCs w:val="16"/>
              </w:rPr>
              <w:t xml:space="preserve"> </w:t>
            </w:r>
            <w:r w:rsidRPr="004D1B46">
              <w:rPr>
                <w:rFonts w:ascii="Arial" w:hAnsi="Arial" w:cs="Arial"/>
                <w:color w:val="006100"/>
                <w:sz w:val="16"/>
                <w:szCs w:val="16"/>
              </w:rPr>
              <w:t>[provide references to the above in the summary document]</w:t>
            </w:r>
          </w:p>
          <w:p w14:paraId="73AC2194" w14:textId="77777777" w:rsidR="00AD589E" w:rsidRPr="004D1B46" w:rsidRDefault="00AD589E" w:rsidP="0025040E">
            <w:pPr>
              <w:spacing w:after="0"/>
              <w:rPr>
                <w:rFonts w:ascii="Arial" w:hAnsi="Arial" w:cs="Arial"/>
                <w:color w:val="006100"/>
                <w:sz w:val="16"/>
                <w:szCs w:val="16"/>
              </w:rPr>
            </w:pPr>
          </w:p>
          <w:p w14:paraId="1599E9F7" w14:textId="17CDDA73" w:rsidR="00AD589E" w:rsidRPr="004F3D4C" w:rsidRDefault="00AD589E" w:rsidP="0025040E">
            <w:pPr>
              <w:spacing w:after="0"/>
              <w:rPr>
                <w:rFonts w:ascii="Arial" w:hAnsi="Arial" w:cs="Arial"/>
                <w:color w:val="006100"/>
                <w:sz w:val="16"/>
                <w:szCs w:val="16"/>
              </w:rPr>
            </w:pPr>
            <w:r w:rsidRPr="004D1B46">
              <w:rPr>
                <w:rFonts w:ascii="Arial" w:hAnsi="Arial" w:cs="Arial"/>
                <w:color w:val="006100"/>
                <w:sz w:val="16"/>
                <w:szCs w:val="16"/>
              </w:rPr>
              <w:t xml:space="preserve">When: </w:t>
            </w:r>
            <w:r w:rsidR="00383525">
              <w:rPr>
                <w:rFonts w:ascii="Arial" w:hAnsi="Arial" w:cs="Arial"/>
                <w:color w:val="006100"/>
                <w:sz w:val="16"/>
                <w:szCs w:val="16"/>
              </w:rPr>
              <w:t>after signature of contracts and implementation of works</w:t>
            </w:r>
          </w:p>
        </w:tc>
        <w:tc>
          <w:tcPr>
            <w:tcW w:w="2268" w:type="dxa"/>
            <w:shd w:val="clear" w:color="auto" w:fill="D6E3C6"/>
          </w:tcPr>
          <w:p w14:paraId="68BC48B1" w14:textId="7E245010"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69568D6A" w14:textId="55252DDB" w:rsidR="00AD589E" w:rsidRPr="004F3D4C" w:rsidRDefault="00AD589E" w:rsidP="00046344">
            <w:pPr>
              <w:spacing w:after="0"/>
              <w:rPr>
                <w:rFonts w:ascii="Arial" w:hAnsi="Arial" w:cs="Arial"/>
                <w:color w:val="005D00"/>
                <w:sz w:val="16"/>
                <w:szCs w:val="16"/>
              </w:rPr>
            </w:pPr>
            <w:r>
              <w:rPr>
                <w:rFonts w:ascii="Arial" w:hAnsi="Arial" w:cs="Arial"/>
                <w:color w:val="005D00"/>
                <w:sz w:val="16"/>
                <w:szCs w:val="16"/>
              </w:rPr>
              <w:t xml:space="preserve">Delays in </w:t>
            </w:r>
            <w:r w:rsidR="00383525">
              <w:rPr>
                <w:rFonts w:ascii="Arial" w:hAnsi="Arial" w:cs="Arial"/>
                <w:color w:val="005D00"/>
                <w:sz w:val="16"/>
                <w:szCs w:val="16"/>
              </w:rPr>
              <w:t>the signature of contracts</w:t>
            </w:r>
          </w:p>
        </w:tc>
        <w:tc>
          <w:tcPr>
            <w:tcW w:w="1090" w:type="dxa"/>
            <w:gridSpan w:val="2"/>
            <w:shd w:val="clear" w:color="auto" w:fill="D6E3C6"/>
          </w:tcPr>
          <w:p w14:paraId="515566A0" w14:textId="77777777" w:rsidR="00AD589E" w:rsidRPr="004F3D4C" w:rsidRDefault="00AD589E" w:rsidP="009502E1">
            <w:pPr>
              <w:spacing w:after="0"/>
              <w:rPr>
                <w:rFonts w:ascii="Arial" w:hAnsi="Arial" w:cs="Arial"/>
                <w:color w:val="005D00"/>
                <w:sz w:val="16"/>
                <w:szCs w:val="16"/>
              </w:rPr>
            </w:pPr>
            <w:r>
              <w:rPr>
                <w:rFonts w:ascii="Arial" w:hAnsi="Arial" w:cs="Arial"/>
                <w:color w:val="005D00"/>
                <w:sz w:val="16"/>
                <w:szCs w:val="16"/>
              </w:rPr>
              <w:t>Yes, sample-based</w:t>
            </w:r>
          </w:p>
          <w:p w14:paraId="2BC1E09B" w14:textId="77777777" w:rsidR="00AD589E" w:rsidRPr="004F3D4C" w:rsidRDefault="00AD589E" w:rsidP="0063508F">
            <w:pPr>
              <w:spacing w:after="0"/>
              <w:rPr>
                <w:rFonts w:ascii="Arial" w:hAnsi="Arial" w:cs="Arial"/>
                <w:color w:val="006100"/>
                <w:sz w:val="16"/>
                <w:szCs w:val="16"/>
              </w:rPr>
            </w:pPr>
          </w:p>
        </w:tc>
        <w:tc>
          <w:tcPr>
            <w:tcW w:w="992" w:type="dxa"/>
            <w:gridSpan w:val="2"/>
            <w:shd w:val="clear" w:color="auto" w:fill="D6E3C6"/>
          </w:tcPr>
          <w:p w14:paraId="41BB37AA" w14:textId="49D7BAD8" w:rsidR="00AD589E" w:rsidRPr="004F3D4C" w:rsidRDefault="00AD589E" w:rsidP="00046344">
            <w:pPr>
              <w:spacing w:after="0"/>
              <w:rPr>
                <w:rFonts w:ascii="Arial" w:hAnsi="Arial" w:cs="Arial"/>
                <w:color w:val="005D00"/>
                <w:sz w:val="16"/>
                <w:szCs w:val="16"/>
              </w:rPr>
            </w:pPr>
            <w:r w:rsidRPr="00A3080C">
              <w:rPr>
                <w:rFonts w:ascii="Arial" w:hAnsi="Arial" w:cs="Arial"/>
                <w:color w:val="005D00"/>
                <w:sz w:val="16"/>
                <w:szCs w:val="16"/>
              </w:rPr>
              <w:t>Indicator 1</w:t>
            </w:r>
            <w:r w:rsidR="0008254D">
              <w:rPr>
                <w:rFonts w:ascii="Arial" w:hAnsi="Arial" w:cs="Arial"/>
                <w:color w:val="005D00"/>
                <w:sz w:val="16"/>
                <w:szCs w:val="16"/>
              </w:rPr>
              <w:t xml:space="preserve">, </w:t>
            </w:r>
            <w:r w:rsidR="006D0FE7">
              <w:rPr>
                <w:rFonts w:ascii="Arial" w:hAnsi="Arial" w:cs="Arial"/>
                <w:color w:val="005D00"/>
                <w:sz w:val="16"/>
                <w:szCs w:val="16"/>
              </w:rPr>
              <w:t xml:space="preserve">Indicator </w:t>
            </w:r>
            <w:r w:rsidR="0008254D">
              <w:rPr>
                <w:rFonts w:ascii="Arial" w:hAnsi="Arial" w:cs="Arial"/>
                <w:color w:val="005D00"/>
                <w:sz w:val="16"/>
                <w:szCs w:val="16"/>
              </w:rPr>
              <w:t>2</w:t>
            </w:r>
          </w:p>
        </w:tc>
        <w:tc>
          <w:tcPr>
            <w:tcW w:w="1418" w:type="dxa"/>
            <w:gridSpan w:val="2"/>
            <w:shd w:val="clear" w:color="auto" w:fill="D6E3C6"/>
          </w:tcPr>
          <w:p w14:paraId="2A26C619" w14:textId="4F62DB96" w:rsidR="00AD589E" w:rsidRPr="004F3D4C" w:rsidRDefault="002A2260" w:rsidP="00046344">
            <w:pPr>
              <w:spacing w:after="0"/>
              <w:rPr>
                <w:rFonts w:ascii="Arial" w:hAnsi="Arial" w:cs="Arial"/>
                <w:color w:val="005D00"/>
                <w:sz w:val="16"/>
                <w:szCs w:val="16"/>
              </w:rPr>
            </w:pPr>
            <w:r>
              <w:rPr>
                <w:rFonts w:ascii="Arial" w:hAnsi="Arial" w:cs="Arial"/>
                <w:color w:val="005D00"/>
                <w:sz w:val="16"/>
                <w:szCs w:val="16"/>
              </w:rPr>
              <w:t>-</w:t>
            </w:r>
          </w:p>
        </w:tc>
      </w:tr>
      <w:tr w:rsidR="00AD589E" w:rsidRPr="004F3D4C" w14:paraId="415EE535" w14:textId="21CAA225" w:rsidTr="00596EEA">
        <w:trPr>
          <w:trHeight w:val="309"/>
        </w:trPr>
        <w:tc>
          <w:tcPr>
            <w:tcW w:w="454" w:type="dxa"/>
            <w:shd w:val="clear" w:color="auto" w:fill="D6E3C6"/>
            <w:noWrap/>
          </w:tcPr>
          <w:p w14:paraId="1DBD0A1F" w14:textId="1B4B449F"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79</w:t>
            </w:r>
          </w:p>
        </w:tc>
        <w:tc>
          <w:tcPr>
            <w:tcW w:w="1215" w:type="dxa"/>
            <w:shd w:val="clear" w:color="auto" w:fill="D6E3C6"/>
            <w:noWrap/>
          </w:tcPr>
          <w:p w14:paraId="783A0958" w14:textId="6E3B3602"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C4.I3: Support for energy-efficient street lighting systems</w:t>
            </w:r>
          </w:p>
        </w:tc>
        <w:tc>
          <w:tcPr>
            <w:tcW w:w="956" w:type="dxa"/>
            <w:shd w:val="clear" w:color="auto" w:fill="D6E3C6"/>
            <w:noWrap/>
          </w:tcPr>
          <w:p w14:paraId="65857D1D" w14:textId="7093E72F"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4D1D9D06" w14:textId="7518DB99"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Signature of grant contracts for renovation of public lightning systems (call 1)</w:t>
            </w:r>
          </w:p>
        </w:tc>
        <w:tc>
          <w:tcPr>
            <w:tcW w:w="1322" w:type="dxa"/>
            <w:shd w:val="clear" w:color="auto" w:fill="D6E3C6"/>
            <w:noWrap/>
          </w:tcPr>
          <w:p w14:paraId="041DC0B5" w14:textId="55AD8194"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Signed contracts by Ministry of Energy with the successful applicants</w:t>
            </w:r>
          </w:p>
        </w:tc>
        <w:tc>
          <w:tcPr>
            <w:tcW w:w="709" w:type="dxa"/>
            <w:shd w:val="clear" w:color="auto" w:fill="D6E3C6"/>
            <w:noWrap/>
          </w:tcPr>
          <w:p w14:paraId="047684D9"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51D328EF"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2CD64A31" w14:textId="77777777" w:rsidR="00AD589E" w:rsidRPr="004F3D4C" w:rsidRDefault="00AD589E" w:rsidP="0063508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33E90CD3" w14:textId="7C50F47C"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Q3</w:t>
            </w:r>
          </w:p>
        </w:tc>
        <w:tc>
          <w:tcPr>
            <w:tcW w:w="520" w:type="dxa"/>
            <w:shd w:val="clear" w:color="auto" w:fill="D6E3C6"/>
            <w:noWrap/>
          </w:tcPr>
          <w:p w14:paraId="0E9DB806" w14:textId="48C04490" w:rsidR="00AD589E" w:rsidRPr="004F3D4C" w:rsidRDefault="00AD589E" w:rsidP="0063508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53A96897" w14:textId="17BE24FE" w:rsidR="00AD589E" w:rsidRPr="004F3D4C" w:rsidRDefault="00AD589E" w:rsidP="0063508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251E3B5A" w14:textId="77777777" w:rsidR="00AD589E" w:rsidRPr="004F3D4C" w:rsidRDefault="00AD589E" w:rsidP="0063508F">
            <w:pPr>
              <w:spacing w:after="0"/>
              <w:rPr>
                <w:rFonts w:ascii="Arial" w:eastAsia="Times New Roman" w:hAnsi="Arial" w:cs="Arial"/>
                <w:color w:val="006100"/>
                <w:sz w:val="16"/>
                <w:szCs w:val="16"/>
                <w:lang w:eastAsia="en-GB"/>
              </w:rPr>
            </w:pPr>
          </w:p>
        </w:tc>
        <w:tc>
          <w:tcPr>
            <w:tcW w:w="1751" w:type="dxa"/>
            <w:gridSpan w:val="2"/>
            <w:shd w:val="clear" w:color="auto" w:fill="D6E3C6"/>
          </w:tcPr>
          <w:p w14:paraId="1FB0209A" w14:textId="77777777" w:rsidR="00091C94" w:rsidRDefault="00AD589E" w:rsidP="00091C94">
            <w:pPr>
              <w:pStyle w:val="ListParagraph"/>
              <w:numPr>
                <w:ilvl w:val="0"/>
                <w:numId w:val="27"/>
              </w:numPr>
              <w:spacing w:after="0"/>
              <w:ind w:left="391" w:hanging="357"/>
              <w:rPr>
                <w:rFonts w:ascii="Arial" w:hAnsi="Arial" w:cs="Arial"/>
                <w:color w:val="006100"/>
                <w:sz w:val="16"/>
                <w:szCs w:val="16"/>
              </w:rPr>
            </w:pPr>
            <w:r>
              <w:rPr>
                <w:rFonts w:ascii="Arial" w:hAnsi="Arial" w:cs="Arial"/>
                <w:color w:val="006100"/>
                <w:sz w:val="16"/>
                <w:szCs w:val="16"/>
                <w:lang w:eastAsia="en-GB"/>
              </w:rPr>
              <w:t>C</w:t>
            </w:r>
            <w:r w:rsidRPr="004F3D4C">
              <w:rPr>
                <w:rFonts w:ascii="Arial" w:hAnsi="Arial" w:cs="Arial"/>
                <w:color w:val="006100"/>
                <w:sz w:val="16"/>
                <w:szCs w:val="16"/>
                <w:lang w:eastAsia="en-GB"/>
              </w:rPr>
              <w:t>opy of the signed contracts, including official references of the signed contracts</w:t>
            </w:r>
            <w:r>
              <w:rPr>
                <w:rFonts w:ascii="Arial" w:hAnsi="Arial" w:cs="Arial"/>
                <w:color w:val="006100"/>
                <w:sz w:val="16"/>
                <w:szCs w:val="16"/>
                <w:lang w:eastAsia="en-GB"/>
              </w:rPr>
              <w:t xml:space="preserve"> </w:t>
            </w:r>
          </w:p>
          <w:p w14:paraId="073FB5D5" w14:textId="3C65D043" w:rsidR="00AD589E" w:rsidRPr="00B035E5" w:rsidRDefault="00AD589E" w:rsidP="00091C94">
            <w:pPr>
              <w:pStyle w:val="ListParagraph"/>
              <w:numPr>
                <w:ilvl w:val="0"/>
                <w:numId w:val="27"/>
              </w:numPr>
              <w:spacing w:after="0"/>
              <w:ind w:left="391" w:hanging="357"/>
              <w:rPr>
                <w:rFonts w:ascii="Arial" w:hAnsi="Arial" w:cs="Arial"/>
                <w:color w:val="006100"/>
                <w:sz w:val="16"/>
                <w:szCs w:val="16"/>
              </w:rPr>
            </w:pPr>
            <w:r>
              <w:rPr>
                <w:rFonts w:ascii="Arial" w:hAnsi="Arial" w:cs="Arial"/>
                <w:color w:val="006100"/>
                <w:sz w:val="16"/>
                <w:szCs w:val="16"/>
                <w:lang w:eastAsia="en-GB"/>
              </w:rPr>
              <w:t>E</w:t>
            </w:r>
            <w:r w:rsidRPr="004F3D4C">
              <w:rPr>
                <w:rFonts w:ascii="Arial" w:hAnsi="Arial" w:cs="Arial"/>
                <w:color w:val="006100"/>
                <w:sz w:val="16"/>
                <w:szCs w:val="16"/>
                <w:lang w:eastAsia="en-GB"/>
              </w:rPr>
              <w:t>xtract of the relevant parts of the specifications of the contracts proving alignment with the description of the milestone and of the description of the investment in the CID annex</w:t>
            </w:r>
          </w:p>
        </w:tc>
        <w:tc>
          <w:tcPr>
            <w:tcW w:w="3402" w:type="dxa"/>
            <w:shd w:val="clear" w:color="auto" w:fill="D6E3C6"/>
          </w:tcPr>
          <w:p w14:paraId="03C6183D" w14:textId="77777777" w:rsidR="00AD589E" w:rsidRPr="004D1B46" w:rsidRDefault="00AD589E" w:rsidP="00C7179E">
            <w:pPr>
              <w:spacing w:after="0"/>
              <w:rPr>
                <w:rFonts w:ascii="Arial" w:hAnsi="Arial" w:cs="Arial"/>
                <w:color w:val="006100"/>
                <w:sz w:val="16"/>
                <w:szCs w:val="16"/>
              </w:rPr>
            </w:pPr>
            <w:r w:rsidRPr="004D1B46">
              <w:rPr>
                <w:rFonts w:ascii="Arial" w:hAnsi="Arial" w:cs="Arial"/>
                <w:color w:val="006100"/>
                <w:sz w:val="16"/>
                <w:szCs w:val="16"/>
              </w:rPr>
              <w:t xml:space="preserve">Institution/s: Ministry of </w:t>
            </w:r>
            <w:r>
              <w:rPr>
                <w:rFonts w:ascii="Arial" w:hAnsi="Arial" w:cs="Arial"/>
                <w:color w:val="006100"/>
                <w:sz w:val="16"/>
                <w:szCs w:val="16"/>
              </w:rPr>
              <w:t>Energy</w:t>
            </w:r>
          </w:p>
          <w:p w14:paraId="619C86E8" w14:textId="77777777" w:rsidR="00AD589E" w:rsidRPr="004D1B46" w:rsidRDefault="00AD589E" w:rsidP="00C7179E">
            <w:pPr>
              <w:spacing w:after="0"/>
              <w:rPr>
                <w:rFonts w:ascii="Arial" w:hAnsi="Arial" w:cs="Arial"/>
                <w:color w:val="006100"/>
                <w:sz w:val="16"/>
                <w:szCs w:val="16"/>
              </w:rPr>
            </w:pPr>
          </w:p>
          <w:p w14:paraId="4CF050F4" w14:textId="54124E6A" w:rsidR="00AD589E" w:rsidRPr="004D1B46" w:rsidRDefault="00AD589E" w:rsidP="00C7179E">
            <w:pPr>
              <w:spacing w:after="0"/>
              <w:rPr>
                <w:rFonts w:ascii="Arial" w:hAnsi="Arial" w:cs="Arial"/>
                <w:color w:val="006100"/>
                <w:sz w:val="16"/>
                <w:szCs w:val="16"/>
              </w:rPr>
            </w:pPr>
            <w:r w:rsidRPr="004D1B46">
              <w:rPr>
                <w:rFonts w:ascii="Arial" w:hAnsi="Arial" w:cs="Arial"/>
                <w:color w:val="006100"/>
                <w:sz w:val="16"/>
                <w:szCs w:val="16"/>
              </w:rPr>
              <w:t xml:space="preserve">What: </w:t>
            </w:r>
            <w:r w:rsidRPr="00C7179E">
              <w:rPr>
                <w:rFonts w:ascii="Arial" w:hAnsi="Arial" w:cs="Arial"/>
                <w:color w:val="006100"/>
                <w:sz w:val="16"/>
                <w:szCs w:val="16"/>
              </w:rPr>
              <w:t>Signature of grant contracts for renovation of public lightning systems (call 1)</w:t>
            </w:r>
          </w:p>
          <w:p w14:paraId="3A5E7A8E" w14:textId="77777777" w:rsidR="00AD589E" w:rsidRPr="004D1B46" w:rsidRDefault="00AD589E" w:rsidP="00C7179E">
            <w:pPr>
              <w:spacing w:after="0"/>
              <w:rPr>
                <w:rFonts w:ascii="Arial" w:hAnsi="Arial" w:cs="Arial"/>
                <w:color w:val="006100"/>
                <w:sz w:val="16"/>
                <w:szCs w:val="16"/>
              </w:rPr>
            </w:pPr>
          </w:p>
          <w:p w14:paraId="5590723A" w14:textId="50F252BE" w:rsidR="00AD589E" w:rsidRPr="004D1B46" w:rsidRDefault="00AD589E" w:rsidP="00C7179E">
            <w:pPr>
              <w:spacing w:after="0"/>
              <w:rPr>
                <w:rFonts w:ascii="Arial" w:hAnsi="Arial" w:cs="Arial"/>
                <w:color w:val="006100"/>
                <w:sz w:val="16"/>
                <w:szCs w:val="16"/>
              </w:rPr>
            </w:pPr>
            <w:r w:rsidRPr="004D1B46">
              <w:rPr>
                <w:rFonts w:ascii="Arial" w:hAnsi="Arial" w:cs="Arial"/>
                <w:color w:val="006100"/>
                <w:sz w:val="16"/>
                <w:szCs w:val="16"/>
              </w:rPr>
              <w:t>How</w:t>
            </w:r>
            <w:r>
              <w:rPr>
                <w:rFonts w:ascii="Arial" w:hAnsi="Arial" w:cs="Arial"/>
                <w:color w:val="006100"/>
                <w:sz w:val="16"/>
                <w:szCs w:val="16"/>
              </w:rPr>
              <w:t xml:space="preserve">: </w:t>
            </w:r>
            <w:r w:rsidR="00091C94">
              <w:rPr>
                <w:rFonts w:ascii="Arial" w:hAnsi="Arial" w:cs="Arial"/>
                <w:color w:val="006100"/>
                <w:sz w:val="16"/>
                <w:szCs w:val="16"/>
              </w:rPr>
              <w:t>contracting (a), reporting (b)</w:t>
            </w:r>
          </w:p>
          <w:p w14:paraId="217AF057" w14:textId="77777777" w:rsidR="00AD589E" w:rsidRPr="004D1B46" w:rsidRDefault="00AD589E" w:rsidP="00C7179E">
            <w:pPr>
              <w:spacing w:after="0"/>
              <w:rPr>
                <w:rFonts w:ascii="Arial" w:hAnsi="Arial" w:cs="Arial"/>
                <w:color w:val="006100"/>
                <w:sz w:val="16"/>
                <w:szCs w:val="16"/>
              </w:rPr>
            </w:pPr>
          </w:p>
          <w:p w14:paraId="04630836" w14:textId="2D06C5DE" w:rsidR="00AD589E" w:rsidRPr="004D1B46" w:rsidRDefault="00AD589E" w:rsidP="00C7179E">
            <w:pPr>
              <w:spacing w:after="0"/>
              <w:rPr>
                <w:rFonts w:ascii="Arial" w:hAnsi="Arial" w:cs="Arial"/>
                <w:color w:val="006100"/>
                <w:sz w:val="16"/>
                <w:szCs w:val="16"/>
              </w:rPr>
            </w:pPr>
            <w:r w:rsidRPr="004D1B46">
              <w:rPr>
                <w:rFonts w:ascii="Arial" w:hAnsi="Arial" w:cs="Arial"/>
                <w:color w:val="006100"/>
                <w:sz w:val="16"/>
                <w:szCs w:val="16"/>
              </w:rPr>
              <w:t>Why</w:t>
            </w:r>
            <w:r>
              <w:rPr>
                <w:rFonts w:ascii="Arial" w:hAnsi="Arial" w:cs="Arial"/>
                <w:color w:val="006100"/>
                <w:sz w:val="16"/>
                <w:szCs w:val="16"/>
              </w:rPr>
              <w:t xml:space="preserve">: </w:t>
            </w:r>
            <w:r w:rsidRPr="004F3D4C">
              <w:rPr>
                <w:rFonts w:ascii="Arial" w:hAnsi="Arial" w:cs="Arial"/>
                <w:color w:val="006100"/>
                <w:sz w:val="16"/>
                <w:szCs w:val="16"/>
              </w:rPr>
              <w:t>The grant contracts to renovate public lighting systems shall specify that a reduction in primary energy consumption of at least 30 % to be achieved.</w:t>
            </w:r>
            <w:r>
              <w:rPr>
                <w:rFonts w:ascii="Arial" w:hAnsi="Arial" w:cs="Arial"/>
                <w:color w:val="006100"/>
                <w:sz w:val="16"/>
                <w:szCs w:val="16"/>
              </w:rPr>
              <w:t xml:space="preserve"> </w:t>
            </w:r>
            <w:r w:rsidRPr="004D1B46">
              <w:rPr>
                <w:rFonts w:ascii="Arial" w:hAnsi="Arial" w:cs="Arial"/>
                <w:color w:val="006100"/>
                <w:sz w:val="16"/>
                <w:szCs w:val="16"/>
              </w:rPr>
              <w:t>[provide references to the above in the summary document]</w:t>
            </w:r>
          </w:p>
          <w:p w14:paraId="663EA17C" w14:textId="77777777" w:rsidR="00AD589E" w:rsidRPr="004D1B46" w:rsidRDefault="00AD589E" w:rsidP="00C7179E">
            <w:pPr>
              <w:spacing w:after="0"/>
              <w:rPr>
                <w:rFonts w:ascii="Arial" w:hAnsi="Arial" w:cs="Arial"/>
                <w:color w:val="006100"/>
                <w:sz w:val="16"/>
                <w:szCs w:val="16"/>
              </w:rPr>
            </w:pPr>
          </w:p>
          <w:p w14:paraId="06B91A06" w14:textId="6C3FB94B" w:rsidR="00AD589E" w:rsidRPr="004F3D4C" w:rsidRDefault="00AD589E" w:rsidP="00C7179E">
            <w:pPr>
              <w:spacing w:after="0"/>
              <w:rPr>
                <w:rFonts w:ascii="Arial" w:hAnsi="Arial" w:cs="Arial"/>
                <w:color w:val="006100"/>
                <w:sz w:val="16"/>
                <w:szCs w:val="16"/>
              </w:rPr>
            </w:pPr>
            <w:r w:rsidRPr="004D1B46">
              <w:rPr>
                <w:rFonts w:ascii="Arial" w:hAnsi="Arial" w:cs="Arial"/>
                <w:color w:val="006100"/>
                <w:sz w:val="16"/>
                <w:szCs w:val="16"/>
              </w:rPr>
              <w:t xml:space="preserve">When: </w:t>
            </w:r>
            <w:r w:rsidR="00033D8E" w:rsidRPr="00033D8E">
              <w:rPr>
                <w:rFonts w:ascii="Arial" w:hAnsi="Arial" w:cs="Arial"/>
                <w:color w:val="006100"/>
                <w:sz w:val="16"/>
                <w:szCs w:val="16"/>
              </w:rPr>
              <w:t>specify the dates of selection, award, and contracting</w:t>
            </w:r>
          </w:p>
        </w:tc>
        <w:tc>
          <w:tcPr>
            <w:tcW w:w="2268" w:type="dxa"/>
            <w:shd w:val="clear" w:color="auto" w:fill="D6E3C6"/>
          </w:tcPr>
          <w:p w14:paraId="4ACE8B86" w14:textId="77777777" w:rsidR="00AD589E" w:rsidRPr="00982EBA" w:rsidRDefault="00AD589E" w:rsidP="00982EBA">
            <w:pPr>
              <w:spacing w:after="0"/>
              <w:rPr>
                <w:rFonts w:ascii="Arial" w:hAnsi="Arial" w:cs="Arial"/>
                <w:color w:val="006100"/>
                <w:sz w:val="16"/>
                <w:szCs w:val="16"/>
              </w:rPr>
            </w:pPr>
            <w:r w:rsidRPr="00982EBA">
              <w:rPr>
                <w:rFonts w:ascii="Arial" w:hAnsi="Arial" w:cs="Arial"/>
                <w:color w:val="006100"/>
                <w:sz w:val="16"/>
                <w:szCs w:val="16"/>
              </w:rPr>
              <w:t xml:space="preserve">The objective of the measure is to increase energy efficiency, reduce energy costs for outdoor artificial lighting and improve living conditions for the population in the country through technological renewal and modernisation of outdoor artificial lighting systems. </w:t>
            </w:r>
          </w:p>
          <w:p w14:paraId="70CB815F" w14:textId="77777777" w:rsidR="00AD589E" w:rsidRPr="00982EBA" w:rsidRDefault="00AD589E" w:rsidP="00982EBA">
            <w:pPr>
              <w:spacing w:after="0"/>
              <w:rPr>
                <w:rFonts w:ascii="Arial" w:hAnsi="Arial" w:cs="Arial"/>
                <w:color w:val="006100"/>
                <w:sz w:val="16"/>
                <w:szCs w:val="16"/>
              </w:rPr>
            </w:pPr>
          </w:p>
          <w:p w14:paraId="5FDAB4EE" w14:textId="4A2F16B7" w:rsidR="00AD589E" w:rsidRPr="004F3D4C" w:rsidRDefault="00AD589E" w:rsidP="00982EBA">
            <w:pPr>
              <w:spacing w:after="0"/>
              <w:rPr>
                <w:rFonts w:ascii="Arial" w:hAnsi="Arial" w:cs="Arial"/>
                <w:color w:val="006100"/>
                <w:sz w:val="16"/>
                <w:szCs w:val="16"/>
              </w:rPr>
            </w:pPr>
            <w:r w:rsidRPr="00982EBA">
              <w:rPr>
                <w:rFonts w:ascii="Arial" w:hAnsi="Arial" w:cs="Arial"/>
                <w:color w:val="006100"/>
                <w:sz w:val="16"/>
                <w:szCs w:val="16"/>
              </w:rPr>
              <w:t>The measure consists of the reconstruction and modernisation of municipal outdoor artificial lighting systems. The investment shall aim at achieving on average at least a 30% primary energy demand reduction when comparing before and after implementation of the measure.</w:t>
            </w:r>
          </w:p>
        </w:tc>
        <w:tc>
          <w:tcPr>
            <w:tcW w:w="1036" w:type="dxa"/>
            <w:gridSpan w:val="2"/>
            <w:shd w:val="clear" w:color="auto" w:fill="D6E3C6"/>
          </w:tcPr>
          <w:p w14:paraId="44CCF6E9" w14:textId="4820F35E" w:rsidR="00AD589E" w:rsidRPr="004F3D4C" w:rsidRDefault="00033D8E" w:rsidP="0063508F">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447B4239" w14:textId="2C6F4C40" w:rsidR="00AD589E" w:rsidRPr="004F3D4C" w:rsidRDefault="00AD589E" w:rsidP="0063508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69902750" w14:textId="50FF9950" w:rsidR="00AD589E" w:rsidRPr="004F3D4C" w:rsidRDefault="00AD589E" w:rsidP="0063508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75BB2B7F" w14:textId="1E8EEDF9" w:rsidR="00AD589E" w:rsidRPr="004F3D4C" w:rsidRDefault="002A2260" w:rsidP="0063508F">
            <w:pPr>
              <w:spacing w:after="0"/>
              <w:rPr>
                <w:rFonts w:ascii="Arial" w:hAnsi="Arial" w:cs="Arial"/>
                <w:color w:val="006100"/>
                <w:sz w:val="16"/>
                <w:szCs w:val="16"/>
              </w:rPr>
            </w:pPr>
            <w:r>
              <w:rPr>
                <w:rFonts w:ascii="Arial" w:hAnsi="Arial" w:cs="Arial"/>
                <w:color w:val="006100"/>
                <w:sz w:val="16"/>
                <w:szCs w:val="16"/>
              </w:rPr>
              <w:t>-</w:t>
            </w:r>
          </w:p>
        </w:tc>
      </w:tr>
      <w:tr w:rsidR="00AD589E" w:rsidRPr="004F3D4C" w14:paraId="2735EC40" w14:textId="0DF0C239" w:rsidTr="00596EEA">
        <w:trPr>
          <w:trHeight w:val="309"/>
        </w:trPr>
        <w:tc>
          <w:tcPr>
            <w:tcW w:w="454" w:type="dxa"/>
            <w:shd w:val="clear" w:color="auto" w:fill="D6E3C6"/>
            <w:noWrap/>
          </w:tcPr>
          <w:p w14:paraId="708BEDDB" w14:textId="2A36783C"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80</w:t>
            </w:r>
          </w:p>
        </w:tc>
        <w:tc>
          <w:tcPr>
            <w:tcW w:w="1215" w:type="dxa"/>
            <w:shd w:val="clear" w:color="auto" w:fill="D6E3C6"/>
            <w:noWrap/>
          </w:tcPr>
          <w:p w14:paraId="4330CEF6" w14:textId="6CF87C3F"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C4.I3: Support for energy-efficient street lighting systems</w:t>
            </w:r>
          </w:p>
        </w:tc>
        <w:tc>
          <w:tcPr>
            <w:tcW w:w="956" w:type="dxa"/>
            <w:shd w:val="clear" w:color="auto" w:fill="D6E3C6"/>
            <w:noWrap/>
          </w:tcPr>
          <w:p w14:paraId="42809C7E" w14:textId="13C3751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5B00618B" w14:textId="4C6F1ADD"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Signature of grant contracts for renovation of public lightning systems (call 2)</w:t>
            </w:r>
          </w:p>
        </w:tc>
        <w:tc>
          <w:tcPr>
            <w:tcW w:w="1322" w:type="dxa"/>
            <w:shd w:val="clear" w:color="auto" w:fill="D6E3C6"/>
            <w:noWrap/>
          </w:tcPr>
          <w:p w14:paraId="38AAEE2F" w14:textId="5D667CA1"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Signed contracts by Ministry of Energy with the successful applicants</w:t>
            </w:r>
          </w:p>
        </w:tc>
        <w:tc>
          <w:tcPr>
            <w:tcW w:w="709" w:type="dxa"/>
            <w:shd w:val="clear" w:color="auto" w:fill="D6E3C6"/>
            <w:noWrap/>
          </w:tcPr>
          <w:p w14:paraId="10804F01"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2563893F"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7694EBFB"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4A2E01EE" w14:textId="3FC81F5B"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Q3</w:t>
            </w:r>
          </w:p>
        </w:tc>
        <w:tc>
          <w:tcPr>
            <w:tcW w:w="520" w:type="dxa"/>
            <w:shd w:val="clear" w:color="auto" w:fill="D6E3C6"/>
            <w:noWrap/>
          </w:tcPr>
          <w:p w14:paraId="620CEA24" w14:textId="7B67AAFD"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247F4963" w14:textId="220662F9"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422F1A6E"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456DF51B" w14:textId="77777777" w:rsidR="004F2C49" w:rsidRDefault="00AD589E" w:rsidP="004F2C49">
            <w:pPr>
              <w:pStyle w:val="ListParagraph"/>
              <w:numPr>
                <w:ilvl w:val="0"/>
                <w:numId w:val="28"/>
              </w:numPr>
              <w:spacing w:after="0"/>
              <w:ind w:left="391" w:hanging="357"/>
              <w:rPr>
                <w:rFonts w:ascii="Arial" w:hAnsi="Arial" w:cs="Arial"/>
                <w:color w:val="006100"/>
                <w:sz w:val="16"/>
                <w:szCs w:val="16"/>
              </w:rPr>
            </w:pPr>
            <w:r>
              <w:rPr>
                <w:rFonts w:ascii="Arial" w:hAnsi="Arial" w:cs="Arial"/>
                <w:color w:val="006100"/>
                <w:sz w:val="16"/>
                <w:szCs w:val="16"/>
                <w:lang w:eastAsia="en-GB"/>
              </w:rPr>
              <w:t>C</w:t>
            </w:r>
            <w:r w:rsidRPr="004F3D4C">
              <w:rPr>
                <w:rFonts w:ascii="Arial" w:hAnsi="Arial" w:cs="Arial"/>
                <w:color w:val="006100"/>
                <w:sz w:val="16"/>
                <w:szCs w:val="16"/>
                <w:lang w:eastAsia="en-GB"/>
              </w:rPr>
              <w:t xml:space="preserve">opy of the signed contracts, including official references of the signed </w:t>
            </w:r>
            <w:r>
              <w:rPr>
                <w:rFonts w:ascii="Arial" w:hAnsi="Arial" w:cs="Arial"/>
                <w:color w:val="006100"/>
                <w:sz w:val="16"/>
                <w:szCs w:val="16"/>
                <w:lang w:eastAsia="en-GB"/>
              </w:rPr>
              <w:t xml:space="preserve">contract </w:t>
            </w:r>
          </w:p>
          <w:p w14:paraId="4CD78DA4" w14:textId="47529013" w:rsidR="00AD589E" w:rsidRPr="000E7E64" w:rsidRDefault="00AD589E" w:rsidP="004F2C49">
            <w:pPr>
              <w:pStyle w:val="ListParagraph"/>
              <w:numPr>
                <w:ilvl w:val="0"/>
                <w:numId w:val="28"/>
              </w:numPr>
              <w:spacing w:after="0"/>
              <w:ind w:left="391" w:hanging="357"/>
              <w:rPr>
                <w:rFonts w:ascii="Arial" w:hAnsi="Arial" w:cs="Arial"/>
                <w:color w:val="006100"/>
                <w:sz w:val="16"/>
                <w:szCs w:val="16"/>
              </w:rPr>
            </w:pPr>
            <w:r>
              <w:rPr>
                <w:rFonts w:ascii="Arial" w:hAnsi="Arial" w:cs="Arial"/>
                <w:color w:val="006100"/>
                <w:sz w:val="16"/>
                <w:szCs w:val="16"/>
                <w:lang w:eastAsia="en-GB"/>
              </w:rPr>
              <w:t>E</w:t>
            </w:r>
            <w:r w:rsidRPr="004F3D4C">
              <w:rPr>
                <w:rFonts w:ascii="Arial" w:hAnsi="Arial" w:cs="Arial"/>
                <w:color w:val="006100"/>
                <w:sz w:val="16"/>
                <w:szCs w:val="16"/>
                <w:lang w:eastAsia="en-GB"/>
              </w:rPr>
              <w:t xml:space="preserve">xtract of the relevant parts of the specifications of the contracts proving alignment with the description of the milestone and of </w:t>
            </w:r>
            <w:r w:rsidRPr="004F3D4C">
              <w:rPr>
                <w:rFonts w:ascii="Arial" w:hAnsi="Arial" w:cs="Arial"/>
                <w:color w:val="006100"/>
                <w:sz w:val="16"/>
                <w:szCs w:val="16"/>
                <w:lang w:eastAsia="en-GB"/>
              </w:rPr>
              <w:lastRenderedPageBreak/>
              <w:t>the description of the investment in the CID anne</w:t>
            </w:r>
            <w:r>
              <w:rPr>
                <w:rFonts w:ascii="Arial" w:hAnsi="Arial" w:cs="Arial"/>
                <w:color w:val="006100"/>
                <w:sz w:val="16"/>
                <w:szCs w:val="16"/>
                <w:lang w:eastAsia="en-GB"/>
              </w:rPr>
              <w:t xml:space="preserve">x </w:t>
            </w:r>
          </w:p>
        </w:tc>
        <w:tc>
          <w:tcPr>
            <w:tcW w:w="3402" w:type="dxa"/>
            <w:shd w:val="clear" w:color="auto" w:fill="D6E3C6"/>
          </w:tcPr>
          <w:p w14:paraId="70A91A2B" w14:textId="77777777" w:rsidR="00AD589E" w:rsidRPr="004D1B46" w:rsidRDefault="00AD589E" w:rsidP="009807A8">
            <w:pPr>
              <w:spacing w:after="0"/>
              <w:rPr>
                <w:rFonts w:ascii="Arial" w:hAnsi="Arial" w:cs="Arial"/>
                <w:color w:val="006100"/>
                <w:sz w:val="16"/>
                <w:szCs w:val="16"/>
              </w:rPr>
            </w:pPr>
            <w:r w:rsidRPr="004D1B46">
              <w:rPr>
                <w:rFonts w:ascii="Arial" w:hAnsi="Arial" w:cs="Arial"/>
                <w:color w:val="006100"/>
                <w:sz w:val="16"/>
                <w:szCs w:val="16"/>
              </w:rPr>
              <w:lastRenderedPageBreak/>
              <w:t xml:space="preserve">Institution/s: Ministry of </w:t>
            </w:r>
            <w:r>
              <w:rPr>
                <w:rFonts w:ascii="Arial" w:hAnsi="Arial" w:cs="Arial"/>
                <w:color w:val="006100"/>
                <w:sz w:val="16"/>
                <w:szCs w:val="16"/>
              </w:rPr>
              <w:t>Energy</w:t>
            </w:r>
          </w:p>
          <w:p w14:paraId="225DCE9F" w14:textId="77777777" w:rsidR="00AD589E" w:rsidRPr="004D1B46" w:rsidRDefault="00AD589E" w:rsidP="009807A8">
            <w:pPr>
              <w:spacing w:after="0"/>
              <w:rPr>
                <w:rFonts w:ascii="Arial" w:hAnsi="Arial" w:cs="Arial"/>
                <w:color w:val="006100"/>
                <w:sz w:val="16"/>
                <w:szCs w:val="16"/>
              </w:rPr>
            </w:pPr>
          </w:p>
          <w:p w14:paraId="03CC6BED" w14:textId="07763173" w:rsidR="00AD589E" w:rsidRPr="004D1B46" w:rsidRDefault="00AD589E" w:rsidP="009807A8">
            <w:pPr>
              <w:spacing w:after="0"/>
              <w:rPr>
                <w:rFonts w:ascii="Arial" w:hAnsi="Arial" w:cs="Arial"/>
                <w:color w:val="006100"/>
                <w:sz w:val="16"/>
                <w:szCs w:val="16"/>
              </w:rPr>
            </w:pPr>
            <w:r w:rsidRPr="004D1B46">
              <w:rPr>
                <w:rFonts w:ascii="Arial" w:hAnsi="Arial" w:cs="Arial"/>
                <w:color w:val="006100"/>
                <w:sz w:val="16"/>
                <w:szCs w:val="16"/>
              </w:rPr>
              <w:t xml:space="preserve">What: </w:t>
            </w:r>
            <w:r w:rsidRPr="004F3D4C">
              <w:rPr>
                <w:rFonts w:ascii="Arial" w:hAnsi="Arial" w:cs="Arial"/>
                <w:color w:val="006100"/>
                <w:sz w:val="16"/>
                <w:szCs w:val="16"/>
              </w:rPr>
              <w:t>Signature of grant contracts for renovation of public lightning systems (call 2)</w:t>
            </w:r>
          </w:p>
          <w:p w14:paraId="5455257C" w14:textId="77777777" w:rsidR="00AD589E" w:rsidRPr="004D1B46" w:rsidRDefault="00AD589E" w:rsidP="009807A8">
            <w:pPr>
              <w:spacing w:after="0"/>
              <w:rPr>
                <w:rFonts w:ascii="Arial" w:hAnsi="Arial" w:cs="Arial"/>
                <w:color w:val="006100"/>
                <w:sz w:val="16"/>
                <w:szCs w:val="16"/>
              </w:rPr>
            </w:pPr>
          </w:p>
          <w:p w14:paraId="618BDD56" w14:textId="46DF9DF4" w:rsidR="00AD589E" w:rsidRPr="004D1B46" w:rsidRDefault="00AD589E" w:rsidP="009807A8">
            <w:pPr>
              <w:spacing w:after="0"/>
              <w:rPr>
                <w:rFonts w:ascii="Arial" w:hAnsi="Arial" w:cs="Arial"/>
                <w:color w:val="006100"/>
                <w:sz w:val="16"/>
                <w:szCs w:val="16"/>
              </w:rPr>
            </w:pPr>
            <w:r w:rsidRPr="004D1B46">
              <w:rPr>
                <w:rFonts w:ascii="Arial" w:hAnsi="Arial" w:cs="Arial"/>
                <w:color w:val="006100"/>
                <w:sz w:val="16"/>
                <w:szCs w:val="16"/>
              </w:rPr>
              <w:t>How</w:t>
            </w:r>
            <w:r>
              <w:rPr>
                <w:rFonts w:ascii="Arial" w:hAnsi="Arial" w:cs="Arial"/>
                <w:color w:val="006100"/>
                <w:sz w:val="16"/>
                <w:szCs w:val="16"/>
              </w:rPr>
              <w:t xml:space="preserve">: </w:t>
            </w:r>
            <w:r w:rsidR="004F2C49">
              <w:rPr>
                <w:rFonts w:ascii="Arial" w:hAnsi="Arial" w:cs="Arial"/>
                <w:color w:val="006100"/>
                <w:sz w:val="16"/>
                <w:szCs w:val="16"/>
              </w:rPr>
              <w:t>contracting (a), reporting (b)</w:t>
            </w:r>
          </w:p>
          <w:p w14:paraId="4DB71D89" w14:textId="77777777" w:rsidR="00AD589E" w:rsidRPr="004D1B46" w:rsidRDefault="00AD589E" w:rsidP="009807A8">
            <w:pPr>
              <w:spacing w:after="0"/>
              <w:rPr>
                <w:rFonts w:ascii="Arial" w:hAnsi="Arial" w:cs="Arial"/>
                <w:color w:val="006100"/>
                <w:sz w:val="16"/>
                <w:szCs w:val="16"/>
              </w:rPr>
            </w:pPr>
          </w:p>
          <w:p w14:paraId="04F4DCD3" w14:textId="7FFFDD8B" w:rsidR="00AD589E" w:rsidRPr="004D1B46" w:rsidRDefault="00AD589E" w:rsidP="009807A8">
            <w:pPr>
              <w:spacing w:after="0"/>
              <w:rPr>
                <w:rFonts w:ascii="Arial" w:hAnsi="Arial" w:cs="Arial"/>
                <w:color w:val="006100"/>
                <w:sz w:val="16"/>
                <w:szCs w:val="16"/>
              </w:rPr>
            </w:pPr>
            <w:r w:rsidRPr="004D1B46">
              <w:rPr>
                <w:rFonts w:ascii="Arial" w:hAnsi="Arial" w:cs="Arial"/>
                <w:color w:val="006100"/>
                <w:sz w:val="16"/>
                <w:szCs w:val="16"/>
              </w:rPr>
              <w:t>Why</w:t>
            </w:r>
            <w:r>
              <w:rPr>
                <w:rFonts w:ascii="Arial" w:hAnsi="Arial" w:cs="Arial"/>
                <w:color w:val="006100"/>
                <w:sz w:val="16"/>
                <w:szCs w:val="16"/>
              </w:rPr>
              <w:t xml:space="preserve">: </w:t>
            </w:r>
            <w:r w:rsidRPr="004F3D4C">
              <w:rPr>
                <w:rFonts w:ascii="Arial" w:hAnsi="Arial" w:cs="Arial"/>
                <w:color w:val="006100"/>
                <w:sz w:val="16"/>
                <w:szCs w:val="16"/>
              </w:rPr>
              <w:t>The grant contracts to renovate public lighting systems shall specify that a reduction in primary energy consumption of at least 30 % to be achieved.</w:t>
            </w:r>
            <w:r>
              <w:rPr>
                <w:rFonts w:ascii="Arial" w:hAnsi="Arial" w:cs="Arial"/>
                <w:color w:val="006100"/>
                <w:sz w:val="16"/>
                <w:szCs w:val="16"/>
              </w:rPr>
              <w:t xml:space="preserve"> </w:t>
            </w:r>
            <w:r w:rsidRPr="004D1B46">
              <w:rPr>
                <w:rFonts w:ascii="Arial" w:hAnsi="Arial" w:cs="Arial"/>
                <w:color w:val="006100"/>
                <w:sz w:val="16"/>
                <w:szCs w:val="16"/>
              </w:rPr>
              <w:t>[provide references to the above in the summary document]</w:t>
            </w:r>
          </w:p>
          <w:p w14:paraId="40C84C24" w14:textId="77777777" w:rsidR="00AD589E" w:rsidRPr="004D1B46" w:rsidRDefault="00AD589E" w:rsidP="009807A8">
            <w:pPr>
              <w:spacing w:after="0"/>
              <w:rPr>
                <w:rFonts w:ascii="Arial" w:hAnsi="Arial" w:cs="Arial"/>
                <w:color w:val="006100"/>
                <w:sz w:val="16"/>
                <w:szCs w:val="16"/>
              </w:rPr>
            </w:pPr>
          </w:p>
          <w:p w14:paraId="71C541FD" w14:textId="087E093C" w:rsidR="00AD589E" w:rsidRPr="004F3D4C" w:rsidRDefault="00AD589E" w:rsidP="009807A8">
            <w:pPr>
              <w:spacing w:after="0"/>
              <w:rPr>
                <w:rFonts w:ascii="Arial" w:hAnsi="Arial" w:cs="Arial"/>
                <w:color w:val="006100"/>
                <w:sz w:val="16"/>
                <w:szCs w:val="16"/>
              </w:rPr>
            </w:pPr>
            <w:r w:rsidRPr="004D1B46">
              <w:rPr>
                <w:rFonts w:ascii="Arial" w:hAnsi="Arial" w:cs="Arial"/>
                <w:color w:val="006100"/>
                <w:sz w:val="16"/>
                <w:szCs w:val="16"/>
              </w:rPr>
              <w:lastRenderedPageBreak/>
              <w:t xml:space="preserve">When: </w:t>
            </w:r>
            <w:r w:rsidR="004F2C49" w:rsidRPr="00033D8E">
              <w:rPr>
                <w:rFonts w:ascii="Arial" w:hAnsi="Arial" w:cs="Arial"/>
                <w:color w:val="006100"/>
                <w:sz w:val="16"/>
                <w:szCs w:val="16"/>
              </w:rPr>
              <w:t>specify the dates of selection, award, and contracting</w:t>
            </w:r>
          </w:p>
        </w:tc>
        <w:tc>
          <w:tcPr>
            <w:tcW w:w="2268" w:type="dxa"/>
            <w:shd w:val="clear" w:color="auto" w:fill="D6E3C6"/>
          </w:tcPr>
          <w:p w14:paraId="659D7875" w14:textId="09DEAD55"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36" w:type="dxa"/>
            <w:gridSpan w:val="2"/>
            <w:shd w:val="clear" w:color="auto" w:fill="D6E3C6"/>
          </w:tcPr>
          <w:p w14:paraId="78673A40" w14:textId="6A8D8E70"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 xml:space="preserve">- </w:t>
            </w:r>
          </w:p>
        </w:tc>
        <w:tc>
          <w:tcPr>
            <w:tcW w:w="1090" w:type="dxa"/>
            <w:gridSpan w:val="2"/>
            <w:shd w:val="clear" w:color="auto" w:fill="D6E3C6"/>
          </w:tcPr>
          <w:p w14:paraId="5962FD46" w14:textId="6E20B907" w:rsidR="00AD589E" w:rsidRPr="004F3D4C" w:rsidRDefault="00AD589E" w:rsidP="009807A8">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0887E75D" w14:textId="584F4976"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3F34854E" w14:textId="77777777" w:rsidR="007B5D88" w:rsidRPr="007B5D88" w:rsidRDefault="00D35DE8" w:rsidP="007B5D88">
            <w:pPr>
              <w:spacing w:after="0"/>
              <w:rPr>
                <w:rFonts w:ascii="Arial" w:hAnsi="Arial" w:cs="Arial"/>
                <w:color w:val="006100"/>
                <w:sz w:val="16"/>
                <w:szCs w:val="16"/>
              </w:rPr>
            </w:pPr>
            <w:r>
              <w:rPr>
                <w:rFonts w:ascii="Arial" w:hAnsi="Arial" w:cs="Arial"/>
                <w:color w:val="006100"/>
                <w:sz w:val="16"/>
                <w:szCs w:val="16"/>
              </w:rPr>
              <w:t xml:space="preserve">A monitoring step: </w:t>
            </w:r>
            <w:r w:rsidR="007B5D88" w:rsidRPr="007B5D88">
              <w:rPr>
                <w:rFonts w:ascii="Arial" w:hAnsi="Arial" w:cs="Arial"/>
                <w:color w:val="006100"/>
                <w:sz w:val="16"/>
                <w:szCs w:val="16"/>
              </w:rPr>
              <w:t xml:space="preserve">Publication of the call for </w:t>
            </w:r>
          </w:p>
          <w:p w14:paraId="6857AAD8" w14:textId="0E8786CA" w:rsidR="00AD589E" w:rsidRPr="004F3D4C" w:rsidRDefault="007B5D88" w:rsidP="007B5D88">
            <w:pPr>
              <w:spacing w:after="0"/>
              <w:rPr>
                <w:rFonts w:ascii="Arial" w:hAnsi="Arial" w:cs="Arial"/>
                <w:color w:val="006100"/>
                <w:sz w:val="16"/>
                <w:szCs w:val="16"/>
              </w:rPr>
            </w:pPr>
            <w:r w:rsidRPr="007B5D88">
              <w:rPr>
                <w:rFonts w:ascii="Arial" w:hAnsi="Arial" w:cs="Arial"/>
                <w:color w:val="006100"/>
                <w:sz w:val="16"/>
                <w:szCs w:val="16"/>
              </w:rPr>
              <w:t>applicants on the website of the Ministry of Energy</w:t>
            </w:r>
            <w:r w:rsidR="001E43C7">
              <w:rPr>
                <w:rFonts w:ascii="Arial" w:hAnsi="Arial" w:cs="Arial"/>
                <w:color w:val="006100"/>
                <w:sz w:val="16"/>
                <w:szCs w:val="16"/>
              </w:rPr>
              <w:t xml:space="preserve"> (Q1 2023)</w:t>
            </w:r>
          </w:p>
        </w:tc>
      </w:tr>
      <w:tr w:rsidR="00AD589E" w:rsidRPr="004F3D4C" w14:paraId="72673047" w14:textId="1F75C86E" w:rsidTr="00596EEA">
        <w:trPr>
          <w:trHeight w:val="309"/>
        </w:trPr>
        <w:tc>
          <w:tcPr>
            <w:tcW w:w="454" w:type="dxa"/>
            <w:shd w:val="clear" w:color="auto" w:fill="D6E3C6"/>
            <w:noWrap/>
          </w:tcPr>
          <w:p w14:paraId="5AB52AFD" w14:textId="7E9B4AA1"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81</w:t>
            </w:r>
          </w:p>
        </w:tc>
        <w:tc>
          <w:tcPr>
            <w:tcW w:w="1215" w:type="dxa"/>
            <w:shd w:val="clear" w:color="auto" w:fill="D6E3C6"/>
            <w:noWrap/>
          </w:tcPr>
          <w:p w14:paraId="733F20A5" w14:textId="27892265"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C4.I3: Support for energy-efficient street lighting systems</w:t>
            </w:r>
          </w:p>
        </w:tc>
        <w:tc>
          <w:tcPr>
            <w:tcW w:w="956" w:type="dxa"/>
            <w:shd w:val="clear" w:color="auto" w:fill="D6E3C6"/>
            <w:noWrap/>
          </w:tcPr>
          <w:p w14:paraId="57D459FE" w14:textId="52F93569"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088D4F73" w14:textId="3D82EA3E"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Reduction of energy consumption</w:t>
            </w:r>
          </w:p>
        </w:tc>
        <w:tc>
          <w:tcPr>
            <w:tcW w:w="1322" w:type="dxa"/>
            <w:shd w:val="clear" w:color="auto" w:fill="D6E3C6"/>
            <w:noWrap/>
          </w:tcPr>
          <w:p w14:paraId="302DB104" w14:textId="77777777" w:rsidR="00AD589E" w:rsidRPr="004F3D4C" w:rsidRDefault="00AD589E" w:rsidP="009807A8">
            <w:pPr>
              <w:spacing w:after="0"/>
              <w:rPr>
                <w:rFonts w:ascii="Arial" w:eastAsia="Times New Roman" w:hAnsi="Arial" w:cs="Arial"/>
                <w:color w:val="006100"/>
                <w:sz w:val="16"/>
                <w:szCs w:val="16"/>
                <w:lang w:eastAsia="en-GB"/>
              </w:rPr>
            </w:pPr>
          </w:p>
        </w:tc>
        <w:tc>
          <w:tcPr>
            <w:tcW w:w="709" w:type="dxa"/>
            <w:shd w:val="clear" w:color="auto" w:fill="D6E3C6"/>
            <w:noWrap/>
          </w:tcPr>
          <w:p w14:paraId="63ECAFCE" w14:textId="626111FB"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Energy savings in Megawatt-hours (MWh) per year</w:t>
            </w:r>
          </w:p>
        </w:tc>
        <w:tc>
          <w:tcPr>
            <w:tcW w:w="614" w:type="dxa"/>
            <w:shd w:val="clear" w:color="auto" w:fill="D6E3C6"/>
            <w:noWrap/>
          </w:tcPr>
          <w:p w14:paraId="0A216B60" w14:textId="40FBB2A2"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0</w:t>
            </w:r>
          </w:p>
        </w:tc>
        <w:tc>
          <w:tcPr>
            <w:tcW w:w="731" w:type="dxa"/>
            <w:shd w:val="clear" w:color="auto" w:fill="D6E3C6"/>
            <w:noWrap/>
          </w:tcPr>
          <w:p w14:paraId="3F20E6D1" w14:textId="1300D2A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127885</w:t>
            </w:r>
          </w:p>
        </w:tc>
        <w:tc>
          <w:tcPr>
            <w:tcW w:w="756" w:type="dxa"/>
            <w:gridSpan w:val="2"/>
            <w:shd w:val="clear" w:color="auto" w:fill="D6E3C6"/>
            <w:noWrap/>
          </w:tcPr>
          <w:p w14:paraId="6C43A874" w14:textId="219D6C44"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7AA263BF" w14:textId="2F4F3742"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2025</w:t>
            </w:r>
          </w:p>
        </w:tc>
        <w:tc>
          <w:tcPr>
            <w:tcW w:w="872" w:type="dxa"/>
            <w:gridSpan w:val="2"/>
            <w:shd w:val="clear" w:color="auto" w:fill="D6E3C6"/>
          </w:tcPr>
          <w:p w14:paraId="42D98F19" w14:textId="5B1F7629"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2F537D89"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613FA5F8" w14:textId="0D7C54BB" w:rsidR="00AD589E" w:rsidRDefault="00AD589E" w:rsidP="0073371A">
            <w:pPr>
              <w:pStyle w:val="ListParagraph"/>
              <w:numPr>
                <w:ilvl w:val="0"/>
                <w:numId w:val="29"/>
              </w:numPr>
              <w:spacing w:after="0"/>
              <w:ind w:left="391" w:hanging="357"/>
              <w:rPr>
                <w:rFonts w:ascii="Arial" w:hAnsi="Arial" w:cs="Arial"/>
                <w:color w:val="006100"/>
                <w:sz w:val="16"/>
                <w:szCs w:val="16"/>
              </w:rPr>
            </w:pPr>
            <w:r>
              <w:rPr>
                <w:rFonts w:ascii="Arial" w:hAnsi="Arial" w:cs="Arial"/>
                <w:color w:val="006100"/>
                <w:sz w:val="16"/>
                <w:szCs w:val="16"/>
              </w:rPr>
              <w:t>S</w:t>
            </w:r>
            <w:r w:rsidRPr="004F3D4C">
              <w:rPr>
                <w:rFonts w:ascii="Arial" w:hAnsi="Arial" w:cs="Arial"/>
                <w:color w:val="006100"/>
                <w:sz w:val="16"/>
                <w:szCs w:val="16"/>
              </w:rPr>
              <w:t>preadsheet with the following documentary evidence and elements</w:t>
            </w:r>
            <w:r>
              <w:rPr>
                <w:rFonts w:ascii="Arial" w:hAnsi="Arial" w:cs="Arial"/>
                <w:color w:val="006100"/>
                <w:sz w:val="16"/>
                <w:szCs w:val="16"/>
              </w:rPr>
              <w:t>:</w:t>
            </w:r>
          </w:p>
          <w:p w14:paraId="663DDA06" w14:textId="77777777" w:rsidR="00AD589E" w:rsidRDefault="00AD589E" w:rsidP="0073371A">
            <w:pPr>
              <w:pStyle w:val="ListParagraph"/>
              <w:numPr>
                <w:ilvl w:val="0"/>
                <w:numId w:val="3"/>
              </w:numPr>
              <w:spacing w:after="0"/>
              <w:ind w:left="537" w:hanging="177"/>
              <w:rPr>
                <w:rFonts w:ascii="Arial" w:hAnsi="Arial" w:cs="Arial"/>
                <w:color w:val="006100"/>
                <w:sz w:val="16"/>
                <w:szCs w:val="16"/>
              </w:rPr>
            </w:pPr>
            <w:r w:rsidRPr="004F3D4C">
              <w:rPr>
                <w:rFonts w:ascii="Arial" w:hAnsi="Arial" w:cs="Arial"/>
                <w:color w:val="006100"/>
                <w:sz w:val="16"/>
                <w:szCs w:val="16"/>
              </w:rPr>
              <w:t>the list of finalized projects and primary energy demand in the energy performance certificates before and after the intervention</w:t>
            </w:r>
          </w:p>
          <w:p w14:paraId="5E4B773A" w14:textId="2E0F8FBE" w:rsidR="00AD589E" w:rsidRDefault="00AD589E" w:rsidP="0073371A">
            <w:pPr>
              <w:pStyle w:val="ListParagraph"/>
              <w:numPr>
                <w:ilvl w:val="0"/>
                <w:numId w:val="3"/>
              </w:numPr>
              <w:spacing w:after="0"/>
              <w:ind w:left="537" w:hanging="142"/>
              <w:rPr>
                <w:rFonts w:ascii="Arial" w:hAnsi="Arial" w:cs="Arial"/>
                <w:color w:val="006100"/>
                <w:sz w:val="16"/>
                <w:szCs w:val="16"/>
              </w:rPr>
            </w:pPr>
            <w:r w:rsidRPr="004F3D4C">
              <w:rPr>
                <w:rFonts w:ascii="Arial" w:hAnsi="Arial" w:cs="Arial"/>
                <w:color w:val="006100"/>
                <w:sz w:val="16"/>
                <w:szCs w:val="16"/>
              </w:rPr>
              <w:t>the list of individual renovations completed containing for each of them file code of energy performance certificates before and after the renovation action and the primary energy saving achieved</w:t>
            </w:r>
          </w:p>
          <w:p w14:paraId="79839276" w14:textId="77777777" w:rsidR="00AD589E" w:rsidRDefault="00AD589E" w:rsidP="0073371A">
            <w:pPr>
              <w:pStyle w:val="ListParagraph"/>
              <w:numPr>
                <w:ilvl w:val="0"/>
                <w:numId w:val="3"/>
              </w:numPr>
              <w:spacing w:after="0"/>
              <w:ind w:left="537" w:hanging="142"/>
              <w:rPr>
                <w:rFonts w:ascii="Arial" w:hAnsi="Arial" w:cs="Arial"/>
                <w:color w:val="006100"/>
                <w:sz w:val="16"/>
                <w:szCs w:val="16"/>
              </w:rPr>
            </w:pPr>
            <w:r w:rsidRPr="004F3D4C">
              <w:rPr>
                <w:rFonts w:ascii="Arial" w:hAnsi="Arial" w:cs="Arial"/>
                <w:color w:val="006100"/>
                <w:sz w:val="16"/>
                <w:szCs w:val="16"/>
              </w:rPr>
              <w:t>the list of reports of the completion/acceptance at the end-of-works, or equivalent supporting evidence issued in accordance with the national legislation</w:t>
            </w:r>
          </w:p>
          <w:p w14:paraId="4AFCC938" w14:textId="7FD1DFA6" w:rsidR="00AD589E" w:rsidRPr="009E208B" w:rsidRDefault="00AD589E" w:rsidP="0073371A">
            <w:pPr>
              <w:pStyle w:val="ListParagraph"/>
              <w:numPr>
                <w:ilvl w:val="0"/>
                <w:numId w:val="3"/>
              </w:numPr>
              <w:spacing w:after="0"/>
              <w:ind w:left="537" w:hanging="142"/>
              <w:rPr>
                <w:rFonts w:ascii="Arial" w:hAnsi="Arial" w:cs="Arial"/>
                <w:color w:val="006100"/>
                <w:sz w:val="16"/>
                <w:szCs w:val="16"/>
              </w:rPr>
            </w:pPr>
            <w:r w:rsidRPr="004F3D4C">
              <w:rPr>
                <w:rFonts w:ascii="Arial" w:hAnsi="Arial" w:cs="Arial"/>
                <w:color w:val="006100"/>
                <w:sz w:val="16"/>
                <w:szCs w:val="16"/>
              </w:rPr>
              <w:t>the type of works undertaken (in line with the description of the measure in the CID annex</w:t>
            </w:r>
            <w:r>
              <w:rPr>
                <w:rFonts w:ascii="Arial" w:hAnsi="Arial" w:cs="Arial"/>
                <w:color w:val="006100"/>
                <w:sz w:val="16"/>
                <w:szCs w:val="16"/>
              </w:rPr>
              <w:t>)</w:t>
            </w:r>
          </w:p>
        </w:tc>
        <w:tc>
          <w:tcPr>
            <w:tcW w:w="3402" w:type="dxa"/>
            <w:shd w:val="clear" w:color="auto" w:fill="D6E3C6"/>
          </w:tcPr>
          <w:p w14:paraId="7C80032B" w14:textId="77777777" w:rsidR="00AD589E" w:rsidRPr="004D1B46" w:rsidRDefault="00AD589E" w:rsidP="00400015">
            <w:pPr>
              <w:spacing w:after="0"/>
              <w:rPr>
                <w:rFonts w:ascii="Arial" w:hAnsi="Arial" w:cs="Arial"/>
                <w:color w:val="006100"/>
                <w:sz w:val="16"/>
                <w:szCs w:val="16"/>
              </w:rPr>
            </w:pPr>
            <w:r w:rsidRPr="004D1B46">
              <w:rPr>
                <w:rFonts w:ascii="Arial" w:hAnsi="Arial" w:cs="Arial"/>
                <w:color w:val="006100"/>
                <w:sz w:val="16"/>
                <w:szCs w:val="16"/>
              </w:rPr>
              <w:t xml:space="preserve">Institution/s: Ministry of </w:t>
            </w:r>
            <w:r>
              <w:rPr>
                <w:rFonts w:ascii="Arial" w:hAnsi="Arial" w:cs="Arial"/>
                <w:color w:val="006100"/>
                <w:sz w:val="16"/>
                <w:szCs w:val="16"/>
              </w:rPr>
              <w:t>Energy</w:t>
            </w:r>
          </w:p>
          <w:p w14:paraId="56068DFE" w14:textId="77777777" w:rsidR="00AD589E" w:rsidRPr="004D1B46" w:rsidRDefault="00AD589E" w:rsidP="00400015">
            <w:pPr>
              <w:spacing w:after="0"/>
              <w:rPr>
                <w:rFonts w:ascii="Arial" w:hAnsi="Arial" w:cs="Arial"/>
                <w:color w:val="006100"/>
                <w:sz w:val="16"/>
                <w:szCs w:val="16"/>
              </w:rPr>
            </w:pPr>
          </w:p>
          <w:p w14:paraId="54822F66" w14:textId="0577AAD6" w:rsidR="00AD589E" w:rsidRPr="004D1B46" w:rsidRDefault="00AD589E" w:rsidP="00400015">
            <w:pPr>
              <w:spacing w:after="0"/>
              <w:rPr>
                <w:rFonts w:ascii="Arial" w:hAnsi="Arial" w:cs="Arial"/>
                <w:color w:val="006100"/>
                <w:sz w:val="16"/>
                <w:szCs w:val="16"/>
              </w:rPr>
            </w:pPr>
            <w:r w:rsidRPr="004D1B46">
              <w:rPr>
                <w:rFonts w:ascii="Arial" w:hAnsi="Arial" w:cs="Arial"/>
                <w:color w:val="006100"/>
                <w:sz w:val="16"/>
                <w:szCs w:val="16"/>
              </w:rPr>
              <w:t xml:space="preserve">What: </w:t>
            </w:r>
            <w:r w:rsidRPr="004F3D4C">
              <w:rPr>
                <w:rFonts w:ascii="Arial" w:hAnsi="Arial" w:cs="Arial"/>
                <w:color w:val="006100"/>
                <w:sz w:val="16"/>
                <w:szCs w:val="16"/>
              </w:rPr>
              <w:t>Reduction of energy consumption</w:t>
            </w:r>
          </w:p>
          <w:p w14:paraId="21614C00" w14:textId="77777777" w:rsidR="00AD589E" w:rsidRPr="004D1B46" w:rsidRDefault="00AD589E" w:rsidP="00400015">
            <w:pPr>
              <w:spacing w:after="0"/>
              <w:rPr>
                <w:rFonts w:ascii="Arial" w:hAnsi="Arial" w:cs="Arial"/>
                <w:color w:val="006100"/>
                <w:sz w:val="16"/>
                <w:szCs w:val="16"/>
              </w:rPr>
            </w:pPr>
          </w:p>
          <w:p w14:paraId="2CAD5DB7" w14:textId="059AAED2" w:rsidR="00AD589E" w:rsidRPr="004D1B46" w:rsidRDefault="00AD589E" w:rsidP="00400015">
            <w:pPr>
              <w:spacing w:after="0"/>
              <w:rPr>
                <w:rFonts w:ascii="Arial" w:hAnsi="Arial" w:cs="Arial"/>
                <w:color w:val="006100"/>
                <w:sz w:val="16"/>
                <w:szCs w:val="16"/>
              </w:rPr>
            </w:pPr>
            <w:r w:rsidRPr="004D1B46">
              <w:rPr>
                <w:rFonts w:ascii="Arial" w:hAnsi="Arial" w:cs="Arial"/>
                <w:color w:val="006100"/>
                <w:sz w:val="16"/>
                <w:szCs w:val="16"/>
              </w:rPr>
              <w:t>How</w:t>
            </w:r>
            <w:r>
              <w:rPr>
                <w:rFonts w:ascii="Arial" w:hAnsi="Arial" w:cs="Arial"/>
                <w:color w:val="006100"/>
                <w:sz w:val="16"/>
                <w:szCs w:val="16"/>
              </w:rPr>
              <w:t>: reporting (</w:t>
            </w:r>
            <w:r w:rsidR="00592C35">
              <w:rPr>
                <w:rFonts w:ascii="Arial" w:hAnsi="Arial" w:cs="Arial"/>
                <w:color w:val="006100"/>
                <w:sz w:val="16"/>
                <w:szCs w:val="16"/>
              </w:rPr>
              <w:t>a</w:t>
            </w:r>
            <w:r>
              <w:rPr>
                <w:rFonts w:ascii="Arial" w:hAnsi="Arial" w:cs="Arial"/>
                <w:color w:val="006100"/>
                <w:sz w:val="16"/>
                <w:szCs w:val="16"/>
              </w:rPr>
              <w:t>)</w:t>
            </w:r>
          </w:p>
          <w:p w14:paraId="11F0F46C" w14:textId="77777777" w:rsidR="00AD589E" w:rsidRPr="004D1B46" w:rsidRDefault="00AD589E" w:rsidP="00400015">
            <w:pPr>
              <w:spacing w:after="0"/>
              <w:rPr>
                <w:rFonts w:ascii="Arial" w:hAnsi="Arial" w:cs="Arial"/>
                <w:color w:val="006100"/>
                <w:sz w:val="16"/>
                <w:szCs w:val="16"/>
              </w:rPr>
            </w:pPr>
          </w:p>
          <w:p w14:paraId="63DD9CE3" w14:textId="34134C78" w:rsidR="00AD589E" w:rsidRPr="004D1B46" w:rsidRDefault="00AD589E" w:rsidP="00400015">
            <w:pPr>
              <w:spacing w:after="0"/>
              <w:rPr>
                <w:rFonts w:ascii="Arial" w:hAnsi="Arial" w:cs="Arial"/>
                <w:color w:val="006100"/>
                <w:sz w:val="16"/>
                <w:szCs w:val="16"/>
              </w:rPr>
            </w:pPr>
            <w:r w:rsidRPr="004D1B46">
              <w:rPr>
                <w:rFonts w:ascii="Arial" w:hAnsi="Arial" w:cs="Arial"/>
                <w:color w:val="006100"/>
                <w:sz w:val="16"/>
                <w:szCs w:val="16"/>
              </w:rPr>
              <w:t>Why</w:t>
            </w:r>
            <w:r>
              <w:rPr>
                <w:rFonts w:ascii="Arial" w:hAnsi="Arial" w:cs="Arial"/>
                <w:color w:val="006100"/>
                <w:sz w:val="16"/>
                <w:szCs w:val="16"/>
              </w:rPr>
              <w:t xml:space="preserve">: </w:t>
            </w:r>
            <w:r w:rsidRPr="004F3D4C">
              <w:rPr>
                <w:rFonts w:ascii="Arial" w:hAnsi="Arial" w:cs="Arial"/>
                <w:color w:val="006100"/>
                <w:sz w:val="16"/>
                <w:szCs w:val="16"/>
              </w:rPr>
              <w:t>The target shall be achieved upon reducing energy consumption as an outcome of the renovation of public lighting, which shall be demonstrated through energy performance certificates. The amount of saved energy shall be determined by measuring consumption before and after implementation of an energy efficiency improvement measure.</w:t>
            </w:r>
            <w:r>
              <w:rPr>
                <w:rFonts w:ascii="Arial" w:hAnsi="Arial" w:cs="Arial"/>
                <w:color w:val="006100"/>
                <w:sz w:val="16"/>
                <w:szCs w:val="16"/>
              </w:rPr>
              <w:t xml:space="preserve"> </w:t>
            </w:r>
            <w:r w:rsidRPr="004D1B46">
              <w:rPr>
                <w:rFonts w:ascii="Arial" w:hAnsi="Arial" w:cs="Arial"/>
                <w:color w:val="006100"/>
                <w:sz w:val="16"/>
                <w:szCs w:val="16"/>
              </w:rPr>
              <w:t>[provide references to the above in the summary document]</w:t>
            </w:r>
          </w:p>
          <w:p w14:paraId="47D89F82" w14:textId="77777777" w:rsidR="00AD589E" w:rsidRPr="004D1B46" w:rsidRDefault="00AD589E" w:rsidP="00400015">
            <w:pPr>
              <w:spacing w:after="0"/>
              <w:rPr>
                <w:rFonts w:ascii="Arial" w:hAnsi="Arial" w:cs="Arial"/>
                <w:color w:val="006100"/>
                <w:sz w:val="16"/>
                <w:szCs w:val="16"/>
              </w:rPr>
            </w:pPr>
          </w:p>
          <w:p w14:paraId="7E8E250A" w14:textId="603C9D7B" w:rsidR="00AD589E" w:rsidRPr="004F3D4C" w:rsidRDefault="00AD589E" w:rsidP="00400015">
            <w:pPr>
              <w:spacing w:after="0"/>
              <w:rPr>
                <w:rFonts w:ascii="Arial" w:hAnsi="Arial" w:cs="Arial"/>
                <w:color w:val="006100"/>
                <w:sz w:val="16"/>
                <w:szCs w:val="16"/>
              </w:rPr>
            </w:pPr>
            <w:r w:rsidRPr="004D1B46">
              <w:rPr>
                <w:rFonts w:ascii="Arial" w:hAnsi="Arial" w:cs="Arial"/>
                <w:color w:val="006100"/>
                <w:sz w:val="16"/>
                <w:szCs w:val="16"/>
              </w:rPr>
              <w:t xml:space="preserve">When: </w:t>
            </w:r>
            <w:r w:rsidR="00D35B13">
              <w:rPr>
                <w:rFonts w:ascii="Arial" w:hAnsi="Arial" w:cs="Arial"/>
                <w:color w:val="006100"/>
                <w:sz w:val="16"/>
                <w:szCs w:val="16"/>
              </w:rPr>
              <w:t>after completion of projects</w:t>
            </w:r>
          </w:p>
        </w:tc>
        <w:tc>
          <w:tcPr>
            <w:tcW w:w="2268" w:type="dxa"/>
            <w:shd w:val="clear" w:color="auto" w:fill="D6E3C6"/>
          </w:tcPr>
          <w:p w14:paraId="5917D26A" w14:textId="1CFD9CCE"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52336DD3" w14:textId="70ED6E0A"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 xml:space="preserve">Delays in </w:t>
            </w:r>
            <w:r w:rsidR="00D35B13">
              <w:rPr>
                <w:rFonts w:ascii="Arial" w:hAnsi="Arial" w:cs="Arial"/>
                <w:color w:val="005D00"/>
                <w:sz w:val="16"/>
                <w:szCs w:val="16"/>
              </w:rPr>
              <w:t>the signature of grant agreements and project implementation</w:t>
            </w:r>
          </w:p>
        </w:tc>
        <w:tc>
          <w:tcPr>
            <w:tcW w:w="1090" w:type="dxa"/>
            <w:gridSpan w:val="2"/>
            <w:shd w:val="clear" w:color="auto" w:fill="D6E3C6"/>
          </w:tcPr>
          <w:p w14:paraId="5867C42E" w14:textId="77777777"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Yes, sample-based</w:t>
            </w:r>
          </w:p>
          <w:p w14:paraId="7275386E" w14:textId="77777777" w:rsidR="00AD589E" w:rsidRPr="004F3D4C" w:rsidRDefault="00AD589E" w:rsidP="009807A8">
            <w:pPr>
              <w:spacing w:after="0"/>
              <w:rPr>
                <w:rFonts w:ascii="Arial" w:hAnsi="Arial" w:cs="Arial"/>
                <w:color w:val="006100"/>
                <w:sz w:val="16"/>
                <w:szCs w:val="16"/>
              </w:rPr>
            </w:pPr>
          </w:p>
        </w:tc>
        <w:tc>
          <w:tcPr>
            <w:tcW w:w="992" w:type="dxa"/>
            <w:gridSpan w:val="2"/>
            <w:shd w:val="clear" w:color="auto" w:fill="D6E3C6"/>
          </w:tcPr>
          <w:p w14:paraId="6771920F" w14:textId="6B75CC2F"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Indicator 1</w:t>
            </w:r>
          </w:p>
        </w:tc>
        <w:tc>
          <w:tcPr>
            <w:tcW w:w="1418" w:type="dxa"/>
            <w:gridSpan w:val="2"/>
            <w:shd w:val="clear" w:color="auto" w:fill="D6E3C6"/>
          </w:tcPr>
          <w:p w14:paraId="0496D664" w14:textId="004ABA32" w:rsidR="00AD589E" w:rsidRPr="004F3D4C" w:rsidRDefault="001E43C7" w:rsidP="009807A8">
            <w:pPr>
              <w:spacing w:after="0"/>
              <w:rPr>
                <w:rFonts w:ascii="Arial" w:hAnsi="Arial" w:cs="Arial"/>
                <w:color w:val="005D00"/>
                <w:sz w:val="16"/>
                <w:szCs w:val="16"/>
              </w:rPr>
            </w:pPr>
            <w:r>
              <w:rPr>
                <w:rFonts w:ascii="Arial" w:hAnsi="Arial" w:cs="Arial"/>
                <w:color w:val="005D00"/>
                <w:sz w:val="16"/>
                <w:szCs w:val="16"/>
              </w:rPr>
              <w:t>-</w:t>
            </w:r>
          </w:p>
        </w:tc>
      </w:tr>
      <w:tr w:rsidR="00AD589E" w:rsidRPr="004F3D4C" w14:paraId="277ACCE7" w14:textId="68928DF2" w:rsidTr="00596EEA">
        <w:trPr>
          <w:trHeight w:val="309"/>
        </w:trPr>
        <w:tc>
          <w:tcPr>
            <w:tcW w:w="454" w:type="dxa"/>
            <w:shd w:val="clear" w:color="auto" w:fill="D6E3C6"/>
            <w:noWrap/>
          </w:tcPr>
          <w:p w14:paraId="7BB3F785" w14:textId="43837EB5"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82</w:t>
            </w:r>
          </w:p>
        </w:tc>
        <w:tc>
          <w:tcPr>
            <w:tcW w:w="1215" w:type="dxa"/>
            <w:shd w:val="clear" w:color="auto" w:fill="D6E3C6"/>
            <w:noWrap/>
          </w:tcPr>
          <w:p w14:paraId="422BA087" w14:textId="39974AF4"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C4.R4: Boosting energy efficiency and renewable energy projects through the energy bills</w:t>
            </w:r>
          </w:p>
        </w:tc>
        <w:tc>
          <w:tcPr>
            <w:tcW w:w="956" w:type="dxa"/>
            <w:shd w:val="clear" w:color="auto" w:fill="D6E3C6"/>
            <w:noWrap/>
          </w:tcPr>
          <w:p w14:paraId="1EBA3496" w14:textId="7C2333E6"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6880144A" w14:textId="6D8B06C6"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 xml:space="preserve">Entry into force of the amendments to the Energy Act and secondary legislation to enable energy efficiency improvement and renewable energy projects under Energy </w:t>
            </w:r>
            <w:r w:rsidRPr="004F3D4C">
              <w:rPr>
                <w:rFonts w:ascii="Arial" w:hAnsi="Arial" w:cs="Arial"/>
                <w:color w:val="006100"/>
                <w:sz w:val="16"/>
                <w:szCs w:val="16"/>
              </w:rPr>
              <w:lastRenderedPageBreak/>
              <w:t>Service Companies (ESCO) model.</w:t>
            </w:r>
          </w:p>
        </w:tc>
        <w:tc>
          <w:tcPr>
            <w:tcW w:w="1322" w:type="dxa"/>
            <w:shd w:val="clear" w:color="auto" w:fill="D6E3C6"/>
            <w:noWrap/>
          </w:tcPr>
          <w:p w14:paraId="149744C2" w14:textId="098FBC77"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lastRenderedPageBreak/>
              <w:t>Provision in the law indicating the entry into force of the amendments to the Energy Act and secondary legislation</w:t>
            </w:r>
          </w:p>
        </w:tc>
        <w:tc>
          <w:tcPr>
            <w:tcW w:w="709" w:type="dxa"/>
            <w:shd w:val="clear" w:color="auto" w:fill="D6E3C6"/>
            <w:noWrap/>
          </w:tcPr>
          <w:p w14:paraId="0A359335"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445D0BBB"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4097D69B"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1C10D1B3" w14:textId="6A3DCF4F"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4C498E41" w14:textId="6046FEBC"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3CE31F5E" w14:textId="1320E9CA"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70372520"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3FA8073D" w14:textId="4AEC601C" w:rsidR="00AD589E" w:rsidRPr="001B6175" w:rsidRDefault="00AD589E" w:rsidP="0073371A">
            <w:pPr>
              <w:pStyle w:val="ListParagraph"/>
              <w:numPr>
                <w:ilvl w:val="0"/>
                <w:numId w:val="30"/>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t>Copy of the publication in the State Gazette of the amendment to the Energy Act</w:t>
            </w:r>
            <w:r>
              <w:rPr>
                <w:rFonts w:ascii="Arial" w:hAnsi="Arial" w:cs="Arial"/>
                <w:color w:val="006100"/>
                <w:sz w:val="16"/>
                <w:szCs w:val="16"/>
                <w:lang w:eastAsia="en-GB"/>
              </w:rPr>
              <w:t xml:space="preserve"> and s</w:t>
            </w:r>
            <w:r w:rsidRPr="001B6175">
              <w:rPr>
                <w:rFonts w:ascii="Arial" w:hAnsi="Arial" w:cs="Arial"/>
                <w:color w:val="006100"/>
                <w:sz w:val="16"/>
                <w:szCs w:val="16"/>
                <w:lang w:eastAsia="en-GB"/>
              </w:rPr>
              <w:t xml:space="preserve">econdary legislation that is critical for achieving the </w:t>
            </w:r>
            <w:r w:rsidRPr="001B6175">
              <w:rPr>
                <w:rFonts w:ascii="Arial" w:hAnsi="Arial" w:cs="Arial"/>
                <w:color w:val="006100"/>
                <w:sz w:val="16"/>
                <w:szCs w:val="16"/>
                <w:lang w:eastAsia="en-GB"/>
              </w:rPr>
              <w:lastRenderedPageBreak/>
              <w:t>objectives described in the milestone and in the CID annex</w:t>
            </w:r>
          </w:p>
          <w:p w14:paraId="18F82CE3" w14:textId="5187C091" w:rsidR="00AD589E" w:rsidRPr="001D23ED" w:rsidRDefault="00AD589E" w:rsidP="0073371A">
            <w:pPr>
              <w:pStyle w:val="ListParagraph"/>
              <w:numPr>
                <w:ilvl w:val="0"/>
                <w:numId w:val="30"/>
              </w:numPr>
              <w:spacing w:after="0"/>
              <w:ind w:left="391" w:hanging="357"/>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eference to the relevant provisions indicating the entry into force, accompanied by a document duly justifying how the milestone (including all the constitutive elements) was satisfactorily fulfilled</w:t>
            </w:r>
          </w:p>
        </w:tc>
        <w:tc>
          <w:tcPr>
            <w:tcW w:w="3402" w:type="dxa"/>
            <w:shd w:val="clear" w:color="auto" w:fill="D6E3C6"/>
          </w:tcPr>
          <w:p w14:paraId="5BC0DCC8" w14:textId="77777777" w:rsidR="00AD589E" w:rsidRPr="008A574B" w:rsidRDefault="00AD589E" w:rsidP="008A574B">
            <w:pPr>
              <w:spacing w:after="0"/>
              <w:rPr>
                <w:rFonts w:ascii="Arial" w:hAnsi="Arial" w:cs="Arial"/>
                <w:color w:val="006100"/>
                <w:sz w:val="16"/>
                <w:szCs w:val="16"/>
              </w:rPr>
            </w:pPr>
            <w:r w:rsidRPr="008A574B">
              <w:rPr>
                <w:rFonts w:ascii="Arial" w:hAnsi="Arial" w:cs="Arial"/>
                <w:color w:val="006100"/>
                <w:sz w:val="16"/>
                <w:szCs w:val="16"/>
              </w:rPr>
              <w:lastRenderedPageBreak/>
              <w:t>Institution/s: Ministry of Energy</w:t>
            </w:r>
          </w:p>
          <w:p w14:paraId="10E2D2F4" w14:textId="77777777" w:rsidR="00AD589E" w:rsidRPr="008A574B" w:rsidRDefault="00AD589E" w:rsidP="008A574B">
            <w:pPr>
              <w:spacing w:after="0"/>
              <w:rPr>
                <w:rFonts w:ascii="Arial" w:hAnsi="Arial" w:cs="Arial"/>
                <w:color w:val="006100"/>
                <w:sz w:val="16"/>
                <w:szCs w:val="16"/>
              </w:rPr>
            </w:pPr>
          </w:p>
          <w:p w14:paraId="68C39C80" w14:textId="18244F2C" w:rsidR="00AD589E" w:rsidRPr="008A574B" w:rsidRDefault="00AD589E" w:rsidP="008A574B">
            <w:pPr>
              <w:spacing w:after="0"/>
              <w:rPr>
                <w:rFonts w:ascii="Arial" w:hAnsi="Arial" w:cs="Arial"/>
                <w:color w:val="006100"/>
                <w:sz w:val="16"/>
                <w:szCs w:val="16"/>
              </w:rPr>
            </w:pPr>
            <w:r w:rsidRPr="008A574B">
              <w:rPr>
                <w:rFonts w:ascii="Arial" w:hAnsi="Arial" w:cs="Arial"/>
                <w:color w:val="006100"/>
                <w:sz w:val="16"/>
                <w:szCs w:val="16"/>
              </w:rPr>
              <w:t>What: Entry into force of the amendments to the Energy Act and secondary legislation to enable energy efficiency improvement and renewable energy projects under Energy Service Companies (ESCO) model.</w:t>
            </w:r>
          </w:p>
          <w:p w14:paraId="3357CDBE" w14:textId="77777777" w:rsidR="00AD589E" w:rsidRPr="008A574B" w:rsidRDefault="00AD589E" w:rsidP="008A574B">
            <w:pPr>
              <w:spacing w:after="0"/>
              <w:rPr>
                <w:rFonts w:ascii="Arial" w:hAnsi="Arial" w:cs="Arial"/>
                <w:color w:val="006100"/>
                <w:sz w:val="16"/>
                <w:szCs w:val="16"/>
              </w:rPr>
            </w:pPr>
          </w:p>
          <w:p w14:paraId="4A7CB36F" w14:textId="2CCD4CA0" w:rsidR="00AD589E" w:rsidRPr="008A574B" w:rsidRDefault="00AD589E" w:rsidP="008A574B">
            <w:pPr>
              <w:spacing w:after="0"/>
              <w:rPr>
                <w:rFonts w:ascii="Arial" w:hAnsi="Arial" w:cs="Arial"/>
                <w:color w:val="006100"/>
                <w:sz w:val="16"/>
                <w:szCs w:val="16"/>
              </w:rPr>
            </w:pPr>
            <w:r w:rsidRPr="008A574B">
              <w:rPr>
                <w:rFonts w:ascii="Arial" w:hAnsi="Arial" w:cs="Arial"/>
                <w:color w:val="006100"/>
                <w:sz w:val="16"/>
                <w:szCs w:val="16"/>
              </w:rPr>
              <w:lastRenderedPageBreak/>
              <w:t>How:</w:t>
            </w:r>
            <w:r>
              <w:rPr>
                <w:rFonts w:ascii="Arial" w:hAnsi="Arial" w:cs="Arial"/>
                <w:color w:val="006100"/>
                <w:sz w:val="16"/>
                <w:szCs w:val="16"/>
              </w:rPr>
              <w:t xml:space="preserve"> entry into force (evidence by a) and</w:t>
            </w:r>
            <w:r w:rsidRPr="008A574B">
              <w:rPr>
                <w:rFonts w:ascii="Arial" w:hAnsi="Arial" w:cs="Arial"/>
                <w:color w:val="006100"/>
                <w:sz w:val="16"/>
                <w:szCs w:val="16"/>
              </w:rPr>
              <w:t xml:space="preserve"> reporting (</w:t>
            </w:r>
            <w:r>
              <w:rPr>
                <w:rFonts w:ascii="Arial" w:hAnsi="Arial" w:cs="Arial"/>
                <w:color w:val="006100"/>
                <w:sz w:val="16"/>
                <w:szCs w:val="16"/>
              </w:rPr>
              <w:t>b</w:t>
            </w:r>
            <w:r w:rsidRPr="008A574B">
              <w:rPr>
                <w:rFonts w:ascii="Arial" w:hAnsi="Arial" w:cs="Arial"/>
                <w:color w:val="006100"/>
                <w:sz w:val="16"/>
                <w:szCs w:val="16"/>
              </w:rPr>
              <w:t>)</w:t>
            </w:r>
          </w:p>
          <w:p w14:paraId="2CFC991E" w14:textId="77777777" w:rsidR="00AD589E" w:rsidRPr="008A574B" w:rsidRDefault="00AD589E" w:rsidP="008A574B">
            <w:pPr>
              <w:spacing w:after="0"/>
              <w:rPr>
                <w:rFonts w:ascii="Arial" w:hAnsi="Arial" w:cs="Arial"/>
                <w:color w:val="006100"/>
                <w:sz w:val="16"/>
                <w:szCs w:val="16"/>
              </w:rPr>
            </w:pPr>
          </w:p>
          <w:p w14:paraId="718AEE09" w14:textId="28CC4BF6" w:rsidR="00AD589E" w:rsidRPr="008A574B" w:rsidRDefault="00AD589E" w:rsidP="008A574B">
            <w:pPr>
              <w:spacing w:after="0"/>
              <w:rPr>
                <w:rFonts w:ascii="Arial" w:hAnsi="Arial" w:cs="Arial"/>
                <w:color w:val="006100"/>
                <w:sz w:val="16"/>
                <w:szCs w:val="16"/>
              </w:rPr>
            </w:pPr>
            <w:r w:rsidRPr="008A574B">
              <w:rPr>
                <w:rFonts w:ascii="Arial" w:hAnsi="Arial" w:cs="Arial"/>
                <w:color w:val="006100"/>
                <w:sz w:val="16"/>
                <w:szCs w:val="16"/>
              </w:rPr>
              <w:t>Why: Entry into force of the amendments to the Energy Act and secondary legislation to enable а method of financing energy efficiency improvements using the utility bill as the repayment vehicle. The mechanism shall not allow financing of gas boilers as an option for replacement of oil heating systems. [provide references to the above in the summary document]</w:t>
            </w:r>
          </w:p>
          <w:p w14:paraId="79DABCD0" w14:textId="77777777" w:rsidR="00AD589E" w:rsidRPr="008A574B" w:rsidRDefault="00AD589E" w:rsidP="008A574B">
            <w:pPr>
              <w:spacing w:after="0"/>
              <w:rPr>
                <w:rFonts w:ascii="Arial" w:hAnsi="Arial" w:cs="Arial"/>
                <w:color w:val="006100"/>
                <w:sz w:val="16"/>
                <w:szCs w:val="16"/>
              </w:rPr>
            </w:pPr>
          </w:p>
          <w:p w14:paraId="60F8F138" w14:textId="1B04E74A" w:rsidR="00AD589E" w:rsidRPr="004F3D4C" w:rsidRDefault="00AD589E" w:rsidP="008A574B">
            <w:pPr>
              <w:spacing w:after="0"/>
              <w:rPr>
                <w:rFonts w:ascii="Arial" w:hAnsi="Arial" w:cs="Arial"/>
                <w:color w:val="006100"/>
                <w:sz w:val="16"/>
                <w:szCs w:val="16"/>
              </w:rPr>
            </w:pPr>
            <w:r w:rsidRPr="008A574B">
              <w:rPr>
                <w:rFonts w:ascii="Arial" w:hAnsi="Arial" w:cs="Arial"/>
                <w:color w:val="006100"/>
                <w:sz w:val="16"/>
                <w:szCs w:val="16"/>
              </w:rPr>
              <w:t xml:space="preserve">When: </w:t>
            </w:r>
            <w:r>
              <w:rPr>
                <w:rFonts w:ascii="Arial" w:hAnsi="Arial" w:cs="Arial"/>
                <w:color w:val="006100"/>
                <w:sz w:val="16"/>
                <w:szCs w:val="16"/>
              </w:rPr>
              <w:t xml:space="preserve">specify the dates of </w:t>
            </w:r>
            <w:r w:rsidR="002243B5">
              <w:rPr>
                <w:rFonts w:ascii="Arial" w:hAnsi="Arial" w:cs="Arial"/>
                <w:color w:val="006100"/>
                <w:sz w:val="16"/>
                <w:szCs w:val="16"/>
              </w:rPr>
              <w:t xml:space="preserve">development and </w:t>
            </w:r>
            <w:r>
              <w:rPr>
                <w:rFonts w:ascii="Arial" w:hAnsi="Arial" w:cs="Arial"/>
                <w:color w:val="006100"/>
                <w:sz w:val="16"/>
                <w:szCs w:val="16"/>
              </w:rPr>
              <w:t>entry into force</w:t>
            </w:r>
          </w:p>
        </w:tc>
        <w:tc>
          <w:tcPr>
            <w:tcW w:w="2268" w:type="dxa"/>
            <w:shd w:val="clear" w:color="auto" w:fill="D6E3C6"/>
          </w:tcPr>
          <w:p w14:paraId="368E8C97" w14:textId="77777777" w:rsidR="00AD589E" w:rsidRPr="00B2776D" w:rsidRDefault="00AD589E" w:rsidP="00B2776D">
            <w:pPr>
              <w:spacing w:after="0"/>
              <w:rPr>
                <w:rFonts w:ascii="Arial" w:hAnsi="Arial" w:cs="Arial"/>
                <w:color w:val="006100"/>
                <w:sz w:val="16"/>
                <w:szCs w:val="16"/>
              </w:rPr>
            </w:pPr>
            <w:r w:rsidRPr="00B2776D">
              <w:rPr>
                <w:rFonts w:ascii="Arial" w:hAnsi="Arial" w:cs="Arial"/>
                <w:color w:val="006100"/>
                <w:sz w:val="16"/>
                <w:szCs w:val="16"/>
              </w:rPr>
              <w:lastRenderedPageBreak/>
              <w:t xml:space="preserve">The objective of the reform is to broaden the scope for implementing measures and projects to improve energy efficiency and the use of renewable energy in a context of limited financial resources. </w:t>
            </w:r>
          </w:p>
          <w:p w14:paraId="15B45220" w14:textId="77777777" w:rsidR="00AD589E" w:rsidRPr="00B2776D" w:rsidRDefault="00AD589E" w:rsidP="00B2776D">
            <w:pPr>
              <w:spacing w:after="0"/>
              <w:rPr>
                <w:rFonts w:ascii="Arial" w:hAnsi="Arial" w:cs="Arial"/>
                <w:color w:val="006100"/>
                <w:sz w:val="16"/>
                <w:szCs w:val="16"/>
              </w:rPr>
            </w:pPr>
          </w:p>
          <w:p w14:paraId="187E2E41" w14:textId="41BF643A" w:rsidR="00AD589E" w:rsidRPr="004F3D4C" w:rsidRDefault="00AD589E" w:rsidP="00B2776D">
            <w:pPr>
              <w:spacing w:after="0"/>
              <w:rPr>
                <w:rFonts w:ascii="Arial" w:hAnsi="Arial" w:cs="Arial"/>
                <w:color w:val="006100"/>
                <w:sz w:val="16"/>
                <w:szCs w:val="16"/>
              </w:rPr>
            </w:pPr>
            <w:r w:rsidRPr="00B2776D">
              <w:rPr>
                <w:rFonts w:ascii="Arial" w:hAnsi="Arial" w:cs="Arial"/>
                <w:color w:val="006100"/>
                <w:sz w:val="16"/>
                <w:szCs w:val="16"/>
              </w:rPr>
              <w:lastRenderedPageBreak/>
              <w:t>The measure consists of amendments to the Energy Act and secondary legislation to enable the use of Energy Service Companies (ESCO) models for covering the financing for energy efficiency renovations and renewable energy installations through the energy bills.</w:t>
            </w:r>
          </w:p>
        </w:tc>
        <w:tc>
          <w:tcPr>
            <w:tcW w:w="1036" w:type="dxa"/>
            <w:gridSpan w:val="2"/>
            <w:shd w:val="clear" w:color="auto" w:fill="D6E3C6"/>
          </w:tcPr>
          <w:p w14:paraId="04B5EED8" w14:textId="1712CEC9"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lastRenderedPageBreak/>
              <w:t>-</w:t>
            </w:r>
          </w:p>
        </w:tc>
        <w:tc>
          <w:tcPr>
            <w:tcW w:w="1090" w:type="dxa"/>
            <w:gridSpan w:val="2"/>
            <w:shd w:val="clear" w:color="auto" w:fill="D6E3C6"/>
          </w:tcPr>
          <w:p w14:paraId="5445C764" w14:textId="7F8DF9D2" w:rsidR="00AD589E" w:rsidRPr="004F3D4C" w:rsidRDefault="00AD589E" w:rsidP="009807A8">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400940FD" w14:textId="3416B1EA"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595C79F8" w14:textId="0936F105" w:rsidR="00AD589E" w:rsidRPr="004F3D4C" w:rsidRDefault="00323978" w:rsidP="009807A8">
            <w:pPr>
              <w:spacing w:after="0"/>
              <w:rPr>
                <w:rFonts w:ascii="Arial" w:hAnsi="Arial" w:cs="Arial"/>
                <w:color w:val="006100"/>
                <w:sz w:val="16"/>
                <w:szCs w:val="16"/>
              </w:rPr>
            </w:pPr>
            <w:r>
              <w:rPr>
                <w:rFonts w:ascii="Arial" w:hAnsi="Arial" w:cs="Arial"/>
                <w:color w:val="006100"/>
                <w:sz w:val="16"/>
                <w:szCs w:val="16"/>
              </w:rPr>
              <w:t>-</w:t>
            </w:r>
          </w:p>
        </w:tc>
      </w:tr>
      <w:tr w:rsidR="004A3F9B" w:rsidRPr="004A3F9B" w14:paraId="0E31F320" w14:textId="53EFF4AB" w:rsidTr="00596EEA">
        <w:trPr>
          <w:trHeight w:val="309"/>
        </w:trPr>
        <w:tc>
          <w:tcPr>
            <w:tcW w:w="454" w:type="dxa"/>
            <w:shd w:val="clear" w:color="auto" w:fill="D6E3C6"/>
            <w:noWrap/>
          </w:tcPr>
          <w:p w14:paraId="2D1380E0" w14:textId="6E82C3B7"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83</w:t>
            </w:r>
          </w:p>
        </w:tc>
        <w:tc>
          <w:tcPr>
            <w:tcW w:w="1215" w:type="dxa"/>
            <w:shd w:val="clear" w:color="auto" w:fill="D6E3C6"/>
            <w:noWrap/>
          </w:tcPr>
          <w:p w14:paraId="6043EBBD" w14:textId="494736E6"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C4.R5: One Stop Shop for renovations</w:t>
            </w:r>
          </w:p>
        </w:tc>
        <w:tc>
          <w:tcPr>
            <w:tcW w:w="956" w:type="dxa"/>
            <w:shd w:val="clear" w:color="auto" w:fill="D6E3C6"/>
            <w:noWrap/>
          </w:tcPr>
          <w:p w14:paraId="28B78DC0" w14:textId="4C11FB4F"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Milestone</w:t>
            </w:r>
          </w:p>
        </w:tc>
        <w:tc>
          <w:tcPr>
            <w:tcW w:w="1691" w:type="dxa"/>
            <w:shd w:val="clear" w:color="auto" w:fill="D6E3C6"/>
            <w:noWrap/>
          </w:tcPr>
          <w:p w14:paraId="24C5BB4B" w14:textId="68E2D2CC" w:rsidR="00AD589E" w:rsidRPr="004A3F9B" w:rsidRDefault="00AD589E" w:rsidP="009807A8">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Establishment of pilot one-stop-shops for energy renovation</w:t>
            </w:r>
          </w:p>
        </w:tc>
        <w:tc>
          <w:tcPr>
            <w:tcW w:w="1322" w:type="dxa"/>
            <w:shd w:val="clear" w:color="auto" w:fill="D6E3C6"/>
            <w:noWrap/>
          </w:tcPr>
          <w:p w14:paraId="50AEFD18" w14:textId="60BDD8CA" w:rsidR="00AD589E" w:rsidRPr="004A3F9B" w:rsidRDefault="00AD589E" w:rsidP="009807A8">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One-stop-shop operational</w:t>
            </w:r>
          </w:p>
        </w:tc>
        <w:tc>
          <w:tcPr>
            <w:tcW w:w="709" w:type="dxa"/>
            <w:shd w:val="clear" w:color="auto" w:fill="D6E3C6"/>
            <w:noWrap/>
          </w:tcPr>
          <w:p w14:paraId="64305B2E" w14:textId="77777777" w:rsidR="00AD589E" w:rsidRPr="004A3F9B" w:rsidRDefault="00AD589E" w:rsidP="009807A8">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2E26EF45" w14:textId="77777777" w:rsidR="00AD589E" w:rsidRPr="004A3F9B" w:rsidRDefault="00AD589E" w:rsidP="009807A8">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26B5F1B3" w14:textId="77777777" w:rsidR="00AD589E" w:rsidRPr="004A3F9B" w:rsidRDefault="00AD589E" w:rsidP="009807A8">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2D062C61" w14:textId="6E32A0CF"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Q4</w:t>
            </w:r>
          </w:p>
        </w:tc>
        <w:tc>
          <w:tcPr>
            <w:tcW w:w="520" w:type="dxa"/>
            <w:shd w:val="clear" w:color="auto" w:fill="D6E3C6"/>
            <w:noWrap/>
          </w:tcPr>
          <w:p w14:paraId="60E16299" w14:textId="275026D4"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2022</w:t>
            </w:r>
          </w:p>
        </w:tc>
        <w:tc>
          <w:tcPr>
            <w:tcW w:w="872" w:type="dxa"/>
            <w:gridSpan w:val="2"/>
            <w:shd w:val="clear" w:color="auto" w:fill="D6E3C6"/>
          </w:tcPr>
          <w:p w14:paraId="75CFD3BF" w14:textId="77777777" w:rsidR="00AD589E" w:rsidRPr="004A3F9B" w:rsidRDefault="00AD589E" w:rsidP="009807A8">
            <w:pPr>
              <w:spacing w:after="0"/>
              <w:rPr>
                <w:rFonts w:ascii="Arial" w:eastAsia="Times New Roman" w:hAnsi="Arial" w:cs="Arial"/>
                <w:color w:val="006100"/>
                <w:sz w:val="16"/>
                <w:szCs w:val="16"/>
                <w:lang w:eastAsia="en-GB"/>
              </w:rPr>
            </w:pPr>
            <w:r w:rsidRPr="004A3F9B">
              <w:rPr>
                <w:rFonts w:ascii="Arial" w:eastAsia="Times New Roman" w:hAnsi="Arial" w:cs="Arial"/>
                <w:color w:val="006100"/>
                <w:sz w:val="16"/>
                <w:szCs w:val="16"/>
                <w:lang w:eastAsia="en-GB"/>
              </w:rPr>
              <w:t>Ministry of Regional Development and Public Works;</w:t>
            </w:r>
          </w:p>
          <w:p w14:paraId="40FB453E" w14:textId="77777777" w:rsidR="00AD589E" w:rsidRPr="004A3F9B" w:rsidRDefault="00AD589E" w:rsidP="009807A8">
            <w:pPr>
              <w:spacing w:after="0"/>
              <w:rPr>
                <w:rFonts w:ascii="Arial" w:eastAsia="Times New Roman" w:hAnsi="Arial" w:cs="Arial"/>
                <w:color w:val="006100"/>
                <w:sz w:val="16"/>
                <w:szCs w:val="16"/>
                <w:lang w:eastAsia="en-GB"/>
              </w:rPr>
            </w:pPr>
            <w:r w:rsidRPr="004A3F9B">
              <w:rPr>
                <w:rFonts w:ascii="Arial" w:eastAsia="Times New Roman" w:hAnsi="Arial" w:cs="Arial"/>
                <w:color w:val="006100"/>
                <w:sz w:val="16"/>
                <w:szCs w:val="16"/>
                <w:lang w:eastAsia="en-GB"/>
              </w:rPr>
              <w:t>Ministry of Energy;</w:t>
            </w:r>
          </w:p>
          <w:p w14:paraId="41906DDC" w14:textId="029C22EF" w:rsidR="00AD589E" w:rsidRPr="004A3F9B" w:rsidRDefault="00AD589E" w:rsidP="009807A8">
            <w:pPr>
              <w:spacing w:after="0"/>
              <w:rPr>
                <w:rFonts w:ascii="Arial" w:eastAsia="Times New Roman" w:hAnsi="Arial" w:cs="Arial"/>
                <w:color w:val="006100"/>
                <w:sz w:val="16"/>
                <w:szCs w:val="16"/>
                <w:lang w:eastAsia="en-GB"/>
              </w:rPr>
            </w:pPr>
            <w:r w:rsidRPr="004A3F9B">
              <w:rPr>
                <w:rFonts w:ascii="Arial" w:eastAsia="Times New Roman" w:hAnsi="Arial" w:cs="Arial"/>
                <w:color w:val="006100"/>
                <w:sz w:val="16"/>
                <w:szCs w:val="16"/>
                <w:lang w:eastAsia="en-GB"/>
              </w:rPr>
              <w:t>Sustainable Energy Development Agency</w:t>
            </w:r>
          </w:p>
        </w:tc>
        <w:tc>
          <w:tcPr>
            <w:tcW w:w="851" w:type="dxa"/>
            <w:gridSpan w:val="2"/>
            <w:shd w:val="clear" w:color="auto" w:fill="D6E3C6"/>
          </w:tcPr>
          <w:p w14:paraId="5CD36870" w14:textId="77777777" w:rsidR="00AD589E" w:rsidRPr="004A3F9B"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636EFD93" w14:textId="30FE6F41" w:rsidR="00AD589E" w:rsidRPr="004A3F9B" w:rsidRDefault="00AD589E" w:rsidP="0073371A">
            <w:pPr>
              <w:pStyle w:val="ListParagraph"/>
              <w:numPr>
                <w:ilvl w:val="0"/>
                <w:numId w:val="31"/>
              </w:numPr>
              <w:spacing w:after="0"/>
              <w:ind w:left="391" w:hanging="357"/>
              <w:rPr>
                <w:rFonts w:ascii="Arial" w:hAnsi="Arial" w:cs="Arial"/>
                <w:color w:val="006100"/>
                <w:sz w:val="16"/>
                <w:szCs w:val="16"/>
              </w:rPr>
            </w:pPr>
            <w:r w:rsidRPr="004A3F9B">
              <w:rPr>
                <w:rFonts w:ascii="Arial" w:hAnsi="Arial" w:cs="Arial"/>
                <w:color w:val="006100"/>
                <w:sz w:val="16"/>
                <w:szCs w:val="16"/>
                <w:lang w:eastAsia="en-GB"/>
              </w:rPr>
              <w:t>List of the established one-stop-shops, their location and services offered</w:t>
            </w:r>
          </w:p>
        </w:tc>
        <w:tc>
          <w:tcPr>
            <w:tcW w:w="3402" w:type="dxa"/>
            <w:shd w:val="clear" w:color="auto" w:fill="D6E3C6"/>
          </w:tcPr>
          <w:p w14:paraId="385AD31C" w14:textId="25A1171E" w:rsidR="00AD589E" w:rsidRPr="004A3F9B" w:rsidRDefault="00AD589E" w:rsidP="00AE0E88">
            <w:pPr>
              <w:spacing w:after="0"/>
              <w:rPr>
                <w:rFonts w:ascii="Arial" w:hAnsi="Arial" w:cs="Arial"/>
                <w:color w:val="006100"/>
                <w:sz w:val="16"/>
                <w:szCs w:val="16"/>
              </w:rPr>
            </w:pPr>
            <w:r w:rsidRPr="004A3F9B">
              <w:rPr>
                <w:rFonts w:ascii="Arial" w:hAnsi="Arial" w:cs="Arial"/>
                <w:color w:val="006100"/>
                <w:sz w:val="16"/>
                <w:szCs w:val="16"/>
              </w:rPr>
              <w:t>Institution/s: Ministry of Regional Development and Public Works,</w:t>
            </w:r>
          </w:p>
          <w:p w14:paraId="0F619B30" w14:textId="259A6FBB" w:rsidR="00AD589E" w:rsidRPr="004A3F9B" w:rsidRDefault="00AD589E" w:rsidP="00AE0E88">
            <w:pPr>
              <w:spacing w:after="0"/>
              <w:rPr>
                <w:rFonts w:ascii="Arial" w:hAnsi="Arial" w:cs="Arial"/>
                <w:color w:val="006100"/>
                <w:sz w:val="16"/>
                <w:szCs w:val="16"/>
              </w:rPr>
            </w:pPr>
            <w:r w:rsidRPr="004A3F9B">
              <w:rPr>
                <w:rFonts w:ascii="Arial" w:hAnsi="Arial" w:cs="Arial"/>
                <w:color w:val="006100"/>
                <w:sz w:val="16"/>
                <w:szCs w:val="16"/>
              </w:rPr>
              <w:t>Ministry of Energy,</w:t>
            </w:r>
          </w:p>
          <w:p w14:paraId="3B3EAAD4" w14:textId="2E8B34E4" w:rsidR="00AD589E" w:rsidRPr="004A3F9B" w:rsidRDefault="00AD589E" w:rsidP="00AE0E88">
            <w:pPr>
              <w:spacing w:after="0"/>
              <w:rPr>
                <w:rFonts w:ascii="Arial" w:hAnsi="Arial" w:cs="Arial"/>
                <w:color w:val="006100"/>
                <w:sz w:val="16"/>
                <w:szCs w:val="16"/>
              </w:rPr>
            </w:pPr>
            <w:r w:rsidRPr="004A3F9B">
              <w:rPr>
                <w:rFonts w:ascii="Arial" w:hAnsi="Arial" w:cs="Arial"/>
                <w:color w:val="006100"/>
                <w:sz w:val="16"/>
                <w:szCs w:val="16"/>
              </w:rPr>
              <w:t>Sustainable Energy Development Agency</w:t>
            </w:r>
          </w:p>
          <w:p w14:paraId="6340BF65" w14:textId="77777777" w:rsidR="00AD589E" w:rsidRPr="004A3F9B" w:rsidRDefault="00AD589E" w:rsidP="00AE0E88">
            <w:pPr>
              <w:spacing w:after="0"/>
              <w:rPr>
                <w:rFonts w:ascii="Arial" w:hAnsi="Arial" w:cs="Arial"/>
                <w:color w:val="006100"/>
                <w:sz w:val="16"/>
                <w:szCs w:val="16"/>
              </w:rPr>
            </w:pPr>
          </w:p>
          <w:p w14:paraId="395CBE62" w14:textId="5E96DFA9" w:rsidR="00AD589E" w:rsidRPr="004A3F9B" w:rsidRDefault="00AD589E" w:rsidP="00AE0E88">
            <w:pPr>
              <w:spacing w:after="0"/>
              <w:rPr>
                <w:rFonts w:ascii="Arial" w:hAnsi="Arial" w:cs="Arial"/>
                <w:color w:val="006100"/>
                <w:sz w:val="16"/>
                <w:szCs w:val="16"/>
              </w:rPr>
            </w:pPr>
            <w:r w:rsidRPr="004A3F9B">
              <w:rPr>
                <w:rFonts w:ascii="Arial" w:hAnsi="Arial" w:cs="Arial"/>
                <w:color w:val="006100"/>
                <w:sz w:val="16"/>
                <w:szCs w:val="16"/>
              </w:rPr>
              <w:t>What: Establishment of pilot one-stop-shops for energy renovation</w:t>
            </w:r>
          </w:p>
          <w:p w14:paraId="286337F5" w14:textId="77777777" w:rsidR="00AD589E" w:rsidRPr="004A3F9B" w:rsidRDefault="00AD589E" w:rsidP="00AE0E88">
            <w:pPr>
              <w:spacing w:after="0"/>
              <w:rPr>
                <w:rFonts w:ascii="Arial" w:hAnsi="Arial" w:cs="Arial"/>
                <w:color w:val="006100"/>
                <w:sz w:val="16"/>
                <w:szCs w:val="16"/>
              </w:rPr>
            </w:pPr>
          </w:p>
          <w:p w14:paraId="36008540" w14:textId="5428B527" w:rsidR="00AD589E" w:rsidRPr="004A3F9B" w:rsidRDefault="00AD589E" w:rsidP="00AE0E88">
            <w:pPr>
              <w:spacing w:after="0"/>
              <w:rPr>
                <w:rFonts w:ascii="Arial" w:hAnsi="Arial" w:cs="Arial"/>
                <w:color w:val="006100"/>
                <w:sz w:val="16"/>
                <w:szCs w:val="16"/>
              </w:rPr>
            </w:pPr>
            <w:r w:rsidRPr="004A3F9B">
              <w:rPr>
                <w:rFonts w:ascii="Arial" w:hAnsi="Arial" w:cs="Arial"/>
                <w:color w:val="006100"/>
                <w:sz w:val="16"/>
                <w:szCs w:val="16"/>
              </w:rPr>
              <w:t>How: reporting (a)</w:t>
            </w:r>
          </w:p>
          <w:p w14:paraId="4D04C54F" w14:textId="77777777" w:rsidR="00AD589E" w:rsidRPr="004A3F9B" w:rsidRDefault="00AD589E" w:rsidP="00AE0E88">
            <w:pPr>
              <w:spacing w:after="0"/>
              <w:rPr>
                <w:rFonts w:ascii="Arial" w:hAnsi="Arial" w:cs="Arial"/>
                <w:color w:val="006100"/>
                <w:sz w:val="16"/>
                <w:szCs w:val="16"/>
              </w:rPr>
            </w:pPr>
          </w:p>
          <w:p w14:paraId="4B125877" w14:textId="0F23BA46" w:rsidR="00AD589E" w:rsidRPr="004A3F9B" w:rsidRDefault="00AD589E" w:rsidP="00AE0E88">
            <w:pPr>
              <w:spacing w:after="0"/>
              <w:rPr>
                <w:rFonts w:ascii="Arial" w:hAnsi="Arial" w:cs="Arial"/>
                <w:color w:val="006100"/>
                <w:sz w:val="16"/>
                <w:szCs w:val="16"/>
              </w:rPr>
            </w:pPr>
            <w:r w:rsidRPr="004A3F9B">
              <w:rPr>
                <w:rFonts w:ascii="Arial" w:hAnsi="Arial" w:cs="Arial"/>
                <w:color w:val="006100"/>
                <w:sz w:val="16"/>
                <w:szCs w:val="16"/>
              </w:rPr>
              <w:t>Why: Six physical pilot one-stop shops shall be operational on a regional basis to provide advice and reduce the administrative burden for both, households and businesses. The one-stop-shop shall integrate all the necessary information and services needed for energy renovation, including on the available EU sources of financial support. [provide references to the above in the summary document]</w:t>
            </w:r>
          </w:p>
          <w:p w14:paraId="19D8B53C" w14:textId="77777777" w:rsidR="00AD589E" w:rsidRPr="004A3F9B" w:rsidRDefault="00AD589E" w:rsidP="00AE0E88">
            <w:pPr>
              <w:spacing w:after="0"/>
              <w:rPr>
                <w:rFonts w:ascii="Arial" w:hAnsi="Arial" w:cs="Arial"/>
                <w:color w:val="006100"/>
                <w:sz w:val="16"/>
                <w:szCs w:val="16"/>
              </w:rPr>
            </w:pPr>
          </w:p>
          <w:p w14:paraId="215CF628" w14:textId="55339D19" w:rsidR="00AD589E" w:rsidRPr="004A3F9B" w:rsidRDefault="00AD589E" w:rsidP="00AE0E88">
            <w:pPr>
              <w:spacing w:after="0"/>
              <w:rPr>
                <w:rFonts w:ascii="Arial" w:hAnsi="Arial" w:cs="Arial"/>
                <w:color w:val="006100"/>
                <w:sz w:val="16"/>
                <w:szCs w:val="16"/>
              </w:rPr>
            </w:pPr>
            <w:r w:rsidRPr="004A3F9B">
              <w:rPr>
                <w:rFonts w:ascii="Arial" w:hAnsi="Arial" w:cs="Arial"/>
                <w:color w:val="006100"/>
                <w:sz w:val="16"/>
                <w:szCs w:val="16"/>
              </w:rPr>
              <w:t>When: specify the dates of establishment</w:t>
            </w:r>
            <w:r w:rsidR="004D2BF9" w:rsidRPr="004A3F9B">
              <w:rPr>
                <w:rFonts w:ascii="Arial" w:hAnsi="Arial" w:cs="Arial"/>
                <w:color w:val="006100"/>
                <w:sz w:val="16"/>
                <w:szCs w:val="16"/>
              </w:rPr>
              <w:t xml:space="preserve"> and operationalisation</w:t>
            </w:r>
          </w:p>
        </w:tc>
        <w:tc>
          <w:tcPr>
            <w:tcW w:w="2268" w:type="dxa"/>
            <w:shd w:val="clear" w:color="auto" w:fill="D6E3C6"/>
          </w:tcPr>
          <w:p w14:paraId="0DF65274" w14:textId="77777777" w:rsidR="00AD589E" w:rsidRPr="004A3F9B" w:rsidRDefault="00AD589E" w:rsidP="00CE50FF">
            <w:pPr>
              <w:spacing w:after="0"/>
              <w:rPr>
                <w:rFonts w:ascii="Arial" w:hAnsi="Arial" w:cs="Arial"/>
                <w:color w:val="006100"/>
                <w:sz w:val="16"/>
                <w:szCs w:val="16"/>
              </w:rPr>
            </w:pPr>
            <w:r w:rsidRPr="004A3F9B">
              <w:rPr>
                <w:rFonts w:ascii="Arial" w:hAnsi="Arial" w:cs="Arial"/>
                <w:color w:val="006100"/>
                <w:sz w:val="16"/>
                <w:szCs w:val="16"/>
              </w:rPr>
              <w:t xml:space="preserve">The objective of the reform is to reduce administrative burden linked to the renovation process by assisting citizens and businesses with information, technical assistance and advice on regulatory, technical and financial issues related to their energy efficiency improvement projects. </w:t>
            </w:r>
          </w:p>
          <w:p w14:paraId="3DC5E04B" w14:textId="77777777" w:rsidR="00AD589E" w:rsidRPr="004A3F9B" w:rsidRDefault="00AD589E" w:rsidP="00CE50FF">
            <w:pPr>
              <w:spacing w:after="0"/>
              <w:rPr>
                <w:rFonts w:ascii="Arial" w:hAnsi="Arial" w:cs="Arial"/>
                <w:color w:val="006100"/>
                <w:sz w:val="16"/>
                <w:szCs w:val="16"/>
              </w:rPr>
            </w:pPr>
          </w:p>
          <w:p w14:paraId="04A55C4F" w14:textId="69456049" w:rsidR="00AD589E" w:rsidRPr="004A3F9B" w:rsidRDefault="00AD589E" w:rsidP="00CE50FF">
            <w:pPr>
              <w:spacing w:after="0"/>
              <w:rPr>
                <w:rFonts w:ascii="Arial" w:hAnsi="Arial" w:cs="Arial"/>
                <w:color w:val="006100"/>
                <w:sz w:val="16"/>
                <w:szCs w:val="16"/>
              </w:rPr>
            </w:pPr>
            <w:r w:rsidRPr="004A3F9B">
              <w:rPr>
                <w:rFonts w:ascii="Arial" w:hAnsi="Arial" w:cs="Arial"/>
                <w:color w:val="006100"/>
                <w:sz w:val="16"/>
                <w:szCs w:val="16"/>
              </w:rPr>
              <w:t>The measure consists of the initial piloting and subsequent deployment of operational one-stop-shops in all NUTS-3 regions in the country. The one stop-shops shall integrate all the necessary information and services needed for energy renovation.</w:t>
            </w:r>
          </w:p>
        </w:tc>
        <w:tc>
          <w:tcPr>
            <w:tcW w:w="1036" w:type="dxa"/>
            <w:gridSpan w:val="2"/>
            <w:shd w:val="clear" w:color="auto" w:fill="D6E3C6"/>
          </w:tcPr>
          <w:p w14:paraId="64C45968" w14:textId="7D075B14" w:rsidR="00AD589E" w:rsidRPr="004A3F9B" w:rsidRDefault="00AD589E" w:rsidP="009807A8">
            <w:pPr>
              <w:spacing w:after="0"/>
              <w:rPr>
                <w:rFonts w:ascii="Arial" w:hAnsi="Arial" w:cs="Arial"/>
                <w:color w:val="006100"/>
                <w:sz w:val="16"/>
                <w:szCs w:val="16"/>
              </w:rPr>
            </w:pPr>
            <w:r w:rsidRPr="004A3F9B">
              <w:rPr>
                <w:rFonts w:ascii="Arial" w:hAnsi="Arial" w:cs="Arial"/>
                <w:color w:val="006100"/>
                <w:sz w:val="16"/>
                <w:szCs w:val="16"/>
              </w:rPr>
              <w:t>-</w:t>
            </w:r>
          </w:p>
        </w:tc>
        <w:tc>
          <w:tcPr>
            <w:tcW w:w="1090" w:type="dxa"/>
            <w:gridSpan w:val="2"/>
            <w:shd w:val="clear" w:color="auto" w:fill="D6E3C6"/>
          </w:tcPr>
          <w:p w14:paraId="74C9F167" w14:textId="7D412940" w:rsidR="00AD589E" w:rsidRPr="004A3F9B" w:rsidRDefault="00AD589E" w:rsidP="009807A8">
            <w:pPr>
              <w:spacing w:after="0"/>
              <w:rPr>
                <w:rFonts w:ascii="Arial" w:hAnsi="Arial" w:cs="Arial"/>
                <w:color w:val="006100"/>
                <w:sz w:val="16"/>
                <w:szCs w:val="16"/>
              </w:rPr>
            </w:pPr>
            <w:r w:rsidRPr="004A3F9B">
              <w:rPr>
                <w:rFonts w:ascii="Arial" w:hAnsi="Arial" w:cs="Arial"/>
                <w:color w:val="006100"/>
                <w:sz w:val="16"/>
                <w:szCs w:val="16"/>
              </w:rPr>
              <w:t>Yes, at 1-2 sites after the receipt of documents for completion of the services / works / equipment installation (Q4 2022, or earlier if completed before that date)</w:t>
            </w:r>
          </w:p>
        </w:tc>
        <w:tc>
          <w:tcPr>
            <w:tcW w:w="992" w:type="dxa"/>
            <w:gridSpan w:val="2"/>
            <w:shd w:val="clear" w:color="auto" w:fill="D6E3C6"/>
          </w:tcPr>
          <w:p w14:paraId="0E699256" w14:textId="258BBE11" w:rsidR="00AD589E" w:rsidRPr="004A3F9B" w:rsidRDefault="00AD589E" w:rsidP="009807A8">
            <w:pPr>
              <w:spacing w:after="0"/>
              <w:rPr>
                <w:rFonts w:ascii="Arial" w:hAnsi="Arial" w:cs="Arial"/>
                <w:color w:val="006100"/>
                <w:sz w:val="16"/>
                <w:szCs w:val="16"/>
              </w:rPr>
            </w:pPr>
            <w:r w:rsidRPr="004A3F9B">
              <w:rPr>
                <w:rFonts w:ascii="Arial" w:hAnsi="Arial" w:cs="Arial"/>
                <w:color w:val="006100"/>
                <w:sz w:val="16"/>
                <w:szCs w:val="16"/>
              </w:rPr>
              <w:t>-</w:t>
            </w:r>
          </w:p>
        </w:tc>
        <w:tc>
          <w:tcPr>
            <w:tcW w:w="1418" w:type="dxa"/>
            <w:gridSpan w:val="2"/>
            <w:shd w:val="clear" w:color="auto" w:fill="D6E3C6"/>
          </w:tcPr>
          <w:p w14:paraId="378A30B1" w14:textId="1BC90085" w:rsidR="00AD589E" w:rsidRPr="004A3F9B" w:rsidRDefault="00323978" w:rsidP="009807A8">
            <w:pPr>
              <w:spacing w:after="0"/>
              <w:rPr>
                <w:rFonts w:ascii="Arial" w:hAnsi="Arial" w:cs="Arial"/>
                <w:color w:val="006100"/>
                <w:sz w:val="16"/>
                <w:szCs w:val="16"/>
              </w:rPr>
            </w:pPr>
            <w:r w:rsidRPr="004A3F9B">
              <w:rPr>
                <w:rFonts w:ascii="Arial" w:hAnsi="Arial" w:cs="Arial"/>
                <w:color w:val="006100"/>
                <w:sz w:val="16"/>
                <w:szCs w:val="16"/>
              </w:rPr>
              <w:t>-</w:t>
            </w:r>
          </w:p>
        </w:tc>
      </w:tr>
      <w:tr w:rsidR="004A3F9B" w:rsidRPr="004A3F9B" w14:paraId="0D6B72BB" w14:textId="45905419" w:rsidTr="00596EEA">
        <w:trPr>
          <w:trHeight w:val="309"/>
        </w:trPr>
        <w:tc>
          <w:tcPr>
            <w:tcW w:w="454" w:type="dxa"/>
            <w:shd w:val="clear" w:color="auto" w:fill="D6E3C6"/>
            <w:noWrap/>
          </w:tcPr>
          <w:p w14:paraId="2D48D876" w14:textId="48C9AA63"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84</w:t>
            </w:r>
          </w:p>
        </w:tc>
        <w:tc>
          <w:tcPr>
            <w:tcW w:w="1215" w:type="dxa"/>
            <w:shd w:val="clear" w:color="auto" w:fill="D6E3C6"/>
            <w:noWrap/>
          </w:tcPr>
          <w:p w14:paraId="5EA4E56E" w14:textId="7B12363E"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C4.R5: One Stop Shop for renovations</w:t>
            </w:r>
          </w:p>
        </w:tc>
        <w:tc>
          <w:tcPr>
            <w:tcW w:w="956" w:type="dxa"/>
            <w:shd w:val="clear" w:color="auto" w:fill="D6E3C6"/>
            <w:noWrap/>
          </w:tcPr>
          <w:p w14:paraId="7702A07F" w14:textId="04B7E548"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Target</w:t>
            </w:r>
          </w:p>
        </w:tc>
        <w:tc>
          <w:tcPr>
            <w:tcW w:w="1691" w:type="dxa"/>
            <w:shd w:val="clear" w:color="auto" w:fill="D6E3C6"/>
            <w:noWrap/>
          </w:tcPr>
          <w:p w14:paraId="3AD42BC9" w14:textId="1DE3BF45" w:rsidR="00AD589E" w:rsidRPr="004A3F9B" w:rsidRDefault="00AD589E" w:rsidP="009807A8">
            <w:pPr>
              <w:spacing w:after="0"/>
              <w:rPr>
                <w:rFonts w:ascii="Arial" w:eastAsia="Times New Roman" w:hAnsi="Arial" w:cs="Arial"/>
                <w:color w:val="006100"/>
                <w:sz w:val="16"/>
                <w:szCs w:val="16"/>
                <w:lang w:eastAsia="en-GB"/>
              </w:rPr>
            </w:pPr>
            <w:r w:rsidRPr="004A3F9B">
              <w:rPr>
                <w:rFonts w:ascii="Arial" w:hAnsi="Arial" w:cs="Arial"/>
                <w:color w:val="006100"/>
                <w:sz w:val="16"/>
                <w:szCs w:val="16"/>
              </w:rPr>
              <w:t>Establishing of physical one-stop shops in each NUTS-3 region (or functional area);</w:t>
            </w:r>
          </w:p>
        </w:tc>
        <w:tc>
          <w:tcPr>
            <w:tcW w:w="1322" w:type="dxa"/>
            <w:shd w:val="clear" w:color="auto" w:fill="D6E3C6"/>
            <w:noWrap/>
          </w:tcPr>
          <w:p w14:paraId="78A09D66" w14:textId="77777777" w:rsidR="00AD589E" w:rsidRPr="004A3F9B" w:rsidRDefault="00AD589E" w:rsidP="009807A8">
            <w:pPr>
              <w:spacing w:after="0"/>
              <w:rPr>
                <w:rFonts w:ascii="Arial" w:eastAsia="Times New Roman" w:hAnsi="Arial" w:cs="Arial"/>
                <w:color w:val="006100"/>
                <w:sz w:val="16"/>
                <w:szCs w:val="16"/>
                <w:lang w:eastAsia="en-GB"/>
              </w:rPr>
            </w:pPr>
          </w:p>
        </w:tc>
        <w:tc>
          <w:tcPr>
            <w:tcW w:w="709" w:type="dxa"/>
            <w:shd w:val="clear" w:color="auto" w:fill="D6E3C6"/>
            <w:noWrap/>
          </w:tcPr>
          <w:p w14:paraId="44C35B06" w14:textId="452D71D0"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Number</w:t>
            </w:r>
          </w:p>
        </w:tc>
        <w:tc>
          <w:tcPr>
            <w:tcW w:w="614" w:type="dxa"/>
            <w:shd w:val="clear" w:color="auto" w:fill="D6E3C6"/>
            <w:noWrap/>
          </w:tcPr>
          <w:p w14:paraId="1587D085" w14:textId="7B7417CB"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0</w:t>
            </w:r>
          </w:p>
        </w:tc>
        <w:tc>
          <w:tcPr>
            <w:tcW w:w="731" w:type="dxa"/>
            <w:shd w:val="clear" w:color="auto" w:fill="D6E3C6"/>
            <w:noWrap/>
          </w:tcPr>
          <w:p w14:paraId="165741E8" w14:textId="2FC1C1C8"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28</w:t>
            </w:r>
          </w:p>
        </w:tc>
        <w:tc>
          <w:tcPr>
            <w:tcW w:w="756" w:type="dxa"/>
            <w:gridSpan w:val="2"/>
            <w:shd w:val="clear" w:color="auto" w:fill="D6E3C6"/>
            <w:noWrap/>
          </w:tcPr>
          <w:p w14:paraId="2C880E9D" w14:textId="3733D306"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Q4</w:t>
            </w:r>
          </w:p>
        </w:tc>
        <w:tc>
          <w:tcPr>
            <w:tcW w:w="520" w:type="dxa"/>
            <w:shd w:val="clear" w:color="auto" w:fill="D6E3C6"/>
            <w:noWrap/>
          </w:tcPr>
          <w:p w14:paraId="7AA572C0" w14:textId="5A335DF3" w:rsidR="00AD589E" w:rsidRPr="004A3F9B" w:rsidRDefault="00AD589E" w:rsidP="009807A8">
            <w:pPr>
              <w:spacing w:after="0"/>
              <w:jc w:val="center"/>
              <w:rPr>
                <w:rFonts w:ascii="Arial" w:eastAsia="Times New Roman" w:hAnsi="Arial" w:cs="Arial"/>
                <w:color w:val="006100"/>
                <w:sz w:val="16"/>
                <w:szCs w:val="16"/>
                <w:lang w:eastAsia="en-GB"/>
              </w:rPr>
            </w:pPr>
            <w:r w:rsidRPr="004A3F9B">
              <w:rPr>
                <w:rFonts w:ascii="Arial" w:hAnsi="Arial" w:cs="Arial"/>
                <w:color w:val="006100"/>
                <w:sz w:val="16"/>
                <w:szCs w:val="16"/>
              </w:rPr>
              <w:t>2023</w:t>
            </w:r>
          </w:p>
        </w:tc>
        <w:tc>
          <w:tcPr>
            <w:tcW w:w="872" w:type="dxa"/>
            <w:gridSpan w:val="2"/>
            <w:shd w:val="clear" w:color="auto" w:fill="D6E3C6"/>
          </w:tcPr>
          <w:p w14:paraId="1CB08A37" w14:textId="77777777" w:rsidR="00AD589E" w:rsidRPr="004A3F9B" w:rsidRDefault="00AD589E" w:rsidP="009807A8">
            <w:pPr>
              <w:spacing w:after="0"/>
              <w:rPr>
                <w:rFonts w:ascii="Arial" w:eastAsia="Times New Roman" w:hAnsi="Arial" w:cs="Arial"/>
                <w:color w:val="006100"/>
                <w:sz w:val="16"/>
                <w:szCs w:val="16"/>
                <w:lang w:eastAsia="en-GB"/>
              </w:rPr>
            </w:pPr>
            <w:r w:rsidRPr="004A3F9B">
              <w:rPr>
                <w:rFonts w:ascii="Arial" w:eastAsia="Times New Roman" w:hAnsi="Arial" w:cs="Arial"/>
                <w:color w:val="006100"/>
                <w:sz w:val="16"/>
                <w:szCs w:val="16"/>
                <w:lang w:eastAsia="en-GB"/>
              </w:rPr>
              <w:t>Ministry of Regional Development and Public Works;</w:t>
            </w:r>
          </w:p>
          <w:p w14:paraId="3BB310FC" w14:textId="77777777" w:rsidR="00AD589E" w:rsidRPr="004A3F9B" w:rsidRDefault="00AD589E" w:rsidP="009807A8">
            <w:pPr>
              <w:spacing w:after="0"/>
              <w:rPr>
                <w:rFonts w:ascii="Arial" w:eastAsia="Times New Roman" w:hAnsi="Arial" w:cs="Arial"/>
                <w:color w:val="006100"/>
                <w:sz w:val="16"/>
                <w:szCs w:val="16"/>
                <w:lang w:eastAsia="en-GB"/>
              </w:rPr>
            </w:pPr>
            <w:r w:rsidRPr="004A3F9B">
              <w:rPr>
                <w:rFonts w:ascii="Arial" w:eastAsia="Times New Roman" w:hAnsi="Arial" w:cs="Arial"/>
                <w:color w:val="006100"/>
                <w:sz w:val="16"/>
                <w:szCs w:val="16"/>
                <w:lang w:eastAsia="en-GB"/>
              </w:rPr>
              <w:t>Ministry of Energy;</w:t>
            </w:r>
          </w:p>
          <w:p w14:paraId="38302829" w14:textId="5F9F6571" w:rsidR="00AD589E" w:rsidRPr="004A3F9B" w:rsidRDefault="00AD589E" w:rsidP="009807A8">
            <w:pPr>
              <w:spacing w:after="0"/>
              <w:rPr>
                <w:rFonts w:ascii="Arial" w:eastAsia="Times New Roman" w:hAnsi="Arial" w:cs="Arial"/>
                <w:color w:val="006100"/>
                <w:sz w:val="16"/>
                <w:szCs w:val="16"/>
                <w:lang w:eastAsia="en-GB"/>
              </w:rPr>
            </w:pPr>
            <w:r w:rsidRPr="004A3F9B">
              <w:rPr>
                <w:rFonts w:ascii="Arial" w:eastAsia="Times New Roman" w:hAnsi="Arial" w:cs="Arial"/>
                <w:color w:val="006100"/>
                <w:sz w:val="16"/>
                <w:szCs w:val="16"/>
                <w:lang w:eastAsia="en-GB"/>
              </w:rPr>
              <w:t>Sustainable Energy Development Agency</w:t>
            </w:r>
          </w:p>
        </w:tc>
        <w:tc>
          <w:tcPr>
            <w:tcW w:w="851" w:type="dxa"/>
            <w:gridSpan w:val="2"/>
            <w:shd w:val="clear" w:color="auto" w:fill="D6E3C6"/>
          </w:tcPr>
          <w:p w14:paraId="2A8182D7" w14:textId="77777777" w:rsidR="00AD589E" w:rsidRPr="004A3F9B"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634BE2DD" w14:textId="3024DA86" w:rsidR="00AD589E" w:rsidRPr="004A3F9B" w:rsidRDefault="00AD589E" w:rsidP="0073371A">
            <w:pPr>
              <w:pStyle w:val="ListParagraph"/>
              <w:numPr>
                <w:ilvl w:val="0"/>
                <w:numId w:val="32"/>
              </w:numPr>
              <w:spacing w:after="0"/>
              <w:ind w:left="391" w:hanging="357"/>
              <w:rPr>
                <w:rFonts w:ascii="Arial" w:hAnsi="Arial" w:cs="Arial"/>
                <w:color w:val="006100"/>
                <w:sz w:val="16"/>
                <w:szCs w:val="16"/>
              </w:rPr>
            </w:pPr>
            <w:r w:rsidRPr="004A3F9B">
              <w:rPr>
                <w:rFonts w:ascii="Arial" w:hAnsi="Arial" w:cs="Arial"/>
                <w:color w:val="006100"/>
                <w:sz w:val="16"/>
                <w:szCs w:val="16"/>
                <w:lang w:eastAsia="en-GB"/>
              </w:rPr>
              <w:t>List of the established one-stop-shops, their location, and services offered</w:t>
            </w:r>
          </w:p>
        </w:tc>
        <w:tc>
          <w:tcPr>
            <w:tcW w:w="3402" w:type="dxa"/>
            <w:shd w:val="clear" w:color="auto" w:fill="D6E3C6"/>
          </w:tcPr>
          <w:p w14:paraId="52E15D37" w14:textId="77777777" w:rsidR="00AD589E" w:rsidRPr="004A3F9B" w:rsidRDefault="00AD589E" w:rsidP="00DE72C0">
            <w:pPr>
              <w:spacing w:after="0"/>
              <w:rPr>
                <w:rFonts w:ascii="Arial" w:hAnsi="Arial" w:cs="Arial"/>
                <w:color w:val="006100"/>
                <w:sz w:val="16"/>
                <w:szCs w:val="16"/>
              </w:rPr>
            </w:pPr>
            <w:r w:rsidRPr="004A3F9B">
              <w:rPr>
                <w:rFonts w:ascii="Arial" w:hAnsi="Arial" w:cs="Arial"/>
                <w:color w:val="006100"/>
                <w:sz w:val="16"/>
                <w:szCs w:val="16"/>
              </w:rPr>
              <w:t>Institution/s: Ministry of Regional Development and Public Works,</w:t>
            </w:r>
          </w:p>
          <w:p w14:paraId="2AC1FB59" w14:textId="77777777" w:rsidR="00AD589E" w:rsidRPr="004A3F9B" w:rsidRDefault="00AD589E" w:rsidP="00DE72C0">
            <w:pPr>
              <w:spacing w:after="0"/>
              <w:rPr>
                <w:rFonts w:ascii="Arial" w:hAnsi="Arial" w:cs="Arial"/>
                <w:color w:val="006100"/>
                <w:sz w:val="16"/>
                <w:szCs w:val="16"/>
              </w:rPr>
            </w:pPr>
            <w:r w:rsidRPr="004A3F9B">
              <w:rPr>
                <w:rFonts w:ascii="Arial" w:hAnsi="Arial" w:cs="Arial"/>
                <w:color w:val="006100"/>
                <w:sz w:val="16"/>
                <w:szCs w:val="16"/>
              </w:rPr>
              <w:t>Ministry of Energy,</w:t>
            </w:r>
          </w:p>
          <w:p w14:paraId="6ED43C2D" w14:textId="77777777" w:rsidR="00AD589E" w:rsidRPr="004A3F9B" w:rsidRDefault="00AD589E" w:rsidP="00DE72C0">
            <w:pPr>
              <w:spacing w:after="0"/>
              <w:rPr>
                <w:rFonts w:ascii="Arial" w:hAnsi="Arial" w:cs="Arial"/>
                <w:color w:val="006100"/>
                <w:sz w:val="16"/>
                <w:szCs w:val="16"/>
              </w:rPr>
            </w:pPr>
            <w:r w:rsidRPr="004A3F9B">
              <w:rPr>
                <w:rFonts w:ascii="Arial" w:hAnsi="Arial" w:cs="Arial"/>
                <w:color w:val="006100"/>
                <w:sz w:val="16"/>
                <w:szCs w:val="16"/>
              </w:rPr>
              <w:t>Sustainable Energy Development Agency</w:t>
            </w:r>
          </w:p>
          <w:p w14:paraId="5F15890D" w14:textId="77777777" w:rsidR="00AD589E" w:rsidRPr="004A3F9B" w:rsidRDefault="00AD589E" w:rsidP="00DE72C0">
            <w:pPr>
              <w:spacing w:after="0"/>
              <w:rPr>
                <w:rFonts w:ascii="Arial" w:hAnsi="Arial" w:cs="Arial"/>
                <w:color w:val="006100"/>
                <w:sz w:val="16"/>
                <w:szCs w:val="16"/>
              </w:rPr>
            </w:pPr>
          </w:p>
          <w:p w14:paraId="5837978E" w14:textId="6BF55130" w:rsidR="00AD589E" w:rsidRPr="004A3F9B" w:rsidRDefault="00AD589E" w:rsidP="00DE72C0">
            <w:pPr>
              <w:spacing w:after="0"/>
              <w:rPr>
                <w:rFonts w:ascii="Arial" w:hAnsi="Arial" w:cs="Arial"/>
                <w:color w:val="006100"/>
                <w:sz w:val="16"/>
                <w:szCs w:val="16"/>
              </w:rPr>
            </w:pPr>
            <w:r w:rsidRPr="004A3F9B">
              <w:rPr>
                <w:rFonts w:ascii="Arial" w:hAnsi="Arial" w:cs="Arial"/>
                <w:color w:val="006100"/>
                <w:sz w:val="16"/>
                <w:szCs w:val="16"/>
              </w:rPr>
              <w:t>What: Establishing of physical one-stop shops in each NUTS-3 region (or functional area)</w:t>
            </w:r>
          </w:p>
          <w:p w14:paraId="67BE08A3" w14:textId="77777777" w:rsidR="00AD589E" w:rsidRPr="004A3F9B" w:rsidRDefault="00AD589E" w:rsidP="00DE72C0">
            <w:pPr>
              <w:spacing w:after="0"/>
              <w:rPr>
                <w:rFonts w:ascii="Arial" w:hAnsi="Arial" w:cs="Arial"/>
                <w:color w:val="006100"/>
                <w:sz w:val="16"/>
                <w:szCs w:val="16"/>
              </w:rPr>
            </w:pPr>
          </w:p>
          <w:p w14:paraId="005E3E32" w14:textId="5A493FCC" w:rsidR="00AD589E" w:rsidRPr="004A3F9B" w:rsidRDefault="00AD589E" w:rsidP="00DE72C0">
            <w:pPr>
              <w:spacing w:after="0"/>
              <w:rPr>
                <w:rFonts w:ascii="Arial" w:hAnsi="Arial" w:cs="Arial"/>
                <w:color w:val="006100"/>
                <w:sz w:val="16"/>
                <w:szCs w:val="16"/>
              </w:rPr>
            </w:pPr>
            <w:r w:rsidRPr="004A3F9B">
              <w:rPr>
                <w:rFonts w:ascii="Arial" w:hAnsi="Arial" w:cs="Arial"/>
                <w:color w:val="006100"/>
                <w:sz w:val="16"/>
                <w:szCs w:val="16"/>
              </w:rPr>
              <w:t>How: reporting (a)</w:t>
            </w:r>
          </w:p>
          <w:p w14:paraId="3A84A3A2" w14:textId="77777777" w:rsidR="00AD589E" w:rsidRPr="004A3F9B" w:rsidRDefault="00AD589E" w:rsidP="00DE72C0">
            <w:pPr>
              <w:spacing w:after="0"/>
              <w:rPr>
                <w:rFonts w:ascii="Arial" w:hAnsi="Arial" w:cs="Arial"/>
                <w:color w:val="006100"/>
                <w:sz w:val="16"/>
                <w:szCs w:val="16"/>
              </w:rPr>
            </w:pPr>
          </w:p>
          <w:p w14:paraId="0D8662C9" w14:textId="6B7733FF" w:rsidR="00AD589E" w:rsidRPr="004A3F9B" w:rsidRDefault="00AD589E" w:rsidP="00DE72C0">
            <w:pPr>
              <w:spacing w:after="0"/>
              <w:rPr>
                <w:rFonts w:ascii="Arial" w:hAnsi="Arial" w:cs="Arial"/>
                <w:color w:val="006100"/>
                <w:sz w:val="16"/>
                <w:szCs w:val="16"/>
              </w:rPr>
            </w:pPr>
            <w:r w:rsidRPr="004A3F9B">
              <w:rPr>
                <w:rFonts w:ascii="Arial" w:hAnsi="Arial" w:cs="Arial"/>
                <w:color w:val="006100"/>
                <w:sz w:val="16"/>
                <w:szCs w:val="16"/>
              </w:rPr>
              <w:t>Why: At least one physical one-stop-shop office in each NUTS-3 region shall be operational. The one stop-shop shall integrate all the necessary information and services needed for energy renovation, including on the available EU sources of financial support. [provide references to the above in the summary document]</w:t>
            </w:r>
          </w:p>
          <w:p w14:paraId="77886E37" w14:textId="77777777" w:rsidR="00AD589E" w:rsidRPr="004A3F9B" w:rsidRDefault="00AD589E" w:rsidP="00DE72C0">
            <w:pPr>
              <w:spacing w:after="0"/>
              <w:rPr>
                <w:rFonts w:ascii="Arial" w:hAnsi="Arial" w:cs="Arial"/>
                <w:color w:val="006100"/>
                <w:sz w:val="16"/>
                <w:szCs w:val="16"/>
              </w:rPr>
            </w:pPr>
          </w:p>
          <w:p w14:paraId="20A549E4" w14:textId="6201256D" w:rsidR="00AD589E" w:rsidRPr="004A3F9B" w:rsidRDefault="00AD589E" w:rsidP="00DE72C0">
            <w:pPr>
              <w:spacing w:after="0"/>
              <w:rPr>
                <w:rFonts w:ascii="Arial" w:hAnsi="Arial" w:cs="Arial"/>
                <w:color w:val="006100"/>
                <w:sz w:val="16"/>
                <w:szCs w:val="16"/>
              </w:rPr>
            </w:pPr>
            <w:r w:rsidRPr="004A3F9B">
              <w:rPr>
                <w:rFonts w:ascii="Arial" w:hAnsi="Arial" w:cs="Arial"/>
                <w:color w:val="006100"/>
                <w:sz w:val="16"/>
                <w:szCs w:val="16"/>
              </w:rPr>
              <w:lastRenderedPageBreak/>
              <w:t>When: specify the dates of establishment</w:t>
            </w:r>
            <w:r w:rsidR="00FD411E" w:rsidRPr="004A3F9B">
              <w:rPr>
                <w:rFonts w:ascii="Arial" w:hAnsi="Arial" w:cs="Arial"/>
                <w:color w:val="006100"/>
                <w:sz w:val="16"/>
                <w:szCs w:val="16"/>
              </w:rPr>
              <w:t xml:space="preserve"> and operationalisation</w:t>
            </w:r>
          </w:p>
        </w:tc>
        <w:tc>
          <w:tcPr>
            <w:tcW w:w="2268" w:type="dxa"/>
            <w:shd w:val="clear" w:color="auto" w:fill="D6E3C6"/>
          </w:tcPr>
          <w:p w14:paraId="0C19AE5F" w14:textId="0208A3BE" w:rsidR="00AD589E" w:rsidRPr="004A3F9B" w:rsidRDefault="00AD589E" w:rsidP="009807A8">
            <w:pPr>
              <w:spacing w:after="0"/>
              <w:rPr>
                <w:rFonts w:ascii="Arial" w:hAnsi="Arial" w:cs="Arial"/>
                <w:color w:val="006100"/>
                <w:sz w:val="16"/>
                <w:szCs w:val="16"/>
              </w:rPr>
            </w:pPr>
            <w:r w:rsidRPr="004A3F9B">
              <w:rPr>
                <w:rFonts w:ascii="Arial" w:hAnsi="Arial" w:cs="Arial"/>
                <w:color w:val="006100"/>
                <w:sz w:val="16"/>
                <w:szCs w:val="16"/>
              </w:rPr>
              <w:lastRenderedPageBreak/>
              <w:t>As above</w:t>
            </w:r>
          </w:p>
        </w:tc>
        <w:tc>
          <w:tcPr>
            <w:tcW w:w="1036" w:type="dxa"/>
            <w:gridSpan w:val="2"/>
            <w:shd w:val="clear" w:color="auto" w:fill="D6E3C6"/>
          </w:tcPr>
          <w:p w14:paraId="393D45F4" w14:textId="47F74F12" w:rsidR="00AD589E" w:rsidRPr="004A3F9B" w:rsidRDefault="00AD589E" w:rsidP="009807A8">
            <w:pPr>
              <w:spacing w:after="0"/>
              <w:rPr>
                <w:rFonts w:ascii="Arial" w:hAnsi="Arial" w:cs="Arial"/>
                <w:color w:val="006100"/>
                <w:sz w:val="16"/>
                <w:szCs w:val="16"/>
              </w:rPr>
            </w:pPr>
            <w:r w:rsidRPr="004A3F9B">
              <w:rPr>
                <w:rFonts w:ascii="Arial" w:hAnsi="Arial" w:cs="Arial"/>
                <w:color w:val="006100"/>
                <w:sz w:val="16"/>
                <w:szCs w:val="16"/>
              </w:rPr>
              <w:t>-</w:t>
            </w:r>
          </w:p>
        </w:tc>
        <w:tc>
          <w:tcPr>
            <w:tcW w:w="1090" w:type="dxa"/>
            <w:gridSpan w:val="2"/>
            <w:shd w:val="clear" w:color="auto" w:fill="D6E3C6"/>
          </w:tcPr>
          <w:p w14:paraId="0CC71A9B" w14:textId="3B18A766" w:rsidR="00AD589E" w:rsidRPr="004A3F9B" w:rsidRDefault="00AD589E" w:rsidP="009807A8">
            <w:pPr>
              <w:spacing w:after="0"/>
              <w:rPr>
                <w:rFonts w:ascii="Arial" w:hAnsi="Arial" w:cs="Arial"/>
                <w:color w:val="006100"/>
                <w:sz w:val="16"/>
                <w:szCs w:val="16"/>
              </w:rPr>
            </w:pPr>
            <w:r w:rsidRPr="004A3F9B">
              <w:rPr>
                <w:rFonts w:ascii="Arial" w:hAnsi="Arial" w:cs="Arial"/>
                <w:color w:val="006100"/>
                <w:sz w:val="16"/>
                <w:szCs w:val="16"/>
              </w:rPr>
              <w:t>Yes, at 2-3 sites after the receipt of documents for completion of the services / works / equipment installation (Q4 2022, or earlier if completed before that date)</w:t>
            </w:r>
          </w:p>
        </w:tc>
        <w:tc>
          <w:tcPr>
            <w:tcW w:w="992" w:type="dxa"/>
            <w:gridSpan w:val="2"/>
            <w:shd w:val="clear" w:color="auto" w:fill="D6E3C6"/>
          </w:tcPr>
          <w:p w14:paraId="6933E1EB" w14:textId="75A14D03" w:rsidR="00AD589E" w:rsidRPr="004A3F9B" w:rsidRDefault="00AD589E" w:rsidP="009807A8">
            <w:pPr>
              <w:spacing w:after="0"/>
              <w:rPr>
                <w:rFonts w:ascii="Arial" w:hAnsi="Arial" w:cs="Arial"/>
                <w:color w:val="006100"/>
                <w:sz w:val="16"/>
                <w:szCs w:val="16"/>
              </w:rPr>
            </w:pPr>
            <w:r w:rsidRPr="004A3F9B">
              <w:rPr>
                <w:rFonts w:ascii="Arial" w:hAnsi="Arial" w:cs="Arial"/>
                <w:color w:val="006100"/>
                <w:sz w:val="16"/>
                <w:szCs w:val="16"/>
              </w:rPr>
              <w:t>-</w:t>
            </w:r>
          </w:p>
        </w:tc>
        <w:tc>
          <w:tcPr>
            <w:tcW w:w="1418" w:type="dxa"/>
            <w:gridSpan w:val="2"/>
            <w:shd w:val="clear" w:color="auto" w:fill="D6E3C6"/>
          </w:tcPr>
          <w:p w14:paraId="4CF710C8" w14:textId="3197289C" w:rsidR="00AD589E" w:rsidRPr="004A3F9B" w:rsidRDefault="00323978" w:rsidP="009807A8">
            <w:pPr>
              <w:spacing w:after="0"/>
              <w:rPr>
                <w:rFonts w:ascii="Arial" w:hAnsi="Arial" w:cs="Arial"/>
                <w:color w:val="006100"/>
                <w:sz w:val="16"/>
                <w:szCs w:val="16"/>
              </w:rPr>
            </w:pPr>
            <w:r w:rsidRPr="004A3F9B">
              <w:rPr>
                <w:rFonts w:ascii="Arial" w:hAnsi="Arial" w:cs="Arial"/>
                <w:color w:val="006100"/>
                <w:sz w:val="16"/>
                <w:szCs w:val="16"/>
              </w:rPr>
              <w:t>A monitoring step: Report by the Ministry  assessing the locations of the physical one-stop-shops  for energy renovation</w:t>
            </w:r>
            <w:r w:rsidR="00B44562" w:rsidRPr="004A3F9B">
              <w:rPr>
                <w:rFonts w:ascii="Arial" w:hAnsi="Arial" w:cs="Arial"/>
                <w:color w:val="006100"/>
                <w:sz w:val="16"/>
                <w:szCs w:val="16"/>
              </w:rPr>
              <w:t xml:space="preserve"> (Q</w:t>
            </w:r>
            <w:r w:rsidR="00BA23DD" w:rsidRPr="004A3F9B">
              <w:rPr>
                <w:rFonts w:ascii="Arial" w:hAnsi="Arial" w:cs="Arial"/>
                <w:color w:val="006100"/>
                <w:sz w:val="16"/>
                <w:szCs w:val="16"/>
              </w:rPr>
              <w:t>1 2023)</w:t>
            </w:r>
          </w:p>
        </w:tc>
      </w:tr>
      <w:tr w:rsidR="00AD589E" w:rsidRPr="004F3D4C" w14:paraId="03F1D845" w14:textId="35D26B5D" w:rsidTr="00596EEA">
        <w:trPr>
          <w:trHeight w:val="309"/>
        </w:trPr>
        <w:tc>
          <w:tcPr>
            <w:tcW w:w="454" w:type="dxa"/>
            <w:shd w:val="clear" w:color="auto" w:fill="D6E3C6"/>
            <w:noWrap/>
          </w:tcPr>
          <w:p w14:paraId="5162684D" w14:textId="52F9D756"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85</w:t>
            </w:r>
          </w:p>
        </w:tc>
        <w:tc>
          <w:tcPr>
            <w:tcW w:w="1215" w:type="dxa"/>
            <w:shd w:val="clear" w:color="auto" w:fill="D6E3C6"/>
            <w:noWrap/>
          </w:tcPr>
          <w:p w14:paraId="474828BD" w14:textId="57B73E29"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C4.I4: Digital transformation of the electricity transmission grid</w:t>
            </w:r>
          </w:p>
        </w:tc>
        <w:tc>
          <w:tcPr>
            <w:tcW w:w="956" w:type="dxa"/>
            <w:shd w:val="clear" w:color="auto" w:fill="D6E3C6"/>
            <w:noWrap/>
          </w:tcPr>
          <w:p w14:paraId="364FC18A" w14:textId="2BD8A135"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2CC08DAC" w14:textId="30AD40D3"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Signing of contracts for upgrade, modernization and digitalization of the national transmission systems</w:t>
            </w:r>
          </w:p>
        </w:tc>
        <w:tc>
          <w:tcPr>
            <w:tcW w:w="1322" w:type="dxa"/>
            <w:shd w:val="clear" w:color="auto" w:fill="D6E3C6"/>
            <w:noWrap/>
          </w:tcPr>
          <w:p w14:paraId="7207BE59" w14:textId="019CBEF0"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Signed contract(s) by ESO EAD with the successful tenderer(s)</w:t>
            </w:r>
          </w:p>
        </w:tc>
        <w:tc>
          <w:tcPr>
            <w:tcW w:w="709" w:type="dxa"/>
            <w:shd w:val="clear" w:color="auto" w:fill="D6E3C6"/>
            <w:noWrap/>
          </w:tcPr>
          <w:p w14:paraId="2E1E4562"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5A588D8D"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123B48F8"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076B1768" w14:textId="7555C052"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Q3</w:t>
            </w:r>
          </w:p>
        </w:tc>
        <w:tc>
          <w:tcPr>
            <w:tcW w:w="520" w:type="dxa"/>
            <w:shd w:val="clear" w:color="auto" w:fill="D6E3C6"/>
            <w:noWrap/>
          </w:tcPr>
          <w:p w14:paraId="326DA4EF" w14:textId="75C00066"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335D287C" w14:textId="08A907D4"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17E6F7B6"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40E78C5B" w14:textId="31677D1B" w:rsidR="00AD589E" w:rsidRDefault="00AD589E" w:rsidP="0073371A">
            <w:pPr>
              <w:pStyle w:val="ListParagraph"/>
              <w:numPr>
                <w:ilvl w:val="0"/>
                <w:numId w:val="33"/>
              </w:numPr>
              <w:spacing w:after="0"/>
              <w:rPr>
                <w:rFonts w:ascii="Arial" w:hAnsi="Arial" w:cs="Arial"/>
                <w:color w:val="006100"/>
                <w:sz w:val="16"/>
                <w:szCs w:val="16"/>
              </w:rPr>
            </w:pPr>
            <w:r w:rsidRPr="004F3D4C">
              <w:rPr>
                <w:rFonts w:ascii="Arial" w:hAnsi="Arial" w:cs="Arial"/>
                <w:color w:val="006100"/>
                <w:sz w:val="16"/>
                <w:szCs w:val="16"/>
                <w:lang w:eastAsia="en-GB"/>
              </w:rPr>
              <w:t>Copy of the signed contracts, including official references of the signed contracts</w:t>
            </w:r>
          </w:p>
          <w:p w14:paraId="64D328C5" w14:textId="6A3743EF" w:rsidR="00AD589E" w:rsidRPr="003558AF" w:rsidRDefault="00AD589E" w:rsidP="0073371A">
            <w:pPr>
              <w:pStyle w:val="ListParagraph"/>
              <w:numPr>
                <w:ilvl w:val="0"/>
                <w:numId w:val="33"/>
              </w:numPr>
              <w:spacing w:after="0"/>
              <w:rPr>
                <w:rFonts w:ascii="Arial" w:hAnsi="Arial" w:cs="Arial"/>
                <w:color w:val="006100"/>
                <w:sz w:val="16"/>
                <w:szCs w:val="16"/>
              </w:rPr>
            </w:pPr>
            <w:r w:rsidRPr="004F3D4C">
              <w:rPr>
                <w:rFonts w:ascii="Arial" w:hAnsi="Arial" w:cs="Arial"/>
                <w:color w:val="006100"/>
                <w:sz w:val="16"/>
                <w:szCs w:val="16"/>
                <w:lang w:eastAsia="en-GB"/>
              </w:rPr>
              <w:t>Narrative proving alignment of the contracts proving alignment with the description of the milestone and the description of the investment in the CID annex</w:t>
            </w:r>
            <w:r>
              <w:rPr>
                <w:rFonts w:ascii="Arial" w:hAnsi="Arial" w:cs="Arial"/>
                <w:color w:val="006100"/>
                <w:sz w:val="16"/>
                <w:szCs w:val="16"/>
                <w:lang w:eastAsia="en-GB"/>
              </w:rPr>
              <w:t xml:space="preserve"> </w:t>
            </w:r>
          </w:p>
        </w:tc>
        <w:tc>
          <w:tcPr>
            <w:tcW w:w="3402" w:type="dxa"/>
            <w:shd w:val="clear" w:color="auto" w:fill="D6E3C6"/>
          </w:tcPr>
          <w:p w14:paraId="1113C045" w14:textId="77777777" w:rsidR="00AD589E" w:rsidRPr="003558AF" w:rsidRDefault="00AD589E" w:rsidP="003558AF">
            <w:pPr>
              <w:spacing w:after="0"/>
              <w:rPr>
                <w:rFonts w:ascii="Arial" w:hAnsi="Arial" w:cs="Arial"/>
                <w:color w:val="006100"/>
                <w:sz w:val="16"/>
                <w:szCs w:val="16"/>
              </w:rPr>
            </w:pPr>
            <w:r w:rsidRPr="003558AF">
              <w:rPr>
                <w:rFonts w:ascii="Arial" w:hAnsi="Arial" w:cs="Arial"/>
                <w:color w:val="006100"/>
                <w:sz w:val="16"/>
                <w:szCs w:val="16"/>
              </w:rPr>
              <w:t>Institution/s: Ministry of Energy</w:t>
            </w:r>
          </w:p>
          <w:p w14:paraId="3DC3D9E7" w14:textId="77777777" w:rsidR="00AD589E" w:rsidRPr="003558AF" w:rsidRDefault="00AD589E" w:rsidP="003558AF">
            <w:pPr>
              <w:spacing w:after="0"/>
              <w:rPr>
                <w:rFonts w:ascii="Arial" w:hAnsi="Arial" w:cs="Arial"/>
                <w:color w:val="006100"/>
                <w:sz w:val="16"/>
                <w:szCs w:val="16"/>
              </w:rPr>
            </w:pPr>
          </w:p>
          <w:p w14:paraId="1D8B4DA9" w14:textId="322BAC44" w:rsidR="00AD589E" w:rsidRPr="003558AF" w:rsidRDefault="00AD589E" w:rsidP="003558AF">
            <w:pPr>
              <w:spacing w:after="0"/>
              <w:rPr>
                <w:rFonts w:ascii="Arial" w:hAnsi="Arial" w:cs="Arial"/>
                <w:color w:val="006100"/>
                <w:sz w:val="16"/>
                <w:szCs w:val="16"/>
              </w:rPr>
            </w:pPr>
            <w:r w:rsidRPr="003558AF">
              <w:rPr>
                <w:rFonts w:ascii="Arial" w:hAnsi="Arial" w:cs="Arial"/>
                <w:color w:val="006100"/>
                <w:sz w:val="16"/>
                <w:szCs w:val="16"/>
              </w:rPr>
              <w:t>What: Signing of contracts for upgrade, modernization and digitalization of the national transmission systems</w:t>
            </w:r>
          </w:p>
          <w:p w14:paraId="042EFE9A" w14:textId="77777777" w:rsidR="00AD589E" w:rsidRPr="003558AF" w:rsidRDefault="00AD589E" w:rsidP="003558AF">
            <w:pPr>
              <w:spacing w:after="0"/>
              <w:rPr>
                <w:rFonts w:ascii="Arial" w:hAnsi="Arial" w:cs="Arial"/>
                <w:color w:val="006100"/>
                <w:sz w:val="16"/>
                <w:szCs w:val="16"/>
              </w:rPr>
            </w:pPr>
          </w:p>
          <w:p w14:paraId="19EA01E2" w14:textId="541B3AA5" w:rsidR="00AD589E" w:rsidRPr="003558AF" w:rsidRDefault="00AD589E" w:rsidP="003558AF">
            <w:pPr>
              <w:spacing w:after="0"/>
              <w:rPr>
                <w:rFonts w:ascii="Arial" w:hAnsi="Arial" w:cs="Arial"/>
                <w:color w:val="006100"/>
                <w:sz w:val="16"/>
                <w:szCs w:val="16"/>
              </w:rPr>
            </w:pPr>
            <w:r w:rsidRPr="003558AF">
              <w:rPr>
                <w:rFonts w:ascii="Arial" w:hAnsi="Arial" w:cs="Arial"/>
                <w:color w:val="006100"/>
                <w:sz w:val="16"/>
                <w:szCs w:val="16"/>
              </w:rPr>
              <w:t xml:space="preserve">How: </w:t>
            </w:r>
            <w:r w:rsidR="000916A7">
              <w:rPr>
                <w:rFonts w:ascii="Arial" w:hAnsi="Arial" w:cs="Arial"/>
                <w:color w:val="006100"/>
                <w:sz w:val="16"/>
                <w:szCs w:val="16"/>
              </w:rPr>
              <w:t>contracting (a), reporting (b)</w:t>
            </w:r>
          </w:p>
          <w:p w14:paraId="41570DD3" w14:textId="77777777" w:rsidR="00AD589E" w:rsidRPr="003558AF" w:rsidRDefault="00AD589E" w:rsidP="003558AF">
            <w:pPr>
              <w:spacing w:after="0"/>
              <w:rPr>
                <w:rFonts w:ascii="Arial" w:hAnsi="Arial" w:cs="Arial"/>
                <w:color w:val="006100"/>
                <w:sz w:val="16"/>
                <w:szCs w:val="16"/>
              </w:rPr>
            </w:pPr>
          </w:p>
          <w:p w14:paraId="43BA1F82" w14:textId="0FE7BC6F" w:rsidR="00AD589E" w:rsidRPr="003558AF" w:rsidRDefault="00AD589E" w:rsidP="003558AF">
            <w:pPr>
              <w:spacing w:after="0"/>
              <w:rPr>
                <w:rFonts w:ascii="Arial" w:hAnsi="Arial" w:cs="Arial"/>
                <w:color w:val="006100"/>
                <w:sz w:val="16"/>
                <w:szCs w:val="16"/>
              </w:rPr>
            </w:pPr>
            <w:r w:rsidRPr="003558AF">
              <w:rPr>
                <w:rFonts w:ascii="Arial" w:hAnsi="Arial" w:cs="Arial"/>
                <w:color w:val="006100"/>
                <w:sz w:val="16"/>
                <w:szCs w:val="16"/>
              </w:rPr>
              <w:t>Why: The upgrade, modernization and digitalization of the national transmission systems as specified in the signed contracts shall include the deployment of Substation Automation Systems (SAS) in 171 substations at 110 kV voltage level creating technical conditions for the integration of new 2 500 MW production capacity from renewable sources into the electricity system by Q4 2024. [provide references to the above in the summary document]</w:t>
            </w:r>
          </w:p>
          <w:p w14:paraId="56579F7C" w14:textId="77777777" w:rsidR="00AD589E" w:rsidRPr="003558AF" w:rsidRDefault="00AD589E" w:rsidP="003558AF">
            <w:pPr>
              <w:spacing w:after="0"/>
              <w:rPr>
                <w:rFonts w:ascii="Arial" w:hAnsi="Arial" w:cs="Arial"/>
                <w:color w:val="006100"/>
                <w:sz w:val="16"/>
                <w:szCs w:val="16"/>
              </w:rPr>
            </w:pPr>
          </w:p>
          <w:p w14:paraId="1F3A889F" w14:textId="7A8E290B" w:rsidR="00AD589E" w:rsidRPr="004F3D4C" w:rsidRDefault="00AD589E" w:rsidP="003558AF">
            <w:pPr>
              <w:spacing w:after="0"/>
              <w:rPr>
                <w:rFonts w:ascii="Arial" w:hAnsi="Arial" w:cs="Arial"/>
                <w:color w:val="006100"/>
                <w:sz w:val="16"/>
                <w:szCs w:val="16"/>
              </w:rPr>
            </w:pPr>
            <w:r w:rsidRPr="003558AF">
              <w:rPr>
                <w:rFonts w:ascii="Arial" w:hAnsi="Arial" w:cs="Arial"/>
                <w:color w:val="006100"/>
                <w:sz w:val="16"/>
                <w:szCs w:val="16"/>
              </w:rPr>
              <w:t>When: specify the dates of signature</w:t>
            </w:r>
          </w:p>
        </w:tc>
        <w:tc>
          <w:tcPr>
            <w:tcW w:w="2268" w:type="dxa"/>
            <w:shd w:val="clear" w:color="auto" w:fill="D6E3C6"/>
          </w:tcPr>
          <w:p w14:paraId="15D37DD5" w14:textId="77777777" w:rsidR="00AD589E" w:rsidRPr="00E864AA" w:rsidRDefault="00AD589E" w:rsidP="00E864AA">
            <w:pPr>
              <w:spacing w:after="0"/>
              <w:rPr>
                <w:rFonts w:ascii="Arial" w:hAnsi="Arial" w:cs="Arial"/>
                <w:color w:val="006100"/>
                <w:sz w:val="16"/>
                <w:szCs w:val="16"/>
              </w:rPr>
            </w:pPr>
            <w:r w:rsidRPr="00E864AA">
              <w:rPr>
                <w:rFonts w:ascii="Arial" w:hAnsi="Arial" w:cs="Arial"/>
                <w:color w:val="006100"/>
                <w:sz w:val="16"/>
                <w:szCs w:val="16"/>
              </w:rPr>
              <w:t xml:space="preserve">The objective of this investment is to increase the penetration of renewable energy sources, to increase flexibility in the operational management and monitoring of the electricity system and the net cross-border transmission capacity at borders with Member States (i.e., Romania and Greece).  </w:t>
            </w:r>
          </w:p>
          <w:p w14:paraId="6D8F0501" w14:textId="77777777" w:rsidR="00AD589E" w:rsidRPr="00E864AA" w:rsidRDefault="00AD589E" w:rsidP="00E864AA">
            <w:pPr>
              <w:spacing w:after="0"/>
              <w:rPr>
                <w:rFonts w:ascii="Arial" w:hAnsi="Arial" w:cs="Arial"/>
                <w:color w:val="006100"/>
                <w:sz w:val="16"/>
                <w:szCs w:val="16"/>
              </w:rPr>
            </w:pPr>
          </w:p>
          <w:p w14:paraId="22BFF326" w14:textId="77777777" w:rsidR="00AD589E" w:rsidRPr="00E864AA" w:rsidRDefault="00AD589E" w:rsidP="00E864AA">
            <w:pPr>
              <w:spacing w:after="0"/>
              <w:rPr>
                <w:rFonts w:ascii="Arial" w:hAnsi="Arial" w:cs="Arial"/>
                <w:color w:val="006100"/>
                <w:sz w:val="16"/>
                <w:szCs w:val="16"/>
              </w:rPr>
            </w:pPr>
            <w:r w:rsidRPr="00E864AA">
              <w:rPr>
                <w:rFonts w:ascii="Arial" w:hAnsi="Arial" w:cs="Arial"/>
                <w:color w:val="006100"/>
                <w:sz w:val="16"/>
                <w:szCs w:val="16"/>
              </w:rPr>
              <w:t xml:space="preserve">The investment includes a comprehensive programme for the overall digital transformation of systems and processes of the Electricity System Operator covering the automated management of substations, upgrade of the supervisory control and data acquisition system (SCADA) with the introduction of remote back-up, extension and upgrade of telecommunication network, including comprehensive cybersecurity system and upgrade of the electricity markets administration systems. </w:t>
            </w:r>
          </w:p>
          <w:p w14:paraId="38DFAEFB" w14:textId="77777777" w:rsidR="00AD589E" w:rsidRPr="00E864AA" w:rsidRDefault="00AD589E" w:rsidP="00E864AA">
            <w:pPr>
              <w:spacing w:after="0"/>
              <w:rPr>
                <w:rFonts w:ascii="Arial" w:hAnsi="Arial" w:cs="Arial"/>
                <w:color w:val="006100"/>
                <w:sz w:val="16"/>
                <w:szCs w:val="16"/>
              </w:rPr>
            </w:pPr>
          </w:p>
          <w:p w14:paraId="03F9A8DD" w14:textId="7848932B" w:rsidR="00AD589E" w:rsidRPr="004F3D4C" w:rsidRDefault="00AD589E" w:rsidP="00E864AA">
            <w:pPr>
              <w:spacing w:after="0"/>
              <w:rPr>
                <w:rFonts w:ascii="Arial" w:hAnsi="Arial" w:cs="Arial"/>
                <w:color w:val="006100"/>
                <w:sz w:val="16"/>
                <w:szCs w:val="16"/>
              </w:rPr>
            </w:pPr>
            <w:r w:rsidRPr="00E864AA">
              <w:rPr>
                <w:rFonts w:ascii="Arial" w:hAnsi="Arial" w:cs="Arial"/>
                <w:color w:val="006100"/>
                <w:sz w:val="16"/>
                <w:szCs w:val="16"/>
              </w:rPr>
              <w:t>As a result of those actions, the conditions and requirements for the technical feasibility of the electricity transmission system shall be met to integrate a cumulative new 4 500 MW of production capacity from renewable sources into the electricity system by 31 March 2026. Also, a cumulative 1 200 MW of additional net interconnection capacity with Romania and Greece compared to the existing available capacity shall be made available to the market by 30 June 2025.</w:t>
            </w:r>
          </w:p>
        </w:tc>
        <w:tc>
          <w:tcPr>
            <w:tcW w:w="1036" w:type="dxa"/>
            <w:gridSpan w:val="2"/>
            <w:shd w:val="clear" w:color="auto" w:fill="D6E3C6"/>
          </w:tcPr>
          <w:p w14:paraId="0D5956EC" w14:textId="51E93B03"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1F7BD192" w14:textId="53F23147" w:rsidR="00AD589E" w:rsidRPr="004F3D4C" w:rsidRDefault="00AD589E" w:rsidP="009807A8">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52E3DE78" w14:textId="7B89D2EE"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646D9597" w14:textId="7A3F614A" w:rsidR="00AD589E" w:rsidRPr="004F3D4C" w:rsidRDefault="002E594C" w:rsidP="009807A8">
            <w:pPr>
              <w:spacing w:after="0"/>
              <w:rPr>
                <w:rFonts w:ascii="Arial" w:hAnsi="Arial" w:cs="Arial"/>
                <w:color w:val="006100"/>
                <w:sz w:val="16"/>
                <w:szCs w:val="16"/>
              </w:rPr>
            </w:pPr>
            <w:r>
              <w:rPr>
                <w:rFonts w:ascii="Arial" w:hAnsi="Arial" w:cs="Arial"/>
                <w:color w:val="006100"/>
                <w:sz w:val="16"/>
                <w:szCs w:val="16"/>
              </w:rPr>
              <w:t>-</w:t>
            </w:r>
          </w:p>
        </w:tc>
      </w:tr>
      <w:tr w:rsidR="00AD589E" w:rsidRPr="004F3D4C" w14:paraId="400A4117" w14:textId="2E36F339" w:rsidTr="00596EEA">
        <w:trPr>
          <w:trHeight w:val="309"/>
        </w:trPr>
        <w:tc>
          <w:tcPr>
            <w:tcW w:w="454" w:type="dxa"/>
            <w:shd w:val="clear" w:color="auto" w:fill="D6E3C6"/>
            <w:noWrap/>
          </w:tcPr>
          <w:p w14:paraId="70027427" w14:textId="344E9FEA"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86</w:t>
            </w:r>
          </w:p>
        </w:tc>
        <w:tc>
          <w:tcPr>
            <w:tcW w:w="1215" w:type="dxa"/>
            <w:shd w:val="clear" w:color="auto" w:fill="D6E3C6"/>
            <w:noWrap/>
          </w:tcPr>
          <w:p w14:paraId="292EF900" w14:textId="6D92C087"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C4.I4: Digital transformation of the electricity transmission grid</w:t>
            </w:r>
          </w:p>
        </w:tc>
        <w:tc>
          <w:tcPr>
            <w:tcW w:w="956" w:type="dxa"/>
            <w:shd w:val="clear" w:color="auto" w:fill="D6E3C6"/>
            <w:noWrap/>
          </w:tcPr>
          <w:p w14:paraId="0A134028" w14:textId="31F0F327"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1F90F921" w14:textId="03ACFF9B"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Technical conditions enabled for the integration of new 2 500 MW production capacity from renewable sources (wind and solar) into the electricity system</w:t>
            </w:r>
          </w:p>
        </w:tc>
        <w:tc>
          <w:tcPr>
            <w:tcW w:w="1322" w:type="dxa"/>
            <w:shd w:val="clear" w:color="auto" w:fill="D6E3C6"/>
            <w:noWrap/>
          </w:tcPr>
          <w:p w14:paraId="17B21C1D" w14:textId="77777777" w:rsidR="00AD589E" w:rsidRPr="004F3D4C" w:rsidRDefault="00AD589E" w:rsidP="009807A8">
            <w:pPr>
              <w:spacing w:after="0"/>
              <w:rPr>
                <w:rFonts w:ascii="Arial" w:eastAsia="Times New Roman" w:hAnsi="Arial" w:cs="Arial"/>
                <w:color w:val="006100"/>
                <w:sz w:val="16"/>
                <w:szCs w:val="16"/>
                <w:lang w:eastAsia="en-GB"/>
              </w:rPr>
            </w:pPr>
          </w:p>
        </w:tc>
        <w:tc>
          <w:tcPr>
            <w:tcW w:w="709" w:type="dxa"/>
            <w:shd w:val="clear" w:color="auto" w:fill="D6E3C6"/>
            <w:noWrap/>
          </w:tcPr>
          <w:p w14:paraId="26ED560F" w14:textId="1ED68805"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Megawatts (MW)</w:t>
            </w:r>
          </w:p>
        </w:tc>
        <w:tc>
          <w:tcPr>
            <w:tcW w:w="614" w:type="dxa"/>
            <w:shd w:val="clear" w:color="auto" w:fill="D6E3C6"/>
            <w:noWrap/>
          </w:tcPr>
          <w:p w14:paraId="7A0B48E6" w14:textId="272CEFD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1842</w:t>
            </w:r>
          </w:p>
        </w:tc>
        <w:tc>
          <w:tcPr>
            <w:tcW w:w="731" w:type="dxa"/>
            <w:shd w:val="clear" w:color="auto" w:fill="D6E3C6"/>
            <w:noWrap/>
          </w:tcPr>
          <w:p w14:paraId="1DF89C63" w14:textId="01F93A7D"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4342</w:t>
            </w:r>
          </w:p>
        </w:tc>
        <w:tc>
          <w:tcPr>
            <w:tcW w:w="756" w:type="dxa"/>
            <w:gridSpan w:val="2"/>
            <w:shd w:val="clear" w:color="auto" w:fill="D6E3C6"/>
            <w:noWrap/>
          </w:tcPr>
          <w:p w14:paraId="65944D1E" w14:textId="51456FCD"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055F58DC" w14:textId="6FDEF39F"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2024</w:t>
            </w:r>
          </w:p>
        </w:tc>
        <w:tc>
          <w:tcPr>
            <w:tcW w:w="872" w:type="dxa"/>
            <w:gridSpan w:val="2"/>
            <w:shd w:val="clear" w:color="auto" w:fill="D6E3C6"/>
          </w:tcPr>
          <w:p w14:paraId="35E0A50C" w14:textId="531B2CD8"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Ministry of </w:t>
            </w:r>
            <w:r>
              <w:rPr>
                <w:rFonts w:ascii="Arial" w:eastAsia="Times New Roman" w:hAnsi="Arial" w:cs="Arial"/>
                <w:color w:val="006100"/>
                <w:sz w:val="16"/>
                <w:szCs w:val="16"/>
                <w:lang w:eastAsia="en-GB"/>
              </w:rPr>
              <w:t>E</w:t>
            </w:r>
            <w:r w:rsidRPr="004F3D4C">
              <w:rPr>
                <w:rFonts w:ascii="Arial" w:eastAsia="Times New Roman" w:hAnsi="Arial" w:cs="Arial"/>
                <w:color w:val="006100"/>
                <w:sz w:val="16"/>
                <w:szCs w:val="16"/>
                <w:lang w:eastAsia="en-GB"/>
              </w:rPr>
              <w:t>nergy/Electroenergien Sistemen Operator</w:t>
            </w:r>
          </w:p>
        </w:tc>
        <w:tc>
          <w:tcPr>
            <w:tcW w:w="851" w:type="dxa"/>
            <w:gridSpan w:val="2"/>
            <w:shd w:val="clear" w:color="auto" w:fill="D6E3C6"/>
          </w:tcPr>
          <w:p w14:paraId="06288EE3"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77D2AA9B" w14:textId="7B099019" w:rsidR="00AD589E" w:rsidRPr="004F3D4C" w:rsidRDefault="00AD589E" w:rsidP="0073371A">
            <w:pPr>
              <w:pStyle w:val="ListParagraph"/>
              <w:numPr>
                <w:ilvl w:val="0"/>
                <w:numId w:val="34"/>
              </w:numPr>
              <w:rPr>
                <w:rFonts w:ascii="Arial" w:hAnsi="Arial" w:cs="Arial"/>
                <w:color w:val="006100"/>
                <w:sz w:val="16"/>
                <w:szCs w:val="16"/>
                <w:lang w:eastAsia="en-GB"/>
              </w:rPr>
            </w:pPr>
            <w:r>
              <w:rPr>
                <w:rFonts w:ascii="Arial" w:hAnsi="Arial" w:cs="Arial"/>
                <w:color w:val="006100"/>
                <w:sz w:val="16"/>
                <w:szCs w:val="16"/>
                <w:lang w:eastAsia="en-GB"/>
              </w:rPr>
              <w:t>C</w:t>
            </w:r>
            <w:r w:rsidRPr="004F3D4C">
              <w:rPr>
                <w:rFonts w:ascii="Arial" w:hAnsi="Arial" w:cs="Arial"/>
                <w:color w:val="006100"/>
                <w:sz w:val="16"/>
                <w:szCs w:val="16"/>
                <w:lang w:eastAsia="en-GB"/>
              </w:rPr>
              <w:t xml:space="preserve">ertificate of completion signed by the contractor and the Transmission System Operator </w:t>
            </w:r>
            <w:r w:rsidRPr="004F3D4C">
              <w:rPr>
                <w:rFonts w:ascii="Arial" w:hAnsi="Arial" w:cs="Arial"/>
                <w:color w:val="006100"/>
                <w:sz w:val="16"/>
                <w:szCs w:val="16"/>
                <w:lang w:val="bg-BG" w:eastAsia="en-GB"/>
              </w:rPr>
              <w:t>/</w:t>
            </w:r>
            <w:r w:rsidRPr="004F3D4C">
              <w:rPr>
                <w:rFonts w:ascii="Arial" w:hAnsi="Arial" w:cs="Arial"/>
                <w:color w:val="006100"/>
                <w:sz w:val="16"/>
                <w:szCs w:val="16"/>
                <w:lang w:val="en-US" w:eastAsia="en-GB"/>
              </w:rPr>
              <w:t xml:space="preserve">document for entry into operation issued in accordance </w:t>
            </w:r>
            <w:r w:rsidRPr="004F3D4C">
              <w:rPr>
                <w:rFonts w:ascii="Arial" w:hAnsi="Arial" w:cs="Arial"/>
                <w:color w:val="006100"/>
                <w:sz w:val="16"/>
                <w:szCs w:val="16"/>
                <w:lang w:val="en-US" w:eastAsia="en-GB"/>
              </w:rPr>
              <w:lastRenderedPageBreak/>
              <w:t xml:space="preserve">with the Bulgarian legislation or with </w:t>
            </w:r>
            <w:r w:rsidRPr="004F3D4C">
              <w:rPr>
                <w:rFonts w:ascii="Arial" w:hAnsi="Arial" w:cs="Arial"/>
                <w:color w:val="006100"/>
                <w:sz w:val="16"/>
                <w:szCs w:val="16"/>
                <w:lang w:eastAsia="en-GB"/>
              </w:rPr>
              <w:t>Transmission System Operator’s</w:t>
            </w:r>
            <w:r w:rsidRPr="004F3D4C">
              <w:rPr>
                <w:rFonts w:ascii="Arial" w:hAnsi="Arial" w:cs="Arial"/>
                <w:color w:val="006100"/>
                <w:sz w:val="16"/>
                <w:szCs w:val="16"/>
                <w:lang w:val="en-US" w:eastAsia="en-GB"/>
              </w:rPr>
              <w:t xml:space="preserve"> internal rules and procedures </w:t>
            </w:r>
            <w:r w:rsidRPr="004F3D4C">
              <w:rPr>
                <w:rFonts w:ascii="Arial" w:hAnsi="Arial" w:cs="Arial"/>
                <w:color w:val="006100"/>
                <w:sz w:val="16"/>
                <w:szCs w:val="16"/>
                <w:lang w:val="bg-BG" w:eastAsia="en-GB"/>
              </w:rPr>
              <w:t>(</w:t>
            </w:r>
            <w:r w:rsidRPr="004F3D4C">
              <w:rPr>
                <w:rFonts w:ascii="Arial" w:hAnsi="Arial" w:cs="Arial"/>
                <w:color w:val="006100"/>
                <w:sz w:val="16"/>
                <w:szCs w:val="16"/>
                <w:lang w:val="en-US" w:eastAsia="en-GB"/>
              </w:rPr>
              <w:t>only applicable for installation works performed by ESO on its own),</w:t>
            </w:r>
            <w:r w:rsidRPr="004F3D4C">
              <w:rPr>
                <w:rFonts w:ascii="Arial" w:hAnsi="Arial" w:cs="Arial"/>
                <w:color w:val="006100"/>
                <w:sz w:val="16"/>
                <w:szCs w:val="16"/>
                <w:lang w:eastAsia="en-GB"/>
              </w:rPr>
              <w:t xml:space="preserve"> endorsed by the competent authority (e.g. National regulatory authority/Ministry of Energy)</w:t>
            </w:r>
          </w:p>
          <w:p w14:paraId="38197FD7" w14:textId="50E9831F" w:rsidR="00AD589E" w:rsidRPr="00EA6054" w:rsidRDefault="00AD589E" w:rsidP="0073371A">
            <w:pPr>
              <w:pStyle w:val="ListParagraph"/>
              <w:numPr>
                <w:ilvl w:val="0"/>
                <w:numId w:val="34"/>
              </w:numPr>
              <w:spacing w:after="0"/>
              <w:rPr>
                <w:rFonts w:ascii="Arial" w:hAnsi="Arial" w:cs="Arial"/>
                <w:color w:val="006100"/>
                <w:sz w:val="16"/>
                <w:szCs w:val="16"/>
              </w:rPr>
            </w:pPr>
            <w:r>
              <w:rPr>
                <w:rFonts w:ascii="Arial" w:hAnsi="Arial" w:cs="Arial"/>
                <w:color w:val="006100"/>
                <w:sz w:val="16"/>
                <w:szCs w:val="16"/>
                <w:lang w:eastAsia="en-GB"/>
              </w:rPr>
              <w:t>A</w:t>
            </w:r>
            <w:r w:rsidRPr="004F3D4C">
              <w:rPr>
                <w:rFonts w:ascii="Arial" w:hAnsi="Arial" w:cs="Arial"/>
                <w:color w:val="006100"/>
                <w:sz w:val="16"/>
                <w:szCs w:val="16"/>
                <w:lang w:eastAsia="en-GB"/>
              </w:rPr>
              <w:t xml:space="preserve"> report by an independent engineer endorsed by the responsible authority, providing justification that the technical specifications for the entry into operation the equipment deployed to </w:t>
            </w:r>
            <w:r w:rsidRPr="004F3D4C">
              <w:rPr>
                <w:rFonts w:ascii="Arial" w:hAnsi="Arial" w:cs="Arial"/>
                <w:color w:val="006100"/>
                <w:sz w:val="16"/>
                <w:szCs w:val="16"/>
              </w:rPr>
              <w:t>integrate at least 2 500 MW of new production capacity, compared to 2020 levels, from renewable sources into the electricity system</w:t>
            </w:r>
          </w:p>
        </w:tc>
        <w:tc>
          <w:tcPr>
            <w:tcW w:w="3402" w:type="dxa"/>
            <w:shd w:val="clear" w:color="auto" w:fill="D6E3C6"/>
          </w:tcPr>
          <w:p w14:paraId="17BC6AF4" w14:textId="5CDE224C" w:rsidR="00AD589E" w:rsidRPr="003558AF" w:rsidRDefault="00AD589E" w:rsidP="00EA6054">
            <w:pPr>
              <w:spacing w:after="0"/>
              <w:rPr>
                <w:rFonts w:ascii="Arial" w:hAnsi="Arial" w:cs="Arial"/>
                <w:color w:val="006100"/>
                <w:sz w:val="16"/>
                <w:szCs w:val="16"/>
              </w:rPr>
            </w:pPr>
            <w:r w:rsidRPr="003558AF">
              <w:rPr>
                <w:rFonts w:ascii="Arial" w:hAnsi="Arial" w:cs="Arial"/>
                <w:color w:val="006100"/>
                <w:sz w:val="16"/>
                <w:szCs w:val="16"/>
              </w:rPr>
              <w:lastRenderedPageBreak/>
              <w:t xml:space="preserve">Institution/s: </w:t>
            </w:r>
            <w:r w:rsidRPr="00EA6054">
              <w:rPr>
                <w:rFonts w:ascii="Arial" w:hAnsi="Arial" w:cs="Arial"/>
                <w:color w:val="006100"/>
                <w:sz w:val="16"/>
                <w:szCs w:val="16"/>
              </w:rPr>
              <w:t xml:space="preserve">Ministry of </w:t>
            </w:r>
            <w:r>
              <w:rPr>
                <w:rFonts w:ascii="Arial" w:hAnsi="Arial" w:cs="Arial"/>
                <w:color w:val="006100"/>
                <w:sz w:val="16"/>
                <w:szCs w:val="16"/>
              </w:rPr>
              <w:t>E</w:t>
            </w:r>
            <w:r w:rsidRPr="00EA6054">
              <w:rPr>
                <w:rFonts w:ascii="Arial" w:hAnsi="Arial" w:cs="Arial"/>
                <w:color w:val="006100"/>
                <w:sz w:val="16"/>
                <w:szCs w:val="16"/>
              </w:rPr>
              <w:t>nergy/Electroenergien Sistemen Operator</w:t>
            </w:r>
          </w:p>
          <w:p w14:paraId="325FD15B" w14:textId="77777777" w:rsidR="00AD589E" w:rsidRPr="003558AF" w:rsidRDefault="00AD589E" w:rsidP="00EA6054">
            <w:pPr>
              <w:spacing w:after="0"/>
              <w:rPr>
                <w:rFonts w:ascii="Arial" w:hAnsi="Arial" w:cs="Arial"/>
                <w:color w:val="006100"/>
                <w:sz w:val="16"/>
                <w:szCs w:val="16"/>
              </w:rPr>
            </w:pPr>
          </w:p>
          <w:p w14:paraId="20EF6B2C" w14:textId="1F98BC9D" w:rsidR="00AD589E" w:rsidRPr="003558AF" w:rsidRDefault="00AD589E" w:rsidP="00EA6054">
            <w:pPr>
              <w:spacing w:after="0"/>
              <w:rPr>
                <w:rFonts w:ascii="Arial" w:hAnsi="Arial" w:cs="Arial"/>
                <w:color w:val="006100"/>
                <w:sz w:val="16"/>
                <w:szCs w:val="16"/>
              </w:rPr>
            </w:pPr>
            <w:r w:rsidRPr="003558AF">
              <w:rPr>
                <w:rFonts w:ascii="Arial" w:hAnsi="Arial" w:cs="Arial"/>
                <w:color w:val="006100"/>
                <w:sz w:val="16"/>
                <w:szCs w:val="16"/>
              </w:rPr>
              <w:t xml:space="preserve">What: </w:t>
            </w:r>
            <w:r w:rsidRPr="00EA6054">
              <w:rPr>
                <w:rFonts w:ascii="Arial" w:hAnsi="Arial" w:cs="Arial"/>
                <w:color w:val="006100"/>
                <w:sz w:val="16"/>
                <w:szCs w:val="16"/>
              </w:rPr>
              <w:t>Technical conditions enabled for the integration of new 2 500 MW production capacity from renewable sources (wind and solar) into the electricity system</w:t>
            </w:r>
          </w:p>
          <w:p w14:paraId="1BEF4C08" w14:textId="77777777" w:rsidR="00AD589E" w:rsidRPr="003558AF" w:rsidRDefault="00AD589E" w:rsidP="00EA6054">
            <w:pPr>
              <w:spacing w:after="0"/>
              <w:rPr>
                <w:rFonts w:ascii="Arial" w:hAnsi="Arial" w:cs="Arial"/>
                <w:color w:val="006100"/>
                <w:sz w:val="16"/>
                <w:szCs w:val="16"/>
              </w:rPr>
            </w:pPr>
          </w:p>
          <w:p w14:paraId="4644889A" w14:textId="401F718A" w:rsidR="00AD589E" w:rsidRPr="003558AF" w:rsidRDefault="00AD589E" w:rsidP="00EA6054">
            <w:pPr>
              <w:spacing w:after="0"/>
              <w:rPr>
                <w:rFonts w:ascii="Arial" w:hAnsi="Arial" w:cs="Arial"/>
                <w:color w:val="006100"/>
                <w:sz w:val="16"/>
                <w:szCs w:val="16"/>
              </w:rPr>
            </w:pPr>
            <w:r w:rsidRPr="003558AF">
              <w:rPr>
                <w:rFonts w:ascii="Arial" w:hAnsi="Arial" w:cs="Arial"/>
                <w:color w:val="006100"/>
                <w:sz w:val="16"/>
                <w:szCs w:val="16"/>
              </w:rPr>
              <w:t xml:space="preserve">How: </w:t>
            </w:r>
            <w:r w:rsidR="00911ECF">
              <w:rPr>
                <w:rFonts w:ascii="Arial" w:hAnsi="Arial" w:cs="Arial"/>
                <w:color w:val="006100"/>
                <w:sz w:val="16"/>
                <w:szCs w:val="16"/>
              </w:rPr>
              <w:t>contracting (a), reporting (b)</w:t>
            </w:r>
          </w:p>
          <w:p w14:paraId="4E39508A" w14:textId="77777777" w:rsidR="00AD589E" w:rsidRPr="003558AF" w:rsidRDefault="00AD589E" w:rsidP="00EA6054">
            <w:pPr>
              <w:spacing w:after="0"/>
              <w:rPr>
                <w:rFonts w:ascii="Arial" w:hAnsi="Arial" w:cs="Arial"/>
                <w:color w:val="006100"/>
                <w:sz w:val="16"/>
                <w:szCs w:val="16"/>
              </w:rPr>
            </w:pPr>
          </w:p>
          <w:p w14:paraId="07D39ABF" w14:textId="1B7D9E1F" w:rsidR="00AD589E" w:rsidRPr="003558AF" w:rsidRDefault="00AD589E" w:rsidP="00EA6054">
            <w:pPr>
              <w:spacing w:after="0"/>
              <w:rPr>
                <w:rFonts w:ascii="Arial" w:hAnsi="Arial" w:cs="Arial"/>
                <w:color w:val="006100"/>
                <w:sz w:val="16"/>
                <w:szCs w:val="16"/>
              </w:rPr>
            </w:pPr>
            <w:r w:rsidRPr="003558AF">
              <w:rPr>
                <w:rFonts w:ascii="Arial" w:hAnsi="Arial" w:cs="Arial"/>
                <w:color w:val="006100"/>
                <w:sz w:val="16"/>
                <w:szCs w:val="16"/>
              </w:rPr>
              <w:lastRenderedPageBreak/>
              <w:t xml:space="preserve">Why: </w:t>
            </w:r>
            <w:r w:rsidRPr="00EA6054">
              <w:rPr>
                <w:rFonts w:ascii="Arial" w:hAnsi="Arial" w:cs="Arial"/>
                <w:color w:val="006100"/>
                <w:sz w:val="16"/>
                <w:szCs w:val="16"/>
              </w:rPr>
              <w:t xml:space="preserve">All conditions and requirements for the technical feasibility of the electricity transmission system shall be met to integrate at least 2 500 MW of new production capacity, compared to 2020 levels, from renewable sources into the electricity system. </w:t>
            </w:r>
            <w:r w:rsidRPr="003558AF">
              <w:rPr>
                <w:rFonts w:ascii="Arial" w:hAnsi="Arial" w:cs="Arial"/>
                <w:color w:val="006100"/>
                <w:sz w:val="16"/>
                <w:szCs w:val="16"/>
              </w:rPr>
              <w:t>[provide references to the above in the summary document]</w:t>
            </w:r>
          </w:p>
          <w:p w14:paraId="5BE45858" w14:textId="77777777" w:rsidR="00AD589E" w:rsidRPr="003558AF" w:rsidRDefault="00AD589E" w:rsidP="00EA6054">
            <w:pPr>
              <w:spacing w:after="0"/>
              <w:rPr>
                <w:rFonts w:ascii="Arial" w:hAnsi="Arial" w:cs="Arial"/>
                <w:color w:val="006100"/>
                <w:sz w:val="16"/>
                <w:szCs w:val="16"/>
              </w:rPr>
            </w:pPr>
          </w:p>
          <w:p w14:paraId="2140ACFE" w14:textId="5113DF24" w:rsidR="00AD589E" w:rsidRPr="004F3D4C" w:rsidRDefault="00AD589E" w:rsidP="00EA6054">
            <w:pPr>
              <w:spacing w:after="0"/>
              <w:rPr>
                <w:rFonts w:ascii="Arial" w:hAnsi="Arial" w:cs="Arial"/>
                <w:color w:val="006100"/>
                <w:sz w:val="16"/>
                <w:szCs w:val="16"/>
              </w:rPr>
            </w:pPr>
            <w:r w:rsidRPr="003558AF">
              <w:rPr>
                <w:rFonts w:ascii="Arial" w:hAnsi="Arial" w:cs="Arial"/>
                <w:color w:val="006100"/>
                <w:sz w:val="16"/>
                <w:szCs w:val="16"/>
              </w:rPr>
              <w:t xml:space="preserve">When: </w:t>
            </w:r>
            <w:r w:rsidRPr="00C7587C">
              <w:rPr>
                <w:rFonts w:ascii="Arial" w:hAnsi="Arial" w:cs="Arial"/>
                <w:color w:val="006100"/>
                <w:sz w:val="16"/>
                <w:szCs w:val="16"/>
              </w:rPr>
              <w:t>specify the</w:t>
            </w:r>
            <w:r>
              <w:rPr>
                <w:rFonts w:ascii="Arial" w:hAnsi="Arial" w:cs="Arial"/>
                <w:color w:val="006100"/>
                <w:sz w:val="16"/>
                <w:szCs w:val="16"/>
              </w:rPr>
              <w:t xml:space="preserve"> new production capacity in Megawatts</w:t>
            </w:r>
            <w:r w:rsidRPr="00C7587C">
              <w:rPr>
                <w:rFonts w:ascii="Arial" w:hAnsi="Arial" w:cs="Arial"/>
                <w:color w:val="006100"/>
                <w:sz w:val="16"/>
                <w:szCs w:val="16"/>
              </w:rPr>
              <w:t xml:space="preserve"> as of Q</w:t>
            </w:r>
            <w:r>
              <w:rPr>
                <w:rFonts w:ascii="Arial" w:hAnsi="Arial" w:cs="Arial"/>
                <w:color w:val="006100"/>
                <w:sz w:val="16"/>
                <w:szCs w:val="16"/>
              </w:rPr>
              <w:t>4</w:t>
            </w:r>
            <w:r w:rsidRPr="00C7587C">
              <w:rPr>
                <w:rFonts w:ascii="Arial" w:hAnsi="Arial" w:cs="Arial"/>
                <w:color w:val="006100"/>
                <w:sz w:val="16"/>
                <w:szCs w:val="16"/>
              </w:rPr>
              <w:t xml:space="preserve"> 202</w:t>
            </w:r>
            <w:r>
              <w:rPr>
                <w:rFonts w:ascii="Arial" w:hAnsi="Arial" w:cs="Arial"/>
                <w:color w:val="006100"/>
                <w:sz w:val="16"/>
                <w:szCs w:val="16"/>
              </w:rPr>
              <w:t>4</w:t>
            </w:r>
            <w:r w:rsidRPr="00C7587C">
              <w:rPr>
                <w:rFonts w:ascii="Arial" w:hAnsi="Arial" w:cs="Arial"/>
                <w:color w:val="006100"/>
                <w:sz w:val="16"/>
                <w:szCs w:val="16"/>
              </w:rPr>
              <w:t>, but also at any time series (if available)</w:t>
            </w:r>
          </w:p>
        </w:tc>
        <w:tc>
          <w:tcPr>
            <w:tcW w:w="2268" w:type="dxa"/>
            <w:shd w:val="clear" w:color="auto" w:fill="D6E3C6"/>
          </w:tcPr>
          <w:p w14:paraId="63B60C51" w14:textId="7C3E720A"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36" w:type="dxa"/>
            <w:gridSpan w:val="2"/>
            <w:shd w:val="clear" w:color="auto" w:fill="D6E3C6"/>
          </w:tcPr>
          <w:p w14:paraId="078B637A" w14:textId="02D7E230"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Delays in milestone 85</w:t>
            </w:r>
          </w:p>
        </w:tc>
        <w:tc>
          <w:tcPr>
            <w:tcW w:w="1090" w:type="dxa"/>
            <w:gridSpan w:val="2"/>
            <w:shd w:val="clear" w:color="auto" w:fill="D6E3C6"/>
          </w:tcPr>
          <w:p w14:paraId="2ADCC574" w14:textId="3245BEAC"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Yes, sample-based</w:t>
            </w:r>
          </w:p>
          <w:p w14:paraId="572585CB" w14:textId="77777777" w:rsidR="00AD589E" w:rsidRPr="004F3D4C" w:rsidRDefault="00AD589E" w:rsidP="009807A8">
            <w:pPr>
              <w:spacing w:after="0"/>
              <w:rPr>
                <w:rFonts w:ascii="Arial" w:hAnsi="Arial" w:cs="Arial"/>
                <w:color w:val="006100"/>
                <w:sz w:val="16"/>
                <w:szCs w:val="16"/>
              </w:rPr>
            </w:pPr>
          </w:p>
        </w:tc>
        <w:tc>
          <w:tcPr>
            <w:tcW w:w="992" w:type="dxa"/>
            <w:gridSpan w:val="2"/>
            <w:shd w:val="clear" w:color="auto" w:fill="D6E3C6"/>
          </w:tcPr>
          <w:p w14:paraId="52BA0626" w14:textId="74F44E27"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Indicator 2</w:t>
            </w:r>
          </w:p>
        </w:tc>
        <w:tc>
          <w:tcPr>
            <w:tcW w:w="1418" w:type="dxa"/>
            <w:gridSpan w:val="2"/>
            <w:shd w:val="clear" w:color="auto" w:fill="D6E3C6"/>
          </w:tcPr>
          <w:p w14:paraId="0D1DA99A" w14:textId="5C0E9577" w:rsidR="00AD589E" w:rsidRPr="004F3D4C" w:rsidRDefault="00C31C91" w:rsidP="009807A8">
            <w:pPr>
              <w:spacing w:after="0"/>
              <w:rPr>
                <w:rFonts w:ascii="Arial" w:hAnsi="Arial" w:cs="Arial"/>
                <w:color w:val="005D00"/>
                <w:sz w:val="16"/>
                <w:szCs w:val="16"/>
              </w:rPr>
            </w:pPr>
            <w:r>
              <w:rPr>
                <w:rFonts w:ascii="Arial" w:hAnsi="Arial" w:cs="Arial"/>
                <w:color w:val="005D00"/>
                <w:sz w:val="16"/>
                <w:szCs w:val="16"/>
              </w:rPr>
              <w:t xml:space="preserve">A monitoring step: </w:t>
            </w:r>
            <w:r w:rsidR="00EE6458" w:rsidRPr="00EE6458">
              <w:rPr>
                <w:rFonts w:ascii="Arial" w:hAnsi="Arial" w:cs="Arial"/>
                <w:color w:val="005D00"/>
                <w:sz w:val="16"/>
                <w:szCs w:val="16"/>
              </w:rPr>
              <w:t xml:space="preserve">Submission to the European Commission of a progress report on the upgrade of the of the electricity transmission grid to integrate new </w:t>
            </w:r>
            <w:r w:rsidR="00EE6458" w:rsidRPr="00EE6458">
              <w:rPr>
                <w:rFonts w:ascii="Arial" w:hAnsi="Arial" w:cs="Arial"/>
                <w:color w:val="005D00"/>
                <w:sz w:val="16"/>
                <w:szCs w:val="16"/>
              </w:rPr>
              <w:lastRenderedPageBreak/>
              <w:t>production capacity from renewable sources</w:t>
            </w:r>
            <w:r w:rsidR="00EE6458">
              <w:rPr>
                <w:rFonts w:ascii="Arial" w:hAnsi="Arial" w:cs="Arial"/>
                <w:color w:val="005D00"/>
                <w:sz w:val="16"/>
                <w:szCs w:val="16"/>
              </w:rPr>
              <w:t xml:space="preserve"> (</w:t>
            </w:r>
            <w:r w:rsidR="00B4603C">
              <w:rPr>
                <w:rFonts w:ascii="Arial" w:hAnsi="Arial" w:cs="Arial"/>
                <w:color w:val="005D00"/>
                <w:sz w:val="16"/>
                <w:szCs w:val="16"/>
              </w:rPr>
              <w:t>Q4 2023)</w:t>
            </w:r>
          </w:p>
        </w:tc>
      </w:tr>
      <w:tr w:rsidR="00AD589E" w:rsidRPr="004F3D4C" w14:paraId="4C4A52B0" w14:textId="646AD010" w:rsidTr="00596EEA">
        <w:trPr>
          <w:trHeight w:val="309"/>
        </w:trPr>
        <w:tc>
          <w:tcPr>
            <w:tcW w:w="454" w:type="dxa"/>
            <w:shd w:val="clear" w:color="auto" w:fill="D6E3C6"/>
            <w:noWrap/>
          </w:tcPr>
          <w:p w14:paraId="646FE260" w14:textId="52C4AC0F"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lastRenderedPageBreak/>
              <w:t>87</w:t>
            </w:r>
          </w:p>
        </w:tc>
        <w:tc>
          <w:tcPr>
            <w:tcW w:w="1215" w:type="dxa"/>
            <w:shd w:val="clear" w:color="auto" w:fill="D6E3C6"/>
            <w:noWrap/>
          </w:tcPr>
          <w:p w14:paraId="334C609B" w14:textId="1DFF0954"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C4.I4: Digital transformation of the electricity transmission grid</w:t>
            </w:r>
          </w:p>
        </w:tc>
        <w:tc>
          <w:tcPr>
            <w:tcW w:w="956" w:type="dxa"/>
            <w:shd w:val="clear" w:color="auto" w:fill="D6E3C6"/>
            <w:noWrap/>
          </w:tcPr>
          <w:p w14:paraId="1422EB16" w14:textId="5C1592BD"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1AA15721" w14:textId="42AB317B"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Increase of net cross-border transmission capacity by 600 MW</w:t>
            </w:r>
          </w:p>
        </w:tc>
        <w:tc>
          <w:tcPr>
            <w:tcW w:w="1322" w:type="dxa"/>
            <w:shd w:val="clear" w:color="auto" w:fill="D6E3C6"/>
            <w:noWrap/>
          </w:tcPr>
          <w:p w14:paraId="3A983FF1" w14:textId="77777777" w:rsidR="00AD589E" w:rsidRPr="004F3D4C" w:rsidRDefault="00AD589E" w:rsidP="009807A8">
            <w:pPr>
              <w:spacing w:after="0"/>
              <w:rPr>
                <w:rFonts w:ascii="Arial" w:eastAsia="Times New Roman" w:hAnsi="Arial" w:cs="Arial"/>
                <w:color w:val="006100"/>
                <w:sz w:val="16"/>
                <w:szCs w:val="16"/>
                <w:lang w:eastAsia="en-GB"/>
              </w:rPr>
            </w:pPr>
          </w:p>
        </w:tc>
        <w:tc>
          <w:tcPr>
            <w:tcW w:w="709" w:type="dxa"/>
            <w:shd w:val="clear" w:color="auto" w:fill="D6E3C6"/>
            <w:noWrap/>
          </w:tcPr>
          <w:p w14:paraId="7DD9C7CE" w14:textId="3C9606D6"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Megawatts (MW)</w:t>
            </w:r>
          </w:p>
        </w:tc>
        <w:tc>
          <w:tcPr>
            <w:tcW w:w="614" w:type="dxa"/>
            <w:shd w:val="clear" w:color="auto" w:fill="D6E3C6"/>
            <w:noWrap/>
          </w:tcPr>
          <w:p w14:paraId="26D32013" w14:textId="629120B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1400</w:t>
            </w:r>
          </w:p>
        </w:tc>
        <w:tc>
          <w:tcPr>
            <w:tcW w:w="731" w:type="dxa"/>
            <w:shd w:val="clear" w:color="auto" w:fill="D6E3C6"/>
            <w:noWrap/>
          </w:tcPr>
          <w:p w14:paraId="0C8244A9" w14:textId="74A04E8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2000</w:t>
            </w:r>
          </w:p>
        </w:tc>
        <w:tc>
          <w:tcPr>
            <w:tcW w:w="756" w:type="dxa"/>
            <w:gridSpan w:val="2"/>
            <w:shd w:val="clear" w:color="auto" w:fill="D6E3C6"/>
            <w:noWrap/>
          </w:tcPr>
          <w:p w14:paraId="7C90AD01" w14:textId="44F0EF7A"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554A069C" w14:textId="6A1FE6C5"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2024</w:t>
            </w:r>
          </w:p>
        </w:tc>
        <w:tc>
          <w:tcPr>
            <w:tcW w:w="872" w:type="dxa"/>
            <w:gridSpan w:val="2"/>
            <w:shd w:val="clear" w:color="auto" w:fill="D6E3C6"/>
          </w:tcPr>
          <w:p w14:paraId="13EC6345" w14:textId="76BA6A2E"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Ministry of </w:t>
            </w:r>
            <w:r>
              <w:rPr>
                <w:rFonts w:ascii="Arial" w:eastAsia="Times New Roman" w:hAnsi="Arial" w:cs="Arial"/>
                <w:color w:val="006100"/>
                <w:sz w:val="16"/>
                <w:szCs w:val="16"/>
                <w:lang w:eastAsia="en-GB"/>
              </w:rPr>
              <w:t>E</w:t>
            </w:r>
            <w:r w:rsidRPr="004F3D4C">
              <w:rPr>
                <w:rFonts w:ascii="Arial" w:eastAsia="Times New Roman" w:hAnsi="Arial" w:cs="Arial"/>
                <w:color w:val="006100"/>
                <w:sz w:val="16"/>
                <w:szCs w:val="16"/>
                <w:lang w:eastAsia="en-GB"/>
              </w:rPr>
              <w:t>nergy/Electroenergien Sistemen Operator</w:t>
            </w:r>
          </w:p>
        </w:tc>
        <w:tc>
          <w:tcPr>
            <w:tcW w:w="851" w:type="dxa"/>
            <w:gridSpan w:val="2"/>
            <w:shd w:val="clear" w:color="auto" w:fill="D6E3C6"/>
          </w:tcPr>
          <w:p w14:paraId="6EA90450"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2643F910" w14:textId="3E76B988" w:rsidR="00AD589E" w:rsidRPr="004F3D4C" w:rsidRDefault="00AD589E" w:rsidP="0073371A">
            <w:pPr>
              <w:pStyle w:val="ListParagraph"/>
              <w:numPr>
                <w:ilvl w:val="0"/>
                <w:numId w:val="35"/>
              </w:numPr>
              <w:rPr>
                <w:rFonts w:ascii="Arial" w:hAnsi="Arial" w:cs="Arial"/>
                <w:color w:val="006100"/>
                <w:sz w:val="16"/>
                <w:szCs w:val="16"/>
                <w:lang w:eastAsia="en-GB"/>
              </w:rPr>
            </w:pPr>
            <w:r>
              <w:rPr>
                <w:rFonts w:ascii="Arial" w:hAnsi="Arial" w:cs="Arial"/>
                <w:color w:val="006100"/>
                <w:sz w:val="16"/>
                <w:szCs w:val="16"/>
                <w:lang w:eastAsia="en-GB"/>
              </w:rPr>
              <w:t>D</w:t>
            </w:r>
            <w:r w:rsidRPr="004F3D4C">
              <w:rPr>
                <w:rFonts w:ascii="Arial" w:hAnsi="Arial" w:cs="Arial"/>
                <w:color w:val="006100"/>
                <w:sz w:val="16"/>
                <w:szCs w:val="16"/>
                <w:lang w:eastAsia="en-GB"/>
              </w:rPr>
              <w:t>escription of the interconnectors where the capacity ha</w:t>
            </w:r>
            <w:r w:rsidRPr="004F3D4C">
              <w:rPr>
                <w:rFonts w:ascii="Arial" w:hAnsi="Arial" w:cs="Arial"/>
                <w:color w:val="006100"/>
                <w:sz w:val="16"/>
                <w:szCs w:val="16"/>
                <w:lang w:val="en-US" w:eastAsia="en-GB"/>
              </w:rPr>
              <w:t>s</w:t>
            </w:r>
            <w:r w:rsidRPr="004F3D4C">
              <w:rPr>
                <w:rFonts w:ascii="Arial" w:hAnsi="Arial" w:cs="Arial"/>
                <w:color w:val="006100"/>
                <w:sz w:val="16"/>
                <w:szCs w:val="16"/>
                <w:lang w:eastAsia="en-GB"/>
              </w:rPr>
              <w:t xml:space="preserve"> been increased compared to 2020 levels</w:t>
            </w:r>
          </w:p>
          <w:p w14:paraId="6A601D41" w14:textId="71FB6362" w:rsidR="00AD589E" w:rsidRPr="004F3D4C" w:rsidRDefault="00AD589E" w:rsidP="0073371A">
            <w:pPr>
              <w:pStyle w:val="ListParagraph"/>
              <w:numPr>
                <w:ilvl w:val="0"/>
                <w:numId w:val="35"/>
              </w:numPr>
              <w:rPr>
                <w:rFonts w:ascii="Arial" w:hAnsi="Arial" w:cs="Arial"/>
                <w:color w:val="006100"/>
                <w:sz w:val="16"/>
                <w:szCs w:val="16"/>
                <w:lang w:eastAsia="en-GB"/>
              </w:rPr>
            </w:pPr>
            <w:r>
              <w:rPr>
                <w:rFonts w:ascii="Arial" w:hAnsi="Arial" w:cs="Arial"/>
                <w:color w:val="006100"/>
                <w:sz w:val="16"/>
                <w:szCs w:val="16"/>
                <w:lang w:eastAsia="en-GB"/>
              </w:rPr>
              <w:t>O</w:t>
            </w:r>
            <w:r w:rsidRPr="004F3D4C">
              <w:rPr>
                <w:rFonts w:ascii="Arial" w:hAnsi="Arial" w:cs="Arial"/>
                <w:color w:val="006100"/>
                <w:sz w:val="16"/>
                <w:szCs w:val="16"/>
                <w:lang w:eastAsia="en-GB"/>
              </w:rPr>
              <w:t xml:space="preserve">fficial correspondence between Bulgarian and Romanian and Bulgarian and Greek TSOs  in accordance with the Joint Allocation Rules, containing evidence that at least 600 MW of additional net </w:t>
            </w:r>
            <w:r w:rsidRPr="004F3D4C">
              <w:rPr>
                <w:rFonts w:ascii="Arial" w:hAnsi="Arial" w:cs="Arial"/>
                <w:color w:val="006100"/>
                <w:sz w:val="16"/>
                <w:szCs w:val="16"/>
                <w:lang w:eastAsia="en-GB"/>
              </w:rPr>
              <w:lastRenderedPageBreak/>
              <w:t>cross-border transmission capacity with Romania and Greece, compared to 2020 levels, was proposed by ESO EAD to be offered to the market</w:t>
            </w:r>
          </w:p>
          <w:p w14:paraId="7BFEEA2B" w14:textId="1B60D54B" w:rsidR="00AD589E" w:rsidRPr="00CE01F1" w:rsidRDefault="00AD589E" w:rsidP="0073371A">
            <w:pPr>
              <w:pStyle w:val="ListParagraph"/>
              <w:numPr>
                <w:ilvl w:val="0"/>
                <w:numId w:val="35"/>
              </w:numPr>
              <w:spacing w:after="0"/>
              <w:rPr>
                <w:rFonts w:ascii="Arial" w:hAnsi="Arial" w:cs="Arial"/>
                <w:color w:val="006100"/>
                <w:sz w:val="16"/>
                <w:szCs w:val="16"/>
              </w:rPr>
            </w:pPr>
            <w:r>
              <w:rPr>
                <w:rFonts w:ascii="Arial" w:hAnsi="Arial" w:cs="Arial"/>
                <w:color w:val="006100"/>
                <w:sz w:val="16"/>
                <w:szCs w:val="16"/>
                <w:lang w:eastAsia="en-GB"/>
              </w:rPr>
              <w:t>E</w:t>
            </w:r>
            <w:r w:rsidRPr="004F3D4C">
              <w:rPr>
                <w:rFonts w:ascii="Arial" w:hAnsi="Arial" w:cs="Arial"/>
                <w:color w:val="006100"/>
                <w:sz w:val="16"/>
                <w:szCs w:val="16"/>
                <w:lang w:eastAsia="en-GB"/>
              </w:rPr>
              <w:t>xtract from the capacity auctioning publication</w:t>
            </w:r>
          </w:p>
        </w:tc>
        <w:tc>
          <w:tcPr>
            <w:tcW w:w="3402" w:type="dxa"/>
            <w:shd w:val="clear" w:color="auto" w:fill="D6E3C6"/>
          </w:tcPr>
          <w:p w14:paraId="2EB2CAE7" w14:textId="77777777" w:rsidR="00AD589E" w:rsidRPr="003558AF" w:rsidRDefault="00AD589E" w:rsidP="009E1AE0">
            <w:pPr>
              <w:spacing w:after="0"/>
              <w:rPr>
                <w:rFonts w:ascii="Arial" w:hAnsi="Arial" w:cs="Arial"/>
                <w:color w:val="006100"/>
                <w:sz w:val="16"/>
                <w:szCs w:val="16"/>
              </w:rPr>
            </w:pPr>
            <w:r w:rsidRPr="003558AF">
              <w:rPr>
                <w:rFonts w:ascii="Arial" w:hAnsi="Arial" w:cs="Arial"/>
                <w:color w:val="006100"/>
                <w:sz w:val="16"/>
                <w:szCs w:val="16"/>
              </w:rPr>
              <w:lastRenderedPageBreak/>
              <w:t xml:space="preserve">Institution/s: </w:t>
            </w:r>
            <w:r w:rsidRPr="00EA6054">
              <w:rPr>
                <w:rFonts w:ascii="Arial" w:hAnsi="Arial" w:cs="Arial"/>
                <w:color w:val="006100"/>
                <w:sz w:val="16"/>
                <w:szCs w:val="16"/>
              </w:rPr>
              <w:t xml:space="preserve">Ministry of </w:t>
            </w:r>
            <w:r>
              <w:rPr>
                <w:rFonts w:ascii="Arial" w:hAnsi="Arial" w:cs="Arial"/>
                <w:color w:val="006100"/>
                <w:sz w:val="16"/>
                <w:szCs w:val="16"/>
              </w:rPr>
              <w:t>E</w:t>
            </w:r>
            <w:r w:rsidRPr="00EA6054">
              <w:rPr>
                <w:rFonts w:ascii="Arial" w:hAnsi="Arial" w:cs="Arial"/>
                <w:color w:val="006100"/>
                <w:sz w:val="16"/>
                <w:szCs w:val="16"/>
              </w:rPr>
              <w:t>nergy/Electroenergien Sistemen Operator</w:t>
            </w:r>
          </w:p>
          <w:p w14:paraId="1C1ECF7F" w14:textId="77777777" w:rsidR="00AD589E" w:rsidRPr="003558AF" w:rsidRDefault="00AD589E" w:rsidP="009E1AE0">
            <w:pPr>
              <w:spacing w:after="0"/>
              <w:rPr>
                <w:rFonts w:ascii="Arial" w:hAnsi="Arial" w:cs="Arial"/>
                <w:color w:val="006100"/>
                <w:sz w:val="16"/>
                <w:szCs w:val="16"/>
              </w:rPr>
            </w:pPr>
          </w:p>
          <w:p w14:paraId="650AEADD" w14:textId="19BD40DB" w:rsidR="00AD589E" w:rsidRPr="003558AF" w:rsidRDefault="00AD589E" w:rsidP="009E1AE0">
            <w:pPr>
              <w:spacing w:after="0"/>
              <w:rPr>
                <w:rFonts w:ascii="Arial" w:hAnsi="Arial" w:cs="Arial"/>
                <w:color w:val="006100"/>
                <w:sz w:val="16"/>
                <w:szCs w:val="16"/>
              </w:rPr>
            </w:pPr>
            <w:r w:rsidRPr="003558AF">
              <w:rPr>
                <w:rFonts w:ascii="Arial" w:hAnsi="Arial" w:cs="Arial"/>
                <w:color w:val="006100"/>
                <w:sz w:val="16"/>
                <w:szCs w:val="16"/>
              </w:rPr>
              <w:t xml:space="preserve">What: </w:t>
            </w:r>
            <w:r w:rsidRPr="009E1AE0">
              <w:rPr>
                <w:rFonts w:ascii="Arial" w:hAnsi="Arial" w:cs="Arial"/>
                <w:color w:val="006100"/>
                <w:sz w:val="16"/>
                <w:szCs w:val="16"/>
              </w:rPr>
              <w:t>Increase of net cross-border transmission capacity by 600 MW</w:t>
            </w:r>
          </w:p>
          <w:p w14:paraId="6EE1152C" w14:textId="77777777" w:rsidR="00AD589E" w:rsidRPr="003558AF" w:rsidRDefault="00AD589E" w:rsidP="009E1AE0">
            <w:pPr>
              <w:spacing w:after="0"/>
              <w:rPr>
                <w:rFonts w:ascii="Arial" w:hAnsi="Arial" w:cs="Arial"/>
                <w:color w:val="006100"/>
                <w:sz w:val="16"/>
                <w:szCs w:val="16"/>
              </w:rPr>
            </w:pPr>
          </w:p>
          <w:p w14:paraId="4BF6209C" w14:textId="23486A2E" w:rsidR="00AD589E" w:rsidRPr="003558AF" w:rsidRDefault="00AD589E" w:rsidP="009E1AE0">
            <w:pPr>
              <w:spacing w:after="0"/>
              <w:rPr>
                <w:rFonts w:ascii="Arial" w:hAnsi="Arial" w:cs="Arial"/>
                <w:color w:val="006100"/>
                <w:sz w:val="16"/>
                <w:szCs w:val="16"/>
              </w:rPr>
            </w:pPr>
            <w:r w:rsidRPr="003558AF">
              <w:rPr>
                <w:rFonts w:ascii="Arial" w:hAnsi="Arial" w:cs="Arial"/>
                <w:color w:val="006100"/>
                <w:sz w:val="16"/>
                <w:szCs w:val="16"/>
              </w:rPr>
              <w:t xml:space="preserve">How: </w:t>
            </w:r>
            <w:r>
              <w:rPr>
                <w:rFonts w:ascii="Arial" w:hAnsi="Arial" w:cs="Arial"/>
                <w:color w:val="006100"/>
                <w:sz w:val="16"/>
                <w:szCs w:val="16"/>
              </w:rPr>
              <w:t>reporting (a, b, c)</w:t>
            </w:r>
          </w:p>
          <w:p w14:paraId="3C4DE29B" w14:textId="77777777" w:rsidR="00AD589E" w:rsidRPr="003558AF" w:rsidRDefault="00AD589E" w:rsidP="009E1AE0">
            <w:pPr>
              <w:spacing w:after="0"/>
              <w:rPr>
                <w:rFonts w:ascii="Arial" w:hAnsi="Arial" w:cs="Arial"/>
                <w:color w:val="006100"/>
                <w:sz w:val="16"/>
                <w:szCs w:val="16"/>
              </w:rPr>
            </w:pPr>
          </w:p>
          <w:p w14:paraId="12FB174C" w14:textId="609F47E8" w:rsidR="00AD589E" w:rsidRPr="003558AF" w:rsidRDefault="00AD589E" w:rsidP="009E1AE0">
            <w:pPr>
              <w:spacing w:after="0"/>
              <w:rPr>
                <w:rFonts w:ascii="Arial" w:hAnsi="Arial" w:cs="Arial"/>
                <w:color w:val="006100"/>
                <w:sz w:val="16"/>
                <w:szCs w:val="16"/>
              </w:rPr>
            </w:pPr>
            <w:r w:rsidRPr="003558AF">
              <w:rPr>
                <w:rFonts w:ascii="Arial" w:hAnsi="Arial" w:cs="Arial"/>
                <w:color w:val="006100"/>
                <w:sz w:val="16"/>
                <w:szCs w:val="16"/>
              </w:rPr>
              <w:t xml:space="preserve">Why: </w:t>
            </w:r>
            <w:r w:rsidRPr="009E1AE0">
              <w:rPr>
                <w:rFonts w:ascii="Arial" w:hAnsi="Arial" w:cs="Arial"/>
                <w:color w:val="006100"/>
                <w:sz w:val="16"/>
                <w:szCs w:val="16"/>
              </w:rPr>
              <w:t>At least 600 MW of additional net cross-border transmission capacity with Romania and Greece, compared to 2020 levels, shall be commissioned and made available to the market.</w:t>
            </w:r>
            <w:r w:rsidRPr="00EA6054">
              <w:rPr>
                <w:rFonts w:ascii="Arial" w:hAnsi="Arial" w:cs="Arial"/>
                <w:color w:val="006100"/>
                <w:sz w:val="16"/>
                <w:szCs w:val="16"/>
              </w:rPr>
              <w:t xml:space="preserve"> </w:t>
            </w:r>
            <w:r w:rsidRPr="003558AF">
              <w:rPr>
                <w:rFonts w:ascii="Arial" w:hAnsi="Arial" w:cs="Arial"/>
                <w:color w:val="006100"/>
                <w:sz w:val="16"/>
                <w:szCs w:val="16"/>
              </w:rPr>
              <w:t>[provide references to the above in the summary document]</w:t>
            </w:r>
          </w:p>
          <w:p w14:paraId="45B980EC" w14:textId="77777777" w:rsidR="00AD589E" w:rsidRPr="003558AF" w:rsidRDefault="00AD589E" w:rsidP="009E1AE0">
            <w:pPr>
              <w:spacing w:after="0"/>
              <w:rPr>
                <w:rFonts w:ascii="Arial" w:hAnsi="Arial" w:cs="Arial"/>
                <w:color w:val="006100"/>
                <w:sz w:val="16"/>
                <w:szCs w:val="16"/>
              </w:rPr>
            </w:pPr>
          </w:p>
          <w:p w14:paraId="448BE556" w14:textId="1BDB89CD" w:rsidR="00AD589E" w:rsidRPr="004F3D4C" w:rsidRDefault="00AD589E" w:rsidP="009E1AE0">
            <w:pPr>
              <w:spacing w:after="0"/>
              <w:rPr>
                <w:rFonts w:ascii="Arial" w:hAnsi="Arial" w:cs="Arial"/>
                <w:color w:val="006100"/>
                <w:sz w:val="16"/>
                <w:szCs w:val="16"/>
              </w:rPr>
            </w:pPr>
            <w:r w:rsidRPr="003558AF">
              <w:rPr>
                <w:rFonts w:ascii="Arial" w:hAnsi="Arial" w:cs="Arial"/>
                <w:color w:val="006100"/>
                <w:sz w:val="16"/>
                <w:szCs w:val="16"/>
              </w:rPr>
              <w:t xml:space="preserve">When: </w:t>
            </w:r>
            <w:r w:rsidRPr="00C7587C">
              <w:rPr>
                <w:rFonts w:ascii="Arial" w:hAnsi="Arial" w:cs="Arial"/>
                <w:color w:val="006100"/>
                <w:sz w:val="16"/>
                <w:szCs w:val="16"/>
              </w:rPr>
              <w:t>specify the</w:t>
            </w:r>
            <w:r>
              <w:rPr>
                <w:rFonts w:ascii="Arial" w:hAnsi="Arial" w:cs="Arial"/>
                <w:color w:val="006100"/>
                <w:sz w:val="16"/>
                <w:szCs w:val="16"/>
              </w:rPr>
              <w:t xml:space="preserve"> net cross-border transmission capacity in Megawatts</w:t>
            </w:r>
            <w:r w:rsidRPr="00C7587C">
              <w:rPr>
                <w:rFonts w:ascii="Arial" w:hAnsi="Arial" w:cs="Arial"/>
                <w:color w:val="006100"/>
                <w:sz w:val="16"/>
                <w:szCs w:val="16"/>
              </w:rPr>
              <w:t xml:space="preserve"> as of Q</w:t>
            </w:r>
            <w:r>
              <w:rPr>
                <w:rFonts w:ascii="Arial" w:hAnsi="Arial" w:cs="Arial"/>
                <w:color w:val="006100"/>
                <w:sz w:val="16"/>
                <w:szCs w:val="16"/>
              </w:rPr>
              <w:t>2</w:t>
            </w:r>
            <w:r w:rsidRPr="00C7587C">
              <w:rPr>
                <w:rFonts w:ascii="Arial" w:hAnsi="Arial" w:cs="Arial"/>
                <w:color w:val="006100"/>
                <w:sz w:val="16"/>
                <w:szCs w:val="16"/>
              </w:rPr>
              <w:t xml:space="preserve"> 202</w:t>
            </w:r>
            <w:r>
              <w:rPr>
                <w:rFonts w:ascii="Arial" w:hAnsi="Arial" w:cs="Arial"/>
                <w:color w:val="006100"/>
                <w:sz w:val="16"/>
                <w:szCs w:val="16"/>
              </w:rPr>
              <w:t>4</w:t>
            </w:r>
            <w:r w:rsidRPr="00C7587C">
              <w:rPr>
                <w:rFonts w:ascii="Arial" w:hAnsi="Arial" w:cs="Arial"/>
                <w:color w:val="006100"/>
                <w:sz w:val="16"/>
                <w:szCs w:val="16"/>
              </w:rPr>
              <w:t>, but also at any time series (if available)</w:t>
            </w:r>
          </w:p>
        </w:tc>
        <w:tc>
          <w:tcPr>
            <w:tcW w:w="2268" w:type="dxa"/>
            <w:shd w:val="clear" w:color="auto" w:fill="D6E3C6"/>
          </w:tcPr>
          <w:p w14:paraId="52138F67" w14:textId="00BFAD7E"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56009B26" w14:textId="3643A98F"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As above</w:t>
            </w:r>
          </w:p>
        </w:tc>
        <w:tc>
          <w:tcPr>
            <w:tcW w:w="1090" w:type="dxa"/>
            <w:gridSpan w:val="2"/>
            <w:shd w:val="clear" w:color="auto" w:fill="D6E3C6"/>
          </w:tcPr>
          <w:p w14:paraId="237D6E02" w14:textId="17F011A2"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Yes, at</w:t>
            </w:r>
            <w:r w:rsidRPr="004F3D4C">
              <w:rPr>
                <w:rFonts w:ascii="Arial" w:hAnsi="Arial" w:cs="Arial"/>
                <w:color w:val="005D00"/>
                <w:sz w:val="16"/>
                <w:szCs w:val="16"/>
              </w:rPr>
              <w:t xml:space="preserve"> 1-2 sites after the receipt of documents for completion of the works / equipment installation (Q2 2024, or earlier if completed before that date)</w:t>
            </w:r>
          </w:p>
          <w:p w14:paraId="13263DD3" w14:textId="686062E4" w:rsidR="00AD589E" w:rsidRPr="009502E1" w:rsidRDefault="00AD589E" w:rsidP="009807A8">
            <w:pPr>
              <w:spacing w:after="0"/>
              <w:rPr>
                <w:rFonts w:ascii="Arial" w:hAnsi="Arial" w:cs="Arial"/>
                <w:color w:val="005D00"/>
                <w:sz w:val="16"/>
                <w:szCs w:val="16"/>
              </w:rPr>
            </w:pPr>
          </w:p>
        </w:tc>
        <w:tc>
          <w:tcPr>
            <w:tcW w:w="992" w:type="dxa"/>
            <w:gridSpan w:val="2"/>
            <w:shd w:val="clear" w:color="auto" w:fill="D6E3C6"/>
          </w:tcPr>
          <w:p w14:paraId="22C7B7C0" w14:textId="25ECA2E0"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Indicator 2</w:t>
            </w:r>
          </w:p>
        </w:tc>
        <w:tc>
          <w:tcPr>
            <w:tcW w:w="1418" w:type="dxa"/>
            <w:gridSpan w:val="2"/>
            <w:shd w:val="clear" w:color="auto" w:fill="D6E3C6"/>
          </w:tcPr>
          <w:p w14:paraId="70BCD066" w14:textId="15FDCD26" w:rsidR="00AD589E" w:rsidRPr="004F3D4C" w:rsidRDefault="00173EFB" w:rsidP="009807A8">
            <w:pPr>
              <w:spacing w:after="0"/>
              <w:rPr>
                <w:rFonts w:ascii="Arial" w:hAnsi="Arial" w:cs="Arial"/>
                <w:color w:val="005D00"/>
                <w:sz w:val="16"/>
                <w:szCs w:val="16"/>
              </w:rPr>
            </w:pPr>
            <w:r>
              <w:rPr>
                <w:rFonts w:ascii="Arial" w:hAnsi="Arial" w:cs="Arial"/>
                <w:color w:val="005D00"/>
                <w:sz w:val="16"/>
                <w:szCs w:val="16"/>
              </w:rPr>
              <w:t xml:space="preserve">A monitoring step: </w:t>
            </w:r>
            <w:r w:rsidR="00E21896" w:rsidRPr="00E21896">
              <w:rPr>
                <w:rFonts w:ascii="Arial" w:hAnsi="Arial" w:cs="Arial"/>
                <w:color w:val="005D00"/>
                <w:sz w:val="16"/>
                <w:szCs w:val="16"/>
              </w:rPr>
              <w:t>Submission to the European Commission of a progress report on the upgrade of the of the electricity transmission grid to increase cross-border transmission capacity</w:t>
            </w:r>
            <w:r w:rsidR="00E21896">
              <w:rPr>
                <w:rFonts w:ascii="Arial" w:hAnsi="Arial" w:cs="Arial"/>
                <w:color w:val="005D00"/>
                <w:sz w:val="16"/>
                <w:szCs w:val="16"/>
              </w:rPr>
              <w:t xml:space="preserve"> (</w:t>
            </w:r>
            <w:r w:rsidR="005E16C8">
              <w:rPr>
                <w:rFonts w:ascii="Arial" w:hAnsi="Arial" w:cs="Arial"/>
                <w:color w:val="005D00"/>
                <w:sz w:val="16"/>
                <w:szCs w:val="16"/>
              </w:rPr>
              <w:t>Q2 2023</w:t>
            </w:r>
            <w:r w:rsidR="00E21896">
              <w:rPr>
                <w:rFonts w:ascii="Arial" w:hAnsi="Arial" w:cs="Arial"/>
                <w:color w:val="005D00"/>
                <w:sz w:val="16"/>
                <w:szCs w:val="16"/>
              </w:rPr>
              <w:t>)</w:t>
            </w:r>
          </w:p>
        </w:tc>
      </w:tr>
      <w:tr w:rsidR="00AD589E" w:rsidRPr="004F3D4C" w14:paraId="08746431" w14:textId="27B7E3E4" w:rsidTr="00596EEA">
        <w:trPr>
          <w:trHeight w:val="309"/>
        </w:trPr>
        <w:tc>
          <w:tcPr>
            <w:tcW w:w="454" w:type="dxa"/>
            <w:shd w:val="clear" w:color="auto" w:fill="D6E3C6"/>
            <w:noWrap/>
          </w:tcPr>
          <w:p w14:paraId="5A5308B8" w14:textId="0F82A686"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88</w:t>
            </w:r>
          </w:p>
        </w:tc>
        <w:tc>
          <w:tcPr>
            <w:tcW w:w="1215" w:type="dxa"/>
            <w:shd w:val="clear" w:color="auto" w:fill="D6E3C6"/>
            <w:noWrap/>
          </w:tcPr>
          <w:p w14:paraId="3E82726E" w14:textId="63E3E678"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C4.I4: Digital transformation of the electricity transmission grid</w:t>
            </w:r>
          </w:p>
        </w:tc>
        <w:tc>
          <w:tcPr>
            <w:tcW w:w="956" w:type="dxa"/>
            <w:shd w:val="clear" w:color="auto" w:fill="D6E3C6"/>
            <w:noWrap/>
          </w:tcPr>
          <w:p w14:paraId="2D6CBBE8" w14:textId="390D6D5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3F7173DF" w14:textId="5327D9ED"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Increase of net cross-border transmission capacity by additional 600 MW</w:t>
            </w:r>
          </w:p>
        </w:tc>
        <w:tc>
          <w:tcPr>
            <w:tcW w:w="1322" w:type="dxa"/>
            <w:shd w:val="clear" w:color="auto" w:fill="D6E3C6"/>
            <w:noWrap/>
          </w:tcPr>
          <w:p w14:paraId="7E76FB83" w14:textId="77777777" w:rsidR="00AD589E" w:rsidRPr="004F3D4C" w:rsidRDefault="00AD589E" w:rsidP="009807A8">
            <w:pPr>
              <w:spacing w:after="0"/>
              <w:rPr>
                <w:rFonts w:ascii="Arial" w:eastAsia="Times New Roman" w:hAnsi="Arial" w:cs="Arial"/>
                <w:color w:val="006100"/>
                <w:sz w:val="16"/>
                <w:szCs w:val="16"/>
                <w:lang w:eastAsia="en-GB"/>
              </w:rPr>
            </w:pPr>
          </w:p>
        </w:tc>
        <w:tc>
          <w:tcPr>
            <w:tcW w:w="709" w:type="dxa"/>
            <w:shd w:val="clear" w:color="auto" w:fill="D6E3C6"/>
            <w:noWrap/>
          </w:tcPr>
          <w:p w14:paraId="359BD810" w14:textId="3AE02B98"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Megawatts (MW)</w:t>
            </w:r>
          </w:p>
        </w:tc>
        <w:tc>
          <w:tcPr>
            <w:tcW w:w="614" w:type="dxa"/>
            <w:shd w:val="clear" w:color="auto" w:fill="D6E3C6"/>
            <w:noWrap/>
          </w:tcPr>
          <w:p w14:paraId="36BCA0E0" w14:textId="44F53F89"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1400</w:t>
            </w:r>
          </w:p>
        </w:tc>
        <w:tc>
          <w:tcPr>
            <w:tcW w:w="731" w:type="dxa"/>
            <w:shd w:val="clear" w:color="auto" w:fill="D6E3C6"/>
            <w:noWrap/>
          </w:tcPr>
          <w:p w14:paraId="7D747AA7" w14:textId="0F933208"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2600</w:t>
            </w:r>
          </w:p>
        </w:tc>
        <w:tc>
          <w:tcPr>
            <w:tcW w:w="756" w:type="dxa"/>
            <w:gridSpan w:val="2"/>
            <w:shd w:val="clear" w:color="auto" w:fill="D6E3C6"/>
            <w:noWrap/>
          </w:tcPr>
          <w:p w14:paraId="78924B3B" w14:textId="1CF3066B"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1F5D0C4C" w14:textId="324A027A"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2025</w:t>
            </w:r>
          </w:p>
        </w:tc>
        <w:tc>
          <w:tcPr>
            <w:tcW w:w="872" w:type="dxa"/>
            <w:gridSpan w:val="2"/>
            <w:shd w:val="clear" w:color="auto" w:fill="D6E3C6"/>
          </w:tcPr>
          <w:p w14:paraId="4FAD8ECF" w14:textId="5AA704E8"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Ministry of </w:t>
            </w:r>
            <w:r>
              <w:rPr>
                <w:rFonts w:ascii="Arial" w:eastAsia="Times New Roman" w:hAnsi="Arial" w:cs="Arial"/>
                <w:color w:val="006100"/>
                <w:sz w:val="16"/>
                <w:szCs w:val="16"/>
                <w:lang w:eastAsia="en-GB"/>
              </w:rPr>
              <w:t>E</w:t>
            </w:r>
            <w:r w:rsidRPr="004F3D4C">
              <w:rPr>
                <w:rFonts w:ascii="Arial" w:eastAsia="Times New Roman" w:hAnsi="Arial" w:cs="Arial"/>
                <w:color w:val="006100"/>
                <w:sz w:val="16"/>
                <w:szCs w:val="16"/>
                <w:lang w:eastAsia="en-GB"/>
              </w:rPr>
              <w:t>nergy/Electroenergien Sistemen Operator</w:t>
            </w:r>
          </w:p>
        </w:tc>
        <w:tc>
          <w:tcPr>
            <w:tcW w:w="851" w:type="dxa"/>
            <w:gridSpan w:val="2"/>
            <w:shd w:val="clear" w:color="auto" w:fill="D6E3C6"/>
          </w:tcPr>
          <w:p w14:paraId="504C74D0"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36C5D8FE" w14:textId="155170E0" w:rsidR="00AD589E" w:rsidRDefault="00AD589E" w:rsidP="0073371A">
            <w:pPr>
              <w:pStyle w:val="ListParagraph"/>
              <w:numPr>
                <w:ilvl w:val="0"/>
                <w:numId w:val="36"/>
              </w:numPr>
              <w:spacing w:after="0"/>
              <w:rPr>
                <w:rFonts w:ascii="Arial" w:hAnsi="Arial" w:cs="Arial"/>
                <w:color w:val="006100"/>
                <w:sz w:val="16"/>
                <w:szCs w:val="16"/>
              </w:rPr>
            </w:pPr>
            <w:r w:rsidRPr="004F3D4C">
              <w:rPr>
                <w:rFonts w:ascii="Arial" w:hAnsi="Arial" w:cs="Arial"/>
                <w:color w:val="006100"/>
                <w:sz w:val="16"/>
                <w:szCs w:val="16"/>
                <w:lang w:eastAsia="en-GB"/>
              </w:rPr>
              <w:t xml:space="preserve">Description of the interconnectors </w:t>
            </w:r>
            <w:r w:rsidRPr="004F3D4C">
              <w:rPr>
                <w:rFonts w:ascii="Arial" w:hAnsi="Arial" w:cs="Arial"/>
                <w:color w:val="006100"/>
                <w:sz w:val="16"/>
                <w:szCs w:val="16"/>
                <w:lang w:val="en-US" w:eastAsia="en-GB"/>
              </w:rPr>
              <w:t xml:space="preserve">whose </w:t>
            </w:r>
            <w:r w:rsidRPr="004F3D4C">
              <w:rPr>
                <w:rFonts w:ascii="Arial" w:hAnsi="Arial" w:cs="Arial"/>
                <w:color w:val="006100"/>
                <w:sz w:val="16"/>
                <w:szCs w:val="16"/>
                <w:lang w:eastAsia="en-GB"/>
              </w:rPr>
              <w:t>capacity has been increased compared to 2020 levels</w:t>
            </w:r>
            <w:r>
              <w:rPr>
                <w:rFonts w:ascii="Arial" w:hAnsi="Arial" w:cs="Arial"/>
                <w:color w:val="006100"/>
                <w:sz w:val="16"/>
                <w:szCs w:val="16"/>
                <w:lang w:eastAsia="en-GB"/>
              </w:rPr>
              <w:t xml:space="preserve"> </w:t>
            </w:r>
          </w:p>
          <w:p w14:paraId="305B2DCF" w14:textId="734412BB" w:rsidR="00AD589E" w:rsidRPr="004F3D4C" w:rsidRDefault="00AD589E" w:rsidP="0073371A">
            <w:pPr>
              <w:pStyle w:val="ListParagraph"/>
              <w:numPr>
                <w:ilvl w:val="0"/>
                <w:numId w:val="36"/>
              </w:numPr>
              <w:rPr>
                <w:rFonts w:ascii="Arial" w:hAnsi="Arial" w:cs="Arial"/>
                <w:color w:val="006100"/>
                <w:sz w:val="16"/>
                <w:szCs w:val="16"/>
                <w:lang w:eastAsia="en-GB"/>
              </w:rPr>
            </w:pPr>
            <w:r w:rsidRPr="004F3D4C">
              <w:rPr>
                <w:rFonts w:ascii="Arial" w:hAnsi="Arial" w:cs="Arial"/>
                <w:color w:val="006100"/>
                <w:sz w:val="16"/>
                <w:szCs w:val="16"/>
                <w:lang w:eastAsia="en-GB"/>
              </w:rPr>
              <w:t>Official correspondence  between Bulgarian and Romanian and Bulgarian and Greek TSOs in accordance with Joint Allocation Rules, containing evidence that at least 1200 MW of additional net cross-border transmission capacity with Romania and Greece, compared to 2020 levels, was proposed by ESO EAD to be offered to the market</w:t>
            </w:r>
            <w:r>
              <w:rPr>
                <w:rFonts w:ascii="Arial" w:hAnsi="Arial" w:cs="Arial"/>
                <w:color w:val="006100"/>
                <w:sz w:val="16"/>
                <w:szCs w:val="16"/>
                <w:lang w:eastAsia="en-GB"/>
              </w:rPr>
              <w:t xml:space="preserve"> </w:t>
            </w:r>
          </w:p>
          <w:p w14:paraId="3406C3E8" w14:textId="52ECF54E" w:rsidR="00AD589E" w:rsidRPr="00F714E0" w:rsidRDefault="00CC5FB2" w:rsidP="0073371A">
            <w:pPr>
              <w:pStyle w:val="ListParagraph"/>
              <w:numPr>
                <w:ilvl w:val="0"/>
                <w:numId w:val="36"/>
              </w:numPr>
              <w:spacing w:after="0"/>
              <w:rPr>
                <w:rFonts w:ascii="Arial" w:hAnsi="Arial" w:cs="Arial"/>
                <w:color w:val="006100"/>
                <w:sz w:val="16"/>
                <w:szCs w:val="16"/>
              </w:rPr>
            </w:pPr>
            <w:r>
              <w:rPr>
                <w:rFonts w:ascii="Arial" w:hAnsi="Arial" w:cs="Arial"/>
                <w:color w:val="006100"/>
                <w:sz w:val="16"/>
                <w:szCs w:val="16"/>
              </w:rPr>
              <w:t>E</w:t>
            </w:r>
            <w:r w:rsidR="00AD589E" w:rsidRPr="00F6000C">
              <w:rPr>
                <w:rFonts w:ascii="Arial" w:hAnsi="Arial" w:cs="Arial"/>
                <w:color w:val="006100"/>
                <w:sz w:val="16"/>
                <w:szCs w:val="16"/>
              </w:rPr>
              <w:t>xtract from the capacity auctioning publication containing evidence that at least 1200 MW of additional net cross-border transmission capacity with Romania and Greece, compared to 2020 levels was offered to the market</w:t>
            </w:r>
          </w:p>
        </w:tc>
        <w:tc>
          <w:tcPr>
            <w:tcW w:w="3402" w:type="dxa"/>
            <w:shd w:val="clear" w:color="auto" w:fill="D6E3C6"/>
          </w:tcPr>
          <w:p w14:paraId="2BAE4816" w14:textId="77777777" w:rsidR="00AD589E" w:rsidRPr="003558AF" w:rsidRDefault="00AD589E" w:rsidP="007138A1">
            <w:pPr>
              <w:spacing w:after="0"/>
              <w:rPr>
                <w:rFonts w:ascii="Arial" w:hAnsi="Arial" w:cs="Arial"/>
                <w:color w:val="006100"/>
                <w:sz w:val="16"/>
                <w:szCs w:val="16"/>
              </w:rPr>
            </w:pPr>
            <w:r w:rsidRPr="003558AF">
              <w:rPr>
                <w:rFonts w:ascii="Arial" w:hAnsi="Arial" w:cs="Arial"/>
                <w:color w:val="006100"/>
                <w:sz w:val="16"/>
                <w:szCs w:val="16"/>
              </w:rPr>
              <w:t xml:space="preserve">Institution/s: </w:t>
            </w:r>
            <w:r w:rsidRPr="00EA6054">
              <w:rPr>
                <w:rFonts w:ascii="Arial" w:hAnsi="Arial" w:cs="Arial"/>
                <w:color w:val="006100"/>
                <w:sz w:val="16"/>
                <w:szCs w:val="16"/>
              </w:rPr>
              <w:t xml:space="preserve">Ministry of </w:t>
            </w:r>
            <w:r>
              <w:rPr>
                <w:rFonts w:ascii="Arial" w:hAnsi="Arial" w:cs="Arial"/>
                <w:color w:val="006100"/>
                <w:sz w:val="16"/>
                <w:szCs w:val="16"/>
              </w:rPr>
              <w:t>E</w:t>
            </w:r>
            <w:r w:rsidRPr="00EA6054">
              <w:rPr>
                <w:rFonts w:ascii="Arial" w:hAnsi="Arial" w:cs="Arial"/>
                <w:color w:val="006100"/>
                <w:sz w:val="16"/>
                <w:szCs w:val="16"/>
              </w:rPr>
              <w:t>nergy/Electroenergien Sistemen Operator</w:t>
            </w:r>
          </w:p>
          <w:p w14:paraId="58104C42" w14:textId="77777777" w:rsidR="00AD589E" w:rsidRPr="003558AF" w:rsidRDefault="00AD589E" w:rsidP="007138A1">
            <w:pPr>
              <w:spacing w:after="0"/>
              <w:rPr>
                <w:rFonts w:ascii="Arial" w:hAnsi="Arial" w:cs="Arial"/>
                <w:color w:val="006100"/>
                <w:sz w:val="16"/>
                <w:szCs w:val="16"/>
              </w:rPr>
            </w:pPr>
          </w:p>
          <w:p w14:paraId="044A58C5" w14:textId="48528DE1" w:rsidR="00AD589E" w:rsidRPr="003558AF" w:rsidRDefault="00AD589E" w:rsidP="007138A1">
            <w:pPr>
              <w:spacing w:after="0"/>
              <w:rPr>
                <w:rFonts w:ascii="Arial" w:hAnsi="Arial" w:cs="Arial"/>
                <w:color w:val="006100"/>
                <w:sz w:val="16"/>
                <w:szCs w:val="16"/>
              </w:rPr>
            </w:pPr>
            <w:r w:rsidRPr="003558AF">
              <w:rPr>
                <w:rFonts w:ascii="Arial" w:hAnsi="Arial" w:cs="Arial"/>
                <w:color w:val="006100"/>
                <w:sz w:val="16"/>
                <w:szCs w:val="16"/>
              </w:rPr>
              <w:t xml:space="preserve">What: </w:t>
            </w:r>
            <w:r w:rsidRPr="00D67EF4">
              <w:rPr>
                <w:rFonts w:ascii="Arial" w:hAnsi="Arial" w:cs="Arial"/>
                <w:color w:val="006100"/>
                <w:sz w:val="16"/>
                <w:szCs w:val="16"/>
              </w:rPr>
              <w:t>Increase of net cross-border transmission capacity by additional 600 MW</w:t>
            </w:r>
          </w:p>
          <w:p w14:paraId="333C3A69" w14:textId="77777777" w:rsidR="00AD589E" w:rsidRPr="003558AF" w:rsidRDefault="00AD589E" w:rsidP="007138A1">
            <w:pPr>
              <w:spacing w:after="0"/>
              <w:rPr>
                <w:rFonts w:ascii="Arial" w:hAnsi="Arial" w:cs="Arial"/>
                <w:color w:val="006100"/>
                <w:sz w:val="16"/>
                <w:szCs w:val="16"/>
              </w:rPr>
            </w:pPr>
          </w:p>
          <w:p w14:paraId="28999481" w14:textId="39C08FE0" w:rsidR="00AD589E" w:rsidRPr="003558AF" w:rsidRDefault="00AD589E" w:rsidP="007138A1">
            <w:pPr>
              <w:spacing w:after="0"/>
              <w:rPr>
                <w:rFonts w:ascii="Arial" w:hAnsi="Arial" w:cs="Arial"/>
                <w:color w:val="006100"/>
                <w:sz w:val="16"/>
                <w:szCs w:val="16"/>
              </w:rPr>
            </w:pPr>
            <w:r w:rsidRPr="003558AF">
              <w:rPr>
                <w:rFonts w:ascii="Arial" w:hAnsi="Arial" w:cs="Arial"/>
                <w:color w:val="006100"/>
                <w:sz w:val="16"/>
                <w:szCs w:val="16"/>
              </w:rPr>
              <w:t xml:space="preserve">How: </w:t>
            </w:r>
            <w:r>
              <w:rPr>
                <w:rFonts w:ascii="Arial" w:hAnsi="Arial" w:cs="Arial"/>
                <w:color w:val="006100"/>
                <w:sz w:val="16"/>
                <w:szCs w:val="16"/>
              </w:rPr>
              <w:t>reporting (a, b, c)</w:t>
            </w:r>
          </w:p>
          <w:p w14:paraId="26E2E1D8" w14:textId="77777777" w:rsidR="00AD589E" w:rsidRPr="003558AF" w:rsidRDefault="00AD589E" w:rsidP="007138A1">
            <w:pPr>
              <w:spacing w:after="0"/>
              <w:rPr>
                <w:rFonts w:ascii="Arial" w:hAnsi="Arial" w:cs="Arial"/>
                <w:color w:val="006100"/>
                <w:sz w:val="16"/>
                <w:szCs w:val="16"/>
              </w:rPr>
            </w:pPr>
          </w:p>
          <w:p w14:paraId="68FEF229" w14:textId="1BD2E3EF" w:rsidR="00AD589E" w:rsidRPr="003558AF" w:rsidRDefault="00AD589E" w:rsidP="007138A1">
            <w:pPr>
              <w:spacing w:after="0"/>
              <w:rPr>
                <w:rFonts w:ascii="Arial" w:hAnsi="Arial" w:cs="Arial"/>
                <w:color w:val="006100"/>
                <w:sz w:val="16"/>
                <w:szCs w:val="16"/>
              </w:rPr>
            </w:pPr>
            <w:r w:rsidRPr="003558AF">
              <w:rPr>
                <w:rFonts w:ascii="Arial" w:hAnsi="Arial" w:cs="Arial"/>
                <w:color w:val="006100"/>
                <w:sz w:val="16"/>
                <w:szCs w:val="16"/>
              </w:rPr>
              <w:t xml:space="preserve">Why: </w:t>
            </w:r>
            <w:r w:rsidRPr="00D67EF4">
              <w:rPr>
                <w:rFonts w:ascii="Arial" w:hAnsi="Arial" w:cs="Arial"/>
                <w:color w:val="006100"/>
                <w:sz w:val="16"/>
                <w:szCs w:val="16"/>
              </w:rPr>
              <w:t>At least 1200 MW of additional net interconnection capacity with Romania and Greece compared to 2020 levels shall be commissioned and made available to the market.</w:t>
            </w:r>
            <w:r w:rsidRPr="00EA6054">
              <w:rPr>
                <w:rFonts w:ascii="Arial" w:hAnsi="Arial" w:cs="Arial"/>
                <w:color w:val="006100"/>
                <w:sz w:val="16"/>
                <w:szCs w:val="16"/>
              </w:rPr>
              <w:t xml:space="preserve"> </w:t>
            </w:r>
            <w:r w:rsidRPr="003558AF">
              <w:rPr>
                <w:rFonts w:ascii="Arial" w:hAnsi="Arial" w:cs="Arial"/>
                <w:color w:val="006100"/>
                <w:sz w:val="16"/>
                <w:szCs w:val="16"/>
              </w:rPr>
              <w:t>[provide references to the above in the summary document]</w:t>
            </w:r>
          </w:p>
          <w:p w14:paraId="179CEECE" w14:textId="77777777" w:rsidR="00AD589E" w:rsidRPr="003558AF" w:rsidRDefault="00AD589E" w:rsidP="007138A1">
            <w:pPr>
              <w:spacing w:after="0"/>
              <w:rPr>
                <w:rFonts w:ascii="Arial" w:hAnsi="Arial" w:cs="Arial"/>
                <w:color w:val="006100"/>
                <w:sz w:val="16"/>
                <w:szCs w:val="16"/>
              </w:rPr>
            </w:pPr>
          </w:p>
          <w:p w14:paraId="4F49DBDA" w14:textId="27B3CA74" w:rsidR="00AD589E" w:rsidRPr="004F3D4C" w:rsidRDefault="00AD589E" w:rsidP="007138A1">
            <w:pPr>
              <w:spacing w:after="0"/>
              <w:rPr>
                <w:rFonts w:ascii="Arial" w:hAnsi="Arial" w:cs="Arial"/>
                <w:color w:val="006100"/>
                <w:sz w:val="16"/>
                <w:szCs w:val="16"/>
              </w:rPr>
            </w:pPr>
            <w:r w:rsidRPr="003558AF">
              <w:rPr>
                <w:rFonts w:ascii="Arial" w:hAnsi="Arial" w:cs="Arial"/>
                <w:color w:val="006100"/>
                <w:sz w:val="16"/>
                <w:szCs w:val="16"/>
              </w:rPr>
              <w:t xml:space="preserve">When: </w:t>
            </w:r>
            <w:r w:rsidRPr="00C7587C">
              <w:rPr>
                <w:rFonts w:ascii="Arial" w:hAnsi="Arial" w:cs="Arial"/>
                <w:color w:val="006100"/>
                <w:sz w:val="16"/>
                <w:szCs w:val="16"/>
              </w:rPr>
              <w:t>specify the</w:t>
            </w:r>
            <w:r>
              <w:rPr>
                <w:rFonts w:ascii="Arial" w:hAnsi="Arial" w:cs="Arial"/>
                <w:color w:val="006100"/>
                <w:sz w:val="16"/>
                <w:szCs w:val="16"/>
              </w:rPr>
              <w:t xml:space="preserve"> net cross-border transmission capacity in Megawatts</w:t>
            </w:r>
            <w:r w:rsidRPr="00C7587C">
              <w:rPr>
                <w:rFonts w:ascii="Arial" w:hAnsi="Arial" w:cs="Arial"/>
                <w:color w:val="006100"/>
                <w:sz w:val="16"/>
                <w:szCs w:val="16"/>
              </w:rPr>
              <w:t xml:space="preserve"> as of Q</w:t>
            </w:r>
            <w:r>
              <w:rPr>
                <w:rFonts w:ascii="Arial" w:hAnsi="Arial" w:cs="Arial"/>
                <w:color w:val="006100"/>
                <w:sz w:val="16"/>
                <w:szCs w:val="16"/>
              </w:rPr>
              <w:t>2</w:t>
            </w:r>
            <w:r w:rsidRPr="00C7587C">
              <w:rPr>
                <w:rFonts w:ascii="Arial" w:hAnsi="Arial" w:cs="Arial"/>
                <w:color w:val="006100"/>
                <w:sz w:val="16"/>
                <w:szCs w:val="16"/>
              </w:rPr>
              <w:t xml:space="preserve"> 202</w:t>
            </w:r>
            <w:r>
              <w:rPr>
                <w:rFonts w:ascii="Arial" w:hAnsi="Arial" w:cs="Arial"/>
                <w:color w:val="006100"/>
                <w:sz w:val="16"/>
                <w:szCs w:val="16"/>
              </w:rPr>
              <w:t>5</w:t>
            </w:r>
            <w:r w:rsidRPr="00C7587C">
              <w:rPr>
                <w:rFonts w:ascii="Arial" w:hAnsi="Arial" w:cs="Arial"/>
                <w:color w:val="006100"/>
                <w:sz w:val="16"/>
                <w:szCs w:val="16"/>
              </w:rPr>
              <w:t>, but also at any time series (if available)</w:t>
            </w:r>
          </w:p>
        </w:tc>
        <w:tc>
          <w:tcPr>
            <w:tcW w:w="2268" w:type="dxa"/>
            <w:shd w:val="clear" w:color="auto" w:fill="D6E3C6"/>
          </w:tcPr>
          <w:p w14:paraId="3569B8E9" w14:textId="7F5362B3"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555D3C9F" w14:textId="5679FF92"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As above</w:t>
            </w:r>
          </w:p>
        </w:tc>
        <w:tc>
          <w:tcPr>
            <w:tcW w:w="1090" w:type="dxa"/>
            <w:gridSpan w:val="2"/>
            <w:shd w:val="clear" w:color="auto" w:fill="D6E3C6"/>
          </w:tcPr>
          <w:p w14:paraId="527A590F" w14:textId="4FE878B2"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Yes, a</w:t>
            </w:r>
            <w:r w:rsidRPr="004F3D4C">
              <w:rPr>
                <w:rFonts w:ascii="Arial" w:hAnsi="Arial" w:cs="Arial"/>
                <w:color w:val="005D00"/>
                <w:sz w:val="16"/>
                <w:szCs w:val="16"/>
              </w:rPr>
              <w:t>t 1-2 sites after the receipt of documents for completion of the works / equipment installation (Q2 2024, or earlier if completed before that date)</w:t>
            </w:r>
          </w:p>
          <w:p w14:paraId="5D7E52F3" w14:textId="2984CC54" w:rsidR="00AD589E" w:rsidRPr="004F3D4C" w:rsidRDefault="00AD589E" w:rsidP="009807A8">
            <w:pPr>
              <w:spacing w:after="0"/>
              <w:rPr>
                <w:rFonts w:ascii="Arial" w:hAnsi="Arial" w:cs="Arial"/>
                <w:color w:val="006100"/>
                <w:sz w:val="16"/>
                <w:szCs w:val="16"/>
              </w:rPr>
            </w:pPr>
          </w:p>
        </w:tc>
        <w:tc>
          <w:tcPr>
            <w:tcW w:w="992" w:type="dxa"/>
            <w:gridSpan w:val="2"/>
            <w:shd w:val="clear" w:color="auto" w:fill="D6E3C6"/>
          </w:tcPr>
          <w:p w14:paraId="569E9C2E" w14:textId="40905DB6"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Indicator 2</w:t>
            </w:r>
          </w:p>
        </w:tc>
        <w:tc>
          <w:tcPr>
            <w:tcW w:w="1418" w:type="dxa"/>
            <w:gridSpan w:val="2"/>
            <w:shd w:val="clear" w:color="auto" w:fill="D6E3C6"/>
          </w:tcPr>
          <w:p w14:paraId="54AE70BA" w14:textId="0F83C4A1" w:rsidR="00AD589E" w:rsidRPr="004F3D4C" w:rsidRDefault="00156C26" w:rsidP="009807A8">
            <w:pPr>
              <w:spacing w:after="0"/>
              <w:rPr>
                <w:rFonts w:ascii="Arial" w:hAnsi="Arial" w:cs="Arial"/>
                <w:color w:val="005D00"/>
                <w:sz w:val="16"/>
                <w:szCs w:val="16"/>
              </w:rPr>
            </w:pPr>
            <w:r>
              <w:rPr>
                <w:rFonts w:ascii="Arial" w:hAnsi="Arial" w:cs="Arial"/>
                <w:color w:val="005D00"/>
                <w:sz w:val="16"/>
                <w:szCs w:val="16"/>
              </w:rPr>
              <w:t xml:space="preserve">A monitoring step: </w:t>
            </w:r>
            <w:r w:rsidR="00443A71" w:rsidRPr="00443A71">
              <w:rPr>
                <w:rFonts w:ascii="Arial" w:hAnsi="Arial" w:cs="Arial"/>
                <w:color w:val="005D00"/>
                <w:sz w:val="16"/>
                <w:szCs w:val="16"/>
              </w:rPr>
              <w:t xml:space="preserve">Submission to the European Commission of a progress report on the upgrade of the of the electricity transmission grid to increase cross-border transmission capacity </w:t>
            </w:r>
            <w:r>
              <w:rPr>
                <w:rFonts w:ascii="Arial" w:hAnsi="Arial" w:cs="Arial"/>
                <w:color w:val="005D00"/>
                <w:sz w:val="16"/>
                <w:szCs w:val="16"/>
              </w:rPr>
              <w:t>(Q2 202</w:t>
            </w:r>
            <w:r w:rsidR="002B0CCD">
              <w:rPr>
                <w:rFonts w:ascii="Arial" w:hAnsi="Arial" w:cs="Arial"/>
                <w:color w:val="005D00"/>
                <w:sz w:val="16"/>
                <w:szCs w:val="16"/>
              </w:rPr>
              <w:t>4</w:t>
            </w:r>
            <w:r>
              <w:rPr>
                <w:rFonts w:ascii="Arial" w:hAnsi="Arial" w:cs="Arial"/>
                <w:color w:val="005D00"/>
                <w:sz w:val="16"/>
                <w:szCs w:val="16"/>
              </w:rPr>
              <w:t>)</w:t>
            </w:r>
          </w:p>
        </w:tc>
      </w:tr>
      <w:tr w:rsidR="00AD589E" w:rsidRPr="004F3D4C" w14:paraId="70778A92" w14:textId="5E9E8056" w:rsidTr="00596EEA">
        <w:trPr>
          <w:trHeight w:val="309"/>
        </w:trPr>
        <w:tc>
          <w:tcPr>
            <w:tcW w:w="454" w:type="dxa"/>
            <w:shd w:val="clear" w:color="auto" w:fill="D6E3C6"/>
            <w:noWrap/>
          </w:tcPr>
          <w:p w14:paraId="74345BC1" w14:textId="6054D4EB"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89</w:t>
            </w:r>
          </w:p>
        </w:tc>
        <w:tc>
          <w:tcPr>
            <w:tcW w:w="1215" w:type="dxa"/>
            <w:shd w:val="clear" w:color="auto" w:fill="D6E3C6"/>
            <w:noWrap/>
          </w:tcPr>
          <w:p w14:paraId="17B0DE8C" w14:textId="0A0C38A2"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 xml:space="preserve">C4.I4: Digital transformation </w:t>
            </w:r>
            <w:r w:rsidRPr="004F3D4C">
              <w:rPr>
                <w:rFonts w:ascii="Arial" w:hAnsi="Arial" w:cs="Arial"/>
                <w:color w:val="006100"/>
                <w:sz w:val="16"/>
                <w:szCs w:val="16"/>
              </w:rPr>
              <w:lastRenderedPageBreak/>
              <w:t>of the electricity transmission grid</w:t>
            </w:r>
          </w:p>
        </w:tc>
        <w:tc>
          <w:tcPr>
            <w:tcW w:w="956" w:type="dxa"/>
            <w:shd w:val="clear" w:color="auto" w:fill="D6E3C6"/>
            <w:noWrap/>
          </w:tcPr>
          <w:p w14:paraId="775655D5" w14:textId="11E5552D"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lastRenderedPageBreak/>
              <w:t>Target</w:t>
            </w:r>
          </w:p>
        </w:tc>
        <w:tc>
          <w:tcPr>
            <w:tcW w:w="1691" w:type="dxa"/>
            <w:shd w:val="clear" w:color="auto" w:fill="D6E3C6"/>
            <w:noWrap/>
          </w:tcPr>
          <w:p w14:paraId="4627B654" w14:textId="26016D46"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 xml:space="preserve">Technical conditions enabled for the </w:t>
            </w:r>
            <w:r w:rsidRPr="004F3D4C">
              <w:rPr>
                <w:rFonts w:ascii="Arial" w:hAnsi="Arial" w:cs="Arial"/>
                <w:color w:val="006100"/>
                <w:sz w:val="16"/>
                <w:szCs w:val="16"/>
              </w:rPr>
              <w:lastRenderedPageBreak/>
              <w:t>integration of additional 2 500 MW from renewable sources (wind and solar) into the electricity system</w:t>
            </w:r>
          </w:p>
        </w:tc>
        <w:tc>
          <w:tcPr>
            <w:tcW w:w="1322" w:type="dxa"/>
            <w:shd w:val="clear" w:color="auto" w:fill="D6E3C6"/>
            <w:noWrap/>
          </w:tcPr>
          <w:p w14:paraId="7C8A885B" w14:textId="77777777" w:rsidR="00AD589E" w:rsidRPr="004F3D4C" w:rsidRDefault="00AD589E" w:rsidP="009807A8">
            <w:pPr>
              <w:spacing w:after="0"/>
              <w:rPr>
                <w:rFonts w:ascii="Arial" w:eastAsia="Times New Roman" w:hAnsi="Arial" w:cs="Arial"/>
                <w:color w:val="006100"/>
                <w:sz w:val="16"/>
                <w:szCs w:val="16"/>
                <w:lang w:eastAsia="en-GB"/>
              </w:rPr>
            </w:pPr>
          </w:p>
        </w:tc>
        <w:tc>
          <w:tcPr>
            <w:tcW w:w="709" w:type="dxa"/>
            <w:shd w:val="clear" w:color="auto" w:fill="D6E3C6"/>
            <w:noWrap/>
          </w:tcPr>
          <w:p w14:paraId="699E1513" w14:textId="1FC9ECAD"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Megawatts (MW)</w:t>
            </w:r>
          </w:p>
        </w:tc>
        <w:tc>
          <w:tcPr>
            <w:tcW w:w="614" w:type="dxa"/>
            <w:shd w:val="clear" w:color="auto" w:fill="D6E3C6"/>
            <w:noWrap/>
          </w:tcPr>
          <w:p w14:paraId="709B6A38" w14:textId="20895EF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4342</w:t>
            </w:r>
          </w:p>
        </w:tc>
        <w:tc>
          <w:tcPr>
            <w:tcW w:w="731" w:type="dxa"/>
            <w:shd w:val="clear" w:color="auto" w:fill="D6E3C6"/>
            <w:noWrap/>
          </w:tcPr>
          <w:p w14:paraId="1546CAE7" w14:textId="510C494C"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6342</w:t>
            </w:r>
          </w:p>
        </w:tc>
        <w:tc>
          <w:tcPr>
            <w:tcW w:w="756" w:type="dxa"/>
            <w:gridSpan w:val="2"/>
            <w:shd w:val="clear" w:color="auto" w:fill="D6E3C6"/>
            <w:noWrap/>
          </w:tcPr>
          <w:p w14:paraId="57E2AA67" w14:textId="5F64CB37"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Q1</w:t>
            </w:r>
          </w:p>
        </w:tc>
        <w:tc>
          <w:tcPr>
            <w:tcW w:w="520" w:type="dxa"/>
            <w:shd w:val="clear" w:color="auto" w:fill="D6E3C6"/>
            <w:noWrap/>
          </w:tcPr>
          <w:p w14:paraId="2DB00AE2" w14:textId="38D4D852"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2026</w:t>
            </w:r>
          </w:p>
        </w:tc>
        <w:tc>
          <w:tcPr>
            <w:tcW w:w="872" w:type="dxa"/>
            <w:gridSpan w:val="2"/>
            <w:shd w:val="clear" w:color="auto" w:fill="D6E3C6"/>
          </w:tcPr>
          <w:p w14:paraId="559E554B" w14:textId="4742D4C8"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Ministry of </w:t>
            </w:r>
            <w:r>
              <w:rPr>
                <w:rFonts w:ascii="Arial" w:eastAsia="Times New Roman" w:hAnsi="Arial" w:cs="Arial"/>
                <w:color w:val="006100"/>
                <w:sz w:val="16"/>
                <w:szCs w:val="16"/>
                <w:lang w:eastAsia="en-GB"/>
              </w:rPr>
              <w:t>E</w:t>
            </w:r>
            <w:r w:rsidRPr="004F3D4C">
              <w:rPr>
                <w:rFonts w:ascii="Arial" w:eastAsia="Times New Roman" w:hAnsi="Arial" w:cs="Arial"/>
                <w:color w:val="006100"/>
                <w:sz w:val="16"/>
                <w:szCs w:val="16"/>
                <w:lang w:eastAsia="en-GB"/>
              </w:rPr>
              <w:t>nergy/Ele</w:t>
            </w:r>
            <w:r w:rsidRPr="004F3D4C">
              <w:rPr>
                <w:rFonts w:ascii="Arial" w:eastAsia="Times New Roman" w:hAnsi="Arial" w:cs="Arial"/>
                <w:color w:val="006100"/>
                <w:sz w:val="16"/>
                <w:szCs w:val="16"/>
                <w:lang w:eastAsia="en-GB"/>
              </w:rPr>
              <w:lastRenderedPageBreak/>
              <w:t>ctroenergien Sistemen Operator</w:t>
            </w:r>
          </w:p>
        </w:tc>
        <w:tc>
          <w:tcPr>
            <w:tcW w:w="851" w:type="dxa"/>
            <w:gridSpan w:val="2"/>
            <w:shd w:val="clear" w:color="auto" w:fill="D6E3C6"/>
          </w:tcPr>
          <w:p w14:paraId="363B0C3E"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23EFA233" w14:textId="02723C22" w:rsidR="00AD589E" w:rsidRPr="004F3D4C" w:rsidRDefault="00AD589E" w:rsidP="0073371A">
            <w:pPr>
              <w:pStyle w:val="ListParagraph"/>
              <w:numPr>
                <w:ilvl w:val="0"/>
                <w:numId w:val="37"/>
              </w:numPr>
              <w:rPr>
                <w:rFonts w:ascii="Arial" w:hAnsi="Arial" w:cs="Arial"/>
                <w:color w:val="006100"/>
                <w:sz w:val="16"/>
                <w:szCs w:val="16"/>
                <w:lang w:eastAsia="en-GB"/>
              </w:rPr>
            </w:pPr>
            <w:r w:rsidRPr="004F3D4C">
              <w:rPr>
                <w:rFonts w:ascii="Arial" w:hAnsi="Arial" w:cs="Arial"/>
                <w:color w:val="006100"/>
                <w:sz w:val="16"/>
                <w:szCs w:val="16"/>
                <w:lang w:eastAsia="en-GB"/>
              </w:rPr>
              <w:t xml:space="preserve">Certificate of completion signed </w:t>
            </w:r>
            <w:r w:rsidRPr="004F3D4C">
              <w:rPr>
                <w:rFonts w:ascii="Arial" w:hAnsi="Arial" w:cs="Arial"/>
                <w:color w:val="006100"/>
                <w:sz w:val="16"/>
                <w:szCs w:val="16"/>
                <w:lang w:eastAsia="en-GB"/>
              </w:rPr>
              <w:lastRenderedPageBreak/>
              <w:t>by the contractor and the Transmission System Operator/</w:t>
            </w:r>
            <w:r w:rsidRPr="004F3D4C">
              <w:rPr>
                <w:rFonts w:ascii="Arial" w:hAnsi="Arial" w:cs="Arial"/>
                <w:color w:val="006100"/>
                <w:sz w:val="16"/>
                <w:szCs w:val="16"/>
                <w:lang w:val="en-US" w:eastAsia="en-GB"/>
              </w:rPr>
              <w:t xml:space="preserve"> document for entry into operation issued in accordance with the Bulgarian legislation or with </w:t>
            </w:r>
            <w:r w:rsidRPr="004F3D4C">
              <w:rPr>
                <w:rFonts w:ascii="Arial" w:hAnsi="Arial" w:cs="Arial"/>
                <w:color w:val="006100"/>
                <w:sz w:val="16"/>
                <w:szCs w:val="16"/>
                <w:lang w:eastAsia="en-GB"/>
              </w:rPr>
              <w:t>Transmission System Operator’s</w:t>
            </w:r>
            <w:r w:rsidRPr="004F3D4C">
              <w:rPr>
                <w:rFonts w:ascii="Arial" w:hAnsi="Arial" w:cs="Arial"/>
                <w:color w:val="006100"/>
                <w:sz w:val="16"/>
                <w:szCs w:val="16"/>
                <w:lang w:val="en-US" w:eastAsia="en-GB"/>
              </w:rPr>
              <w:t xml:space="preserve"> internal rules and procedures </w:t>
            </w:r>
            <w:r w:rsidRPr="004F3D4C">
              <w:rPr>
                <w:rFonts w:ascii="Arial" w:hAnsi="Arial" w:cs="Arial"/>
                <w:color w:val="006100"/>
                <w:sz w:val="16"/>
                <w:szCs w:val="16"/>
                <w:lang w:val="bg-BG" w:eastAsia="en-GB"/>
              </w:rPr>
              <w:t>(</w:t>
            </w:r>
            <w:r w:rsidRPr="004F3D4C">
              <w:rPr>
                <w:rFonts w:ascii="Arial" w:hAnsi="Arial" w:cs="Arial"/>
                <w:color w:val="006100"/>
                <w:sz w:val="16"/>
                <w:szCs w:val="16"/>
                <w:lang w:val="en-US" w:eastAsia="en-GB"/>
              </w:rPr>
              <w:t>only applicable for installation works performed by ESO on its own</w:t>
            </w:r>
            <w:r w:rsidRPr="004F3D4C">
              <w:rPr>
                <w:rFonts w:ascii="Arial" w:hAnsi="Arial" w:cs="Arial"/>
                <w:color w:val="006100"/>
                <w:sz w:val="16"/>
                <w:szCs w:val="16"/>
                <w:lang w:eastAsia="en-GB"/>
              </w:rPr>
              <w:t>),, endorsed by the competent authority (e.g. National Regulatory/Ministry of Energy)</w:t>
            </w:r>
          </w:p>
          <w:p w14:paraId="17A1C7FD" w14:textId="1DA34E4A" w:rsidR="00AD589E" w:rsidRPr="009F2F58" w:rsidRDefault="00AD589E" w:rsidP="0073371A">
            <w:pPr>
              <w:pStyle w:val="ListParagraph"/>
              <w:numPr>
                <w:ilvl w:val="0"/>
                <w:numId w:val="37"/>
              </w:numPr>
              <w:spacing w:after="0"/>
              <w:rPr>
                <w:rFonts w:ascii="Arial" w:hAnsi="Arial" w:cs="Arial"/>
                <w:color w:val="006100"/>
                <w:sz w:val="16"/>
                <w:szCs w:val="16"/>
              </w:rPr>
            </w:pPr>
            <w:r w:rsidRPr="004F3D4C">
              <w:rPr>
                <w:rFonts w:ascii="Arial" w:hAnsi="Arial" w:cs="Arial"/>
                <w:color w:val="006100"/>
                <w:sz w:val="16"/>
                <w:szCs w:val="16"/>
                <w:lang w:eastAsia="en-GB"/>
              </w:rPr>
              <w:t>A report by an independent engineer endorsed by the responsible authority, providing justification that the technical specifications for the entry into operation of equipment deployed to integrate at least 4 500 MW of new production capacity, compared to 2020 levels, from renewable sources into the electricity system</w:t>
            </w:r>
          </w:p>
        </w:tc>
        <w:tc>
          <w:tcPr>
            <w:tcW w:w="3402" w:type="dxa"/>
            <w:shd w:val="clear" w:color="auto" w:fill="D6E3C6"/>
          </w:tcPr>
          <w:p w14:paraId="121E876B" w14:textId="77777777" w:rsidR="00AD589E" w:rsidRPr="009F2F58" w:rsidRDefault="00AD589E" w:rsidP="009F2F58">
            <w:pPr>
              <w:spacing w:after="0"/>
              <w:rPr>
                <w:rFonts w:ascii="Arial" w:hAnsi="Arial" w:cs="Arial"/>
                <w:color w:val="006100"/>
                <w:sz w:val="16"/>
                <w:szCs w:val="16"/>
              </w:rPr>
            </w:pPr>
            <w:r w:rsidRPr="009F2F58">
              <w:rPr>
                <w:rFonts w:ascii="Arial" w:hAnsi="Arial" w:cs="Arial"/>
                <w:color w:val="006100"/>
                <w:sz w:val="16"/>
                <w:szCs w:val="16"/>
              </w:rPr>
              <w:lastRenderedPageBreak/>
              <w:t>Institution/s: Ministry of Energy/Electroenergien Sistemen Operator</w:t>
            </w:r>
          </w:p>
          <w:p w14:paraId="383DD6C8" w14:textId="77777777" w:rsidR="00AD589E" w:rsidRPr="009F2F58" w:rsidRDefault="00AD589E" w:rsidP="009F2F58">
            <w:pPr>
              <w:spacing w:after="0"/>
              <w:rPr>
                <w:rFonts w:ascii="Arial" w:hAnsi="Arial" w:cs="Arial"/>
                <w:color w:val="006100"/>
                <w:sz w:val="16"/>
                <w:szCs w:val="16"/>
              </w:rPr>
            </w:pPr>
          </w:p>
          <w:p w14:paraId="3765985D" w14:textId="576DC373" w:rsidR="00AD589E" w:rsidRPr="009F2F58" w:rsidRDefault="00AD589E" w:rsidP="009F2F58">
            <w:pPr>
              <w:spacing w:after="0"/>
              <w:rPr>
                <w:rFonts w:ascii="Arial" w:hAnsi="Arial" w:cs="Arial"/>
                <w:color w:val="006100"/>
                <w:sz w:val="16"/>
                <w:szCs w:val="16"/>
              </w:rPr>
            </w:pPr>
            <w:r w:rsidRPr="009F2F58">
              <w:rPr>
                <w:rFonts w:ascii="Arial" w:hAnsi="Arial" w:cs="Arial"/>
                <w:color w:val="006100"/>
                <w:sz w:val="16"/>
                <w:szCs w:val="16"/>
              </w:rPr>
              <w:t>What: Technical conditions enabled for the integration of additional 2 500 MW from renewable sources (wind and solar) into the electricity system</w:t>
            </w:r>
          </w:p>
          <w:p w14:paraId="4F92FC3B" w14:textId="77777777" w:rsidR="00AD589E" w:rsidRPr="009F2F58" w:rsidRDefault="00AD589E" w:rsidP="009F2F58">
            <w:pPr>
              <w:spacing w:after="0"/>
              <w:rPr>
                <w:rFonts w:ascii="Arial" w:hAnsi="Arial" w:cs="Arial"/>
                <w:color w:val="006100"/>
                <w:sz w:val="16"/>
                <w:szCs w:val="16"/>
              </w:rPr>
            </w:pPr>
          </w:p>
          <w:p w14:paraId="54E3321B" w14:textId="20F00D49" w:rsidR="00AD589E" w:rsidRPr="009F2F58" w:rsidRDefault="00AD589E" w:rsidP="009F2F58">
            <w:pPr>
              <w:spacing w:after="0"/>
              <w:rPr>
                <w:rFonts w:ascii="Arial" w:hAnsi="Arial" w:cs="Arial"/>
                <w:color w:val="006100"/>
                <w:sz w:val="16"/>
                <w:szCs w:val="16"/>
              </w:rPr>
            </w:pPr>
            <w:r w:rsidRPr="009F2F58">
              <w:rPr>
                <w:rFonts w:ascii="Arial" w:hAnsi="Arial" w:cs="Arial"/>
                <w:color w:val="006100"/>
                <w:sz w:val="16"/>
                <w:szCs w:val="16"/>
              </w:rPr>
              <w:t xml:space="preserve">How: </w:t>
            </w:r>
            <w:r w:rsidR="00CC5FB2">
              <w:rPr>
                <w:rFonts w:ascii="Arial" w:hAnsi="Arial" w:cs="Arial"/>
                <w:color w:val="006100"/>
                <w:sz w:val="16"/>
                <w:szCs w:val="16"/>
              </w:rPr>
              <w:t>contracting (a), reporting (b)</w:t>
            </w:r>
          </w:p>
          <w:p w14:paraId="2B062B5F" w14:textId="77777777" w:rsidR="00AD589E" w:rsidRPr="009F2F58" w:rsidRDefault="00AD589E" w:rsidP="009F2F58">
            <w:pPr>
              <w:spacing w:after="0"/>
              <w:rPr>
                <w:rFonts w:ascii="Arial" w:hAnsi="Arial" w:cs="Arial"/>
                <w:color w:val="006100"/>
                <w:sz w:val="16"/>
                <w:szCs w:val="16"/>
              </w:rPr>
            </w:pPr>
          </w:p>
          <w:p w14:paraId="26BAB521" w14:textId="320D2743" w:rsidR="00AD589E" w:rsidRPr="009F2F58" w:rsidRDefault="00AD589E" w:rsidP="009F2F58">
            <w:pPr>
              <w:spacing w:after="0"/>
              <w:rPr>
                <w:rFonts w:ascii="Arial" w:hAnsi="Arial" w:cs="Arial"/>
                <w:color w:val="006100"/>
                <w:sz w:val="16"/>
                <w:szCs w:val="16"/>
              </w:rPr>
            </w:pPr>
            <w:r w:rsidRPr="009F2F58">
              <w:rPr>
                <w:rFonts w:ascii="Arial" w:hAnsi="Arial" w:cs="Arial"/>
                <w:color w:val="006100"/>
                <w:sz w:val="16"/>
                <w:szCs w:val="16"/>
              </w:rPr>
              <w:t>Why: All conditions and requirements for the technical feasibility of the electricity transmission system shall be met to integrate an additional 2000 MW for a cumulative new achievement of 4 500 MW of production capacity, compared to 2020 levels, from renewable sources into the electricity system. [provide references to the above in the summary document]</w:t>
            </w:r>
          </w:p>
          <w:p w14:paraId="63C36FC1" w14:textId="77777777" w:rsidR="00AD589E" w:rsidRPr="009F2F58" w:rsidRDefault="00AD589E" w:rsidP="009F2F58">
            <w:pPr>
              <w:spacing w:after="0"/>
              <w:rPr>
                <w:rFonts w:ascii="Arial" w:hAnsi="Arial" w:cs="Arial"/>
                <w:color w:val="006100"/>
                <w:sz w:val="16"/>
                <w:szCs w:val="16"/>
              </w:rPr>
            </w:pPr>
          </w:p>
          <w:p w14:paraId="7B7CA16F" w14:textId="5CFDF54A" w:rsidR="00AD589E" w:rsidRPr="004F3D4C" w:rsidRDefault="00AD589E" w:rsidP="009F2F58">
            <w:pPr>
              <w:spacing w:after="0"/>
              <w:rPr>
                <w:rFonts w:ascii="Arial" w:hAnsi="Arial" w:cs="Arial"/>
                <w:color w:val="006100"/>
                <w:sz w:val="16"/>
                <w:szCs w:val="16"/>
              </w:rPr>
            </w:pPr>
            <w:r w:rsidRPr="009F2F58">
              <w:rPr>
                <w:rFonts w:ascii="Arial" w:hAnsi="Arial" w:cs="Arial"/>
                <w:color w:val="006100"/>
                <w:sz w:val="16"/>
                <w:szCs w:val="16"/>
              </w:rPr>
              <w:t xml:space="preserve">When: specify the </w:t>
            </w:r>
            <w:r>
              <w:rPr>
                <w:rFonts w:ascii="Arial" w:hAnsi="Arial" w:cs="Arial"/>
                <w:color w:val="006100"/>
                <w:sz w:val="16"/>
                <w:szCs w:val="16"/>
              </w:rPr>
              <w:t>additional M</w:t>
            </w:r>
            <w:r w:rsidRPr="009F2F58">
              <w:rPr>
                <w:rFonts w:ascii="Arial" w:hAnsi="Arial" w:cs="Arial"/>
                <w:color w:val="006100"/>
                <w:sz w:val="16"/>
                <w:szCs w:val="16"/>
              </w:rPr>
              <w:t>egawatts</w:t>
            </w:r>
            <w:r>
              <w:rPr>
                <w:rFonts w:ascii="Arial" w:hAnsi="Arial" w:cs="Arial"/>
                <w:color w:val="006100"/>
                <w:sz w:val="16"/>
                <w:szCs w:val="16"/>
              </w:rPr>
              <w:t xml:space="preserve"> from renewable sources</w:t>
            </w:r>
            <w:r w:rsidRPr="009F2F58">
              <w:rPr>
                <w:rFonts w:ascii="Arial" w:hAnsi="Arial" w:cs="Arial"/>
                <w:color w:val="006100"/>
                <w:sz w:val="16"/>
                <w:szCs w:val="16"/>
              </w:rPr>
              <w:t xml:space="preserve"> as of Q</w:t>
            </w:r>
            <w:r>
              <w:rPr>
                <w:rFonts w:ascii="Arial" w:hAnsi="Arial" w:cs="Arial"/>
                <w:color w:val="006100"/>
                <w:sz w:val="16"/>
                <w:szCs w:val="16"/>
              </w:rPr>
              <w:t>1</w:t>
            </w:r>
            <w:r w:rsidRPr="009F2F58">
              <w:rPr>
                <w:rFonts w:ascii="Arial" w:hAnsi="Arial" w:cs="Arial"/>
                <w:color w:val="006100"/>
                <w:sz w:val="16"/>
                <w:szCs w:val="16"/>
              </w:rPr>
              <w:t xml:space="preserve"> 202</w:t>
            </w:r>
            <w:r>
              <w:rPr>
                <w:rFonts w:ascii="Arial" w:hAnsi="Arial" w:cs="Arial"/>
                <w:color w:val="006100"/>
                <w:sz w:val="16"/>
                <w:szCs w:val="16"/>
              </w:rPr>
              <w:t>6</w:t>
            </w:r>
            <w:r w:rsidRPr="009F2F58">
              <w:rPr>
                <w:rFonts w:ascii="Arial" w:hAnsi="Arial" w:cs="Arial"/>
                <w:color w:val="006100"/>
                <w:sz w:val="16"/>
                <w:szCs w:val="16"/>
              </w:rPr>
              <w:t>, but also at any time series (if available)</w:t>
            </w:r>
          </w:p>
        </w:tc>
        <w:tc>
          <w:tcPr>
            <w:tcW w:w="2268" w:type="dxa"/>
            <w:shd w:val="clear" w:color="auto" w:fill="D6E3C6"/>
          </w:tcPr>
          <w:p w14:paraId="00A8D9C0" w14:textId="77F07BAA"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36" w:type="dxa"/>
            <w:gridSpan w:val="2"/>
            <w:shd w:val="clear" w:color="auto" w:fill="D6E3C6"/>
          </w:tcPr>
          <w:p w14:paraId="092653D5" w14:textId="6F08A344"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t>As above</w:t>
            </w:r>
          </w:p>
        </w:tc>
        <w:tc>
          <w:tcPr>
            <w:tcW w:w="1090" w:type="dxa"/>
            <w:gridSpan w:val="2"/>
            <w:shd w:val="clear" w:color="auto" w:fill="D6E3C6"/>
          </w:tcPr>
          <w:p w14:paraId="43432131" w14:textId="131966EB" w:rsidR="00AD589E" w:rsidRPr="009502E1" w:rsidRDefault="00AD589E" w:rsidP="009807A8">
            <w:pPr>
              <w:spacing w:after="0"/>
              <w:rPr>
                <w:rFonts w:ascii="Arial" w:hAnsi="Arial" w:cs="Arial"/>
                <w:color w:val="005D00"/>
                <w:sz w:val="16"/>
                <w:szCs w:val="16"/>
              </w:rPr>
            </w:pPr>
            <w:r>
              <w:rPr>
                <w:rFonts w:ascii="Arial" w:hAnsi="Arial" w:cs="Arial"/>
                <w:color w:val="005D00"/>
                <w:sz w:val="16"/>
                <w:szCs w:val="16"/>
              </w:rPr>
              <w:t>Yes, a</w:t>
            </w:r>
            <w:r w:rsidRPr="004F3D4C">
              <w:rPr>
                <w:rFonts w:ascii="Arial" w:hAnsi="Arial" w:cs="Arial"/>
                <w:color w:val="005D00"/>
                <w:sz w:val="16"/>
                <w:szCs w:val="16"/>
              </w:rPr>
              <w:t xml:space="preserve">t 1-2 sites after the </w:t>
            </w:r>
            <w:r w:rsidRPr="004F3D4C">
              <w:rPr>
                <w:rFonts w:ascii="Arial" w:hAnsi="Arial" w:cs="Arial"/>
                <w:color w:val="005D00"/>
                <w:sz w:val="16"/>
                <w:szCs w:val="16"/>
              </w:rPr>
              <w:lastRenderedPageBreak/>
              <w:t>receipt of documents for completion of the works / equipment installation (Q1 2026, or earlier if completed before that date)</w:t>
            </w:r>
          </w:p>
        </w:tc>
        <w:tc>
          <w:tcPr>
            <w:tcW w:w="992" w:type="dxa"/>
            <w:gridSpan w:val="2"/>
            <w:shd w:val="clear" w:color="auto" w:fill="D6E3C6"/>
          </w:tcPr>
          <w:p w14:paraId="055FC07D" w14:textId="268424D9" w:rsidR="00AD589E" w:rsidRPr="004F3D4C" w:rsidRDefault="00AD589E" w:rsidP="009807A8">
            <w:pPr>
              <w:spacing w:after="0"/>
              <w:rPr>
                <w:rFonts w:ascii="Arial" w:hAnsi="Arial" w:cs="Arial"/>
                <w:color w:val="005D00"/>
                <w:sz w:val="16"/>
                <w:szCs w:val="16"/>
              </w:rPr>
            </w:pPr>
            <w:r>
              <w:rPr>
                <w:rFonts w:ascii="Arial" w:hAnsi="Arial" w:cs="Arial"/>
                <w:color w:val="005D00"/>
                <w:sz w:val="16"/>
                <w:szCs w:val="16"/>
              </w:rPr>
              <w:lastRenderedPageBreak/>
              <w:t>Indicator 2</w:t>
            </w:r>
          </w:p>
        </w:tc>
        <w:tc>
          <w:tcPr>
            <w:tcW w:w="1418" w:type="dxa"/>
            <w:gridSpan w:val="2"/>
            <w:shd w:val="clear" w:color="auto" w:fill="D6E3C6"/>
          </w:tcPr>
          <w:p w14:paraId="01AE3E6F" w14:textId="18F6F8F7" w:rsidR="00AD589E" w:rsidRPr="004F3D4C" w:rsidRDefault="00055D94" w:rsidP="009807A8">
            <w:pPr>
              <w:spacing w:after="0"/>
              <w:rPr>
                <w:rFonts w:ascii="Arial" w:hAnsi="Arial" w:cs="Arial"/>
                <w:color w:val="005D00"/>
                <w:sz w:val="16"/>
                <w:szCs w:val="16"/>
              </w:rPr>
            </w:pPr>
            <w:r>
              <w:rPr>
                <w:rFonts w:ascii="Arial" w:hAnsi="Arial" w:cs="Arial"/>
                <w:color w:val="005D00"/>
                <w:sz w:val="16"/>
                <w:szCs w:val="16"/>
              </w:rPr>
              <w:t xml:space="preserve">A monitoring step: </w:t>
            </w:r>
            <w:r w:rsidR="00B71770" w:rsidRPr="00B71770">
              <w:rPr>
                <w:rFonts w:ascii="Arial" w:hAnsi="Arial" w:cs="Arial"/>
                <w:color w:val="005D00"/>
                <w:sz w:val="16"/>
                <w:szCs w:val="16"/>
              </w:rPr>
              <w:t xml:space="preserve">Submission to the </w:t>
            </w:r>
            <w:r w:rsidR="00B71770" w:rsidRPr="00B71770">
              <w:rPr>
                <w:rFonts w:ascii="Arial" w:hAnsi="Arial" w:cs="Arial"/>
                <w:color w:val="005D00"/>
                <w:sz w:val="16"/>
                <w:szCs w:val="16"/>
              </w:rPr>
              <w:lastRenderedPageBreak/>
              <w:t>European Commission of a progress report on the upgrade of the of the electricity transmission grid to integrate new production capacity from renewable sources</w:t>
            </w:r>
            <w:r w:rsidR="00B71770">
              <w:rPr>
                <w:rFonts w:ascii="Arial" w:hAnsi="Arial" w:cs="Arial"/>
                <w:color w:val="005D00"/>
                <w:sz w:val="16"/>
                <w:szCs w:val="16"/>
              </w:rPr>
              <w:t xml:space="preserve"> (</w:t>
            </w:r>
            <w:r w:rsidR="00E86623">
              <w:rPr>
                <w:rFonts w:ascii="Arial" w:hAnsi="Arial" w:cs="Arial"/>
                <w:color w:val="005D00"/>
                <w:sz w:val="16"/>
                <w:szCs w:val="16"/>
              </w:rPr>
              <w:t>Q2 2025</w:t>
            </w:r>
            <w:r w:rsidR="00B71770">
              <w:rPr>
                <w:rFonts w:ascii="Arial" w:hAnsi="Arial" w:cs="Arial"/>
                <w:color w:val="005D00"/>
                <w:sz w:val="16"/>
                <w:szCs w:val="16"/>
              </w:rPr>
              <w:t>)</w:t>
            </w:r>
          </w:p>
        </w:tc>
      </w:tr>
      <w:tr w:rsidR="00AD589E" w:rsidRPr="004F3D4C" w14:paraId="189E9FBE" w14:textId="0DF98FAB" w:rsidTr="00596EEA">
        <w:trPr>
          <w:trHeight w:val="309"/>
        </w:trPr>
        <w:tc>
          <w:tcPr>
            <w:tcW w:w="454" w:type="dxa"/>
            <w:shd w:val="clear" w:color="auto" w:fill="D6E3C6"/>
            <w:noWrap/>
          </w:tcPr>
          <w:p w14:paraId="350C00EB" w14:textId="70C64975"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lastRenderedPageBreak/>
              <w:t>90</w:t>
            </w:r>
          </w:p>
        </w:tc>
        <w:tc>
          <w:tcPr>
            <w:tcW w:w="1215" w:type="dxa"/>
            <w:shd w:val="clear" w:color="auto" w:fill="D6E3C6"/>
            <w:noWrap/>
          </w:tcPr>
          <w:p w14:paraId="288C1735" w14:textId="6335C1C1"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C4.R7: Unleashing the potential of hydrogen technologies and hydrogen production and supply</w:t>
            </w:r>
          </w:p>
        </w:tc>
        <w:tc>
          <w:tcPr>
            <w:tcW w:w="956" w:type="dxa"/>
            <w:shd w:val="clear" w:color="auto" w:fill="D6E3C6"/>
            <w:noWrap/>
          </w:tcPr>
          <w:p w14:paraId="21630BF2" w14:textId="20570186"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6FCE0586" w14:textId="44E2478C"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Entry into force of the amendments to the legislative framework, implementing the National Roadmap</w:t>
            </w:r>
          </w:p>
        </w:tc>
        <w:tc>
          <w:tcPr>
            <w:tcW w:w="1322" w:type="dxa"/>
            <w:shd w:val="clear" w:color="auto" w:fill="D6E3C6"/>
            <w:noWrap/>
          </w:tcPr>
          <w:p w14:paraId="4DB6D1E0" w14:textId="37DFA5D8"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the law indicating the entry into force of the amendments to the legislative framework</w:t>
            </w:r>
          </w:p>
        </w:tc>
        <w:tc>
          <w:tcPr>
            <w:tcW w:w="709" w:type="dxa"/>
            <w:shd w:val="clear" w:color="auto" w:fill="D6E3C6"/>
            <w:noWrap/>
          </w:tcPr>
          <w:p w14:paraId="799E634D"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4C547483"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5F06A306"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1CA90A6D" w14:textId="19EA1D19"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Q1</w:t>
            </w:r>
          </w:p>
        </w:tc>
        <w:tc>
          <w:tcPr>
            <w:tcW w:w="520" w:type="dxa"/>
            <w:shd w:val="clear" w:color="auto" w:fill="D6E3C6"/>
            <w:noWrap/>
          </w:tcPr>
          <w:p w14:paraId="1C01CAFF" w14:textId="456B027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3BFB648E" w14:textId="77777777"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p w14:paraId="0BD5527C" w14:textId="364D6611"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Innovation and Growth</w:t>
            </w:r>
          </w:p>
        </w:tc>
        <w:tc>
          <w:tcPr>
            <w:tcW w:w="851" w:type="dxa"/>
            <w:gridSpan w:val="2"/>
            <w:shd w:val="clear" w:color="auto" w:fill="D6E3C6"/>
          </w:tcPr>
          <w:p w14:paraId="11CA1B38" w14:textId="649259C4"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Amendments to the regulatory framework shall be aligned with and based on the National Roadmap for Improving the Potential </w:t>
            </w:r>
            <w:r w:rsidRPr="004F3D4C">
              <w:rPr>
                <w:rFonts w:ascii="Arial" w:eastAsia="Times New Roman" w:hAnsi="Arial" w:cs="Arial"/>
                <w:color w:val="006100"/>
                <w:sz w:val="16"/>
                <w:szCs w:val="16"/>
                <w:lang w:eastAsia="en-GB"/>
              </w:rPr>
              <w:lastRenderedPageBreak/>
              <w:t>for the Development of Hydrogen Technologies.</w:t>
            </w:r>
          </w:p>
        </w:tc>
        <w:tc>
          <w:tcPr>
            <w:tcW w:w="1751" w:type="dxa"/>
            <w:gridSpan w:val="2"/>
            <w:shd w:val="clear" w:color="auto" w:fill="D6E3C6"/>
          </w:tcPr>
          <w:p w14:paraId="47AF0AB9" w14:textId="77777777" w:rsidR="00AD589E" w:rsidRDefault="00AD589E" w:rsidP="0073371A">
            <w:pPr>
              <w:pStyle w:val="ListParagraph"/>
              <w:numPr>
                <w:ilvl w:val="0"/>
                <w:numId w:val="38"/>
              </w:numPr>
              <w:spacing w:after="0"/>
              <w:rPr>
                <w:rFonts w:ascii="Arial" w:hAnsi="Arial" w:cs="Arial"/>
                <w:color w:val="006100"/>
                <w:sz w:val="16"/>
                <w:szCs w:val="16"/>
              </w:rPr>
            </w:pPr>
            <w:r w:rsidRPr="004F3D4C">
              <w:rPr>
                <w:rFonts w:ascii="Arial" w:hAnsi="Arial" w:cs="Arial"/>
                <w:color w:val="006100"/>
                <w:sz w:val="16"/>
                <w:szCs w:val="16"/>
                <w:lang w:eastAsia="en-GB"/>
              </w:rPr>
              <w:lastRenderedPageBreak/>
              <w:t xml:space="preserve">Copy of the publication in the State Gazette for primary legislation and the secondary legislation that is critical for achieving the objectives described in the milestone and in the CID annex and reference to the relevant provisions </w:t>
            </w:r>
            <w:r w:rsidRPr="004F3D4C">
              <w:rPr>
                <w:rFonts w:ascii="Arial" w:hAnsi="Arial" w:cs="Arial"/>
                <w:color w:val="006100"/>
                <w:sz w:val="16"/>
                <w:szCs w:val="16"/>
                <w:lang w:eastAsia="en-GB"/>
              </w:rPr>
              <w:lastRenderedPageBreak/>
              <w:t>indicating the entry into force</w:t>
            </w:r>
          </w:p>
          <w:p w14:paraId="1B0EB7EB" w14:textId="1FB50E5B" w:rsidR="00AD589E" w:rsidRPr="00456EC3" w:rsidRDefault="00AD589E" w:rsidP="0073371A">
            <w:pPr>
              <w:pStyle w:val="ListParagraph"/>
              <w:numPr>
                <w:ilvl w:val="0"/>
                <w:numId w:val="38"/>
              </w:numPr>
              <w:spacing w:after="0"/>
              <w:rPr>
                <w:rFonts w:ascii="Arial" w:hAnsi="Arial" w:cs="Arial"/>
                <w:color w:val="006100"/>
                <w:sz w:val="16"/>
                <w:szCs w:val="16"/>
              </w:rPr>
            </w:pPr>
            <w:r>
              <w:rPr>
                <w:rFonts w:ascii="Arial" w:hAnsi="Arial" w:cs="Arial"/>
                <w:color w:val="006100"/>
                <w:sz w:val="16"/>
                <w:szCs w:val="16"/>
                <w:lang w:eastAsia="en-GB"/>
              </w:rPr>
              <w:t>D</w:t>
            </w:r>
            <w:r w:rsidRPr="004F3D4C">
              <w:rPr>
                <w:rFonts w:ascii="Arial" w:hAnsi="Arial" w:cs="Arial"/>
                <w:color w:val="006100"/>
                <w:sz w:val="16"/>
                <w:szCs w:val="16"/>
                <w:lang w:eastAsia="en-GB"/>
              </w:rPr>
              <w:t>ocument duly justifying how the milestone (including all the constitutive elements) was satisfactorily fulfilled</w:t>
            </w:r>
          </w:p>
        </w:tc>
        <w:tc>
          <w:tcPr>
            <w:tcW w:w="3402" w:type="dxa"/>
            <w:shd w:val="clear" w:color="auto" w:fill="D6E3C6"/>
          </w:tcPr>
          <w:p w14:paraId="4584FB4A" w14:textId="77777777" w:rsidR="00AD589E" w:rsidRPr="004F3D4C" w:rsidRDefault="00AD589E" w:rsidP="00937016">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p>
          <w:p w14:paraId="4E3E600B" w14:textId="19A9122A" w:rsidR="00AD589E" w:rsidRDefault="00AD589E" w:rsidP="00937016">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Innovation and Growth</w:t>
            </w:r>
          </w:p>
          <w:p w14:paraId="2AAAE15C" w14:textId="77777777" w:rsidR="00AD589E" w:rsidRPr="009F2F58" w:rsidRDefault="00AD589E" w:rsidP="00937016">
            <w:pPr>
              <w:spacing w:after="0"/>
              <w:rPr>
                <w:rFonts w:ascii="Arial" w:hAnsi="Arial" w:cs="Arial"/>
                <w:color w:val="006100"/>
                <w:sz w:val="16"/>
                <w:szCs w:val="16"/>
              </w:rPr>
            </w:pPr>
          </w:p>
          <w:p w14:paraId="49F75E43" w14:textId="710AE733" w:rsidR="00AD589E" w:rsidRPr="009F2F58" w:rsidRDefault="00AD589E" w:rsidP="00937016">
            <w:pPr>
              <w:spacing w:after="0"/>
              <w:rPr>
                <w:rFonts w:ascii="Arial" w:hAnsi="Arial" w:cs="Arial"/>
                <w:color w:val="006100"/>
                <w:sz w:val="16"/>
                <w:szCs w:val="16"/>
              </w:rPr>
            </w:pPr>
            <w:r w:rsidRPr="009F2F58">
              <w:rPr>
                <w:rFonts w:ascii="Arial" w:hAnsi="Arial" w:cs="Arial"/>
                <w:color w:val="006100"/>
                <w:sz w:val="16"/>
                <w:szCs w:val="16"/>
              </w:rPr>
              <w:t xml:space="preserve">What: </w:t>
            </w:r>
            <w:r w:rsidRPr="00937016">
              <w:rPr>
                <w:rFonts w:ascii="Arial" w:hAnsi="Arial" w:cs="Arial"/>
                <w:color w:val="006100"/>
                <w:sz w:val="16"/>
                <w:szCs w:val="16"/>
              </w:rPr>
              <w:t>Entry into force of the amendments to the legislative framework, implementing the National Roadmap</w:t>
            </w:r>
          </w:p>
          <w:p w14:paraId="31E80922" w14:textId="77777777" w:rsidR="00AD589E" w:rsidRPr="009F2F58" w:rsidRDefault="00AD589E" w:rsidP="00937016">
            <w:pPr>
              <w:spacing w:after="0"/>
              <w:rPr>
                <w:rFonts w:ascii="Arial" w:hAnsi="Arial" w:cs="Arial"/>
                <w:color w:val="006100"/>
                <w:sz w:val="16"/>
                <w:szCs w:val="16"/>
              </w:rPr>
            </w:pPr>
          </w:p>
          <w:p w14:paraId="2DB31A32" w14:textId="2929AC16" w:rsidR="00AD589E" w:rsidRPr="009F2F58" w:rsidRDefault="00AD589E" w:rsidP="00937016">
            <w:pPr>
              <w:spacing w:after="0"/>
              <w:rPr>
                <w:rFonts w:ascii="Arial" w:hAnsi="Arial" w:cs="Arial"/>
                <w:color w:val="006100"/>
                <w:sz w:val="16"/>
                <w:szCs w:val="16"/>
              </w:rPr>
            </w:pPr>
            <w:r w:rsidRPr="009F2F58">
              <w:rPr>
                <w:rFonts w:ascii="Arial" w:hAnsi="Arial" w:cs="Arial"/>
                <w:color w:val="006100"/>
                <w:sz w:val="16"/>
                <w:szCs w:val="16"/>
              </w:rPr>
              <w:t xml:space="preserve">How: </w:t>
            </w:r>
            <w:r>
              <w:rPr>
                <w:rFonts w:ascii="Arial" w:hAnsi="Arial" w:cs="Arial"/>
                <w:color w:val="006100"/>
                <w:sz w:val="16"/>
                <w:szCs w:val="16"/>
              </w:rPr>
              <w:t>entry into force (evidence</w:t>
            </w:r>
            <w:r w:rsidR="00FD4AE6">
              <w:rPr>
                <w:rFonts w:ascii="Arial" w:hAnsi="Arial" w:cs="Arial"/>
                <w:color w:val="006100"/>
                <w:sz w:val="16"/>
                <w:szCs w:val="16"/>
              </w:rPr>
              <w:t>d</w:t>
            </w:r>
            <w:r>
              <w:rPr>
                <w:rFonts w:ascii="Arial" w:hAnsi="Arial" w:cs="Arial"/>
                <w:color w:val="006100"/>
                <w:sz w:val="16"/>
                <w:szCs w:val="16"/>
              </w:rPr>
              <w:t xml:space="preserve"> by a) and reporting (b)</w:t>
            </w:r>
          </w:p>
          <w:p w14:paraId="4B00B685" w14:textId="77777777" w:rsidR="00AD589E" w:rsidRPr="009F2F58" w:rsidRDefault="00AD589E" w:rsidP="00937016">
            <w:pPr>
              <w:spacing w:after="0"/>
              <w:rPr>
                <w:rFonts w:ascii="Arial" w:hAnsi="Arial" w:cs="Arial"/>
                <w:color w:val="006100"/>
                <w:sz w:val="16"/>
                <w:szCs w:val="16"/>
              </w:rPr>
            </w:pPr>
          </w:p>
          <w:p w14:paraId="7566FBA8" w14:textId="6E55047B" w:rsidR="00AD589E" w:rsidRPr="009F2F58" w:rsidRDefault="00AD589E" w:rsidP="00937016">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937016">
              <w:rPr>
                <w:rFonts w:ascii="Arial" w:hAnsi="Arial" w:cs="Arial"/>
                <w:color w:val="006100"/>
                <w:sz w:val="16"/>
                <w:szCs w:val="16"/>
              </w:rPr>
              <w:t xml:space="preserve">Entry into force of the amendments to the regulatory framework based on the National Roadmap. The amendments shall remove key impediments identified in the roadmap for the development of the green hydrogen technology </w:t>
            </w:r>
            <w:r w:rsidRPr="00937016">
              <w:rPr>
                <w:rFonts w:ascii="Arial" w:hAnsi="Arial" w:cs="Arial"/>
                <w:color w:val="006100"/>
                <w:sz w:val="16"/>
                <w:szCs w:val="16"/>
              </w:rPr>
              <w:lastRenderedPageBreak/>
              <w:t>and implement measures needed for the development of the whole green hydrogen value chain.</w:t>
            </w:r>
            <w:r>
              <w:rPr>
                <w:rFonts w:ascii="Arial" w:hAnsi="Arial" w:cs="Arial"/>
                <w:color w:val="006100"/>
                <w:sz w:val="16"/>
                <w:szCs w:val="16"/>
              </w:rPr>
              <w:t xml:space="preserve"> </w:t>
            </w:r>
            <w:r w:rsidRPr="009F2F58">
              <w:rPr>
                <w:rFonts w:ascii="Arial" w:hAnsi="Arial" w:cs="Arial"/>
                <w:color w:val="006100"/>
                <w:sz w:val="16"/>
                <w:szCs w:val="16"/>
              </w:rPr>
              <w:t>[provide references to the above in the summary document]</w:t>
            </w:r>
          </w:p>
          <w:p w14:paraId="0AD15917" w14:textId="77777777" w:rsidR="00AD589E" w:rsidRPr="009F2F58" w:rsidRDefault="00AD589E" w:rsidP="00937016">
            <w:pPr>
              <w:spacing w:after="0"/>
              <w:rPr>
                <w:rFonts w:ascii="Arial" w:hAnsi="Arial" w:cs="Arial"/>
                <w:color w:val="006100"/>
                <w:sz w:val="16"/>
                <w:szCs w:val="16"/>
              </w:rPr>
            </w:pPr>
          </w:p>
          <w:p w14:paraId="337C269F" w14:textId="27FCF16B" w:rsidR="00AD589E" w:rsidRPr="004F3D4C" w:rsidRDefault="00AD589E" w:rsidP="00937016">
            <w:pPr>
              <w:spacing w:after="0"/>
              <w:rPr>
                <w:rFonts w:ascii="Arial" w:hAnsi="Arial" w:cs="Arial"/>
                <w:color w:val="006100"/>
                <w:sz w:val="16"/>
                <w:szCs w:val="16"/>
              </w:rPr>
            </w:pPr>
            <w:r w:rsidRPr="009F2F58">
              <w:rPr>
                <w:rFonts w:ascii="Arial" w:hAnsi="Arial" w:cs="Arial"/>
                <w:color w:val="006100"/>
                <w:sz w:val="16"/>
                <w:szCs w:val="16"/>
              </w:rPr>
              <w:t xml:space="preserve">When: </w:t>
            </w:r>
            <w:r>
              <w:rPr>
                <w:rFonts w:ascii="Arial" w:hAnsi="Arial" w:cs="Arial"/>
                <w:color w:val="006100"/>
                <w:sz w:val="16"/>
                <w:szCs w:val="16"/>
              </w:rPr>
              <w:t xml:space="preserve">specify the dates of </w:t>
            </w:r>
            <w:r w:rsidR="0074169F">
              <w:rPr>
                <w:rFonts w:ascii="Arial" w:hAnsi="Arial" w:cs="Arial"/>
                <w:color w:val="006100"/>
                <w:sz w:val="16"/>
                <w:szCs w:val="16"/>
              </w:rPr>
              <w:t xml:space="preserve">development and </w:t>
            </w:r>
            <w:r>
              <w:rPr>
                <w:rFonts w:ascii="Arial" w:hAnsi="Arial" w:cs="Arial"/>
                <w:color w:val="006100"/>
                <w:sz w:val="16"/>
                <w:szCs w:val="16"/>
              </w:rPr>
              <w:t>entry into force</w:t>
            </w:r>
          </w:p>
        </w:tc>
        <w:tc>
          <w:tcPr>
            <w:tcW w:w="2268" w:type="dxa"/>
            <w:shd w:val="clear" w:color="auto" w:fill="D6E3C6"/>
          </w:tcPr>
          <w:p w14:paraId="3E88F32B" w14:textId="7A80B654" w:rsidR="00AD589E" w:rsidRPr="004F3D4C" w:rsidRDefault="00AD589E" w:rsidP="009807A8">
            <w:pPr>
              <w:spacing w:after="0"/>
              <w:rPr>
                <w:rFonts w:ascii="Arial" w:hAnsi="Arial" w:cs="Arial"/>
                <w:color w:val="006100"/>
                <w:sz w:val="16"/>
                <w:szCs w:val="16"/>
              </w:rPr>
            </w:pPr>
            <w:r w:rsidRPr="00312141">
              <w:rPr>
                <w:rFonts w:ascii="Arial" w:hAnsi="Arial" w:cs="Arial"/>
                <w:color w:val="006100"/>
                <w:sz w:val="16"/>
                <w:szCs w:val="16"/>
              </w:rPr>
              <w:lastRenderedPageBreak/>
              <w:t>The objective of this reform is to remove key impediments identified in the roadmap for the development of the hydrogen technology and implement measures needed for the development of the whole hydrogen value chain</w:t>
            </w:r>
          </w:p>
        </w:tc>
        <w:tc>
          <w:tcPr>
            <w:tcW w:w="1036" w:type="dxa"/>
            <w:gridSpan w:val="2"/>
            <w:shd w:val="clear" w:color="auto" w:fill="D6E3C6"/>
          </w:tcPr>
          <w:p w14:paraId="2079D7C6" w14:textId="2B810EAD"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42C24032" w14:textId="167BA51C" w:rsidR="00AD589E" w:rsidRPr="004F3D4C" w:rsidRDefault="00AD589E" w:rsidP="009807A8">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7385CFD2" w14:textId="7F1D8B97"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3A093CC8" w14:textId="1676E759" w:rsidR="00AD589E" w:rsidRPr="004F3D4C" w:rsidRDefault="00E077B4" w:rsidP="009807A8">
            <w:pPr>
              <w:spacing w:after="0"/>
              <w:rPr>
                <w:rFonts w:ascii="Arial" w:hAnsi="Arial" w:cs="Arial"/>
                <w:color w:val="006100"/>
                <w:sz w:val="16"/>
                <w:szCs w:val="16"/>
              </w:rPr>
            </w:pPr>
            <w:r>
              <w:rPr>
                <w:rFonts w:ascii="Arial" w:hAnsi="Arial" w:cs="Arial"/>
                <w:color w:val="006100"/>
                <w:sz w:val="16"/>
                <w:szCs w:val="16"/>
              </w:rPr>
              <w:t xml:space="preserve">Monitoring steps: </w:t>
            </w:r>
            <w:r w:rsidR="001276BA" w:rsidRPr="001276BA">
              <w:rPr>
                <w:rFonts w:ascii="Arial" w:hAnsi="Arial" w:cs="Arial"/>
                <w:color w:val="006100"/>
                <w:sz w:val="16"/>
                <w:szCs w:val="16"/>
              </w:rPr>
              <w:t>Consultation of the European Commission</w:t>
            </w:r>
            <w:r w:rsidR="001276BA">
              <w:rPr>
                <w:rFonts w:ascii="Arial" w:hAnsi="Arial" w:cs="Arial"/>
                <w:color w:val="006100"/>
                <w:sz w:val="16"/>
                <w:szCs w:val="16"/>
              </w:rPr>
              <w:t xml:space="preserve"> (</w:t>
            </w:r>
            <w:r w:rsidR="00D814A7">
              <w:rPr>
                <w:rFonts w:ascii="Arial" w:hAnsi="Arial" w:cs="Arial"/>
                <w:color w:val="006100"/>
                <w:sz w:val="16"/>
                <w:szCs w:val="16"/>
              </w:rPr>
              <w:t>Q3 20</w:t>
            </w:r>
            <w:r w:rsidR="009D4EDC">
              <w:rPr>
                <w:rFonts w:ascii="Arial" w:hAnsi="Arial" w:cs="Arial"/>
                <w:color w:val="006100"/>
                <w:sz w:val="16"/>
                <w:szCs w:val="16"/>
              </w:rPr>
              <w:t>22</w:t>
            </w:r>
            <w:r w:rsidR="001276BA">
              <w:rPr>
                <w:rFonts w:ascii="Arial" w:hAnsi="Arial" w:cs="Arial"/>
                <w:color w:val="006100"/>
                <w:sz w:val="16"/>
                <w:szCs w:val="16"/>
              </w:rPr>
              <w:t>)</w:t>
            </w:r>
            <w:r w:rsidR="009D4EDC">
              <w:rPr>
                <w:rFonts w:ascii="Arial" w:hAnsi="Arial" w:cs="Arial"/>
                <w:color w:val="006100"/>
                <w:sz w:val="16"/>
                <w:szCs w:val="16"/>
              </w:rPr>
              <w:t xml:space="preserve"> and </w:t>
            </w:r>
            <w:r w:rsidR="00FD059A" w:rsidRPr="00FD059A">
              <w:rPr>
                <w:rFonts w:ascii="Arial" w:hAnsi="Arial" w:cs="Arial"/>
                <w:color w:val="006100"/>
                <w:sz w:val="16"/>
                <w:szCs w:val="16"/>
              </w:rPr>
              <w:t>Submission to the Parliament for approval</w:t>
            </w:r>
            <w:r w:rsidR="00FD059A">
              <w:rPr>
                <w:rFonts w:ascii="Arial" w:hAnsi="Arial" w:cs="Arial"/>
                <w:color w:val="006100"/>
                <w:sz w:val="16"/>
                <w:szCs w:val="16"/>
              </w:rPr>
              <w:t xml:space="preserve"> </w:t>
            </w:r>
            <w:r w:rsidR="00564900">
              <w:rPr>
                <w:rFonts w:ascii="Arial" w:hAnsi="Arial" w:cs="Arial"/>
                <w:color w:val="006100"/>
                <w:sz w:val="16"/>
                <w:szCs w:val="16"/>
              </w:rPr>
              <w:t xml:space="preserve">(Q4 </w:t>
            </w:r>
            <w:r w:rsidR="006468F7">
              <w:rPr>
                <w:rFonts w:ascii="Arial" w:hAnsi="Arial" w:cs="Arial"/>
                <w:color w:val="006100"/>
                <w:sz w:val="16"/>
                <w:szCs w:val="16"/>
              </w:rPr>
              <w:t>2022)</w:t>
            </w:r>
          </w:p>
        </w:tc>
      </w:tr>
      <w:tr w:rsidR="00AD589E" w:rsidRPr="004F3D4C" w14:paraId="786F78CE" w14:textId="63911A06" w:rsidTr="00596EEA">
        <w:trPr>
          <w:trHeight w:val="309"/>
        </w:trPr>
        <w:tc>
          <w:tcPr>
            <w:tcW w:w="454" w:type="dxa"/>
            <w:shd w:val="clear" w:color="auto" w:fill="D6E3C6"/>
            <w:noWrap/>
          </w:tcPr>
          <w:p w14:paraId="1862EEE7" w14:textId="2B4AB71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91</w:t>
            </w:r>
          </w:p>
        </w:tc>
        <w:tc>
          <w:tcPr>
            <w:tcW w:w="1215" w:type="dxa"/>
            <w:shd w:val="clear" w:color="auto" w:fill="D6E3C6"/>
            <w:noWrap/>
          </w:tcPr>
          <w:p w14:paraId="2673D435" w14:textId="0015B00D"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C4.R8: Liberalisation of the electricity market</w:t>
            </w:r>
          </w:p>
        </w:tc>
        <w:tc>
          <w:tcPr>
            <w:tcW w:w="956" w:type="dxa"/>
            <w:shd w:val="clear" w:color="auto" w:fill="D6E3C6"/>
            <w:noWrap/>
          </w:tcPr>
          <w:p w14:paraId="44A0C940" w14:textId="5B0F9D64"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6755677A" w14:textId="0115E7CA"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Entry into force of the amendments to the Energy Act enacting the reform of electricity markets (wholesale, balancing and retail)</w:t>
            </w:r>
          </w:p>
        </w:tc>
        <w:tc>
          <w:tcPr>
            <w:tcW w:w="1322" w:type="dxa"/>
            <w:shd w:val="clear" w:color="auto" w:fill="D6E3C6"/>
            <w:noWrap/>
          </w:tcPr>
          <w:p w14:paraId="526F9B3F" w14:textId="4069E50F"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the law indicating the entry into force of the new amendments to the Energy Act</w:t>
            </w:r>
          </w:p>
        </w:tc>
        <w:tc>
          <w:tcPr>
            <w:tcW w:w="709" w:type="dxa"/>
            <w:shd w:val="clear" w:color="auto" w:fill="D6E3C6"/>
            <w:noWrap/>
          </w:tcPr>
          <w:p w14:paraId="1EA39741"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04EE6A84"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4978EB85"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3EF0358B" w14:textId="39853E87"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Q3</w:t>
            </w:r>
          </w:p>
        </w:tc>
        <w:tc>
          <w:tcPr>
            <w:tcW w:w="520" w:type="dxa"/>
            <w:shd w:val="clear" w:color="auto" w:fill="D6E3C6"/>
            <w:noWrap/>
          </w:tcPr>
          <w:p w14:paraId="2042E260" w14:textId="47BC8A5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40F33E4A" w14:textId="5F5C689A"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4EA96650"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4671ACA6" w14:textId="77777777" w:rsidR="0081259B" w:rsidRDefault="00AD589E" w:rsidP="0081259B">
            <w:pPr>
              <w:pStyle w:val="ListParagraph"/>
              <w:numPr>
                <w:ilvl w:val="0"/>
                <w:numId w:val="39"/>
              </w:numPr>
              <w:spacing w:after="0"/>
              <w:rPr>
                <w:rFonts w:ascii="Arial" w:hAnsi="Arial" w:cs="Arial"/>
                <w:color w:val="006100"/>
                <w:sz w:val="16"/>
                <w:szCs w:val="16"/>
              </w:rPr>
            </w:pPr>
            <w:r w:rsidRPr="004F3D4C">
              <w:rPr>
                <w:rFonts w:ascii="Arial" w:hAnsi="Arial" w:cs="Arial"/>
                <w:color w:val="006100"/>
                <w:sz w:val="16"/>
                <w:szCs w:val="16"/>
                <w:lang w:eastAsia="en-GB"/>
              </w:rPr>
              <w:t>Copy of the publications in the State Gazette</w:t>
            </w:r>
          </w:p>
          <w:p w14:paraId="10705771" w14:textId="77777777" w:rsidR="0081259B" w:rsidRDefault="0081259B" w:rsidP="0081259B">
            <w:pPr>
              <w:pStyle w:val="ListParagraph"/>
              <w:numPr>
                <w:ilvl w:val="0"/>
                <w:numId w:val="39"/>
              </w:numPr>
              <w:spacing w:after="0"/>
              <w:rPr>
                <w:rFonts w:ascii="Arial" w:hAnsi="Arial" w:cs="Arial"/>
                <w:color w:val="006100"/>
                <w:sz w:val="16"/>
                <w:szCs w:val="16"/>
              </w:rPr>
            </w:pPr>
            <w:r>
              <w:rPr>
                <w:rFonts w:ascii="Arial" w:hAnsi="Arial" w:cs="Arial"/>
                <w:color w:val="006100"/>
                <w:sz w:val="16"/>
                <w:szCs w:val="16"/>
                <w:lang w:eastAsia="en-GB"/>
              </w:rPr>
              <w:t>R</w:t>
            </w:r>
            <w:r w:rsidR="00AD589E" w:rsidRPr="0081259B">
              <w:rPr>
                <w:rFonts w:ascii="Arial" w:hAnsi="Arial" w:cs="Arial"/>
                <w:color w:val="006100"/>
                <w:sz w:val="16"/>
                <w:szCs w:val="16"/>
                <w:lang w:eastAsia="en-GB"/>
              </w:rPr>
              <w:t>eference to all of the relevant provisions indicating the entry into force and to the provisions which fulfil the relevant elements of the milestone, as listed in the description of the milestone and of the corresponding measure in the CID annex, with appropriate links to or copies of the document(s) mentioned in the summary document</w:t>
            </w:r>
          </w:p>
          <w:p w14:paraId="5BA18697" w14:textId="1AD6676F" w:rsidR="00AD589E" w:rsidRPr="0081259B" w:rsidRDefault="0081259B" w:rsidP="0081259B">
            <w:pPr>
              <w:pStyle w:val="ListParagraph"/>
              <w:numPr>
                <w:ilvl w:val="0"/>
                <w:numId w:val="39"/>
              </w:numPr>
              <w:spacing w:after="0"/>
              <w:rPr>
                <w:rFonts w:ascii="Arial" w:hAnsi="Arial" w:cs="Arial"/>
                <w:color w:val="006100"/>
                <w:sz w:val="16"/>
                <w:szCs w:val="16"/>
              </w:rPr>
            </w:pPr>
            <w:r>
              <w:rPr>
                <w:rFonts w:ascii="Arial" w:hAnsi="Arial" w:cs="Arial"/>
                <w:color w:val="006100"/>
                <w:sz w:val="16"/>
                <w:szCs w:val="16"/>
                <w:lang w:eastAsia="en-GB"/>
              </w:rPr>
              <w:t>A</w:t>
            </w:r>
            <w:r w:rsidR="00AD589E" w:rsidRPr="0081259B">
              <w:rPr>
                <w:rFonts w:ascii="Arial" w:hAnsi="Arial" w:cs="Arial"/>
                <w:color w:val="006100"/>
                <w:sz w:val="16"/>
                <w:szCs w:val="16"/>
                <w:lang w:eastAsia="en-GB"/>
              </w:rPr>
              <w:t>nalysis by the Ministry of Energy on how the changes in the legislation contribute to the objectives of the milestone</w:t>
            </w:r>
          </w:p>
        </w:tc>
        <w:tc>
          <w:tcPr>
            <w:tcW w:w="3402" w:type="dxa"/>
            <w:shd w:val="clear" w:color="auto" w:fill="D6E3C6"/>
          </w:tcPr>
          <w:p w14:paraId="28D9746C" w14:textId="21F25EB7" w:rsidR="00AD589E" w:rsidRDefault="00AD589E" w:rsidP="003065A4">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395425BB" w14:textId="77777777" w:rsidR="00AD589E" w:rsidRPr="009F2F58" w:rsidRDefault="00AD589E" w:rsidP="003065A4">
            <w:pPr>
              <w:spacing w:after="0"/>
              <w:rPr>
                <w:rFonts w:ascii="Arial" w:hAnsi="Arial" w:cs="Arial"/>
                <w:color w:val="006100"/>
                <w:sz w:val="16"/>
                <w:szCs w:val="16"/>
              </w:rPr>
            </w:pPr>
          </w:p>
          <w:p w14:paraId="6C38503F" w14:textId="7BF86D90" w:rsidR="00AD589E" w:rsidRPr="009F2F58" w:rsidRDefault="00AD589E" w:rsidP="003065A4">
            <w:pPr>
              <w:spacing w:after="0"/>
              <w:rPr>
                <w:rFonts w:ascii="Arial" w:hAnsi="Arial" w:cs="Arial"/>
                <w:color w:val="006100"/>
                <w:sz w:val="16"/>
                <w:szCs w:val="16"/>
              </w:rPr>
            </w:pPr>
            <w:r w:rsidRPr="009F2F58">
              <w:rPr>
                <w:rFonts w:ascii="Arial" w:hAnsi="Arial" w:cs="Arial"/>
                <w:color w:val="006100"/>
                <w:sz w:val="16"/>
                <w:szCs w:val="16"/>
              </w:rPr>
              <w:t xml:space="preserve">What: </w:t>
            </w:r>
            <w:r w:rsidRPr="003065A4">
              <w:rPr>
                <w:rFonts w:ascii="Arial" w:hAnsi="Arial" w:cs="Arial"/>
                <w:color w:val="006100"/>
                <w:sz w:val="16"/>
                <w:szCs w:val="16"/>
              </w:rPr>
              <w:t>Entry into force of the amendments to the Energy Act enacting the reform of electricity markets (wholesale, balancing and retail)</w:t>
            </w:r>
          </w:p>
          <w:p w14:paraId="476B6E82" w14:textId="77777777" w:rsidR="00AD589E" w:rsidRPr="009F2F58" w:rsidRDefault="00AD589E" w:rsidP="003065A4">
            <w:pPr>
              <w:spacing w:after="0"/>
              <w:rPr>
                <w:rFonts w:ascii="Arial" w:hAnsi="Arial" w:cs="Arial"/>
                <w:color w:val="006100"/>
                <w:sz w:val="16"/>
                <w:szCs w:val="16"/>
              </w:rPr>
            </w:pPr>
          </w:p>
          <w:p w14:paraId="7F7B412C" w14:textId="6233923E" w:rsidR="00AD589E" w:rsidRPr="009F2F58" w:rsidRDefault="00AD589E" w:rsidP="003065A4">
            <w:pPr>
              <w:spacing w:after="0"/>
              <w:rPr>
                <w:rFonts w:ascii="Arial" w:hAnsi="Arial" w:cs="Arial"/>
                <w:color w:val="006100"/>
                <w:sz w:val="16"/>
                <w:szCs w:val="16"/>
              </w:rPr>
            </w:pPr>
            <w:r w:rsidRPr="009F2F58">
              <w:rPr>
                <w:rFonts w:ascii="Arial" w:hAnsi="Arial" w:cs="Arial"/>
                <w:color w:val="006100"/>
                <w:sz w:val="16"/>
                <w:szCs w:val="16"/>
              </w:rPr>
              <w:t xml:space="preserve">How: </w:t>
            </w:r>
            <w:r>
              <w:rPr>
                <w:rFonts w:ascii="Arial" w:hAnsi="Arial" w:cs="Arial"/>
                <w:color w:val="006100"/>
                <w:sz w:val="16"/>
                <w:szCs w:val="16"/>
              </w:rPr>
              <w:t>entry into force (evidence</w:t>
            </w:r>
            <w:r w:rsidR="00F965D8">
              <w:rPr>
                <w:rFonts w:ascii="Arial" w:hAnsi="Arial" w:cs="Arial"/>
                <w:color w:val="006100"/>
                <w:sz w:val="16"/>
                <w:szCs w:val="16"/>
              </w:rPr>
              <w:t>d</w:t>
            </w:r>
            <w:r>
              <w:rPr>
                <w:rFonts w:ascii="Arial" w:hAnsi="Arial" w:cs="Arial"/>
                <w:color w:val="006100"/>
                <w:sz w:val="16"/>
                <w:szCs w:val="16"/>
              </w:rPr>
              <w:t xml:space="preserve"> by a) and reporting (b</w:t>
            </w:r>
            <w:r w:rsidR="0081259B">
              <w:rPr>
                <w:rFonts w:ascii="Arial" w:hAnsi="Arial" w:cs="Arial"/>
                <w:color w:val="006100"/>
                <w:sz w:val="16"/>
                <w:szCs w:val="16"/>
              </w:rPr>
              <w:t>, c</w:t>
            </w:r>
            <w:r>
              <w:rPr>
                <w:rFonts w:ascii="Arial" w:hAnsi="Arial" w:cs="Arial"/>
                <w:color w:val="006100"/>
                <w:sz w:val="16"/>
                <w:szCs w:val="16"/>
              </w:rPr>
              <w:t>)</w:t>
            </w:r>
          </w:p>
          <w:p w14:paraId="36802DEB" w14:textId="77777777" w:rsidR="00AD589E" w:rsidRPr="009F2F58" w:rsidRDefault="00AD589E" w:rsidP="003065A4">
            <w:pPr>
              <w:spacing w:after="0"/>
              <w:rPr>
                <w:rFonts w:ascii="Arial" w:hAnsi="Arial" w:cs="Arial"/>
                <w:color w:val="006100"/>
                <w:sz w:val="16"/>
                <w:szCs w:val="16"/>
              </w:rPr>
            </w:pPr>
          </w:p>
          <w:p w14:paraId="6E6E70CD" w14:textId="3B0EE83E" w:rsidR="00AD589E" w:rsidRPr="009F2F58" w:rsidRDefault="00AD589E" w:rsidP="003065A4">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B57743">
              <w:rPr>
                <w:rFonts w:ascii="Arial" w:hAnsi="Arial" w:cs="Arial"/>
                <w:color w:val="006100"/>
                <w:sz w:val="16"/>
                <w:szCs w:val="16"/>
              </w:rPr>
              <w:t>The amendments to the Energy Law (and to any required secondary legislation) shall: 1. liberalise the electricity wholesale market at the latest by 30 September 2022. This shall include: - abolishing quota obligations for the Natsionalna Elektricheska Kompania EAD (NEK) and terminating its role as public supplier; - prohibiting long-term contracts, such as power purchase agreements, or any other similar agreements having the same or equivalent object or effect with the exception of such agreements for energy from renewable sources or those concluded on the power exchange. Upon expiry or early termination of current power purchase agreements, plants that have benefitted from such agreements shall not receive new State aid to support power production from hard coal or lignite;2. reform the electricity balancing market at the latest by 31 December 2022. This shall include: the purchase of balancing capacity is market-based; the price of balancing energy shall be published within 30 minutes after intraday market closure; a single balancing price shall be introduced for periods without balancing energy activation; a 15-minute imbalance settlement period shall be introduced; no price caps for balancing electricity shall be set.3. liberalise the electricity retail market at the latest by 31 December 2025 by providing a progressive full retail price deregulation for households in parallel with the full ability to switch supplier. The phasing out of regulated prices for household customers shall take place in two successive stages 2023 and 2025, respectively, covering a significant share of the household market.</w:t>
            </w:r>
            <w:r>
              <w:rPr>
                <w:rFonts w:ascii="Arial" w:hAnsi="Arial" w:cs="Arial"/>
                <w:color w:val="006100"/>
                <w:sz w:val="16"/>
                <w:szCs w:val="16"/>
              </w:rPr>
              <w:t xml:space="preserve"> </w:t>
            </w:r>
            <w:r w:rsidRPr="009F2F58">
              <w:rPr>
                <w:rFonts w:ascii="Arial" w:hAnsi="Arial" w:cs="Arial"/>
                <w:color w:val="006100"/>
                <w:sz w:val="16"/>
                <w:szCs w:val="16"/>
              </w:rPr>
              <w:t>[provide references to the above in the summary document]</w:t>
            </w:r>
          </w:p>
          <w:p w14:paraId="1DEA5FE9" w14:textId="77777777" w:rsidR="00AD589E" w:rsidRPr="009F2F58" w:rsidRDefault="00AD589E" w:rsidP="003065A4">
            <w:pPr>
              <w:spacing w:after="0"/>
              <w:rPr>
                <w:rFonts w:ascii="Arial" w:hAnsi="Arial" w:cs="Arial"/>
                <w:color w:val="006100"/>
                <w:sz w:val="16"/>
                <w:szCs w:val="16"/>
              </w:rPr>
            </w:pPr>
          </w:p>
          <w:p w14:paraId="4E8D5A08" w14:textId="18402363" w:rsidR="00AD589E" w:rsidRPr="004F3D4C" w:rsidRDefault="00AD589E" w:rsidP="003065A4">
            <w:pPr>
              <w:spacing w:after="0"/>
              <w:rPr>
                <w:rFonts w:ascii="Arial" w:hAnsi="Arial" w:cs="Arial"/>
                <w:color w:val="006100"/>
                <w:sz w:val="16"/>
                <w:szCs w:val="16"/>
              </w:rPr>
            </w:pPr>
            <w:r w:rsidRPr="00890DD4">
              <w:rPr>
                <w:rFonts w:ascii="Arial" w:hAnsi="Arial" w:cs="Arial"/>
                <w:color w:val="006100"/>
                <w:sz w:val="16"/>
                <w:szCs w:val="16"/>
              </w:rPr>
              <w:lastRenderedPageBreak/>
              <w:t xml:space="preserve">When: specify the date of </w:t>
            </w:r>
            <w:r w:rsidR="006F4186">
              <w:rPr>
                <w:rFonts w:ascii="Arial" w:hAnsi="Arial" w:cs="Arial"/>
                <w:color w:val="006100"/>
                <w:sz w:val="16"/>
                <w:szCs w:val="16"/>
              </w:rPr>
              <w:t xml:space="preserve">development and </w:t>
            </w:r>
            <w:r w:rsidRPr="00890DD4">
              <w:rPr>
                <w:rFonts w:ascii="Arial" w:hAnsi="Arial" w:cs="Arial"/>
                <w:color w:val="006100"/>
                <w:sz w:val="16"/>
                <w:szCs w:val="16"/>
              </w:rPr>
              <w:t>entry into force</w:t>
            </w:r>
          </w:p>
        </w:tc>
        <w:tc>
          <w:tcPr>
            <w:tcW w:w="2268" w:type="dxa"/>
            <w:shd w:val="clear" w:color="auto" w:fill="D6E3C6"/>
          </w:tcPr>
          <w:p w14:paraId="6EAF9133" w14:textId="77777777" w:rsidR="00AD589E" w:rsidRPr="00DF6549" w:rsidRDefault="00AD589E" w:rsidP="00DF6549">
            <w:pPr>
              <w:spacing w:after="0"/>
              <w:rPr>
                <w:rFonts w:ascii="Arial" w:hAnsi="Arial" w:cs="Arial"/>
                <w:color w:val="006100"/>
                <w:sz w:val="16"/>
                <w:szCs w:val="16"/>
              </w:rPr>
            </w:pPr>
            <w:r w:rsidRPr="00DF6549">
              <w:rPr>
                <w:rFonts w:ascii="Arial" w:hAnsi="Arial" w:cs="Arial"/>
                <w:color w:val="006100"/>
                <w:sz w:val="16"/>
                <w:szCs w:val="16"/>
              </w:rPr>
              <w:lastRenderedPageBreak/>
              <w:t xml:space="preserve">The objective of this reform is to complete the liberalisation of the electricity markets, including wholesale and retail markets. This reform shall consist of the following elements: </w:t>
            </w:r>
          </w:p>
          <w:p w14:paraId="6062370E" w14:textId="77777777" w:rsidR="00AD589E" w:rsidRPr="00DF6549" w:rsidRDefault="00AD589E" w:rsidP="00DF6549">
            <w:pPr>
              <w:spacing w:after="0"/>
              <w:rPr>
                <w:rFonts w:ascii="Arial" w:hAnsi="Arial" w:cs="Arial"/>
                <w:color w:val="006100"/>
                <w:sz w:val="16"/>
                <w:szCs w:val="16"/>
              </w:rPr>
            </w:pPr>
          </w:p>
          <w:p w14:paraId="32E6F2B9" w14:textId="77777777" w:rsidR="00AD589E" w:rsidRPr="00DF6549" w:rsidRDefault="00AD589E" w:rsidP="00DF6549">
            <w:pPr>
              <w:spacing w:after="0"/>
              <w:rPr>
                <w:rFonts w:ascii="Arial" w:hAnsi="Arial" w:cs="Arial"/>
                <w:color w:val="006100"/>
                <w:sz w:val="16"/>
                <w:szCs w:val="16"/>
              </w:rPr>
            </w:pPr>
            <w:r w:rsidRPr="00DF6549">
              <w:rPr>
                <w:rFonts w:ascii="Arial" w:hAnsi="Arial" w:cs="Arial"/>
                <w:color w:val="006100"/>
                <w:sz w:val="16"/>
                <w:szCs w:val="16"/>
              </w:rPr>
              <w:t xml:space="preserve">The first element aims to fully liberalise the wholesale electricity market by 2022. This element shall be implemented through amendments to the Energy Act and to the secondary legislation, which shall terminate the public supplier role for the Natsionalna Elektricheska Kompania EAD (NEK) and abolish the quotas for the regulated market. It shall also forbid long-term contracts, such as power purchase agreements, or any similar measures having the same or equivalent object or effect with the exception of those for electricity from renewable sources or concluded on the power exchange. The long term electricity purchase contracts for Maritsa East 1 and Maritsa East 3 which expire in 2024 and 2026, respectively shall not be extended and/or benefit of any new State support. </w:t>
            </w:r>
          </w:p>
          <w:p w14:paraId="60FA667E" w14:textId="77777777" w:rsidR="00AD589E" w:rsidRPr="00DF6549" w:rsidRDefault="00AD589E" w:rsidP="00DF6549">
            <w:pPr>
              <w:spacing w:after="0"/>
              <w:rPr>
                <w:rFonts w:ascii="Arial" w:hAnsi="Arial" w:cs="Arial"/>
                <w:color w:val="006100"/>
                <w:sz w:val="16"/>
                <w:szCs w:val="16"/>
              </w:rPr>
            </w:pPr>
          </w:p>
          <w:p w14:paraId="013ACDF6" w14:textId="77777777" w:rsidR="00AD589E" w:rsidRPr="00DF6549" w:rsidRDefault="00AD589E" w:rsidP="00DF6549">
            <w:pPr>
              <w:spacing w:after="0"/>
              <w:rPr>
                <w:rFonts w:ascii="Arial" w:hAnsi="Arial" w:cs="Arial"/>
                <w:color w:val="006100"/>
                <w:sz w:val="16"/>
                <w:szCs w:val="16"/>
              </w:rPr>
            </w:pPr>
            <w:r w:rsidRPr="00DF6549">
              <w:rPr>
                <w:rFonts w:ascii="Arial" w:hAnsi="Arial" w:cs="Arial"/>
                <w:color w:val="006100"/>
                <w:sz w:val="16"/>
                <w:szCs w:val="16"/>
              </w:rPr>
              <w:t>The second element shall improve the electricity balancing market by ensuring that: (i) the balancing capacity shall be purchased on market terms; (ii) the price of balancing energy suppliers shall be published within 30 minutes after intraday market closure; (iii) a single balancing price shall be introduced for periods without balancing energy activation; (iv) a 15-</w:t>
            </w:r>
            <w:r w:rsidRPr="00DF6549">
              <w:rPr>
                <w:rFonts w:ascii="Arial" w:hAnsi="Arial" w:cs="Arial"/>
                <w:color w:val="006100"/>
                <w:sz w:val="16"/>
                <w:szCs w:val="16"/>
              </w:rPr>
              <w:lastRenderedPageBreak/>
              <w:t xml:space="preserve">minute imbalance settlement period shall be introduced; and (v) no price caps for balancing electricity shall be set. </w:t>
            </w:r>
          </w:p>
          <w:p w14:paraId="47FC1635" w14:textId="77777777" w:rsidR="00AD589E" w:rsidRPr="00DF6549" w:rsidRDefault="00AD589E" w:rsidP="00DF6549">
            <w:pPr>
              <w:spacing w:after="0"/>
              <w:rPr>
                <w:rFonts w:ascii="Arial" w:hAnsi="Arial" w:cs="Arial"/>
                <w:color w:val="006100"/>
                <w:sz w:val="16"/>
                <w:szCs w:val="16"/>
              </w:rPr>
            </w:pPr>
          </w:p>
          <w:p w14:paraId="33C2F063" w14:textId="46E173D1" w:rsidR="00AD589E" w:rsidRPr="004F3D4C" w:rsidRDefault="00AD589E" w:rsidP="00DF6549">
            <w:pPr>
              <w:spacing w:after="0"/>
              <w:rPr>
                <w:rFonts w:ascii="Arial" w:hAnsi="Arial" w:cs="Arial"/>
                <w:color w:val="006100"/>
                <w:sz w:val="16"/>
                <w:szCs w:val="16"/>
              </w:rPr>
            </w:pPr>
            <w:r w:rsidRPr="00DF6549">
              <w:rPr>
                <w:rFonts w:ascii="Arial" w:hAnsi="Arial" w:cs="Arial"/>
                <w:color w:val="006100"/>
                <w:sz w:val="16"/>
                <w:szCs w:val="16"/>
              </w:rPr>
              <w:t>The third element shall liberalise the electricity retail market by providing a progressive full retail price deregulation for households, in parallel with the full ability to switch supplier. The phasing out of regulated prices for household customers shall take place in two successive stages in 2023 and 2025, respectively covering a significant share of the household market.</w:t>
            </w:r>
          </w:p>
        </w:tc>
        <w:tc>
          <w:tcPr>
            <w:tcW w:w="1036" w:type="dxa"/>
            <w:gridSpan w:val="2"/>
            <w:shd w:val="clear" w:color="auto" w:fill="D6E3C6"/>
          </w:tcPr>
          <w:p w14:paraId="7E997BD0" w14:textId="716F52F5"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lastRenderedPageBreak/>
              <w:t>-</w:t>
            </w:r>
          </w:p>
        </w:tc>
        <w:tc>
          <w:tcPr>
            <w:tcW w:w="1090" w:type="dxa"/>
            <w:gridSpan w:val="2"/>
            <w:shd w:val="clear" w:color="auto" w:fill="D6E3C6"/>
          </w:tcPr>
          <w:p w14:paraId="5C75F934" w14:textId="2BC34E24" w:rsidR="00AD589E" w:rsidRPr="004F3D4C" w:rsidRDefault="00AD589E" w:rsidP="009807A8">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3FEA0786" w14:textId="2209EA54"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50A04B58" w14:textId="662CDD52" w:rsidR="00AD589E" w:rsidRPr="004F3D4C" w:rsidRDefault="00F965D8" w:rsidP="009807A8">
            <w:pPr>
              <w:spacing w:after="0"/>
              <w:rPr>
                <w:rFonts w:ascii="Arial" w:hAnsi="Arial" w:cs="Arial"/>
                <w:color w:val="006100"/>
                <w:sz w:val="16"/>
                <w:szCs w:val="16"/>
              </w:rPr>
            </w:pPr>
            <w:r>
              <w:rPr>
                <w:rFonts w:ascii="Arial" w:hAnsi="Arial" w:cs="Arial"/>
                <w:color w:val="006100"/>
                <w:sz w:val="16"/>
                <w:szCs w:val="16"/>
              </w:rPr>
              <w:t>-</w:t>
            </w:r>
          </w:p>
        </w:tc>
      </w:tr>
      <w:tr w:rsidR="00AD589E" w:rsidRPr="004F3D4C" w14:paraId="5F3D50B5" w14:textId="6143023B" w:rsidTr="00596EEA">
        <w:trPr>
          <w:trHeight w:val="309"/>
        </w:trPr>
        <w:tc>
          <w:tcPr>
            <w:tcW w:w="454" w:type="dxa"/>
            <w:shd w:val="clear" w:color="auto" w:fill="D6E3C6"/>
            <w:noWrap/>
          </w:tcPr>
          <w:p w14:paraId="677A6CEC" w14:textId="34A841D5"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92</w:t>
            </w:r>
          </w:p>
        </w:tc>
        <w:tc>
          <w:tcPr>
            <w:tcW w:w="1215" w:type="dxa"/>
            <w:shd w:val="clear" w:color="auto" w:fill="D6E3C6"/>
            <w:noWrap/>
          </w:tcPr>
          <w:p w14:paraId="5EB17DC3" w14:textId="7D41953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C4.R8: Liberalisation of the electricity market</w:t>
            </w:r>
          </w:p>
        </w:tc>
        <w:tc>
          <w:tcPr>
            <w:tcW w:w="956" w:type="dxa"/>
            <w:shd w:val="clear" w:color="auto" w:fill="D6E3C6"/>
            <w:noWrap/>
          </w:tcPr>
          <w:p w14:paraId="5A328E7C" w14:textId="5805C2A8"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6091136C" w14:textId="70098E0E"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Electricity market integration</w:t>
            </w:r>
          </w:p>
        </w:tc>
        <w:tc>
          <w:tcPr>
            <w:tcW w:w="1322" w:type="dxa"/>
            <w:shd w:val="clear" w:color="auto" w:fill="D6E3C6"/>
            <w:noWrap/>
          </w:tcPr>
          <w:p w14:paraId="38A2F10C" w14:textId="399BA5EC"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Completion of the day-ahead and intraday electricity market coupling with Romania and Greece</w:t>
            </w:r>
          </w:p>
        </w:tc>
        <w:tc>
          <w:tcPr>
            <w:tcW w:w="709" w:type="dxa"/>
            <w:shd w:val="clear" w:color="auto" w:fill="D6E3C6"/>
            <w:noWrap/>
          </w:tcPr>
          <w:p w14:paraId="5E0638E4"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2FC1735F"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2B73D69C"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15FCE302" w14:textId="23392BDF"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219D9061" w14:textId="6354DB62"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34B8AC1C" w14:textId="06B82653"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2BAF83F7"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41167E33" w14:textId="32BE59A0" w:rsidR="00AD589E" w:rsidRDefault="00AD589E" w:rsidP="0073371A">
            <w:pPr>
              <w:pStyle w:val="ListParagraph"/>
              <w:numPr>
                <w:ilvl w:val="0"/>
                <w:numId w:val="40"/>
              </w:numPr>
              <w:spacing w:after="0"/>
              <w:rPr>
                <w:rFonts w:ascii="Arial" w:hAnsi="Arial" w:cs="Arial"/>
                <w:color w:val="006100"/>
                <w:sz w:val="16"/>
                <w:szCs w:val="16"/>
              </w:rPr>
            </w:pPr>
            <w:r w:rsidRPr="004F3D4C">
              <w:rPr>
                <w:rFonts w:ascii="Arial" w:hAnsi="Arial" w:cs="Arial"/>
                <w:color w:val="006100"/>
                <w:sz w:val="16"/>
                <w:szCs w:val="16"/>
                <w:lang w:eastAsia="en-GB"/>
              </w:rPr>
              <w:t>Extract from the service level agreements/contracts between the nemos and tsos</w:t>
            </w:r>
            <w:r w:rsidRPr="004F3D4C">
              <w:rPr>
                <w:rFonts w:ascii="Arial" w:hAnsi="Arial" w:cs="Arial"/>
                <w:color w:val="006100"/>
                <w:sz w:val="16"/>
                <w:szCs w:val="16"/>
              </w:rPr>
              <w:t xml:space="preserve"> </w:t>
            </w:r>
            <w:r w:rsidRPr="004F3D4C">
              <w:rPr>
                <w:rFonts w:ascii="Arial" w:hAnsi="Arial" w:cs="Arial"/>
                <w:color w:val="006100"/>
                <w:sz w:val="16"/>
                <w:szCs w:val="16"/>
                <w:lang w:eastAsia="en-GB"/>
              </w:rPr>
              <w:t>proving alignment with the description of the milestone</w:t>
            </w:r>
          </w:p>
          <w:p w14:paraId="1F57AA0E" w14:textId="149366D8" w:rsidR="00AD589E" w:rsidRDefault="00AD589E" w:rsidP="0073371A">
            <w:pPr>
              <w:pStyle w:val="ListParagraph"/>
              <w:numPr>
                <w:ilvl w:val="0"/>
                <w:numId w:val="40"/>
              </w:numPr>
              <w:spacing w:after="0"/>
              <w:rPr>
                <w:rFonts w:ascii="Arial" w:hAnsi="Arial" w:cs="Arial"/>
                <w:color w:val="006100"/>
                <w:sz w:val="16"/>
                <w:szCs w:val="16"/>
              </w:rPr>
            </w:pPr>
            <w:r w:rsidRPr="004F3D4C">
              <w:rPr>
                <w:rFonts w:ascii="Arial" w:hAnsi="Arial" w:cs="Arial"/>
                <w:color w:val="006100"/>
                <w:sz w:val="16"/>
                <w:szCs w:val="16"/>
                <w:lang w:eastAsia="en-GB"/>
              </w:rPr>
              <w:t>Copy of the results for the Romania/Bulgaria market coupling “Day ahead”, for delivery day 1 January 2022</w:t>
            </w:r>
          </w:p>
          <w:p w14:paraId="7690DCC0" w14:textId="4055CA9E" w:rsidR="00AD589E" w:rsidRPr="008C7900" w:rsidRDefault="00AD589E" w:rsidP="0073371A">
            <w:pPr>
              <w:pStyle w:val="ListParagraph"/>
              <w:numPr>
                <w:ilvl w:val="0"/>
                <w:numId w:val="40"/>
              </w:numPr>
              <w:spacing w:after="0"/>
              <w:rPr>
                <w:rFonts w:ascii="Arial" w:hAnsi="Arial" w:cs="Arial"/>
                <w:color w:val="006100"/>
                <w:sz w:val="16"/>
                <w:szCs w:val="16"/>
              </w:rPr>
            </w:pPr>
            <w:r w:rsidRPr="004F3D4C">
              <w:rPr>
                <w:rFonts w:ascii="Arial" w:hAnsi="Arial" w:cs="Arial"/>
                <w:color w:val="006100"/>
                <w:sz w:val="16"/>
                <w:szCs w:val="16"/>
                <w:lang w:eastAsia="en-GB"/>
              </w:rPr>
              <w:t>Copy of the results for the Greece/Bulgaria market coupling “Intraday ahead”, for delivery day 1 January 2023</w:t>
            </w:r>
          </w:p>
        </w:tc>
        <w:tc>
          <w:tcPr>
            <w:tcW w:w="3402" w:type="dxa"/>
            <w:shd w:val="clear" w:color="auto" w:fill="D6E3C6"/>
          </w:tcPr>
          <w:p w14:paraId="7C416430" w14:textId="0FAF68AA" w:rsidR="00AD589E" w:rsidRDefault="00AD589E" w:rsidP="00BF7F9C">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73AD814B" w14:textId="77777777" w:rsidR="00AD589E" w:rsidRPr="009F2F58" w:rsidRDefault="00AD589E" w:rsidP="00BF7F9C">
            <w:pPr>
              <w:spacing w:after="0"/>
              <w:rPr>
                <w:rFonts w:ascii="Arial" w:hAnsi="Arial" w:cs="Arial"/>
                <w:color w:val="006100"/>
                <w:sz w:val="16"/>
                <w:szCs w:val="16"/>
              </w:rPr>
            </w:pPr>
          </w:p>
          <w:p w14:paraId="6245FDD3" w14:textId="1D9C3EDC" w:rsidR="00AD589E" w:rsidRPr="009F2F58" w:rsidRDefault="00AD589E" w:rsidP="00BF7F9C">
            <w:pPr>
              <w:spacing w:after="0"/>
              <w:rPr>
                <w:rFonts w:ascii="Arial" w:hAnsi="Arial" w:cs="Arial"/>
                <w:color w:val="006100"/>
                <w:sz w:val="16"/>
                <w:szCs w:val="16"/>
              </w:rPr>
            </w:pPr>
            <w:r w:rsidRPr="009F2F58">
              <w:rPr>
                <w:rFonts w:ascii="Arial" w:hAnsi="Arial" w:cs="Arial"/>
                <w:color w:val="006100"/>
                <w:sz w:val="16"/>
                <w:szCs w:val="16"/>
              </w:rPr>
              <w:t xml:space="preserve">What: </w:t>
            </w:r>
            <w:r w:rsidRPr="007E1A33">
              <w:rPr>
                <w:rFonts w:ascii="Arial" w:hAnsi="Arial" w:cs="Arial"/>
                <w:color w:val="006100"/>
                <w:sz w:val="16"/>
                <w:szCs w:val="16"/>
              </w:rPr>
              <w:t>Electricity market integration</w:t>
            </w:r>
          </w:p>
          <w:p w14:paraId="322770EE" w14:textId="77777777" w:rsidR="00AD589E" w:rsidRPr="009F2F58" w:rsidRDefault="00AD589E" w:rsidP="00BF7F9C">
            <w:pPr>
              <w:spacing w:after="0"/>
              <w:rPr>
                <w:rFonts w:ascii="Arial" w:hAnsi="Arial" w:cs="Arial"/>
                <w:color w:val="006100"/>
                <w:sz w:val="16"/>
                <w:szCs w:val="16"/>
              </w:rPr>
            </w:pPr>
          </w:p>
          <w:p w14:paraId="2E2415CE" w14:textId="19974F6D" w:rsidR="00AD589E" w:rsidRPr="009F2F58" w:rsidRDefault="00AD589E" w:rsidP="00BF7F9C">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w:t>
            </w:r>
            <w:r w:rsidR="00E8318C">
              <w:rPr>
                <w:rFonts w:ascii="Arial" w:hAnsi="Arial" w:cs="Arial"/>
                <w:color w:val="006100"/>
                <w:sz w:val="16"/>
                <w:szCs w:val="16"/>
              </w:rPr>
              <w:t xml:space="preserve">contracting (a), </w:t>
            </w:r>
            <w:r>
              <w:rPr>
                <w:rFonts w:ascii="Arial" w:hAnsi="Arial" w:cs="Arial"/>
                <w:color w:val="006100"/>
                <w:sz w:val="16"/>
                <w:szCs w:val="16"/>
              </w:rPr>
              <w:t>reporting (b, c)</w:t>
            </w:r>
          </w:p>
          <w:p w14:paraId="39655448" w14:textId="77777777" w:rsidR="00AD589E" w:rsidRPr="009F2F58" w:rsidRDefault="00AD589E" w:rsidP="00BF7F9C">
            <w:pPr>
              <w:spacing w:after="0"/>
              <w:rPr>
                <w:rFonts w:ascii="Arial" w:hAnsi="Arial" w:cs="Arial"/>
                <w:color w:val="006100"/>
                <w:sz w:val="16"/>
                <w:szCs w:val="16"/>
              </w:rPr>
            </w:pPr>
          </w:p>
          <w:p w14:paraId="7F5F1CD4" w14:textId="23C9C73F" w:rsidR="00AD589E" w:rsidRPr="009F2F58" w:rsidRDefault="00AD589E" w:rsidP="00BF7F9C">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7E1A33">
              <w:rPr>
                <w:rFonts w:ascii="Arial" w:hAnsi="Arial" w:cs="Arial"/>
                <w:color w:val="006100"/>
                <w:sz w:val="16"/>
                <w:szCs w:val="16"/>
              </w:rPr>
              <w:t>The day-ahead electricity market coupling with Romania shall be completed and operational by 31 December 2021.The intraday electricity market coupling with Greece shall be completed and operational by 31 December 2022.</w:t>
            </w:r>
            <w:r>
              <w:rPr>
                <w:rFonts w:ascii="Arial" w:hAnsi="Arial" w:cs="Arial"/>
                <w:color w:val="006100"/>
                <w:sz w:val="16"/>
                <w:szCs w:val="16"/>
              </w:rPr>
              <w:t xml:space="preserve"> </w:t>
            </w:r>
            <w:r w:rsidRPr="009F2F58">
              <w:rPr>
                <w:rFonts w:ascii="Arial" w:hAnsi="Arial" w:cs="Arial"/>
                <w:color w:val="006100"/>
                <w:sz w:val="16"/>
                <w:szCs w:val="16"/>
              </w:rPr>
              <w:t>[provide references to the above in the summary document]</w:t>
            </w:r>
          </w:p>
          <w:p w14:paraId="7EE1E693" w14:textId="77777777" w:rsidR="00AD589E" w:rsidRPr="009F2F58" w:rsidRDefault="00AD589E" w:rsidP="00BF7F9C">
            <w:pPr>
              <w:spacing w:after="0"/>
              <w:rPr>
                <w:rFonts w:ascii="Arial" w:hAnsi="Arial" w:cs="Arial"/>
                <w:color w:val="006100"/>
                <w:sz w:val="16"/>
                <w:szCs w:val="16"/>
              </w:rPr>
            </w:pPr>
          </w:p>
          <w:p w14:paraId="5354F97F" w14:textId="302B8A62" w:rsidR="00AD589E" w:rsidRPr="004F3D4C" w:rsidRDefault="00AD589E" w:rsidP="00BF7F9C">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 of completion</w:t>
            </w:r>
          </w:p>
        </w:tc>
        <w:tc>
          <w:tcPr>
            <w:tcW w:w="2268" w:type="dxa"/>
            <w:shd w:val="clear" w:color="auto" w:fill="D6E3C6"/>
          </w:tcPr>
          <w:p w14:paraId="00DD4002" w14:textId="31044BC8"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234E04D5" w14:textId="34A2CCF7"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4DD4869D" w14:textId="3C5BA822" w:rsidR="00AD589E" w:rsidRPr="004F3D4C" w:rsidRDefault="00AD589E" w:rsidP="009807A8">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5422363D" w14:textId="116AD230"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62B982A6" w14:textId="6F7E2D3C" w:rsidR="00AD589E" w:rsidRPr="004F3D4C" w:rsidRDefault="00F965D8" w:rsidP="009807A8">
            <w:pPr>
              <w:spacing w:after="0"/>
              <w:rPr>
                <w:rFonts w:ascii="Arial" w:hAnsi="Arial" w:cs="Arial"/>
                <w:color w:val="006100"/>
                <w:sz w:val="16"/>
                <w:szCs w:val="16"/>
              </w:rPr>
            </w:pPr>
            <w:r>
              <w:rPr>
                <w:rFonts w:ascii="Arial" w:hAnsi="Arial" w:cs="Arial"/>
                <w:color w:val="006100"/>
                <w:sz w:val="16"/>
                <w:szCs w:val="16"/>
              </w:rPr>
              <w:t>-</w:t>
            </w:r>
          </w:p>
        </w:tc>
      </w:tr>
      <w:tr w:rsidR="00AD589E" w:rsidRPr="004F3D4C" w14:paraId="63566CD5" w14:textId="574EC33B" w:rsidTr="00596EEA">
        <w:trPr>
          <w:trHeight w:val="309"/>
        </w:trPr>
        <w:tc>
          <w:tcPr>
            <w:tcW w:w="454" w:type="dxa"/>
            <w:shd w:val="clear" w:color="auto" w:fill="D6E3C6"/>
            <w:noWrap/>
          </w:tcPr>
          <w:p w14:paraId="4E4E2039" w14:textId="4F9A28E8"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93</w:t>
            </w:r>
          </w:p>
        </w:tc>
        <w:tc>
          <w:tcPr>
            <w:tcW w:w="1215" w:type="dxa"/>
            <w:shd w:val="clear" w:color="auto" w:fill="D6E3C6"/>
            <w:noWrap/>
          </w:tcPr>
          <w:p w14:paraId="2637024D" w14:textId="28D697F2"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C4.R11: Improving corporate governance of state-owned companies in the energy sector</w:t>
            </w:r>
          </w:p>
        </w:tc>
        <w:tc>
          <w:tcPr>
            <w:tcW w:w="956" w:type="dxa"/>
            <w:shd w:val="clear" w:color="auto" w:fill="D6E3C6"/>
            <w:noWrap/>
          </w:tcPr>
          <w:p w14:paraId="2760046A" w14:textId="4B8FF8FA"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29961214" w14:textId="6D4F7565"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Separation of ownership and control within the State of the transmission system operators Bulgartransgaz EAD and ESO EAD</w:t>
            </w:r>
          </w:p>
        </w:tc>
        <w:tc>
          <w:tcPr>
            <w:tcW w:w="1322" w:type="dxa"/>
            <w:shd w:val="clear" w:color="auto" w:fill="D6E3C6"/>
            <w:noWrap/>
          </w:tcPr>
          <w:p w14:paraId="7D404C40" w14:textId="1C579715"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Established separate corporate entities under public ownership</w:t>
            </w:r>
          </w:p>
        </w:tc>
        <w:tc>
          <w:tcPr>
            <w:tcW w:w="709" w:type="dxa"/>
            <w:shd w:val="clear" w:color="auto" w:fill="D6E3C6"/>
            <w:noWrap/>
          </w:tcPr>
          <w:p w14:paraId="26BA1BED"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4CCE237F"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1B349528"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4B4AE716" w14:textId="674BCFFA"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Q1</w:t>
            </w:r>
          </w:p>
        </w:tc>
        <w:tc>
          <w:tcPr>
            <w:tcW w:w="520" w:type="dxa"/>
            <w:shd w:val="clear" w:color="auto" w:fill="D6E3C6"/>
            <w:noWrap/>
          </w:tcPr>
          <w:p w14:paraId="139022BE" w14:textId="6276915F"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2024</w:t>
            </w:r>
          </w:p>
        </w:tc>
        <w:tc>
          <w:tcPr>
            <w:tcW w:w="872" w:type="dxa"/>
            <w:gridSpan w:val="2"/>
            <w:shd w:val="clear" w:color="auto" w:fill="D6E3C6"/>
          </w:tcPr>
          <w:p w14:paraId="1B918E25" w14:textId="5D391724"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3A06E0FB"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5C548169" w14:textId="7058358B" w:rsidR="00AD589E" w:rsidRPr="004F3D4C" w:rsidRDefault="00AD589E" w:rsidP="0073371A">
            <w:pPr>
              <w:pStyle w:val="ListParagraph"/>
              <w:numPr>
                <w:ilvl w:val="0"/>
                <w:numId w:val="41"/>
              </w:numPr>
              <w:rPr>
                <w:rFonts w:ascii="Arial" w:hAnsi="Arial" w:cs="Arial"/>
                <w:color w:val="006100"/>
                <w:sz w:val="16"/>
                <w:szCs w:val="16"/>
                <w:lang w:eastAsia="en-GB"/>
              </w:rPr>
            </w:pPr>
            <w:r w:rsidRPr="004F3D4C">
              <w:rPr>
                <w:rFonts w:ascii="Arial" w:hAnsi="Arial" w:cs="Arial"/>
                <w:color w:val="006100"/>
                <w:sz w:val="16"/>
                <w:szCs w:val="16"/>
                <w:lang w:eastAsia="en-GB"/>
              </w:rPr>
              <w:t>Decision by the General Assembly of Bulgarian Energy Holding to split-off its corporate structure the transmission system operators Bulgartransgaz and ESO</w:t>
            </w:r>
          </w:p>
          <w:p w14:paraId="7BE5624F" w14:textId="77777777" w:rsidR="00F6033E" w:rsidRDefault="00AD589E" w:rsidP="00F6033E">
            <w:pPr>
              <w:pStyle w:val="ListParagraph"/>
              <w:numPr>
                <w:ilvl w:val="0"/>
                <w:numId w:val="41"/>
              </w:numPr>
              <w:spacing w:after="0"/>
              <w:rPr>
                <w:rFonts w:ascii="Arial" w:hAnsi="Arial" w:cs="Arial"/>
                <w:color w:val="006100"/>
                <w:sz w:val="16"/>
                <w:szCs w:val="16"/>
              </w:rPr>
            </w:pPr>
            <w:r w:rsidRPr="004F3D4C">
              <w:rPr>
                <w:rFonts w:ascii="Arial" w:hAnsi="Arial" w:cs="Arial"/>
                <w:color w:val="006100"/>
                <w:sz w:val="16"/>
                <w:szCs w:val="16"/>
                <w:lang w:eastAsia="en-GB"/>
              </w:rPr>
              <w:t>Statutes and registration as new separate undertakings for Bulgartransgaz and ESO</w:t>
            </w:r>
            <w:r>
              <w:rPr>
                <w:rFonts w:ascii="Arial" w:hAnsi="Arial" w:cs="Arial"/>
                <w:color w:val="006100"/>
                <w:sz w:val="16"/>
                <w:szCs w:val="16"/>
                <w:lang w:eastAsia="en-GB"/>
              </w:rPr>
              <w:t xml:space="preserve"> </w:t>
            </w:r>
          </w:p>
          <w:p w14:paraId="0558C5C0" w14:textId="60DA862F" w:rsidR="00AD589E" w:rsidRPr="00724046" w:rsidRDefault="00AD589E" w:rsidP="00F6033E">
            <w:pPr>
              <w:pStyle w:val="ListParagraph"/>
              <w:numPr>
                <w:ilvl w:val="0"/>
                <w:numId w:val="41"/>
              </w:numPr>
              <w:spacing w:after="0"/>
              <w:rPr>
                <w:rFonts w:ascii="Arial" w:hAnsi="Arial" w:cs="Arial"/>
                <w:color w:val="006100"/>
                <w:sz w:val="16"/>
                <w:szCs w:val="16"/>
              </w:rPr>
            </w:pPr>
            <w:r w:rsidRPr="004F3D4C">
              <w:rPr>
                <w:rFonts w:ascii="Arial" w:hAnsi="Arial" w:cs="Arial"/>
                <w:color w:val="006100"/>
                <w:sz w:val="16"/>
                <w:szCs w:val="16"/>
                <w:lang w:eastAsia="en-GB"/>
              </w:rPr>
              <w:t xml:space="preserve">A copy of the action plan on the </w:t>
            </w:r>
            <w:r w:rsidRPr="004F3D4C">
              <w:rPr>
                <w:rFonts w:ascii="Arial" w:hAnsi="Arial" w:cs="Arial"/>
                <w:color w:val="006100"/>
                <w:sz w:val="16"/>
                <w:szCs w:val="16"/>
                <w:lang w:eastAsia="en-GB"/>
              </w:rPr>
              <w:lastRenderedPageBreak/>
              <w:t>split off process adopted in 2022</w:t>
            </w:r>
          </w:p>
        </w:tc>
        <w:tc>
          <w:tcPr>
            <w:tcW w:w="3402" w:type="dxa"/>
            <w:shd w:val="clear" w:color="auto" w:fill="D6E3C6"/>
          </w:tcPr>
          <w:p w14:paraId="2BCBC5DF" w14:textId="77777777" w:rsidR="00AD589E" w:rsidRDefault="00AD589E" w:rsidP="00C57401">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p>
          <w:p w14:paraId="4372BE2C" w14:textId="77777777" w:rsidR="00AD589E" w:rsidRPr="009F2F58" w:rsidRDefault="00AD589E" w:rsidP="00C57401">
            <w:pPr>
              <w:spacing w:after="0"/>
              <w:rPr>
                <w:rFonts w:ascii="Arial" w:hAnsi="Arial" w:cs="Arial"/>
                <w:color w:val="006100"/>
                <w:sz w:val="16"/>
                <w:szCs w:val="16"/>
              </w:rPr>
            </w:pPr>
          </w:p>
          <w:p w14:paraId="23F686BC" w14:textId="73CE63B5" w:rsidR="00AD589E" w:rsidRPr="009F2F58" w:rsidRDefault="00AD589E" w:rsidP="00C57401">
            <w:pPr>
              <w:spacing w:after="0"/>
              <w:rPr>
                <w:rFonts w:ascii="Arial" w:hAnsi="Arial" w:cs="Arial"/>
                <w:color w:val="006100"/>
                <w:sz w:val="16"/>
                <w:szCs w:val="16"/>
              </w:rPr>
            </w:pPr>
            <w:r w:rsidRPr="009F2F58">
              <w:rPr>
                <w:rFonts w:ascii="Arial" w:hAnsi="Arial" w:cs="Arial"/>
                <w:color w:val="006100"/>
                <w:sz w:val="16"/>
                <w:szCs w:val="16"/>
              </w:rPr>
              <w:t xml:space="preserve">What: </w:t>
            </w:r>
            <w:r w:rsidRPr="00C57401">
              <w:rPr>
                <w:rFonts w:ascii="Arial" w:hAnsi="Arial" w:cs="Arial"/>
                <w:color w:val="006100"/>
                <w:sz w:val="16"/>
                <w:szCs w:val="16"/>
              </w:rPr>
              <w:t>Separation of ownership and control within the State of the transmission system operators Bulgartransgaz EAD and ESO EAD</w:t>
            </w:r>
          </w:p>
          <w:p w14:paraId="439BB197" w14:textId="77777777" w:rsidR="00AD589E" w:rsidRPr="009F2F58" w:rsidRDefault="00AD589E" w:rsidP="00C57401">
            <w:pPr>
              <w:spacing w:after="0"/>
              <w:rPr>
                <w:rFonts w:ascii="Arial" w:hAnsi="Arial" w:cs="Arial"/>
                <w:color w:val="006100"/>
                <w:sz w:val="16"/>
                <w:szCs w:val="16"/>
              </w:rPr>
            </w:pPr>
          </w:p>
          <w:p w14:paraId="46F8B8C9" w14:textId="028C257A" w:rsidR="00AD589E" w:rsidRPr="009F2F58" w:rsidRDefault="00AD589E" w:rsidP="00C57401">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w:t>
            </w:r>
            <w:r w:rsidR="00F6033E">
              <w:rPr>
                <w:rFonts w:ascii="Arial" w:hAnsi="Arial" w:cs="Arial"/>
                <w:color w:val="006100"/>
                <w:sz w:val="16"/>
                <w:szCs w:val="16"/>
              </w:rPr>
              <w:t>entry into force (evidence</w:t>
            </w:r>
            <w:r w:rsidR="009A1F0E">
              <w:rPr>
                <w:rFonts w:ascii="Arial" w:hAnsi="Arial" w:cs="Arial"/>
                <w:color w:val="006100"/>
                <w:sz w:val="16"/>
                <w:szCs w:val="16"/>
              </w:rPr>
              <w:t>d</w:t>
            </w:r>
            <w:r w:rsidR="00F6033E">
              <w:rPr>
                <w:rFonts w:ascii="Arial" w:hAnsi="Arial" w:cs="Arial"/>
                <w:color w:val="006100"/>
                <w:sz w:val="16"/>
                <w:szCs w:val="16"/>
              </w:rPr>
              <w:t xml:space="preserve"> by a) </w:t>
            </w:r>
            <w:r>
              <w:rPr>
                <w:rFonts w:ascii="Arial" w:hAnsi="Arial" w:cs="Arial"/>
                <w:color w:val="006100"/>
                <w:sz w:val="16"/>
                <w:szCs w:val="16"/>
              </w:rPr>
              <w:t>reporting (b, c)</w:t>
            </w:r>
          </w:p>
          <w:p w14:paraId="4ED5C312" w14:textId="77777777" w:rsidR="00AD589E" w:rsidRPr="009F2F58" w:rsidRDefault="00AD589E" w:rsidP="00C57401">
            <w:pPr>
              <w:spacing w:after="0"/>
              <w:rPr>
                <w:rFonts w:ascii="Arial" w:hAnsi="Arial" w:cs="Arial"/>
                <w:color w:val="006100"/>
                <w:sz w:val="16"/>
                <w:szCs w:val="16"/>
              </w:rPr>
            </w:pPr>
          </w:p>
          <w:p w14:paraId="79A97163" w14:textId="2F1041A3" w:rsidR="00AD589E" w:rsidRPr="009F2F58" w:rsidRDefault="00AD589E" w:rsidP="00C57401">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A64479">
              <w:rPr>
                <w:rFonts w:ascii="Arial" w:hAnsi="Arial" w:cs="Arial"/>
                <w:color w:val="006100"/>
                <w:sz w:val="16"/>
                <w:szCs w:val="16"/>
              </w:rPr>
              <w:t xml:space="preserve">Transmission system operators Bulgartransgaz and ESO shall be split-off from the corporate structure of the Bulgarian Energy Holding. They shall be set up as separate public undertakings. To ensure swift implementation, the Ministry of Energy shall prepare and adopt an action plan on the split-off process at the latest by 31 December 2022.The new entities shall be organised as state-owned enterprises in the legal form of </w:t>
            </w:r>
            <w:r w:rsidRPr="00A64479">
              <w:rPr>
                <w:rFonts w:ascii="Arial" w:hAnsi="Arial" w:cs="Arial"/>
                <w:color w:val="006100"/>
                <w:sz w:val="16"/>
                <w:szCs w:val="16"/>
              </w:rPr>
              <w:lastRenderedPageBreak/>
              <w:t xml:space="preserve">commercial companies in full observance of the law on state-owned enterprises (SOE) corporate governance (Law on Public Enterprises No 79/2019). </w:t>
            </w:r>
            <w:r w:rsidRPr="009F2F58">
              <w:rPr>
                <w:rFonts w:ascii="Arial" w:hAnsi="Arial" w:cs="Arial"/>
                <w:color w:val="006100"/>
                <w:sz w:val="16"/>
                <w:szCs w:val="16"/>
              </w:rPr>
              <w:t>[provide references to the above in the summary document]</w:t>
            </w:r>
          </w:p>
          <w:p w14:paraId="746FD9B9" w14:textId="77777777" w:rsidR="00AD589E" w:rsidRPr="009F2F58" w:rsidRDefault="00AD589E" w:rsidP="00C57401">
            <w:pPr>
              <w:spacing w:after="0"/>
              <w:rPr>
                <w:rFonts w:ascii="Arial" w:hAnsi="Arial" w:cs="Arial"/>
                <w:color w:val="006100"/>
                <w:sz w:val="16"/>
                <w:szCs w:val="16"/>
              </w:rPr>
            </w:pPr>
          </w:p>
          <w:p w14:paraId="6B0E0B33" w14:textId="73638520" w:rsidR="00AD589E" w:rsidRPr="004F3D4C" w:rsidRDefault="00AD589E" w:rsidP="00C57401">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 of establishment</w:t>
            </w:r>
          </w:p>
        </w:tc>
        <w:tc>
          <w:tcPr>
            <w:tcW w:w="2268" w:type="dxa"/>
            <w:shd w:val="clear" w:color="auto" w:fill="D6E3C6"/>
          </w:tcPr>
          <w:p w14:paraId="16BE53D1" w14:textId="33226B04" w:rsidR="00AD589E" w:rsidRPr="004F3D4C" w:rsidRDefault="00AD589E" w:rsidP="009807A8">
            <w:pPr>
              <w:spacing w:after="0"/>
              <w:rPr>
                <w:rFonts w:ascii="Arial" w:hAnsi="Arial" w:cs="Arial"/>
                <w:color w:val="006100"/>
                <w:sz w:val="16"/>
                <w:szCs w:val="16"/>
              </w:rPr>
            </w:pPr>
            <w:r w:rsidRPr="00300D69">
              <w:rPr>
                <w:rFonts w:ascii="Arial" w:hAnsi="Arial" w:cs="Arial"/>
                <w:color w:val="006100"/>
                <w:sz w:val="16"/>
                <w:szCs w:val="16"/>
              </w:rPr>
              <w:lastRenderedPageBreak/>
              <w:t xml:space="preserve">The objective of the reform is to improve the transparency and competitiveness of state-owned companies in the energy sector. The measure shall consist in separation of ownership and control within the State of the two transmission systems operators for natural gas and electricity (i.e. Bulgartransaz EAD and ESO EAD) from the corporate structure of the Bulgarian Energy Holding EAD. In addition, an independent audit report shall be submitted to the European Commission, presenting a detailed assessment on </w:t>
            </w:r>
            <w:r w:rsidRPr="00300D69">
              <w:rPr>
                <w:rFonts w:ascii="Arial" w:hAnsi="Arial" w:cs="Arial"/>
                <w:color w:val="006100"/>
                <w:sz w:val="16"/>
                <w:szCs w:val="16"/>
              </w:rPr>
              <w:lastRenderedPageBreak/>
              <w:t>market compliance of cross subsidisation between state-owned or state-controlled energy undertakings in relation to power production from coal, if any occurred, including any transfers of capital among separate activities and among undertakings of the same group in relation to power production from coal. The report shall be submitted annually, in relation to the previous calendar year.</w:t>
            </w:r>
          </w:p>
        </w:tc>
        <w:tc>
          <w:tcPr>
            <w:tcW w:w="1036" w:type="dxa"/>
            <w:gridSpan w:val="2"/>
            <w:shd w:val="clear" w:color="auto" w:fill="D6E3C6"/>
          </w:tcPr>
          <w:p w14:paraId="767ED519" w14:textId="58039435"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lastRenderedPageBreak/>
              <w:t>-</w:t>
            </w:r>
          </w:p>
        </w:tc>
        <w:tc>
          <w:tcPr>
            <w:tcW w:w="1090" w:type="dxa"/>
            <w:gridSpan w:val="2"/>
            <w:shd w:val="clear" w:color="auto" w:fill="D6E3C6"/>
          </w:tcPr>
          <w:p w14:paraId="445DAB3F" w14:textId="48E0E35A" w:rsidR="00AD589E" w:rsidRPr="004F3D4C" w:rsidRDefault="00AD589E" w:rsidP="009807A8">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49C0522A" w14:textId="27649061"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03A49EF8" w14:textId="6D6EBF76" w:rsidR="00AD589E" w:rsidRPr="004F3D4C" w:rsidRDefault="001E755C" w:rsidP="009807A8">
            <w:pPr>
              <w:spacing w:after="0"/>
              <w:rPr>
                <w:rFonts w:ascii="Arial" w:hAnsi="Arial" w:cs="Arial"/>
                <w:color w:val="006100"/>
                <w:sz w:val="16"/>
                <w:szCs w:val="16"/>
              </w:rPr>
            </w:pPr>
            <w:r>
              <w:rPr>
                <w:rFonts w:ascii="Arial" w:hAnsi="Arial" w:cs="Arial"/>
                <w:color w:val="006100"/>
                <w:sz w:val="16"/>
                <w:szCs w:val="16"/>
              </w:rPr>
              <w:t xml:space="preserve">Monitoring steps: </w:t>
            </w:r>
            <w:r w:rsidR="00232845" w:rsidRPr="00232845">
              <w:rPr>
                <w:rFonts w:ascii="Arial" w:hAnsi="Arial" w:cs="Arial"/>
                <w:color w:val="006100"/>
                <w:sz w:val="16"/>
                <w:szCs w:val="16"/>
              </w:rPr>
              <w:t>Action plan on the split off process</w:t>
            </w:r>
            <w:r w:rsidR="00232845">
              <w:rPr>
                <w:rFonts w:ascii="Arial" w:hAnsi="Arial" w:cs="Arial"/>
                <w:color w:val="006100"/>
                <w:sz w:val="16"/>
                <w:szCs w:val="16"/>
              </w:rPr>
              <w:t xml:space="preserve"> (</w:t>
            </w:r>
            <w:r w:rsidR="006553BC">
              <w:rPr>
                <w:rFonts w:ascii="Arial" w:hAnsi="Arial" w:cs="Arial"/>
                <w:color w:val="006100"/>
                <w:sz w:val="16"/>
                <w:szCs w:val="16"/>
              </w:rPr>
              <w:t>Q4 2022</w:t>
            </w:r>
            <w:r w:rsidR="00232845">
              <w:rPr>
                <w:rFonts w:ascii="Arial" w:hAnsi="Arial" w:cs="Arial"/>
                <w:color w:val="006100"/>
                <w:sz w:val="16"/>
                <w:szCs w:val="16"/>
              </w:rPr>
              <w:t>)</w:t>
            </w:r>
            <w:r w:rsidR="006553BC">
              <w:rPr>
                <w:rFonts w:ascii="Arial" w:hAnsi="Arial" w:cs="Arial"/>
                <w:color w:val="006100"/>
                <w:sz w:val="16"/>
                <w:szCs w:val="16"/>
              </w:rPr>
              <w:t xml:space="preserve"> and </w:t>
            </w:r>
            <w:r w:rsidR="00535904" w:rsidRPr="00535904">
              <w:rPr>
                <w:rFonts w:ascii="Arial" w:hAnsi="Arial" w:cs="Arial"/>
                <w:color w:val="006100"/>
                <w:sz w:val="16"/>
                <w:szCs w:val="16"/>
              </w:rPr>
              <w:t>Decision of the general meeting of shareholders</w:t>
            </w:r>
            <w:r w:rsidR="00535904">
              <w:rPr>
                <w:rFonts w:ascii="Arial" w:hAnsi="Arial" w:cs="Arial"/>
                <w:color w:val="006100"/>
                <w:sz w:val="16"/>
                <w:szCs w:val="16"/>
              </w:rPr>
              <w:t xml:space="preserve"> (</w:t>
            </w:r>
            <w:r w:rsidR="005E33E7">
              <w:rPr>
                <w:rFonts w:ascii="Arial" w:hAnsi="Arial" w:cs="Arial"/>
                <w:color w:val="006100"/>
                <w:sz w:val="16"/>
                <w:szCs w:val="16"/>
              </w:rPr>
              <w:t>Q2 2023)</w:t>
            </w:r>
          </w:p>
        </w:tc>
      </w:tr>
      <w:tr w:rsidR="00AD589E" w:rsidRPr="004F3D4C" w14:paraId="71F18592" w14:textId="7A1B90AB" w:rsidTr="00596EEA">
        <w:trPr>
          <w:trHeight w:val="309"/>
        </w:trPr>
        <w:tc>
          <w:tcPr>
            <w:tcW w:w="454" w:type="dxa"/>
            <w:shd w:val="clear" w:color="auto" w:fill="D6E3C6"/>
            <w:noWrap/>
          </w:tcPr>
          <w:p w14:paraId="059A21F7" w14:textId="40467BFE"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94</w:t>
            </w:r>
          </w:p>
        </w:tc>
        <w:tc>
          <w:tcPr>
            <w:tcW w:w="1215" w:type="dxa"/>
            <w:shd w:val="clear" w:color="auto" w:fill="D6E3C6"/>
            <w:noWrap/>
          </w:tcPr>
          <w:p w14:paraId="0515BA81" w14:textId="25322B02"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C4.R11: Improving corporate governance of state-owned companies in the energy sector</w:t>
            </w:r>
          </w:p>
        </w:tc>
        <w:tc>
          <w:tcPr>
            <w:tcW w:w="956" w:type="dxa"/>
            <w:shd w:val="clear" w:color="auto" w:fill="D6E3C6"/>
            <w:noWrap/>
          </w:tcPr>
          <w:p w14:paraId="2DA09C10" w14:textId="10A8BF33"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058FEA4F" w14:textId="34BBD3D8"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No cross-subsidisation between the state-owned energy undertakings</w:t>
            </w:r>
          </w:p>
        </w:tc>
        <w:tc>
          <w:tcPr>
            <w:tcW w:w="1322" w:type="dxa"/>
            <w:shd w:val="clear" w:color="auto" w:fill="D6E3C6"/>
            <w:noWrap/>
          </w:tcPr>
          <w:p w14:paraId="7D1C79AA" w14:textId="24BACC2A"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Audit report on cross-subsidisation</w:t>
            </w:r>
          </w:p>
        </w:tc>
        <w:tc>
          <w:tcPr>
            <w:tcW w:w="709" w:type="dxa"/>
            <w:shd w:val="clear" w:color="auto" w:fill="D6E3C6"/>
            <w:noWrap/>
          </w:tcPr>
          <w:p w14:paraId="48746BF6"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355EAA4A"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0BB79E45"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1E3F7830" w14:textId="2D373C6A"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03F288FB" w14:textId="3B1585D6"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0A7DB9DD" w14:textId="77119AED"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144FFB00" w14:textId="3B0F8127"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The independent audit reports will be submitted annually by Q2 each year with a last submission by Q2 2026. </w:t>
            </w:r>
          </w:p>
        </w:tc>
        <w:tc>
          <w:tcPr>
            <w:tcW w:w="1751" w:type="dxa"/>
            <w:gridSpan w:val="2"/>
            <w:shd w:val="clear" w:color="auto" w:fill="D6E3C6"/>
          </w:tcPr>
          <w:p w14:paraId="2A38701E" w14:textId="4E5AB387" w:rsidR="00AD589E" w:rsidRPr="00D749E7" w:rsidRDefault="00AD589E" w:rsidP="0073371A">
            <w:pPr>
              <w:pStyle w:val="ListParagraph"/>
              <w:numPr>
                <w:ilvl w:val="0"/>
                <w:numId w:val="42"/>
              </w:numPr>
              <w:spacing w:after="0"/>
              <w:rPr>
                <w:rFonts w:ascii="Arial" w:hAnsi="Arial" w:cs="Arial"/>
                <w:color w:val="006100"/>
                <w:sz w:val="16"/>
                <w:szCs w:val="16"/>
              </w:rPr>
            </w:pPr>
            <w:r>
              <w:rPr>
                <w:rFonts w:ascii="Arial" w:hAnsi="Arial" w:cs="Arial"/>
                <w:color w:val="006100"/>
                <w:sz w:val="16"/>
                <w:szCs w:val="16"/>
                <w:lang w:eastAsia="en-GB"/>
              </w:rPr>
              <w:t xml:space="preserve">An </w:t>
            </w:r>
            <w:r w:rsidRPr="004F3D4C">
              <w:rPr>
                <w:rFonts w:ascii="Arial" w:hAnsi="Arial" w:cs="Arial"/>
                <w:color w:val="006100"/>
                <w:sz w:val="16"/>
                <w:szCs w:val="16"/>
                <w:lang w:eastAsia="en-GB"/>
              </w:rPr>
              <w:t>independent audit report</w:t>
            </w:r>
            <w:r>
              <w:rPr>
                <w:rFonts w:ascii="Arial" w:hAnsi="Arial" w:cs="Arial"/>
                <w:color w:val="006100"/>
                <w:sz w:val="16"/>
                <w:szCs w:val="16"/>
                <w:lang w:eastAsia="en-GB"/>
              </w:rPr>
              <w:t xml:space="preserve"> </w:t>
            </w:r>
            <w:r w:rsidRPr="004F3D4C">
              <w:rPr>
                <w:rFonts w:ascii="Arial" w:hAnsi="Arial" w:cs="Arial"/>
                <w:color w:val="006100"/>
                <w:sz w:val="16"/>
                <w:szCs w:val="16"/>
                <w:lang w:eastAsia="en-GB"/>
              </w:rPr>
              <w:t>detailing the assessment on cross subsidization between state-owned or state-controlled energy undertakings occurred in relation to power production from coal and any transfers of capital among separate activities and among undertakings of the same group in relation to power production from coal</w:t>
            </w:r>
          </w:p>
        </w:tc>
        <w:tc>
          <w:tcPr>
            <w:tcW w:w="3402" w:type="dxa"/>
            <w:shd w:val="clear" w:color="auto" w:fill="D6E3C6"/>
          </w:tcPr>
          <w:p w14:paraId="5C4F8BB2" w14:textId="77777777" w:rsidR="00AD589E" w:rsidRDefault="00AD589E" w:rsidP="004948DD">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72AF184F" w14:textId="77777777" w:rsidR="00AD589E" w:rsidRPr="009F2F58" w:rsidRDefault="00AD589E" w:rsidP="004948DD">
            <w:pPr>
              <w:spacing w:after="0"/>
              <w:rPr>
                <w:rFonts w:ascii="Arial" w:hAnsi="Arial" w:cs="Arial"/>
                <w:color w:val="006100"/>
                <w:sz w:val="16"/>
                <w:szCs w:val="16"/>
              </w:rPr>
            </w:pPr>
          </w:p>
          <w:p w14:paraId="5798EECA" w14:textId="1EC8CC87" w:rsidR="00AD589E" w:rsidRDefault="00AD589E" w:rsidP="004948DD">
            <w:pPr>
              <w:spacing w:after="0"/>
              <w:rPr>
                <w:rFonts w:ascii="Arial" w:hAnsi="Arial" w:cs="Arial"/>
                <w:color w:val="006100"/>
                <w:sz w:val="16"/>
                <w:szCs w:val="16"/>
              </w:rPr>
            </w:pPr>
            <w:r w:rsidRPr="009F2F58">
              <w:rPr>
                <w:rFonts w:ascii="Arial" w:hAnsi="Arial" w:cs="Arial"/>
                <w:color w:val="006100"/>
                <w:sz w:val="16"/>
                <w:szCs w:val="16"/>
              </w:rPr>
              <w:t xml:space="preserve">What: </w:t>
            </w:r>
            <w:r w:rsidRPr="004948DD">
              <w:rPr>
                <w:rFonts w:ascii="Arial" w:hAnsi="Arial" w:cs="Arial"/>
                <w:color w:val="006100"/>
                <w:sz w:val="16"/>
                <w:szCs w:val="16"/>
              </w:rPr>
              <w:t>No cross-subsidisation between the state-owned energy undertakings</w:t>
            </w:r>
          </w:p>
          <w:p w14:paraId="2F8C21FC" w14:textId="77777777" w:rsidR="00AD589E" w:rsidRPr="009F2F58" w:rsidRDefault="00AD589E" w:rsidP="004948DD">
            <w:pPr>
              <w:spacing w:after="0"/>
              <w:rPr>
                <w:rFonts w:ascii="Arial" w:hAnsi="Arial" w:cs="Arial"/>
                <w:color w:val="006100"/>
                <w:sz w:val="16"/>
                <w:szCs w:val="16"/>
              </w:rPr>
            </w:pPr>
          </w:p>
          <w:p w14:paraId="210DA1E3" w14:textId="7D77CB01" w:rsidR="00AD589E" w:rsidRPr="009F2F58" w:rsidRDefault="00AD589E" w:rsidP="004948DD">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reporting (a)</w:t>
            </w:r>
          </w:p>
          <w:p w14:paraId="23084786" w14:textId="77777777" w:rsidR="00AD589E" w:rsidRPr="009F2F58" w:rsidRDefault="00AD589E" w:rsidP="004948DD">
            <w:pPr>
              <w:spacing w:after="0"/>
              <w:rPr>
                <w:rFonts w:ascii="Arial" w:hAnsi="Arial" w:cs="Arial"/>
                <w:color w:val="006100"/>
                <w:sz w:val="16"/>
                <w:szCs w:val="16"/>
              </w:rPr>
            </w:pPr>
          </w:p>
          <w:p w14:paraId="0FACB327" w14:textId="335048E4" w:rsidR="00AD589E" w:rsidRPr="009F2F58" w:rsidRDefault="00AD589E" w:rsidP="004948DD">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4948DD">
              <w:rPr>
                <w:rFonts w:ascii="Arial" w:hAnsi="Arial" w:cs="Arial"/>
                <w:color w:val="006100"/>
                <w:sz w:val="16"/>
                <w:szCs w:val="16"/>
              </w:rPr>
              <w:t xml:space="preserve">Independent audit reports shall be submitted to the European Commission on an annual basis in relation to the previous calendar year. They shall present a detailed assessment on market compliance of cross subsidization between state-owned or state-controlled energy undertakings occurred in relation to power production from coal, if any. The first report shall be summited by 30 June 2023. The reports shall assess:- market compliance of any cross-subsidisation in relation to power production from coal between companies directly held by the Bulgarian State, but also between different companies within the Bulgarian Energy Holding.- market compliance of cross-subsidisation, including any transfers of capital among separate activities and among undertakings of the same group in relation to power production from coal. </w:t>
            </w:r>
            <w:r w:rsidRPr="009F2F58">
              <w:rPr>
                <w:rFonts w:ascii="Arial" w:hAnsi="Arial" w:cs="Arial"/>
                <w:color w:val="006100"/>
                <w:sz w:val="16"/>
                <w:szCs w:val="16"/>
              </w:rPr>
              <w:t>[provide references to the above in the summary document]</w:t>
            </w:r>
          </w:p>
          <w:p w14:paraId="6F619FFA" w14:textId="77777777" w:rsidR="00AD589E" w:rsidRPr="009F2F58" w:rsidRDefault="00AD589E" w:rsidP="004948DD">
            <w:pPr>
              <w:spacing w:after="0"/>
              <w:rPr>
                <w:rFonts w:ascii="Arial" w:hAnsi="Arial" w:cs="Arial"/>
                <w:color w:val="006100"/>
                <w:sz w:val="16"/>
                <w:szCs w:val="16"/>
              </w:rPr>
            </w:pPr>
          </w:p>
          <w:p w14:paraId="66694119" w14:textId="6A16F79B" w:rsidR="00AD589E" w:rsidRPr="004F3D4C" w:rsidRDefault="00AD589E" w:rsidP="004948DD">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w:t>
            </w:r>
            <w:r w:rsidR="00BE2025">
              <w:rPr>
                <w:rFonts w:ascii="Arial" w:hAnsi="Arial" w:cs="Arial"/>
                <w:color w:val="006100"/>
                <w:sz w:val="16"/>
                <w:szCs w:val="16"/>
              </w:rPr>
              <w:t>s</w:t>
            </w:r>
            <w:r>
              <w:rPr>
                <w:rFonts w:ascii="Arial" w:hAnsi="Arial" w:cs="Arial"/>
                <w:color w:val="006100"/>
                <w:sz w:val="16"/>
                <w:szCs w:val="16"/>
              </w:rPr>
              <w:t xml:space="preserve"> of </w:t>
            </w:r>
            <w:r w:rsidR="00BE2025">
              <w:rPr>
                <w:rFonts w:ascii="Arial" w:hAnsi="Arial" w:cs="Arial"/>
                <w:color w:val="006100"/>
                <w:sz w:val="16"/>
                <w:szCs w:val="16"/>
              </w:rPr>
              <w:t>auditing and reporting</w:t>
            </w:r>
          </w:p>
        </w:tc>
        <w:tc>
          <w:tcPr>
            <w:tcW w:w="2268" w:type="dxa"/>
            <w:shd w:val="clear" w:color="auto" w:fill="D6E3C6"/>
          </w:tcPr>
          <w:p w14:paraId="6A4FAE0D" w14:textId="2B91F85C"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3BEA7C93" w14:textId="6F68A0FC"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172115C9" w14:textId="5843CBB3" w:rsidR="00AD589E" w:rsidRPr="004F3D4C" w:rsidRDefault="00AD589E" w:rsidP="009807A8">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523C5634" w14:textId="79D95604"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0E89E9A8" w14:textId="746F84E0" w:rsidR="00AD589E" w:rsidRPr="004F3D4C" w:rsidRDefault="00F65E1F" w:rsidP="009807A8">
            <w:pPr>
              <w:spacing w:after="0"/>
              <w:rPr>
                <w:rFonts w:ascii="Arial" w:hAnsi="Arial" w:cs="Arial"/>
                <w:color w:val="006100"/>
                <w:sz w:val="16"/>
                <w:szCs w:val="16"/>
              </w:rPr>
            </w:pPr>
            <w:r>
              <w:rPr>
                <w:rFonts w:ascii="Arial" w:hAnsi="Arial" w:cs="Arial"/>
                <w:color w:val="006100"/>
                <w:sz w:val="16"/>
                <w:szCs w:val="16"/>
              </w:rPr>
              <w:t xml:space="preserve">Monitoring steps: </w:t>
            </w:r>
            <w:r w:rsidR="007638FB" w:rsidRPr="007638FB">
              <w:rPr>
                <w:rFonts w:ascii="Arial" w:hAnsi="Arial" w:cs="Arial"/>
                <w:color w:val="006100"/>
                <w:sz w:val="16"/>
                <w:szCs w:val="16"/>
              </w:rPr>
              <w:t>Annual audit report on cross-subsidisation 2023</w:t>
            </w:r>
            <w:r w:rsidR="007638FB">
              <w:rPr>
                <w:rFonts w:ascii="Arial" w:hAnsi="Arial" w:cs="Arial"/>
                <w:color w:val="006100"/>
                <w:sz w:val="16"/>
                <w:szCs w:val="16"/>
              </w:rPr>
              <w:t xml:space="preserve"> (</w:t>
            </w:r>
            <w:r w:rsidR="008A5220">
              <w:rPr>
                <w:rFonts w:ascii="Arial" w:hAnsi="Arial" w:cs="Arial"/>
                <w:color w:val="006100"/>
                <w:sz w:val="16"/>
                <w:szCs w:val="16"/>
              </w:rPr>
              <w:t xml:space="preserve">Q2 </w:t>
            </w:r>
            <w:r w:rsidR="00F63A4D">
              <w:rPr>
                <w:rFonts w:ascii="Arial" w:hAnsi="Arial" w:cs="Arial"/>
                <w:color w:val="006100"/>
                <w:sz w:val="16"/>
                <w:szCs w:val="16"/>
              </w:rPr>
              <w:t>2024</w:t>
            </w:r>
            <w:r w:rsidR="007638FB">
              <w:rPr>
                <w:rFonts w:ascii="Arial" w:hAnsi="Arial" w:cs="Arial"/>
                <w:color w:val="006100"/>
                <w:sz w:val="16"/>
                <w:szCs w:val="16"/>
              </w:rPr>
              <w:t>)</w:t>
            </w:r>
            <w:r w:rsidR="00F63A4D">
              <w:rPr>
                <w:rFonts w:ascii="Arial" w:hAnsi="Arial" w:cs="Arial"/>
                <w:color w:val="006100"/>
                <w:sz w:val="16"/>
                <w:szCs w:val="16"/>
              </w:rPr>
              <w:t xml:space="preserve"> and </w:t>
            </w:r>
            <w:r w:rsidR="00BC58D6" w:rsidRPr="00BC58D6">
              <w:rPr>
                <w:rFonts w:ascii="Arial" w:hAnsi="Arial" w:cs="Arial"/>
                <w:color w:val="006100"/>
                <w:sz w:val="16"/>
                <w:szCs w:val="16"/>
              </w:rPr>
              <w:t>Annual audit report on cross-subsidisation 2024</w:t>
            </w:r>
            <w:r w:rsidR="00BC58D6">
              <w:rPr>
                <w:rFonts w:ascii="Arial" w:hAnsi="Arial" w:cs="Arial"/>
                <w:color w:val="006100"/>
                <w:sz w:val="16"/>
                <w:szCs w:val="16"/>
              </w:rPr>
              <w:t xml:space="preserve"> (</w:t>
            </w:r>
            <w:r w:rsidR="00A048A6">
              <w:rPr>
                <w:rFonts w:ascii="Arial" w:hAnsi="Arial" w:cs="Arial"/>
                <w:color w:val="006100"/>
                <w:sz w:val="16"/>
                <w:szCs w:val="16"/>
              </w:rPr>
              <w:t>Q2 2025</w:t>
            </w:r>
            <w:r w:rsidR="00BC58D6">
              <w:rPr>
                <w:rFonts w:ascii="Arial" w:hAnsi="Arial" w:cs="Arial"/>
                <w:color w:val="006100"/>
                <w:sz w:val="16"/>
                <w:szCs w:val="16"/>
              </w:rPr>
              <w:t>)</w:t>
            </w:r>
          </w:p>
        </w:tc>
      </w:tr>
      <w:tr w:rsidR="00AD589E" w:rsidRPr="004F3D4C" w14:paraId="2A3D790A" w14:textId="120DB6F6" w:rsidTr="00596EEA">
        <w:trPr>
          <w:trHeight w:val="309"/>
        </w:trPr>
        <w:tc>
          <w:tcPr>
            <w:tcW w:w="454" w:type="dxa"/>
            <w:shd w:val="clear" w:color="auto" w:fill="D6E3C6"/>
            <w:noWrap/>
          </w:tcPr>
          <w:p w14:paraId="599E33F7" w14:textId="6F47F131"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95</w:t>
            </w:r>
          </w:p>
        </w:tc>
        <w:tc>
          <w:tcPr>
            <w:tcW w:w="1215" w:type="dxa"/>
            <w:shd w:val="clear" w:color="auto" w:fill="D6E3C6"/>
            <w:noWrap/>
          </w:tcPr>
          <w:p w14:paraId="253C635F" w14:textId="2EFE5E7C"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C4.R6: Boosting electricity generation from renewable sources</w:t>
            </w:r>
          </w:p>
        </w:tc>
        <w:tc>
          <w:tcPr>
            <w:tcW w:w="956" w:type="dxa"/>
            <w:shd w:val="clear" w:color="auto" w:fill="D6E3C6"/>
            <w:noWrap/>
          </w:tcPr>
          <w:p w14:paraId="18BD08C8" w14:textId="6F7B7470"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2706AF42" w14:textId="6E2EF222"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Entry into force of the amendment of the national legislative framework</w:t>
            </w:r>
          </w:p>
        </w:tc>
        <w:tc>
          <w:tcPr>
            <w:tcW w:w="1322" w:type="dxa"/>
            <w:shd w:val="clear" w:color="auto" w:fill="D6E3C6"/>
            <w:noWrap/>
          </w:tcPr>
          <w:p w14:paraId="467E3F35" w14:textId="1A0BEF86"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the law indicating the entry into force of the amendments to the national legislative framework</w:t>
            </w:r>
          </w:p>
        </w:tc>
        <w:tc>
          <w:tcPr>
            <w:tcW w:w="709" w:type="dxa"/>
            <w:shd w:val="clear" w:color="auto" w:fill="D6E3C6"/>
            <w:noWrap/>
          </w:tcPr>
          <w:p w14:paraId="744BB1FD"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16F819AB"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46FD782F" w14:textId="77777777" w:rsidR="00AD589E" w:rsidRPr="004F3D4C" w:rsidRDefault="00AD589E" w:rsidP="009807A8">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04F86C5C" w14:textId="56F0B42E"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4961AB43" w14:textId="6B3D3402" w:rsidR="00AD589E" w:rsidRPr="004F3D4C" w:rsidRDefault="00AD589E" w:rsidP="009807A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42F3F8C4" w14:textId="0149C00E" w:rsidR="00AD589E" w:rsidRPr="004F3D4C" w:rsidRDefault="00AD589E" w:rsidP="009807A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249B3F5C" w14:textId="77777777" w:rsidR="00AD589E" w:rsidRPr="004F3D4C" w:rsidRDefault="00AD589E" w:rsidP="009807A8">
            <w:pPr>
              <w:spacing w:after="0"/>
              <w:rPr>
                <w:rFonts w:ascii="Arial" w:eastAsia="Times New Roman" w:hAnsi="Arial" w:cs="Arial"/>
                <w:color w:val="006100"/>
                <w:sz w:val="16"/>
                <w:szCs w:val="16"/>
                <w:lang w:eastAsia="en-GB"/>
              </w:rPr>
            </w:pPr>
          </w:p>
        </w:tc>
        <w:tc>
          <w:tcPr>
            <w:tcW w:w="1751" w:type="dxa"/>
            <w:gridSpan w:val="2"/>
            <w:shd w:val="clear" w:color="auto" w:fill="D6E3C6"/>
          </w:tcPr>
          <w:p w14:paraId="3738F4CD" w14:textId="77777777" w:rsidR="00CD2BBA" w:rsidRDefault="00AD589E" w:rsidP="00CD2BBA">
            <w:pPr>
              <w:pStyle w:val="ListParagraph"/>
              <w:numPr>
                <w:ilvl w:val="0"/>
                <w:numId w:val="43"/>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t>Copy of the publications in the State Gazette</w:t>
            </w:r>
          </w:p>
          <w:p w14:paraId="68B67A06" w14:textId="77777777" w:rsidR="00CD2BBA" w:rsidRDefault="00CD2BBA" w:rsidP="00CD2BBA">
            <w:pPr>
              <w:pStyle w:val="ListParagraph"/>
              <w:numPr>
                <w:ilvl w:val="0"/>
                <w:numId w:val="43"/>
              </w:numPr>
              <w:spacing w:after="0"/>
              <w:ind w:left="391" w:hanging="357"/>
              <w:rPr>
                <w:rFonts w:ascii="Arial" w:hAnsi="Arial" w:cs="Arial"/>
                <w:color w:val="006100"/>
                <w:sz w:val="16"/>
                <w:szCs w:val="16"/>
              </w:rPr>
            </w:pPr>
            <w:r w:rsidRPr="00CD2BBA">
              <w:rPr>
                <w:rFonts w:ascii="Arial" w:hAnsi="Arial" w:cs="Arial"/>
                <w:color w:val="006100"/>
                <w:sz w:val="16"/>
                <w:szCs w:val="16"/>
                <w:lang w:eastAsia="en-GB"/>
              </w:rPr>
              <w:t>R</w:t>
            </w:r>
            <w:r w:rsidR="00AD589E" w:rsidRPr="00CD2BBA">
              <w:rPr>
                <w:rFonts w:ascii="Arial" w:hAnsi="Arial" w:cs="Arial"/>
                <w:color w:val="006100"/>
                <w:sz w:val="16"/>
                <w:szCs w:val="16"/>
                <w:lang w:eastAsia="en-GB"/>
              </w:rPr>
              <w:t xml:space="preserve">eference to all of the relevant provisions indicating the entry into force and to the provisions which fulfil the relevant elements of the milestone, as listed in the description of the milestone and of </w:t>
            </w:r>
            <w:r w:rsidR="00AD589E" w:rsidRPr="00CD2BBA">
              <w:rPr>
                <w:rFonts w:ascii="Arial" w:hAnsi="Arial" w:cs="Arial"/>
                <w:color w:val="006100"/>
                <w:sz w:val="16"/>
                <w:szCs w:val="16"/>
                <w:lang w:eastAsia="en-GB"/>
              </w:rPr>
              <w:lastRenderedPageBreak/>
              <w:t>the corresponding measure in the CID annex, with appropriate links to or copies of the document(s) mentioned in the summary document</w:t>
            </w:r>
          </w:p>
          <w:p w14:paraId="6A70766F" w14:textId="721476C2" w:rsidR="00AD589E" w:rsidRPr="00CD2BBA" w:rsidRDefault="00CD2BBA" w:rsidP="00CD2BBA">
            <w:pPr>
              <w:pStyle w:val="ListParagraph"/>
              <w:numPr>
                <w:ilvl w:val="0"/>
                <w:numId w:val="43"/>
              </w:numPr>
              <w:spacing w:after="0"/>
              <w:ind w:left="391" w:hanging="357"/>
              <w:rPr>
                <w:rFonts w:ascii="Arial" w:hAnsi="Arial" w:cs="Arial"/>
                <w:color w:val="006100"/>
                <w:sz w:val="16"/>
                <w:szCs w:val="16"/>
              </w:rPr>
            </w:pPr>
            <w:r>
              <w:rPr>
                <w:rFonts w:ascii="Arial" w:hAnsi="Arial" w:cs="Arial"/>
                <w:color w:val="006100"/>
                <w:sz w:val="16"/>
                <w:szCs w:val="16"/>
                <w:lang w:eastAsia="en-GB"/>
              </w:rPr>
              <w:t>A</w:t>
            </w:r>
            <w:r w:rsidR="00AD589E" w:rsidRPr="00CD2BBA">
              <w:rPr>
                <w:rFonts w:ascii="Arial" w:hAnsi="Arial" w:cs="Arial"/>
                <w:color w:val="006100"/>
                <w:sz w:val="16"/>
                <w:szCs w:val="16"/>
                <w:lang w:eastAsia="en-GB"/>
              </w:rPr>
              <w:t>nalysis by the Ministry of Energy on how the changes in the legislation contribute to the objectives of the milestone</w:t>
            </w:r>
          </w:p>
          <w:p w14:paraId="418CEAC6" w14:textId="33F68EE7" w:rsidR="00AD589E" w:rsidRPr="00266096" w:rsidRDefault="00AD589E" w:rsidP="0073371A">
            <w:pPr>
              <w:pStyle w:val="ListParagraph"/>
              <w:numPr>
                <w:ilvl w:val="0"/>
                <w:numId w:val="43"/>
              </w:numPr>
              <w:spacing w:after="0"/>
              <w:ind w:left="391" w:hanging="357"/>
              <w:rPr>
                <w:rFonts w:ascii="Arial" w:hAnsi="Arial" w:cs="Arial"/>
                <w:color w:val="006100"/>
                <w:sz w:val="16"/>
                <w:szCs w:val="16"/>
              </w:rPr>
            </w:pPr>
            <w:r>
              <w:rPr>
                <w:rFonts w:ascii="Arial" w:hAnsi="Arial" w:cs="Arial"/>
                <w:color w:val="006100"/>
                <w:sz w:val="16"/>
                <w:szCs w:val="16"/>
              </w:rPr>
              <w:t xml:space="preserve">Any other </w:t>
            </w:r>
            <w:r w:rsidRPr="00266096">
              <w:rPr>
                <w:rFonts w:ascii="Arial" w:hAnsi="Arial" w:cs="Arial"/>
                <w:color w:val="006100"/>
                <w:sz w:val="16"/>
                <w:szCs w:val="16"/>
              </w:rPr>
              <w:t>documents that prove changes to legislative framework relating to the milestone and its constitutive elements</w:t>
            </w:r>
          </w:p>
        </w:tc>
        <w:tc>
          <w:tcPr>
            <w:tcW w:w="3402" w:type="dxa"/>
            <w:shd w:val="clear" w:color="auto" w:fill="D6E3C6"/>
          </w:tcPr>
          <w:p w14:paraId="6F8EFB38" w14:textId="77777777" w:rsidR="00AD589E" w:rsidRDefault="00AD589E" w:rsidP="000C18D2">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p>
          <w:p w14:paraId="5B488828" w14:textId="77777777" w:rsidR="00AD589E" w:rsidRPr="009F2F58" w:rsidRDefault="00AD589E" w:rsidP="000C18D2">
            <w:pPr>
              <w:spacing w:after="0"/>
              <w:rPr>
                <w:rFonts w:ascii="Arial" w:hAnsi="Arial" w:cs="Arial"/>
                <w:color w:val="006100"/>
                <w:sz w:val="16"/>
                <w:szCs w:val="16"/>
              </w:rPr>
            </w:pPr>
          </w:p>
          <w:p w14:paraId="089C4744" w14:textId="18701C3A" w:rsidR="00AD589E" w:rsidRDefault="00AD589E" w:rsidP="000C18D2">
            <w:pPr>
              <w:spacing w:after="0"/>
              <w:rPr>
                <w:rFonts w:ascii="Arial" w:hAnsi="Arial" w:cs="Arial"/>
                <w:color w:val="006100"/>
                <w:sz w:val="16"/>
                <w:szCs w:val="16"/>
              </w:rPr>
            </w:pPr>
            <w:r w:rsidRPr="009F2F58">
              <w:rPr>
                <w:rFonts w:ascii="Arial" w:hAnsi="Arial" w:cs="Arial"/>
                <w:color w:val="006100"/>
                <w:sz w:val="16"/>
                <w:szCs w:val="16"/>
              </w:rPr>
              <w:t xml:space="preserve">What: </w:t>
            </w:r>
            <w:r w:rsidRPr="000C18D2">
              <w:rPr>
                <w:rFonts w:ascii="Arial" w:hAnsi="Arial" w:cs="Arial"/>
                <w:color w:val="006100"/>
                <w:sz w:val="16"/>
                <w:szCs w:val="16"/>
              </w:rPr>
              <w:t>Entry into force of the amendment of the national legislative framework</w:t>
            </w:r>
          </w:p>
          <w:p w14:paraId="6E66C248" w14:textId="77777777" w:rsidR="00AD589E" w:rsidRPr="009F2F58" w:rsidRDefault="00AD589E" w:rsidP="000C18D2">
            <w:pPr>
              <w:spacing w:after="0"/>
              <w:rPr>
                <w:rFonts w:ascii="Arial" w:hAnsi="Arial" w:cs="Arial"/>
                <w:color w:val="006100"/>
                <w:sz w:val="16"/>
                <w:szCs w:val="16"/>
              </w:rPr>
            </w:pPr>
          </w:p>
          <w:p w14:paraId="77384867" w14:textId="698D3439" w:rsidR="00AD589E" w:rsidRPr="009F2F58" w:rsidRDefault="00AD589E" w:rsidP="000C18D2">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entry into force (evidence by a) and reporting (b</w:t>
            </w:r>
            <w:r w:rsidR="00740C28">
              <w:rPr>
                <w:rFonts w:ascii="Arial" w:hAnsi="Arial" w:cs="Arial"/>
                <w:color w:val="006100"/>
                <w:sz w:val="16"/>
                <w:szCs w:val="16"/>
              </w:rPr>
              <w:t xml:space="preserve">, </w:t>
            </w:r>
            <w:r>
              <w:rPr>
                <w:rFonts w:ascii="Arial" w:hAnsi="Arial" w:cs="Arial"/>
                <w:color w:val="006100"/>
                <w:sz w:val="16"/>
                <w:szCs w:val="16"/>
              </w:rPr>
              <w:t>c</w:t>
            </w:r>
            <w:r w:rsidR="00740C28">
              <w:rPr>
                <w:rFonts w:ascii="Arial" w:hAnsi="Arial" w:cs="Arial"/>
                <w:color w:val="006100"/>
                <w:sz w:val="16"/>
                <w:szCs w:val="16"/>
              </w:rPr>
              <w:t>, d</w:t>
            </w:r>
            <w:r>
              <w:rPr>
                <w:rFonts w:ascii="Arial" w:hAnsi="Arial" w:cs="Arial"/>
                <w:color w:val="006100"/>
                <w:sz w:val="16"/>
                <w:szCs w:val="16"/>
              </w:rPr>
              <w:t>)</w:t>
            </w:r>
          </w:p>
          <w:p w14:paraId="453E882F" w14:textId="77777777" w:rsidR="00AD589E" w:rsidRPr="009F2F58" w:rsidRDefault="00AD589E" w:rsidP="000C18D2">
            <w:pPr>
              <w:spacing w:after="0"/>
              <w:rPr>
                <w:rFonts w:ascii="Arial" w:hAnsi="Arial" w:cs="Arial"/>
                <w:color w:val="006100"/>
                <w:sz w:val="16"/>
                <w:szCs w:val="16"/>
              </w:rPr>
            </w:pPr>
          </w:p>
          <w:p w14:paraId="0AFB5B27" w14:textId="6FCBECBF" w:rsidR="00AD589E" w:rsidRPr="009F2F58" w:rsidRDefault="00AD589E" w:rsidP="000C18D2">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0C18D2">
              <w:rPr>
                <w:rFonts w:ascii="Arial" w:hAnsi="Arial" w:cs="Arial"/>
                <w:color w:val="006100"/>
                <w:sz w:val="16"/>
                <w:szCs w:val="16"/>
              </w:rPr>
              <w:t xml:space="preserve">Amendments to the relevant primary or secondary legislation, including the acts by the national regulator shall remove the barriers to installation and connection to the grid of renewable energy facilities such as streamlining permitting procedures. In particular, the amendments shall include: simplification of the authorization procedures </w:t>
            </w:r>
            <w:r w:rsidRPr="000C18D2">
              <w:rPr>
                <w:rFonts w:ascii="Arial" w:hAnsi="Arial" w:cs="Arial"/>
                <w:color w:val="006100"/>
                <w:sz w:val="16"/>
                <w:szCs w:val="16"/>
              </w:rPr>
              <w:lastRenderedPageBreak/>
              <w:t>for renewables investments (i.e., solar and onshore wind), set out shorter and mandatory response deadlines by the administrative authorities and the grid operators and implement accountability procedures for unnecessary delays. reduction of the grid connection timeline (for both solar and onshore wind) to a maximum 6 months from the date of a complete application submission. enabling dedicated ‘go-to’ areas where onshore wind parks would be compliant with environmental legislation. Simplification of the procedure for renewables installations for own use up to 1 MW (such as. rooftop PV installations for households and SMEs) where generating capacity is equal to connected capacity by ensuring compliance with Regulation (EU) 631/2016 and by: excluding from the procedure the technical approval by the DSO and requesting only a technical report and a blueprint of the project. phasing out the obligation to declare excise duty for self-generation, together with the requirement of a tax warehouse for all electricity producers who do not sell electricity to final customers by means of legislative amendments to the Law on Excise Duties and Tax Warehouses. Removal of barriers to development of renewable self-consumption and renewable energy communities, in light of the assessment conducted pursuant to Article 22 (3) and 21 (6) of the Renewable Energy Directive.</w:t>
            </w:r>
            <w:r>
              <w:rPr>
                <w:rFonts w:ascii="Arial" w:hAnsi="Arial" w:cs="Arial"/>
                <w:color w:val="006100"/>
                <w:sz w:val="16"/>
                <w:szCs w:val="16"/>
              </w:rPr>
              <w:t xml:space="preserve"> </w:t>
            </w:r>
            <w:r w:rsidRPr="009F2F58">
              <w:rPr>
                <w:rFonts w:ascii="Arial" w:hAnsi="Arial" w:cs="Arial"/>
                <w:color w:val="006100"/>
                <w:sz w:val="16"/>
                <w:szCs w:val="16"/>
              </w:rPr>
              <w:t>[provide references to the above in the summary document]</w:t>
            </w:r>
          </w:p>
          <w:p w14:paraId="67E4A61B" w14:textId="77777777" w:rsidR="00AD589E" w:rsidRPr="009F2F58" w:rsidRDefault="00AD589E" w:rsidP="000C18D2">
            <w:pPr>
              <w:spacing w:after="0"/>
              <w:rPr>
                <w:rFonts w:ascii="Arial" w:hAnsi="Arial" w:cs="Arial"/>
                <w:color w:val="006100"/>
                <w:sz w:val="16"/>
                <w:szCs w:val="16"/>
              </w:rPr>
            </w:pPr>
          </w:p>
          <w:p w14:paraId="36F73A9D" w14:textId="5019BFEB" w:rsidR="00AD589E" w:rsidRPr="004F3D4C" w:rsidRDefault="00AD589E" w:rsidP="000C18D2">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w:t>
            </w:r>
            <w:r w:rsidR="00740C28">
              <w:rPr>
                <w:rFonts w:ascii="Arial" w:hAnsi="Arial" w:cs="Arial"/>
                <w:color w:val="006100"/>
                <w:sz w:val="16"/>
                <w:szCs w:val="16"/>
              </w:rPr>
              <w:t>s</w:t>
            </w:r>
            <w:r>
              <w:rPr>
                <w:rFonts w:ascii="Arial" w:hAnsi="Arial" w:cs="Arial"/>
                <w:color w:val="006100"/>
                <w:sz w:val="16"/>
                <w:szCs w:val="16"/>
              </w:rPr>
              <w:t xml:space="preserve"> of</w:t>
            </w:r>
            <w:r w:rsidR="00740C28">
              <w:rPr>
                <w:rFonts w:ascii="Arial" w:hAnsi="Arial" w:cs="Arial"/>
                <w:color w:val="006100"/>
                <w:sz w:val="16"/>
                <w:szCs w:val="16"/>
              </w:rPr>
              <w:t xml:space="preserve"> development and</w:t>
            </w:r>
            <w:r>
              <w:rPr>
                <w:rFonts w:ascii="Arial" w:hAnsi="Arial" w:cs="Arial"/>
                <w:color w:val="006100"/>
                <w:sz w:val="16"/>
                <w:szCs w:val="16"/>
              </w:rPr>
              <w:t xml:space="preserve"> entry into force</w:t>
            </w:r>
          </w:p>
        </w:tc>
        <w:tc>
          <w:tcPr>
            <w:tcW w:w="2268" w:type="dxa"/>
            <w:shd w:val="clear" w:color="auto" w:fill="D6E3C6"/>
          </w:tcPr>
          <w:p w14:paraId="3C7E6664" w14:textId="77777777" w:rsidR="00AD589E" w:rsidRPr="00C31026" w:rsidRDefault="00AD589E" w:rsidP="00C31026">
            <w:pPr>
              <w:spacing w:after="0"/>
              <w:rPr>
                <w:rFonts w:ascii="Arial" w:hAnsi="Arial" w:cs="Arial"/>
                <w:color w:val="006100"/>
                <w:sz w:val="16"/>
                <w:szCs w:val="16"/>
              </w:rPr>
            </w:pPr>
            <w:r w:rsidRPr="00C31026">
              <w:rPr>
                <w:rFonts w:ascii="Arial" w:hAnsi="Arial" w:cs="Arial"/>
                <w:color w:val="006100"/>
                <w:sz w:val="16"/>
                <w:szCs w:val="16"/>
              </w:rPr>
              <w:lastRenderedPageBreak/>
              <w:t xml:space="preserve">The objective of this reform is reducing the administrative burden for investments from renewable sources concerning installation, connection and operation.  </w:t>
            </w:r>
          </w:p>
          <w:p w14:paraId="582AD628" w14:textId="77777777" w:rsidR="00AD589E" w:rsidRPr="00C31026" w:rsidRDefault="00AD589E" w:rsidP="00C31026">
            <w:pPr>
              <w:spacing w:after="0"/>
              <w:rPr>
                <w:rFonts w:ascii="Arial" w:hAnsi="Arial" w:cs="Arial"/>
                <w:color w:val="006100"/>
                <w:sz w:val="16"/>
                <w:szCs w:val="16"/>
              </w:rPr>
            </w:pPr>
          </w:p>
          <w:p w14:paraId="7E668F79" w14:textId="77777777" w:rsidR="00AD589E" w:rsidRPr="00C31026" w:rsidRDefault="00AD589E" w:rsidP="00C31026">
            <w:pPr>
              <w:spacing w:after="0"/>
              <w:rPr>
                <w:rFonts w:ascii="Arial" w:hAnsi="Arial" w:cs="Arial"/>
                <w:color w:val="006100"/>
                <w:sz w:val="16"/>
                <w:szCs w:val="16"/>
              </w:rPr>
            </w:pPr>
            <w:r w:rsidRPr="00C31026">
              <w:rPr>
                <w:rFonts w:ascii="Arial" w:hAnsi="Arial" w:cs="Arial"/>
                <w:color w:val="006100"/>
                <w:sz w:val="16"/>
                <w:szCs w:val="16"/>
              </w:rPr>
              <w:t xml:space="preserve">Amendments to the relevant primary and/or secondary legislation, including the acts by the national regulator shall: (i) simplify licensing and permitting procedures for RES (i.e., solar and onshore wind), including energy storage facilities, ensure short and </w:t>
            </w:r>
            <w:r w:rsidRPr="00C31026">
              <w:rPr>
                <w:rFonts w:ascii="Arial" w:hAnsi="Arial" w:cs="Arial"/>
                <w:color w:val="006100"/>
                <w:sz w:val="16"/>
                <w:szCs w:val="16"/>
              </w:rPr>
              <w:lastRenderedPageBreak/>
              <w:t xml:space="preserve">binding administrative response times and accountability procedures for unnecessary delays, reducing the grid connection timeline (for both solar and onshore wind); (ii) enable dedicated ‘go-to’ areas where onshore wind parks would be compliant with environmental legislation; (iii) simplify the procedure for renewables installations for own use up to 1 MW (e.g. rooftop PV installations for households and SMEs) by excluding from the procedure the technical approval by the distribution system operator and phase out the obligation to declare excise duty for self-generation.  </w:t>
            </w:r>
          </w:p>
          <w:p w14:paraId="3F9B1815" w14:textId="77777777" w:rsidR="00AD589E" w:rsidRPr="00C31026" w:rsidRDefault="00AD589E" w:rsidP="00C31026">
            <w:pPr>
              <w:spacing w:after="0"/>
              <w:rPr>
                <w:rFonts w:ascii="Arial" w:hAnsi="Arial" w:cs="Arial"/>
                <w:color w:val="006100"/>
                <w:sz w:val="16"/>
                <w:szCs w:val="16"/>
              </w:rPr>
            </w:pPr>
          </w:p>
          <w:p w14:paraId="258742DE" w14:textId="1A462B34" w:rsidR="00AD589E" w:rsidRPr="004F3D4C" w:rsidRDefault="00AD589E" w:rsidP="00C31026">
            <w:pPr>
              <w:spacing w:after="0"/>
              <w:rPr>
                <w:rFonts w:ascii="Arial" w:hAnsi="Arial" w:cs="Arial"/>
                <w:color w:val="006100"/>
                <w:sz w:val="16"/>
                <w:szCs w:val="16"/>
              </w:rPr>
            </w:pPr>
            <w:r w:rsidRPr="00C31026">
              <w:rPr>
                <w:rFonts w:ascii="Arial" w:hAnsi="Arial" w:cs="Arial"/>
                <w:color w:val="006100"/>
                <w:sz w:val="16"/>
                <w:szCs w:val="16"/>
              </w:rPr>
              <w:t xml:space="preserve">In addition, amendments to the relevant primary and/or secondary legislation shall eliminate barriers, introduce a specific regulatory, and support framework for the construction, connection and operation of electricity storage facilities. This element of the reform is expected to support the implementation of investment 8 on storage. </w:t>
            </w:r>
          </w:p>
        </w:tc>
        <w:tc>
          <w:tcPr>
            <w:tcW w:w="1036" w:type="dxa"/>
            <w:gridSpan w:val="2"/>
            <w:shd w:val="clear" w:color="auto" w:fill="D6E3C6"/>
          </w:tcPr>
          <w:p w14:paraId="5CF84C39" w14:textId="1153209C"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lastRenderedPageBreak/>
              <w:t>-</w:t>
            </w:r>
          </w:p>
        </w:tc>
        <w:tc>
          <w:tcPr>
            <w:tcW w:w="1090" w:type="dxa"/>
            <w:gridSpan w:val="2"/>
            <w:shd w:val="clear" w:color="auto" w:fill="D6E3C6"/>
          </w:tcPr>
          <w:p w14:paraId="06BB5BFA" w14:textId="557AA427" w:rsidR="00AD589E" w:rsidRPr="004F3D4C" w:rsidRDefault="00AD589E" w:rsidP="009807A8">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0AB5BE90" w14:textId="6E90EE34" w:rsidR="00AD589E" w:rsidRPr="004F3D4C" w:rsidRDefault="00AD589E" w:rsidP="009807A8">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3330A807" w14:textId="6741CE86" w:rsidR="00AD589E" w:rsidRPr="004F3D4C" w:rsidRDefault="00F67FC0" w:rsidP="009807A8">
            <w:pPr>
              <w:spacing w:after="0"/>
              <w:rPr>
                <w:rFonts w:ascii="Arial" w:hAnsi="Arial" w:cs="Arial"/>
                <w:color w:val="006100"/>
                <w:sz w:val="16"/>
                <w:szCs w:val="16"/>
              </w:rPr>
            </w:pPr>
            <w:r>
              <w:rPr>
                <w:rFonts w:ascii="Arial" w:hAnsi="Arial" w:cs="Arial"/>
                <w:color w:val="006100"/>
                <w:sz w:val="16"/>
                <w:szCs w:val="16"/>
              </w:rPr>
              <w:t xml:space="preserve">A monitoring step: </w:t>
            </w:r>
            <w:r w:rsidR="000B4CF0" w:rsidRPr="000B4CF0">
              <w:rPr>
                <w:rFonts w:ascii="Arial" w:hAnsi="Arial" w:cs="Arial"/>
                <w:color w:val="006100"/>
                <w:sz w:val="16"/>
                <w:szCs w:val="16"/>
              </w:rPr>
              <w:t>Consultation of the European Commission</w:t>
            </w:r>
            <w:r w:rsidR="000B4CF0">
              <w:rPr>
                <w:rFonts w:ascii="Arial" w:hAnsi="Arial" w:cs="Arial"/>
                <w:color w:val="006100"/>
                <w:sz w:val="16"/>
                <w:szCs w:val="16"/>
              </w:rPr>
              <w:t xml:space="preserve"> (</w:t>
            </w:r>
            <w:r w:rsidR="00535A5D">
              <w:rPr>
                <w:rFonts w:ascii="Arial" w:hAnsi="Arial" w:cs="Arial"/>
                <w:color w:val="006100"/>
                <w:sz w:val="16"/>
                <w:szCs w:val="16"/>
              </w:rPr>
              <w:t xml:space="preserve">Q3 </w:t>
            </w:r>
            <w:r w:rsidR="00095BFE">
              <w:rPr>
                <w:rFonts w:ascii="Arial" w:hAnsi="Arial" w:cs="Arial"/>
                <w:color w:val="006100"/>
                <w:sz w:val="16"/>
                <w:szCs w:val="16"/>
              </w:rPr>
              <w:t>2022</w:t>
            </w:r>
            <w:r w:rsidR="000B4CF0">
              <w:rPr>
                <w:rFonts w:ascii="Arial" w:hAnsi="Arial" w:cs="Arial"/>
                <w:color w:val="006100"/>
                <w:sz w:val="16"/>
                <w:szCs w:val="16"/>
              </w:rPr>
              <w:t>)</w:t>
            </w:r>
          </w:p>
        </w:tc>
      </w:tr>
      <w:tr w:rsidR="00932368" w:rsidRPr="004F3D4C" w14:paraId="1A3E4368" w14:textId="6EA0E384" w:rsidTr="00596EEA">
        <w:trPr>
          <w:trHeight w:val="309"/>
        </w:trPr>
        <w:tc>
          <w:tcPr>
            <w:tcW w:w="454" w:type="dxa"/>
            <w:shd w:val="clear" w:color="auto" w:fill="D6E3C6"/>
            <w:noWrap/>
          </w:tcPr>
          <w:p w14:paraId="5BB90E12" w14:textId="31D9FBEA" w:rsidR="00932368" w:rsidRPr="004F3D4C" w:rsidRDefault="00932368" w:rsidP="0093236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96</w:t>
            </w:r>
          </w:p>
        </w:tc>
        <w:tc>
          <w:tcPr>
            <w:tcW w:w="1215" w:type="dxa"/>
            <w:shd w:val="clear" w:color="auto" w:fill="D6E3C6"/>
            <w:noWrap/>
          </w:tcPr>
          <w:p w14:paraId="655DA5D3" w14:textId="480BEF78" w:rsidR="00932368" w:rsidRPr="004F3D4C" w:rsidRDefault="00932368" w:rsidP="0093236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C4.R6: Boosting electricity generation from renewable sources</w:t>
            </w:r>
          </w:p>
        </w:tc>
        <w:tc>
          <w:tcPr>
            <w:tcW w:w="956" w:type="dxa"/>
            <w:shd w:val="clear" w:color="auto" w:fill="D6E3C6"/>
            <w:noWrap/>
          </w:tcPr>
          <w:p w14:paraId="54AF6EF6" w14:textId="0CEEADAE" w:rsidR="00932368" w:rsidRPr="004F3D4C" w:rsidRDefault="00932368" w:rsidP="0093236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6940AF01" w14:textId="3B89B2F2" w:rsidR="00932368" w:rsidRPr="004F3D4C" w:rsidRDefault="00932368" w:rsidP="0093236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Entry into force of the amendments to the national legislative framework to support fast deployment of off-shore wind</w:t>
            </w:r>
          </w:p>
        </w:tc>
        <w:tc>
          <w:tcPr>
            <w:tcW w:w="1322" w:type="dxa"/>
            <w:shd w:val="clear" w:color="auto" w:fill="D6E3C6"/>
            <w:noWrap/>
          </w:tcPr>
          <w:p w14:paraId="718698D2" w14:textId="2CA2B360" w:rsidR="00932368" w:rsidRPr="004F3D4C" w:rsidRDefault="00932368" w:rsidP="00932368">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the law indicating the entry into force of the amendments to the national legislative framework</w:t>
            </w:r>
          </w:p>
        </w:tc>
        <w:tc>
          <w:tcPr>
            <w:tcW w:w="709" w:type="dxa"/>
            <w:shd w:val="clear" w:color="auto" w:fill="D6E3C6"/>
            <w:noWrap/>
          </w:tcPr>
          <w:p w14:paraId="53A199DD" w14:textId="77777777" w:rsidR="00932368" w:rsidRPr="004F3D4C" w:rsidRDefault="00932368" w:rsidP="00932368">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79988A93" w14:textId="77777777" w:rsidR="00932368" w:rsidRPr="004F3D4C" w:rsidRDefault="00932368" w:rsidP="00932368">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6C091AB1" w14:textId="77777777" w:rsidR="00932368" w:rsidRPr="004F3D4C" w:rsidRDefault="00932368" w:rsidP="00932368">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3451EAB8" w14:textId="78C82BF5" w:rsidR="00932368" w:rsidRPr="004F3D4C" w:rsidRDefault="00932368" w:rsidP="0093236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45A65668" w14:textId="324B5E26" w:rsidR="00932368" w:rsidRPr="004F3D4C" w:rsidRDefault="00932368" w:rsidP="00932368">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194DAB26" w14:textId="5130A2D7" w:rsidR="00932368" w:rsidRPr="004F3D4C" w:rsidRDefault="00932368" w:rsidP="00932368">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r w:rsidRPr="004F3D4C">
              <w:rPr>
                <w:rFonts w:ascii="Arial" w:eastAsia="Times New Roman" w:hAnsi="Arial" w:cs="Arial"/>
                <w:color w:val="006100"/>
                <w:sz w:val="16"/>
                <w:szCs w:val="16"/>
                <w:lang w:val="bg-BG" w:eastAsia="en-GB"/>
              </w:rPr>
              <w:t xml:space="preserve">, </w:t>
            </w:r>
            <w:r w:rsidRPr="004F3D4C">
              <w:rPr>
                <w:rFonts w:ascii="Arial" w:eastAsia="Times New Roman" w:hAnsi="Arial" w:cs="Arial"/>
                <w:color w:val="006100"/>
                <w:sz w:val="16"/>
                <w:szCs w:val="16"/>
                <w:lang w:val="en-US" w:eastAsia="en-GB"/>
              </w:rPr>
              <w:t>Ministry of Transport and Communications, Ministry of Environment and Water</w:t>
            </w:r>
          </w:p>
        </w:tc>
        <w:tc>
          <w:tcPr>
            <w:tcW w:w="851" w:type="dxa"/>
            <w:gridSpan w:val="2"/>
            <w:shd w:val="clear" w:color="auto" w:fill="D6E3C6"/>
          </w:tcPr>
          <w:p w14:paraId="53ABA2B3" w14:textId="77777777" w:rsidR="00932368" w:rsidRPr="004F3D4C" w:rsidRDefault="00932368" w:rsidP="00932368">
            <w:pPr>
              <w:spacing w:after="0"/>
              <w:rPr>
                <w:rFonts w:ascii="Arial" w:eastAsia="Times New Roman" w:hAnsi="Arial" w:cs="Arial"/>
                <w:color w:val="006100"/>
                <w:sz w:val="16"/>
                <w:szCs w:val="16"/>
                <w:lang w:eastAsia="en-GB"/>
              </w:rPr>
            </w:pPr>
          </w:p>
        </w:tc>
        <w:tc>
          <w:tcPr>
            <w:tcW w:w="1751" w:type="dxa"/>
            <w:gridSpan w:val="2"/>
            <w:shd w:val="clear" w:color="auto" w:fill="D6E3C6"/>
          </w:tcPr>
          <w:p w14:paraId="4676BFFB" w14:textId="77777777" w:rsidR="00932368" w:rsidRDefault="00932368" w:rsidP="00932368">
            <w:pPr>
              <w:pStyle w:val="ListParagraph"/>
              <w:numPr>
                <w:ilvl w:val="0"/>
                <w:numId w:val="44"/>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t>Copy of the publication in the State Gazette of primary legislation</w:t>
            </w:r>
            <w:r>
              <w:rPr>
                <w:rFonts w:ascii="Arial" w:hAnsi="Arial" w:cs="Arial"/>
                <w:color w:val="006100"/>
                <w:sz w:val="16"/>
                <w:szCs w:val="16"/>
                <w:lang w:eastAsia="en-GB"/>
              </w:rPr>
              <w:t xml:space="preserve"> </w:t>
            </w:r>
            <w:r w:rsidRPr="004F3D4C">
              <w:rPr>
                <w:rFonts w:ascii="Arial" w:hAnsi="Arial" w:cs="Arial"/>
                <w:color w:val="006100"/>
                <w:sz w:val="16"/>
                <w:szCs w:val="16"/>
                <w:lang w:eastAsia="en-GB"/>
              </w:rPr>
              <w:t>and secondary legislation that is critical for achieving the objectives described in the milestone and in the CID annex</w:t>
            </w:r>
          </w:p>
          <w:p w14:paraId="3EAD9507" w14:textId="5F1BCB0F" w:rsidR="00932368" w:rsidRPr="00516A47" w:rsidRDefault="00932368" w:rsidP="00932368">
            <w:pPr>
              <w:pStyle w:val="ListParagraph"/>
              <w:numPr>
                <w:ilvl w:val="0"/>
                <w:numId w:val="44"/>
              </w:numPr>
              <w:spacing w:after="0"/>
              <w:ind w:left="391" w:hanging="357"/>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 xml:space="preserve">eference to the relevant provisions indicating the entry into force, accompanied by a document duly justifying how the milestone (including all the constitutive elements) was </w:t>
            </w:r>
            <w:r w:rsidRPr="004F3D4C">
              <w:rPr>
                <w:rFonts w:ascii="Arial" w:hAnsi="Arial" w:cs="Arial"/>
                <w:color w:val="006100"/>
                <w:sz w:val="16"/>
                <w:szCs w:val="16"/>
                <w:lang w:eastAsia="en-GB"/>
              </w:rPr>
              <w:lastRenderedPageBreak/>
              <w:t>satisfactorily fulfilled</w:t>
            </w:r>
          </w:p>
        </w:tc>
        <w:tc>
          <w:tcPr>
            <w:tcW w:w="3402" w:type="dxa"/>
            <w:shd w:val="clear" w:color="auto" w:fill="D6E3C6"/>
          </w:tcPr>
          <w:p w14:paraId="32858726" w14:textId="63FBCD03" w:rsidR="00932368" w:rsidRPr="006E662A" w:rsidRDefault="00932368" w:rsidP="00932368">
            <w:pPr>
              <w:spacing w:after="0"/>
              <w:rPr>
                <w:rFonts w:ascii="Arial" w:hAnsi="Arial" w:cs="Arial"/>
                <w:color w:val="006100"/>
                <w:sz w:val="16"/>
                <w:szCs w:val="16"/>
              </w:rPr>
            </w:pPr>
            <w:r w:rsidRPr="006E662A">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r w:rsidRPr="004F3D4C">
              <w:rPr>
                <w:rFonts w:ascii="Arial" w:eastAsia="Times New Roman" w:hAnsi="Arial" w:cs="Arial"/>
                <w:color w:val="006100"/>
                <w:sz w:val="16"/>
                <w:szCs w:val="16"/>
                <w:lang w:val="bg-BG" w:eastAsia="en-GB"/>
              </w:rPr>
              <w:t xml:space="preserve">, </w:t>
            </w:r>
            <w:r w:rsidRPr="004F3D4C">
              <w:rPr>
                <w:rFonts w:ascii="Arial" w:eastAsia="Times New Roman" w:hAnsi="Arial" w:cs="Arial"/>
                <w:color w:val="006100"/>
                <w:sz w:val="16"/>
                <w:szCs w:val="16"/>
                <w:lang w:val="en-US" w:eastAsia="en-GB"/>
              </w:rPr>
              <w:t>Ministry of Transport and Communications, Ministry of Environment and Water</w:t>
            </w:r>
          </w:p>
          <w:p w14:paraId="479E9332" w14:textId="77777777" w:rsidR="00932368" w:rsidRPr="006E662A" w:rsidRDefault="00932368" w:rsidP="00932368">
            <w:pPr>
              <w:spacing w:after="0"/>
              <w:rPr>
                <w:rFonts w:ascii="Arial" w:hAnsi="Arial" w:cs="Arial"/>
                <w:color w:val="006100"/>
                <w:sz w:val="16"/>
                <w:szCs w:val="16"/>
              </w:rPr>
            </w:pPr>
          </w:p>
          <w:p w14:paraId="2981CF90" w14:textId="4B7B2E1E" w:rsidR="00932368" w:rsidRPr="006E662A" w:rsidRDefault="00932368" w:rsidP="00932368">
            <w:pPr>
              <w:spacing w:after="0"/>
              <w:rPr>
                <w:rFonts w:ascii="Arial" w:hAnsi="Arial" w:cs="Arial"/>
                <w:color w:val="006100"/>
                <w:sz w:val="16"/>
                <w:szCs w:val="16"/>
              </w:rPr>
            </w:pPr>
            <w:r w:rsidRPr="006E662A">
              <w:rPr>
                <w:rFonts w:ascii="Arial" w:hAnsi="Arial" w:cs="Arial"/>
                <w:color w:val="006100"/>
                <w:sz w:val="16"/>
                <w:szCs w:val="16"/>
              </w:rPr>
              <w:t xml:space="preserve">What: </w:t>
            </w:r>
            <w:r w:rsidRPr="00AD7403">
              <w:rPr>
                <w:rFonts w:ascii="Arial" w:hAnsi="Arial" w:cs="Arial"/>
                <w:color w:val="006100"/>
                <w:sz w:val="16"/>
                <w:szCs w:val="16"/>
              </w:rPr>
              <w:t>Entry into force of the amendments to the national legislative framework to support fast deployment of off-shore wind</w:t>
            </w:r>
          </w:p>
          <w:p w14:paraId="74049E74" w14:textId="77777777" w:rsidR="00932368" w:rsidRPr="006E662A" w:rsidRDefault="00932368" w:rsidP="00932368">
            <w:pPr>
              <w:spacing w:after="0"/>
              <w:rPr>
                <w:rFonts w:ascii="Arial" w:hAnsi="Arial" w:cs="Arial"/>
                <w:color w:val="006100"/>
                <w:sz w:val="16"/>
                <w:szCs w:val="16"/>
              </w:rPr>
            </w:pPr>
          </w:p>
          <w:p w14:paraId="703FAB7E" w14:textId="6230F0AE" w:rsidR="00932368" w:rsidRPr="006E662A" w:rsidRDefault="00932368" w:rsidP="00932368">
            <w:pPr>
              <w:spacing w:after="0"/>
              <w:rPr>
                <w:rFonts w:ascii="Arial" w:hAnsi="Arial" w:cs="Arial"/>
                <w:color w:val="006100"/>
                <w:sz w:val="16"/>
                <w:szCs w:val="16"/>
              </w:rPr>
            </w:pPr>
            <w:r w:rsidRPr="006E662A">
              <w:rPr>
                <w:rFonts w:ascii="Arial" w:hAnsi="Arial" w:cs="Arial"/>
                <w:color w:val="006100"/>
                <w:sz w:val="16"/>
                <w:szCs w:val="16"/>
              </w:rPr>
              <w:t xml:space="preserve">How: </w:t>
            </w:r>
            <w:r>
              <w:rPr>
                <w:rFonts w:ascii="Arial" w:hAnsi="Arial" w:cs="Arial"/>
                <w:color w:val="006100"/>
                <w:sz w:val="16"/>
                <w:szCs w:val="16"/>
              </w:rPr>
              <w:t>entry into force (evidence by a) and reporting (b)</w:t>
            </w:r>
          </w:p>
          <w:p w14:paraId="55A2FB94" w14:textId="77777777" w:rsidR="00932368" w:rsidRPr="006E662A" w:rsidRDefault="00932368" w:rsidP="00932368">
            <w:pPr>
              <w:spacing w:after="0"/>
              <w:rPr>
                <w:rFonts w:ascii="Arial" w:hAnsi="Arial" w:cs="Arial"/>
                <w:color w:val="006100"/>
                <w:sz w:val="16"/>
                <w:szCs w:val="16"/>
              </w:rPr>
            </w:pPr>
          </w:p>
          <w:p w14:paraId="689A51E0" w14:textId="3287E235" w:rsidR="00932368" w:rsidRPr="006E662A" w:rsidRDefault="00932368" w:rsidP="00932368">
            <w:pPr>
              <w:spacing w:after="0"/>
              <w:rPr>
                <w:rFonts w:ascii="Arial" w:hAnsi="Arial" w:cs="Arial"/>
                <w:color w:val="006100"/>
                <w:sz w:val="16"/>
                <w:szCs w:val="16"/>
              </w:rPr>
            </w:pPr>
            <w:r w:rsidRPr="006E662A">
              <w:rPr>
                <w:rFonts w:ascii="Arial" w:hAnsi="Arial" w:cs="Arial"/>
                <w:color w:val="006100"/>
                <w:sz w:val="16"/>
                <w:szCs w:val="16"/>
              </w:rPr>
              <w:t>Why:</w:t>
            </w:r>
            <w:r>
              <w:rPr>
                <w:rFonts w:ascii="Arial" w:hAnsi="Arial" w:cs="Arial"/>
                <w:color w:val="006100"/>
                <w:sz w:val="16"/>
                <w:szCs w:val="16"/>
              </w:rPr>
              <w:t xml:space="preserve"> </w:t>
            </w:r>
            <w:r w:rsidRPr="004F3D4C">
              <w:rPr>
                <w:rFonts w:ascii="Arial" w:hAnsi="Arial" w:cs="Arial"/>
                <w:color w:val="006100"/>
                <w:sz w:val="16"/>
                <w:szCs w:val="16"/>
              </w:rPr>
              <w:t>Amendments to the relevant primary or secondary legislation, including the acts by the national regulator shall introduce specific regulatory and support framework for offshore renewables investments, including but not limited to: a detailed offshore special planning, with dedicated ‘go-to’ areas where offshore wind parks would be compliant with environmental legislation; a grid development plan for the coastal area.</w:t>
            </w:r>
          </w:p>
          <w:p w14:paraId="0343FAE9" w14:textId="77777777" w:rsidR="00932368" w:rsidRPr="006E662A" w:rsidRDefault="00932368" w:rsidP="00932368">
            <w:pPr>
              <w:spacing w:after="0"/>
              <w:rPr>
                <w:rFonts w:ascii="Arial" w:hAnsi="Arial" w:cs="Arial"/>
                <w:color w:val="006100"/>
                <w:sz w:val="16"/>
                <w:szCs w:val="16"/>
              </w:rPr>
            </w:pPr>
          </w:p>
          <w:p w14:paraId="146198B0" w14:textId="2DE437C7" w:rsidR="00932368" w:rsidRPr="004F3D4C" w:rsidRDefault="00932368" w:rsidP="00932368">
            <w:pPr>
              <w:spacing w:after="0"/>
              <w:rPr>
                <w:rFonts w:ascii="Arial" w:hAnsi="Arial" w:cs="Arial"/>
                <w:color w:val="006100"/>
                <w:sz w:val="16"/>
                <w:szCs w:val="16"/>
              </w:rPr>
            </w:pPr>
            <w:r w:rsidRPr="006E662A">
              <w:rPr>
                <w:rFonts w:ascii="Arial" w:hAnsi="Arial" w:cs="Arial"/>
                <w:color w:val="006100"/>
                <w:sz w:val="16"/>
                <w:szCs w:val="16"/>
              </w:rPr>
              <w:t xml:space="preserve">When: </w:t>
            </w:r>
            <w:r>
              <w:rPr>
                <w:rFonts w:ascii="Arial" w:hAnsi="Arial" w:cs="Arial"/>
                <w:color w:val="006100"/>
                <w:sz w:val="16"/>
                <w:szCs w:val="16"/>
              </w:rPr>
              <w:t>specify the dates of development and entry into force</w:t>
            </w:r>
          </w:p>
        </w:tc>
        <w:tc>
          <w:tcPr>
            <w:tcW w:w="2268" w:type="dxa"/>
            <w:shd w:val="clear" w:color="auto" w:fill="D6E3C6"/>
          </w:tcPr>
          <w:p w14:paraId="7F5973D8" w14:textId="61EB9FDC" w:rsidR="00932368" w:rsidRPr="004F3D4C" w:rsidRDefault="00932368" w:rsidP="00932368">
            <w:pPr>
              <w:spacing w:after="0"/>
              <w:rPr>
                <w:rFonts w:ascii="Arial" w:hAnsi="Arial" w:cs="Arial"/>
                <w:color w:val="006100"/>
                <w:sz w:val="16"/>
                <w:szCs w:val="16"/>
              </w:rPr>
            </w:pPr>
            <w:r>
              <w:rPr>
                <w:rFonts w:ascii="Arial" w:hAnsi="Arial" w:cs="Arial"/>
                <w:color w:val="006100"/>
                <w:sz w:val="16"/>
                <w:szCs w:val="16"/>
              </w:rPr>
              <w:t xml:space="preserve">As above </w:t>
            </w:r>
          </w:p>
        </w:tc>
        <w:tc>
          <w:tcPr>
            <w:tcW w:w="1036" w:type="dxa"/>
            <w:gridSpan w:val="2"/>
            <w:shd w:val="clear" w:color="auto" w:fill="D6E3C6"/>
          </w:tcPr>
          <w:p w14:paraId="029617F6" w14:textId="297C17EB" w:rsidR="00932368" w:rsidRPr="004F3D4C" w:rsidRDefault="00932368" w:rsidP="00932368">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1C83CF49" w14:textId="7B1C2A77" w:rsidR="00932368" w:rsidRPr="004F3D4C" w:rsidRDefault="00932368" w:rsidP="00932368">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5489E67B" w14:textId="18AE5A3B" w:rsidR="00932368" w:rsidRPr="004F3D4C" w:rsidRDefault="00932368" w:rsidP="00932368">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2D452648" w14:textId="0311F530" w:rsidR="00932368" w:rsidRPr="004F3D4C" w:rsidRDefault="00932368" w:rsidP="00932368">
            <w:pPr>
              <w:spacing w:after="0"/>
              <w:rPr>
                <w:rFonts w:ascii="Arial" w:hAnsi="Arial" w:cs="Arial"/>
                <w:color w:val="006100"/>
                <w:sz w:val="16"/>
                <w:szCs w:val="16"/>
              </w:rPr>
            </w:pPr>
            <w:r>
              <w:rPr>
                <w:rFonts w:ascii="Arial" w:hAnsi="Arial" w:cs="Arial"/>
                <w:color w:val="006100"/>
                <w:sz w:val="16"/>
                <w:szCs w:val="16"/>
              </w:rPr>
              <w:t xml:space="preserve">A monitoring step: </w:t>
            </w:r>
            <w:r w:rsidRPr="000B4CF0">
              <w:rPr>
                <w:rFonts w:ascii="Arial" w:hAnsi="Arial" w:cs="Arial"/>
                <w:color w:val="006100"/>
                <w:sz w:val="16"/>
                <w:szCs w:val="16"/>
              </w:rPr>
              <w:t>Consultation of the European Commission</w:t>
            </w:r>
            <w:r>
              <w:rPr>
                <w:rFonts w:ascii="Arial" w:hAnsi="Arial" w:cs="Arial"/>
                <w:color w:val="006100"/>
                <w:sz w:val="16"/>
                <w:szCs w:val="16"/>
              </w:rPr>
              <w:t xml:space="preserve"> (Q</w:t>
            </w:r>
            <w:r w:rsidR="009C2918">
              <w:rPr>
                <w:rFonts w:ascii="Arial" w:hAnsi="Arial" w:cs="Arial"/>
                <w:color w:val="006100"/>
                <w:sz w:val="16"/>
                <w:szCs w:val="16"/>
              </w:rPr>
              <w:t>1</w:t>
            </w:r>
            <w:r>
              <w:rPr>
                <w:rFonts w:ascii="Arial" w:hAnsi="Arial" w:cs="Arial"/>
                <w:color w:val="006100"/>
                <w:sz w:val="16"/>
                <w:szCs w:val="16"/>
              </w:rPr>
              <w:t xml:space="preserve"> 2022)</w:t>
            </w:r>
          </w:p>
        </w:tc>
      </w:tr>
      <w:tr w:rsidR="0046499F" w:rsidRPr="004F3D4C" w14:paraId="7019FE67" w14:textId="67251DF4" w:rsidTr="00596EEA">
        <w:trPr>
          <w:trHeight w:val="309"/>
        </w:trPr>
        <w:tc>
          <w:tcPr>
            <w:tcW w:w="454" w:type="dxa"/>
            <w:shd w:val="clear" w:color="auto" w:fill="D6E3C6"/>
            <w:noWrap/>
          </w:tcPr>
          <w:p w14:paraId="61ACB529" w14:textId="211D09FF"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97</w:t>
            </w:r>
          </w:p>
        </w:tc>
        <w:tc>
          <w:tcPr>
            <w:tcW w:w="1215" w:type="dxa"/>
            <w:shd w:val="clear" w:color="auto" w:fill="D6E3C6"/>
            <w:noWrap/>
          </w:tcPr>
          <w:p w14:paraId="39AED191" w14:textId="028DF206"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C4.I8: National infrastructure for storage of electricity from RES (RESTORE)</w:t>
            </w:r>
          </w:p>
        </w:tc>
        <w:tc>
          <w:tcPr>
            <w:tcW w:w="956" w:type="dxa"/>
            <w:shd w:val="clear" w:color="auto" w:fill="D6E3C6"/>
            <w:noWrap/>
          </w:tcPr>
          <w:p w14:paraId="02AA8231" w14:textId="1A8A805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62515576" w14:textId="7DBEBE0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Amendment of the national legislative framework to support fast deployment of electricity storage</w:t>
            </w:r>
          </w:p>
        </w:tc>
        <w:tc>
          <w:tcPr>
            <w:tcW w:w="1322" w:type="dxa"/>
            <w:shd w:val="clear" w:color="auto" w:fill="D6E3C6"/>
            <w:noWrap/>
          </w:tcPr>
          <w:p w14:paraId="65486A88" w14:textId="7E06D79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the law indicating the entry into force of the amendments</w:t>
            </w:r>
          </w:p>
        </w:tc>
        <w:tc>
          <w:tcPr>
            <w:tcW w:w="709" w:type="dxa"/>
            <w:shd w:val="clear" w:color="auto" w:fill="D6E3C6"/>
            <w:noWrap/>
          </w:tcPr>
          <w:p w14:paraId="262BCC02"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793E3214"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621422CC"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3987DDED" w14:textId="6789BD4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2C59A391" w14:textId="2A2E5B2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05E4BCAF" w14:textId="77777777" w:rsidR="0046499F" w:rsidRPr="004F3D4C" w:rsidRDefault="0046499F" w:rsidP="0046499F">
            <w:pPr>
              <w:spacing w:after="0"/>
              <w:rPr>
                <w:rFonts w:ascii="Arial" w:eastAsia="Times New Roman" w:hAnsi="Arial" w:cs="Arial"/>
                <w:color w:val="006100"/>
                <w:sz w:val="16"/>
                <w:szCs w:val="16"/>
                <w:lang w:eastAsia="en-GB"/>
              </w:rPr>
            </w:pPr>
          </w:p>
        </w:tc>
        <w:tc>
          <w:tcPr>
            <w:tcW w:w="851" w:type="dxa"/>
            <w:gridSpan w:val="2"/>
            <w:shd w:val="clear" w:color="auto" w:fill="D6E3C6"/>
          </w:tcPr>
          <w:p w14:paraId="3327323C"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04EC5F80" w14:textId="77777777" w:rsidR="0046499F" w:rsidRDefault="0046499F" w:rsidP="0046499F">
            <w:pPr>
              <w:pStyle w:val="ListParagraph"/>
              <w:numPr>
                <w:ilvl w:val="0"/>
                <w:numId w:val="45"/>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t>Copy of the publication in the State Gazette of primary legislation and secondary legislation that is critical for achieving the objectives described in the milestone and in the CID annex</w:t>
            </w:r>
          </w:p>
          <w:p w14:paraId="2F1FF56B" w14:textId="0DACA8EC" w:rsidR="0046499F" w:rsidRPr="00603185" w:rsidRDefault="0046499F" w:rsidP="0046499F">
            <w:pPr>
              <w:pStyle w:val="ListParagraph"/>
              <w:numPr>
                <w:ilvl w:val="0"/>
                <w:numId w:val="45"/>
              </w:numPr>
              <w:spacing w:after="0"/>
              <w:ind w:left="391" w:hanging="357"/>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eference to the relevant provisions indicating the entry into force, accompanied by a document duly justifying how the milestone (including all the constitutive elements) was satisfactorily fulfilled</w:t>
            </w:r>
          </w:p>
        </w:tc>
        <w:tc>
          <w:tcPr>
            <w:tcW w:w="3402" w:type="dxa"/>
            <w:shd w:val="clear" w:color="auto" w:fill="D6E3C6"/>
          </w:tcPr>
          <w:p w14:paraId="0A7FDBB2" w14:textId="504DCC67" w:rsidR="0046499F" w:rsidRPr="000331ED" w:rsidRDefault="0046499F" w:rsidP="0046499F">
            <w:pPr>
              <w:spacing w:after="0"/>
              <w:rPr>
                <w:rFonts w:ascii="Arial" w:hAnsi="Arial" w:cs="Arial"/>
                <w:color w:val="006100"/>
                <w:sz w:val="16"/>
                <w:szCs w:val="16"/>
                <w:lang w:val="bg-BG"/>
              </w:rPr>
            </w:pPr>
            <w:r w:rsidRPr="006E662A">
              <w:rPr>
                <w:rFonts w:ascii="Arial" w:hAnsi="Arial" w:cs="Arial"/>
                <w:color w:val="006100"/>
                <w:sz w:val="16"/>
                <w:szCs w:val="16"/>
              </w:rPr>
              <w:t xml:space="preserve">Institution/s: </w:t>
            </w:r>
            <w:r w:rsidRPr="004A3F9B">
              <w:rPr>
                <w:rFonts w:ascii="Arial" w:hAnsi="Arial" w:cs="Arial"/>
                <w:color w:val="006100"/>
                <w:sz w:val="16"/>
                <w:szCs w:val="16"/>
              </w:rPr>
              <w:t>Ministry of Energy</w:t>
            </w:r>
          </w:p>
          <w:p w14:paraId="661BFFEC" w14:textId="77777777" w:rsidR="0046499F" w:rsidRPr="006E662A" w:rsidRDefault="0046499F" w:rsidP="0046499F">
            <w:pPr>
              <w:spacing w:after="0"/>
              <w:rPr>
                <w:rFonts w:ascii="Arial" w:hAnsi="Arial" w:cs="Arial"/>
                <w:color w:val="006100"/>
                <w:sz w:val="16"/>
                <w:szCs w:val="16"/>
              </w:rPr>
            </w:pPr>
          </w:p>
          <w:p w14:paraId="5B35ECC8" w14:textId="4BF60254" w:rsidR="0046499F" w:rsidRPr="006E662A" w:rsidRDefault="0046499F" w:rsidP="0046499F">
            <w:pPr>
              <w:spacing w:after="0"/>
              <w:rPr>
                <w:rFonts w:ascii="Arial" w:hAnsi="Arial" w:cs="Arial"/>
                <w:color w:val="006100"/>
                <w:sz w:val="16"/>
                <w:szCs w:val="16"/>
              </w:rPr>
            </w:pPr>
            <w:r w:rsidRPr="006E662A">
              <w:rPr>
                <w:rFonts w:ascii="Arial" w:hAnsi="Arial" w:cs="Arial"/>
                <w:color w:val="006100"/>
                <w:sz w:val="16"/>
                <w:szCs w:val="16"/>
              </w:rPr>
              <w:t xml:space="preserve">What: </w:t>
            </w:r>
            <w:r w:rsidRPr="00B016AD">
              <w:rPr>
                <w:rFonts w:ascii="Arial" w:hAnsi="Arial" w:cs="Arial"/>
                <w:color w:val="006100"/>
                <w:sz w:val="16"/>
                <w:szCs w:val="16"/>
              </w:rPr>
              <w:t>Amendment of the national legislative framework to support fast deployment of electricity storage</w:t>
            </w:r>
          </w:p>
          <w:p w14:paraId="3EC98BA6" w14:textId="77777777" w:rsidR="0046499F" w:rsidRPr="006E662A" w:rsidRDefault="0046499F" w:rsidP="0046499F">
            <w:pPr>
              <w:spacing w:after="0"/>
              <w:rPr>
                <w:rFonts w:ascii="Arial" w:hAnsi="Arial" w:cs="Arial"/>
                <w:color w:val="006100"/>
                <w:sz w:val="16"/>
                <w:szCs w:val="16"/>
              </w:rPr>
            </w:pPr>
          </w:p>
          <w:p w14:paraId="54FF34B9" w14:textId="77777777" w:rsidR="0046499F" w:rsidRPr="006E662A" w:rsidRDefault="0046499F" w:rsidP="0046499F">
            <w:pPr>
              <w:spacing w:after="0"/>
              <w:rPr>
                <w:rFonts w:ascii="Arial" w:hAnsi="Arial" w:cs="Arial"/>
                <w:color w:val="006100"/>
                <w:sz w:val="16"/>
                <w:szCs w:val="16"/>
              </w:rPr>
            </w:pPr>
            <w:r w:rsidRPr="006E662A">
              <w:rPr>
                <w:rFonts w:ascii="Arial" w:hAnsi="Arial" w:cs="Arial"/>
                <w:color w:val="006100"/>
                <w:sz w:val="16"/>
                <w:szCs w:val="16"/>
              </w:rPr>
              <w:t xml:space="preserve">How: </w:t>
            </w:r>
            <w:r>
              <w:rPr>
                <w:rFonts w:ascii="Arial" w:hAnsi="Arial" w:cs="Arial"/>
                <w:color w:val="006100"/>
                <w:sz w:val="16"/>
                <w:szCs w:val="16"/>
              </w:rPr>
              <w:t>entry into force (evidence by a) and reporting (b)</w:t>
            </w:r>
          </w:p>
          <w:p w14:paraId="5D9679BE" w14:textId="77777777" w:rsidR="0046499F" w:rsidRPr="006E662A" w:rsidRDefault="0046499F" w:rsidP="0046499F">
            <w:pPr>
              <w:spacing w:after="0"/>
              <w:rPr>
                <w:rFonts w:ascii="Arial" w:hAnsi="Arial" w:cs="Arial"/>
                <w:color w:val="006100"/>
                <w:sz w:val="16"/>
                <w:szCs w:val="16"/>
              </w:rPr>
            </w:pPr>
          </w:p>
          <w:p w14:paraId="70C9545F" w14:textId="3AF2360C" w:rsidR="0046499F" w:rsidRPr="006E662A" w:rsidRDefault="0046499F" w:rsidP="0046499F">
            <w:pPr>
              <w:spacing w:after="0"/>
              <w:rPr>
                <w:rFonts w:ascii="Arial" w:hAnsi="Arial" w:cs="Arial"/>
                <w:color w:val="006100"/>
                <w:sz w:val="16"/>
                <w:szCs w:val="16"/>
              </w:rPr>
            </w:pPr>
            <w:r w:rsidRPr="006E662A">
              <w:rPr>
                <w:rFonts w:ascii="Arial" w:hAnsi="Arial" w:cs="Arial"/>
                <w:color w:val="006100"/>
                <w:sz w:val="16"/>
                <w:szCs w:val="16"/>
              </w:rPr>
              <w:t>Why:</w:t>
            </w:r>
            <w:r>
              <w:rPr>
                <w:rFonts w:ascii="Arial" w:hAnsi="Arial" w:cs="Arial"/>
                <w:color w:val="006100"/>
                <w:sz w:val="16"/>
                <w:szCs w:val="16"/>
              </w:rPr>
              <w:t xml:space="preserve"> </w:t>
            </w:r>
            <w:r w:rsidRPr="004F3D4C">
              <w:rPr>
                <w:rFonts w:ascii="Arial" w:hAnsi="Arial" w:cs="Arial"/>
                <w:color w:val="006100"/>
                <w:sz w:val="16"/>
                <w:szCs w:val="16"/>
              </w:rPr>
              <w:t>Amendments to the relevant primary or secondary legislation shall eliminate barriers, introduce a specific regulatory, and support framework for the construction, connection and operation of electricity storage facilities.</w:t>
            </w:r>
          </w:p>
          <w:p w14:paraId="76B6C55B" w14:textId="77777777" w:rsidR="0046499F" w:rsidRPr="006E662A" w:rsidRDefault="0046499F" w:rsidP="0046499F">
            <w:pPr>
              <w:spacing w:after="0"/>
              <w:rPr>
                <w:rFonts w:ascii="Arial" w:hAnsi="Arial" w:cs="Arial"/>
                <w:color w:val="006100"/>
                <w:sz w:val="16"/>
                <w:szCs w:val="16"/>
              </w:rPr>
            </w:pPr>
          </w:p>
          <w:p w14:paraId="0F2398B1" w14:textId="6FFB3A70" w:rsidR="0046499F" w:rsidRPr="00B016AD" w:rsidRDefault="0046499F" w:rsidP="0046499F">
            <w:pPr>
              <w:spacing w:after="0"/>
              <w:rPr>
                <w:rFonts w:ascii="Arial" w:hAnsi="Arial" w:cs="Arial"/>
                <w:color w:val="006100"/>
                <w:sz w:val="16"/>
                <w:szCs w:val="16"/>
              </w:rPr>
            </w:pPr>
            <w:r w:rsidRPr="006E662A">
              <w:rPr>
                <w:rFonts w:ascii="Arial" w:hAnsi="Arial" w:cs="Arial"/>
                <w:color w:val="006100"/>
                <w:sz w:val="16"/>
                <w:szCs w:val="16"/>
              </w:rPr>
              <w:t xml:space="preserve">When: </w:t>
            </w:r>
            <w:r>
              <w:rPr>
                <w:rFonts w:ascii="Arial" w:hAnsi="Arial" w:cs="Arial"/>
                <w:color w:val="006100"/>
                <w:sz w:val="16"/>
                <w:szCs w:val="16"/>
              </w:rPr>
              <w:t>specify the dates of development and entry into force</w:t>
            </w:r>
          </w:p>
        </w:tc>
        <w:tc>
          <w:tcPr>
            <w:tcW w:w="2268" w:type="dxa"/>
            <w:shd w:val="clear" w:color="auto" w:fill="D6E3C6"/>
          </w:tcPr>
          <w:p w14:paraId="66B3E374" w14:textId="77777777" w:rsidR="0046499F" w:rsidRPr="00E37937" w:rsidRDefault="0046499F" w:rsidP="0046499F">
            <w:pPr>
              <w:spacing w:after="0"/>
              <w:rPr>
                <w:rFonts w:ascii="Arial" w:hAnsi="Arial" w:cs="Arial"/>
                <w:color w:val="006100"/>
                <w:sz w:val="16"/>
                <w:szCs w:val="16"/>
              </w:rPr>
            </w:pPr>
            <w:r w:rsidRPr="00E37937">
              <w:rPr>
                <w:rFonts w:ascii="Arial" w:hAnsi="Arial" w:cs="Arial"/>
                <w:color w:val="006100"/>
                <w:sz w:val="16"/>
                <w:szCs w:val="16"/>
              </w:rPr>
              <w:t xml:space="preserve">The objective of the investment is to enable a significant increase the share of renewable energy (wind and solar) in the energy mix and ensure the security, stability and readiness of the Bulgarian electricity system.  </w:t>
            </w:r>
          </w:p>
          <w:p w14:paraId="1E29CC28" w14:textId="77777777" w:rsidR="0046499F" w:rsidRPr="00E37937" w:rsidRDefault="0046499F" w:rsidP="0046499F">
            <w:pPr>
              <w:spacing w:after="0"/>
              <w:rPr>
                <w:rFonts w:ascii="Arial" w:hAnsi="Arial" w:cs="Arial"/>
                <w:color w:val="006100"/>
                <w:sz w:val="16"/>
                <w:szCs w:val="16"/>
              </w:rPr>
            </w:pPr>
          </w:p>
          <w:p w14:paraId="18CEE5BB" w14:textId="4489ED67" w:rsidR="0046499F" w:rsidRPr="004F3D4C" w:rsidRDefault="0046499F" w:rsidP="0046499F">
            <w:pPr>
              <w:spacing w:after="0"/>
              <w:rPr>
                <w:rFonts w:ascii="Arial" w:hAnsi="Arial" w:cs="Arial"/>
                <w:color w:val="006100"/>
                <w:sz w:val="16"/>
                <w:szCs w:val="16"/>
              </w:rPr>
            </w:pPr>
            <w:r w:rsidRPr="00E37937">
              <w:rPr>
                <w:rFonts w:ascii="Arial" w:hAnsi="Arial" w:cs="Arial"/>
                <w:color w:val="006100"/>
                <w:sz w:val="16"/>
                <w:szCs w:val="16"/>
              </w:rPr>
              <w:t>The investment shall consist of support to install and commission a national infrastructure of grid-scale electricity storage facilities with 6000 MWh of usable energy capacity. The facilities (consisting of batteries, inverters, transformers, power electronics/intelligent electronic devices and control automation) will be distributed around the territory of Bulgaria and located near renewable generating capacity. The implementation shall be carried out through open and competitive bidding processes on the basis of clear, transparent and non-discriminatory criteria.  It will also contribute to the implementation of smart grids, ensuring a high degree of balancing and congestion management of the grids, which is necessary to integrate electricity generated from renewable energy.</w:t>
            </w:r>
          </w:p>
        </w:tc>
        <w:tc>
          <w:tcPr>
            <w:tcW w:w="1036" w:type="dxa"/>
            <w:gridSpan w:val="2"/>
            <w:shd w:val="clear" w:color="auto" w:fill="D6E3C6"/>
          </w:tcPr>
          <w:p w14:paraId="661C159A" w14:textId="5363E972" w:rsidR="0046499F" w:rsidRPr="00B016AD" w:rsidRDefault="0046499F" w:rsidP="0046499F">
            <w:pPr>
              <w:spacing w:after="0"/>
              <w:rPr>
                <w:rFonts w:ascii="Arial" w:hAnsi="Arial" w:cs="Arial"/>
                <w:color w:val="006100"/>
                <w:sz w:val="16"/>
                <w:szCs w:val="16"/>
                <w:lang w:val="bg-BG"/>
              </w:rPr>
            </w:pPr>
            <w:r>
              <w:rPr>
                <w:rFonts w:ascii="Arial" w:hAnsi="Arial" w:cs="Arial"/>
                <w:color w:val="006100"/>
                <w:sz w:val="16"/>
                <w:szCs w:val="16"/>
                <w:lang w:val="bg-BG"/>
              </w:rPr>
              <w:t>-</w:t>
            </w:r>
          </w:p>
        </w:tc>
        <w:tc>
          <w:tcPr>
            <w:tcW w:w="1090" w:type="dxa"/>
            <w:gridSpan w:val="2"/>
            <w:shd w:val="clear" w:color="auto" w:fill="D6E3C6"/>
          </w:tcPr>
          <w:p w14:paraId="2E6325DD" w14:textId="1D8A84F9"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07CD9286" w14:textId="7771202F"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15FAF80E" w14:textId="7FE7371F"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 xml:space="preserve">A monitoring step: </w:t>
            </w:r>
            <w:r w:rsidRPr="000B4CF0">
              <w:rPr>
                <w:rFonts w:ascii="Arial" w:hAnsi="Arial" w:cs="Arial"/>
                <w:color w:val="006100"/>
                <w:sz w:val="16"/>
                <w:szCs w:val="16"/>
              </w:rPr>
              <w:t>Consultation of the European Commission</w:t>
            </w:r>
            <w:r>
              <w:rPr>
                <w:rFonts w:ascii="Arial" w:hAnsi="Arial" w:cs="Arial"/>
                <w:color w:val="006100"/>
                <w:sz w:val="16"/>
                <w:szCs w:val="16"/>
              </w:rPr>
              <w:t xml:space="preserve"> (Q</w:t>
            </w:r>
            <w:r w:rsidR="000F581A">
              <w:rPr>
                <w:rFonts w:ascii="Arial" w:hAnsi="Arial" w:cs="Arial"/>
                <w:color w:val="006100"/>
                <w:sz w:val="16"/>
                <w:szCs w:val="16"/>
              </w:rPr>
              <w:t>3</w:t>
            </w:r>
            <w:r>
              <w:rPr>
                <w:rFonts w:ascii="Arial" w:hAnsi="Arial" w:cs="Arial"/>
                <w:color w:val="006100"/>
                <w:sz w:val="16"/>
                <w:szCs w:val="16"/>
              </w:rPr>
              <w:t xml:space="preserve"> 2022)</w:t>
            </w:r>
          </w:p>
        </w:tc>
      </w:tr>
      <w:tr w:rsidR="0046499F" w:rsidRPr="004F3D4C" w14:paraId="0F33C6E5" w14:textId="0DDC3160" w:rsidTr="00596EEA">
        <w:trPr>
          <w:trHeight w:val="309"/>
        </w:trPr>
        <w:tc>
          <w:tcPr>
            <w:tcW w:w="454" w:type="dxa"/>
            <w:shd w:val="clear" w:color="auto" w:fill="D6E3C6"/>
            <w:noWrap/>
          </w:tcPr>
          <w:p w14:paraId="3041A5BD" w14:textId="6C4379FD"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98</w:t>
            </w:r>
          </w:p>
        </w:tc>
        <w:tc>
          <w:tcPr>
            <w:tcW w:w="1215" w:type="dxa"/>
            <w:shd w:val="clear" w:color="auto" w:fill="D6E3C6"/>
            <w:noWrap/>
          </w:tcPr>
          <w:p w14:paraId="618001ED" w14:textId="712AA60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C4.I6: Support for new capacities for electricity generation from renewable sources and electricity storage</w:t>
            </w:r>
          </w:p>
        </w:tc>
        <w:tc>
          <w:tcPr>
            <w:tcW w:w="956" w:type="dxa"/>
            <w:shd w:val="clear" w:color="auto" w:fill="D6E3C6"/>
            <w:noWrap/>
          </w:tcPr>
          <w:p w14:paraId="06D6B8C4" w14:textId="0C3118C4"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767AFE9B" w14:textId="09096756"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Launch of a tender for the construction of 285 MW production capacity of electricity from renewable sources (wind and solar power)</w:t>
            </w:r>
            <w:r>
              <w:rPr>
                <w:rFonts w:ascii="Arial" w:hAnsi="Arial" w:cs="Arial"/>
                <w:color w:val="006100"/>
                <w:sz w:val="16"/>
                <w:szCs w:val="16"/>
              </w:rPr>
              <w:t xml:space="preserve"> </w:t>
            </w:r>
            <w:r w:rsidRPr="004F3D4C">
              <w:rPr>
                <w:rFonts w:ascii="Arial" w:hAnsi="Arial" w:cs="Arial"/>
                <w:color w:val="006100"/>
                <w:sz w:val="16"/>
                <w:szCs w:val="16"/>
              </w:rPr>
              <w:t>co-located with 75 MW of energy storage systems</w:t>
            </w:r>
          </w:p>
        </w:tc>
        <w:tc>
          <w:tcPr>
            <w:tcW w:w="1322" w:type="dxa"/>
            <w:shd w:val="clear" w:color="auto" w:fill="D6E3C6"/>
            <w:noWrap/>
          </w:tcPr>
          <w:p w14:paraId="6786847B" w14:textId="73D7AA6E"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Publication of tender specifications</w:t>
            </w:r>
          </w:p>
        </w:tc>
        <w:tc>
          <w:tcPr>
            <w:tcW w:w="709" w:type="dxa"/>
            <w:shd w:val="clear" w:color="auto" w:fill="D6E3C6"/>
            <w:noWrap/>
          </w:tcPr>
          <w:p w14:paraId="2E954C69"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30A116F0"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2EF9B0E8"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3C048534" w14:textId="33B2257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1476FC54" w14:textId="54530DA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33BACD3A" w14:textId="43901740"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07A0AE89" w14:textId="7777777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The auction mechanism will be designed in consultation with an implementing international financial institution and based on best practices. </w:t>
            </w:r>
          </w:p>
          <w:p w14:paraId="205FF214" w14:textId="3A547418"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The report from international financial institution </w:t>
            </w:r>
            <w:r w:rsidRPr="004F3D4C">
              <w:rPr>
                <w:rFonts w:ascii="Arial" w:eastAsia="Times New Roman" w:hAnsi="Arial" w:cs="Arial"/>
                <w:color w:val="006100"/>
                <w:sz w:val="16"/>
                <w:szCs w:val="16"/>
                <w:lang w:eastAsia="en-GB"/>
              </w:rPr>
              <w:lastRenderedPageBreak/>
              <w:t>will be provided as a verification mechanism.</w:t>
            </w:r>
          </w:p>
        </w:tc>
        <w:tc>
          <w:tcPr>
            <w:tcW w:w="1751" w:type="dxa"/>
            <w:gridSpan w:val="2"/>
            <w:shd w:val="clear" w:color="auto" w:fill="D6E3C6"/>
          </w:tcPr>
          <w:p w14:paraId="00E20BBD" w14:textId="77777777" w:rsidR="0046499F" w:rsidRDefault="0046499F" w:rsidP="0046499F">
            <w:pPr>
              <w:pStyle w:val="ListParagraph"/>
              <w:numPr>
                <w:ilvl w:val="0"/>
                <w:numId w:val="46"/>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lastRenderedPageBreak/>
              <w:t>Copy of the publication in the State Gazette and/or relevant public website of the tender for the production capacity of electricity from renewable sources (wind and solar power) co-located with energy storage systems</w:t>
            </w:r>
          </w:p>
          <w:p w14:paraId="4A33F673" w14:textId="5734861E" w:rsidR="0046499F" w:rsidRPr="00616ECD" w:rsidRDefault="0046499F" w:rsidP="0046499F">
            <w:pPr>
              <w:pStyle w:val="ListParagraph"/>
              <w:numPr>
                <w:ilvl w:val="0"/>
                <w:numId w:val="46"/>
              </w:numPr>
              <w:spacing w:after="0"/>
              <w:ind w:left="391" w:hanging="357"/>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eference</w:t>
            </w:r>
            <w:r>
              <w:rPr>
                <w:rFonts w:ascii="Arial" w:hAnsi="Arial" w:cs="Arial"/>
                <w:color w:val="006100"/>
                <w:sz w:val="16"/>
                <w:szCs w:val="16"/>
                <w:lang w:eastAsia="en-GB"/>
              </w:rPr>
              <w:t xml:space="preserve"> </w:t>
            </w:r>
            <w:r w:rsidRPr="004F3D4C">
              <w:rPr>
                <w:rFonts w:ascii="Arial" w:hAnsi="Arial" w:cs="Arial"/>
                <w:color w:val="006100"/>
                <w:sz w:val="16"/>
                <w:szCs w:val="16"/>
                <w:lang w:eastAsia="en-GB"/>
              </w:rPr>
              <w:t xml:space="preserve">to the specific provisions which fulfil the relevant elements of the milestone, as listed in the </w:t>
            </w:r>
            <w:r w:rsidRPr="004F3D4C">
              <w:rPr>
                <w:rFonts w:ascii="Arial" w:hAnsi="Arial" w:cs="Arial"/>
                <w:color w:val="006100"/>
                <w:sz w:val="16"/>
                <w:szCs w:val="16"/>
                <w:lang w:eastAsia="en-GB"/>
              </w:rPr>
              <w:lastRenderedPageBreak/>
              <w:t>description of milestone and the corresponding measure in the CID annex, with appropriate links to or copies of the document(s) mentioned in the summary document – including compliance with the ‘Do no significant harm’ Technical Guidance (2021/C58/01), as specified in the CID annex</w:t>
            </w:r>
          </w:p>
        </w:tc>
        <w:tc>
          <w:tcPr>
            <w:tcW w:w="3402" w:type="dxa"/>
            <w:shd w:val="clear" w:color="auto" w:fill="D6E3C6"/>
          </w:tcPr>
          <w:p w14:paraId="5D648F30"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p>
          <w:p w14:paraId="75D60EFC" w14:textId="77777777" w:rsidR="0046499F" w:rsidRPr="009F2F58" w:rsidRDefault="0046499F" w:rsidP="0046499F">
            <w:pPr>
              <w:spacing w:after="0"/>
              <w:rPr>
                <w:rFonts w:ascii="Arial" w:hAnsi="Arial" w:cs="Arial"/>
                <w:color w:val="006100"/>
                <w:sz w:val="16"/>
                <w:szCs w:val="16"/>
              </w:rPr>
            </w:pPr>
          </w:p>
          <w:p w14:paraId="3009BEA0" w14:textId="3C544C8C"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 xml:space="preserve">What: </w:t>
            </w:r>
            <w:r w:rsidRPr="00AA0BBF">
              <w:rPr>
                <w:rFonts w:ascii="Arial" w:hAnsi="Arial" w:cs="Arial"/>
                <w:color w:val="006100"/>
                <w:sz w:val="16"/>
                <w:szCs w:val="16"/>
              </w:rPr>
              <w:t>Launch of a tender for the construction of 285 MW production capacity of electricity from renewable sources (wind and solar power)</w:t>
            </w:r>
            <w:r>
              <w:rPr>
                <w:rFonts w:ascii="Arial" w:hAnsi="Arial" w:cs="Arial"/>
                <w:color w:val="006100"/>
                <w:sz w:val="16"/>
                <w:szCs w:val="16"/>
              </w:rPr>
              <w:t xml:space="preserve"> </w:t>
            </w:r>
            <w:r w:rsidRPr="00AA0BBF">
              <w:rPr>
                <w:rFonts w:ascii="Arial" w:hAnsi="Arial" w:cs="Arial"/>
                <w:color w:val="006100"/>
                <w:sz w:val="16"/>
                <w:szCs w:val="16"/>
              </w:rPr>
              <w:t>co-located with 75 MW of energy storage systems</w:t>
            </w:r>
          </w:p>
          <w:p w14:paraId="00E2DB51" w14:textId="77777777" w:rsidR="0046499F" w:rsidRPr="009F2F58" w:rsidRDefault="0046499F" w:rsidP="0046499F">
            <w:pPr>
              <w:spacing w:after="0"/>
              <w:rPr>
                <w:rFonts w:ascii="Arial" w:hAnsi="Arial" w:cs="Arial"/>
                <w:color w:val="006100"/>
                <w:sz w:val="16"/>
                <w:szCs w:val="16"/>
              </w:rPr>
            </w:pPr>
          </w:p>
          <w:p w14:paraId="1A046814" w14:textId="0343627B"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publication (evidence by a) and reporting (b)</w:t>
            </w:r>
          </w:p>
          <w:p w14:paraId="36197CD7" w14:textId="77777777" w:rsidR="0046499F" w:rsidRPr="009F2F58" w:rsidRDefault="0046499F" w:rsidP="0046499F">
            <w:pPr>
              <w:spacing w:after="0"/>
              <w:rPr>
                <w:rFonts w:ascii="Arial" w:hAnsi="Arial" w:cs="Arial"/>
                <w:color w:val="006100"/>
                <w:sz w:val="16"/>
                <w:szCs w:val="16"/>
              </w:rPr>
            </w:pPr>
          </w:p>
          <w:p w14:paraId="0AD72494" w14:textId="22CCFAC4"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AA0BBF">
              <w:rPr>
                <w:rFonts w:ascii="Arial" w:hAnsi="Arial" w:cs="Arial"/>
                <w:color w:val="006100"/>
                <w:sz w:val="16"/>
                <w:szCs w:val="16"/>
              </w:rPr>
              <w:t xml:space="preserve">A competitive call for tender for the selection of projects for the production of energy from renewable sources collocated with electricity storage is published. The auction mechanism shall be designed in consultation with an implementing international financial institution and based on best practices. The selection criteria shall ensure compliance with the ‘do no significant harm’ Technical </w:t>
            </w:r>
            <w:r w:rsidRPr="00AA0BBF">
              <w:rPr>
                <w:rFonts w:ascii="Arial" w:hAnsi="Arial" w:cs="Arial"/>
                <w:color w:val="006100"/>
                <w:sz w:val="16"/>
                <w:szCs w:val="16"/>
              </w:rPr>
              <w:lastRenderedPageBreak/>
              <w:t>Guidance (2021/C58/01).</w:t>
            </w:r>
            <w:r>
              <w:rPr>
                <w:rFonts w:ascii="Arial" w:hAnsi="Arial" w:cs="Arial"/>
                <w:color w:val="006100"/>
                <w:sz w:val="16"/>
                <w:szCs w:val="16"/>
              </w:rPr>
              <w:t xml:space="preserve"> </w:t>
            </w:r>
            <w:r w:rsidRPr="009F2F58">
              <w:rPr>
                <w:rFonts w:ascii="Arial" w:hAnsi="Arial" w:cs="Arial"/>
                <w:color w:val="006100"/>
                <w:sz w:val="16"/>
                <w:szCs w:val="16"/>
              </w:rPr>
              <w:t>[provide references to the above in the summary document]</w:t>
            </w:r>
          </w:p>
          <w:p w14:paraId="7AA3031A" w14:textId="77777777" w:rsidR="0046499F" w:rsidRPr="009F2F58" w:rsidRDefault="0046499F" w:rsidP="0046499F">
            <w:pPr>
              <w:spacing w:after="0"/>
              <w:rPr>
                <w:rFonts w:ascii="Arial" w:hAnsi="Arial" w:cs="Arial"/>
                <w:color w:val="006100"/>
                <w:sz w:val="16"/>
                <w:szCs w:val="16"/>
              </w:rPr>
            </w:pPr>
          </w:p>
          <w:p w14:paraId="36AF253A" w14:textId="3BC592C8"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development and publication</w:t>
            </w:r>
          </w:p>
        </w:tc>
        <w:tc>
          <w:tcPr>
            <w:tcW w:w="2268" w:type="dxa"/>
            <w:shd w:val="clear" w:color="auto" w:fill="D6E3C6"/>
          </w:tcPr>
          <w:p w14:paraId="2181BE0D" w14:textId="77777777" w:rsidR="0046499F" w:rsidRPr="00053525" w:rsidRDefault="0046499F" w:rsidP="0046499F">
            <w:pPr>
              <w:spacing w:after="0"/>
              <w:rPr>
                <w:rFonts w:ascii="Arial" w:hAnsi="Arial" w:cs="Arial"/>
                <w:color w:val="006100"/>
                <w:sz w:val="16"/>
                <w:szCs w:val="16"/>
              </w:rPr>
            </w:pPr>
            <w:r w:rsidRPr="00053525">
              <w:rPr>
                <w:rFonts w:ascii="Arial" w:hAnsi="Arial" w:cs="Arial"/>
                <w:color w:val="006100"/>
                <w:sz w:val="16"/>
                <w:szCs w:val="16"/>
              </w:rPr>
              <w:lastRenderedPageBreak/>
              <w:t xml:space="preserve">The objective of the investment is to contribute to Bulgaria’s goal to increase the share of clean energy in its energy mix towards climate neutrality by supporting the installation of new renewable power production capacity together with electricity storage through a technologically neutral competitive tender between different technologies. In order to ensure that the measure complies with the ‘Do no significant harm’ Technical Guidance (2021/C58/01), the eligibility criteria contained in the terms of reference for upcoming calls for projects </w:t>
            </w:r>
            <w:r w:rsidRPr="00053525">
              <w:rPr>
                <w:rFonts w:ascii="Arial" w:hAnsi="Arial" w:cs="Arial"/>
                <w:color w:val="006100"/>
                <w:sz w:val="16"/>
                <w:szCs w:val="16"/>
              </w:rPr>
              <w:lastRenderedPageBreak/>
              <w:t xml:space="preserve">shall refer only to solar and wind technologies.  </w:t>
            </w:r>
          </w:p>
          <w:p w14:paraId="0964B92A" w14:textId="77777777" w:rsidR="0046499F" w:rsidRPr="00053525" w:rsidRDefault="0046499F" w:rsidP="0046499F">
            <w:pPr>
              <w:spacing w:after="0"/>
              <w:rPr>
                <w:rFonts w:ascii="Arial" w:hAnsi="Arial" w:cs="Arial"/>
                <w:color w:val="006100"/>
                <w:sz w:val="16"/>
                <w:szCs w:val="16"/>
              </w:rPr>
            </w:pPr>
          </w:p>
          <w:p w14:paraId="487CEA5C" w14:textId="78203BD3" w:rsidR="0046499F" w:rsidRPr="004F3D4C" w:rsidRDefault="0046499F" w:rsidP="0046499F">
            <w:pPr>
              <w:spacing w:after="0"/>
              <w:rPr>
                <w:rFonts w:ascii="Arial" w:hAnsi="Arial" w:cs="Arial"/>
                <w:color w:val="006100"/>
                <w:sz w:val="16"/>
                <w:szCs w:val="16"/>
              </w:rPr>
            </w:pPr>
            <w:r w:rsidRPr="00053525">
              <w:rPr>
                <w:rFonts w:ascii="Arial" w:hAnsi="Arial" w:cs="Arial"/>
                <w:color w:val="006100"/>
                <w:sz w:val="16"/>
                <w:szCs w:val="16"/>
              </w:rPr>
              <w:t>The investment shall consist of grants for the construction of the selected installations, for installing and putting into operation of at least 1 425 MW of renewables power production capacity co-located with at least 350 MW of energy storage systems.</w:t>
            </w:r>
          </w:p>
        </w:tc>
        <w:tc>
          <w:tcPr>
            <w:tcW w:w="1036" w:type="dxa"/>
            <w:gridSpan w:val="2"/>
            <w:shd w:val="clear" w:color="auto" w:fill="D6E3C6"/>
          </w:tcPr>
          <w:p w14:paraId="5C1807F1" w14:textId="4BE0B895" w:rsidR="0046499F" w:rsidRPr="004F3D4C" w:rsidRDefault="0046499F" w:rsidP="0046499F">
            <w:pPr>
              <w:spacing w:after="0"/>
              <w:rPr>
                <w:rFonts w:ascii="Arial" w:hAnsi="Arial" w:cs="Arial"/>
                <w:color w:val="006100"/>
                <w:sz w:val="16"/>
                <w:szCs w:val="16"/>
              </w:rPr>
            </w:pPr>
            <w:r w:rsidRPr="00E80460">
              <w:rPr>
                <w:rFonts w:ascii="Arial" w:hAnsi="Arial" w:cs="Arial"/>
                <w:color w:val="006100"/>
                <w:sz w:val="16"/>
                <w:szCs w:val="16"/>
              </w:rPr>
              <w:lastRenderedPageBreak/>
              <w:t>Delays in the definition of the selection criteria and the launching of the ca</w:t>
            </w:r>
            <w:r>
              <w:rPr>
                <w:rFonts w:ascii="Arial" w:hAnsi="Arial" w:cs="Arial"/>
                <w:color w:val="006100"/>
                <w:sz w:val="16"/>
                <w:szCs w:val="16"/>
              </w:rPr>
              <w:t>ll</w:t>
            </w:r>
          </w:p>
        </w:tc>
        <w:tc>
          <w:tcPr>
            <w:tcW w:w="1090" w:type="dxa"/>
            <w:gridSpan w:val="2"/>
            <w:shd w:val="clear" w:color="auto" w:fill="D6E3C6"/>
          </w:tcPr>
          <w:p w14:paraId="79C6EE75" w14:textId="5674DB90"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2F686DF1" w14:textId="7E5C00B4"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535EE4A0" w14:textId="6779EE37" w:rsidR="0046499F" w:rsidRPr="004F3D4C" w:rsidRDefault="00D775E7"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038CC189" w14:textId="6BE54FF4" w:rsidTr="00596EEA">
        <w:trPr>
          <w:trHeight w:val="309"/>
        </w:trPr>
        <w:tc>
          <w:tcPr>
            <w:tcW w:w="454" w:type="dxa"/>
            <w:shd w:val="clear" w:color="auto" w:fill="D6E3C6"/>
            <w:noWrap/>
          </w:tcPr>
          <w:p w14:paraId="50620519" w14:textId="6203B53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99</w:t>
            </w:r>
          </w:p>
        </w:tc>
        <w:tc>
          <w:tcPr>
            <w:tcW w:w="1215" w:type="dxa"/>
            <w:shd w:val="clear" w:color="auto" w:fill="D6E3C6"/>
            <w:noWrap/>
          </w:tcPr>
          <w:p w14:paraId="5B6A7BFA" w14:textId="4E12A56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C4.I6: Support for new capacities for electricity generation from renewable sources and electricity storage</w:t>
            </w:r>
          </w:p>
        </w:tc>
        <w:tc>
          <w:tcPr>
            <w:tcW w:w="956" w:type="dxa"/>
            <w:shd w:val="clear" w:color="auto" w:fill="D6E3C6"/>
            <w:noWrap/>
          </w:tcPr>
          <w:p w14:paraId="1F23153E" w14:textId="3C60F24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1FF2A2D3" w14:textId="6E3B8A06"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Launch of a tender for the construction of 285 MW production capacity of electricity from renewable sources (wind and solar power) co-located with 75 MW of energy storage systems</w:t>
            </w:r>
          </w:p>
        </w:tc>
        <w:tc>
          <w:tcPr>
            <w:tcW w:w="1322" w:type="dxa"/>
            <w:shd w:val="clear" w:color="auto" w:fill="D6E3C6"/>
            <w:noWrap/>
          </w:tcPr>
          <w:p w14:paraId="3A5D2E14" w14:textId="7D2AE829"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Publication of tender specifications</w:t>
            </w:r>
          </w:p>
        </w:tc>
        <w:tc>
          <w:tcPr>
            <w:tcW w:w="709" w:type="dxa"/>
            <w:shd w:val="clear" w:color="auto" w:fill="D6E3C6"/>
            <w:noWrap/>
          </w:tcPr>
          <w:p w14:paraId="23BD7C4D"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375650F1"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056C0585"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1C1C7C3C" w14:textId="721960F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0BD6D720" w14:textId="52A97EC7"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4C07AB7C" w14:textId="67773DC3"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5E4D31CB" w14:textId="7777777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The auction mechanism will be designed in consultation with an implementing international financial institution and based on best practices. </w:t>
            </w:r>
          </w:p>
          <w:p w14:paraId="5D4A8B1D" w14:textId="527C2E02"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The report from international financial institution will be provided as a verification mechanism.</w:t>
            </w:r>
          </w:p>
        </w:tc>
        <w:tc>
          <w:tcPr>
            <w:tcW w:w="1751" w:type="dxa"/>
            <w:gridSpan w:val="2"/>
            <w:shd w:val="clear" w:color="auto" w:fill="D6E3C6"/>
          </w:tcPr>
          <w:p w14:paraId="2D46A1CE" w14:textId="77777777" w:rsidR="0046499F" w:rsidRDefault="0046499F" w:rsidP="0046499F">
            <w:pPr>
              <w:pStyle w:val="ListParagraph"/>
              <w:numPr>
                <w:ilvl w:val="0"/>
                <w:numId w:val="47"/>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t>Copy of the publication in the State Gazette and/or relevant public website of the tender for the production capacity of electricity from renewable sources (wind and solar power) co-located with energy storage systems</w:t>
            </w:r>
          </w:p>
          <w:p w14:paraId="20C25A43" w14:textId="188D9315" w:rsidR="0046499F" w:rsidRPr="00686718" w:rsidRDefault="0046499F" w:rsidP="0046499F">
            <w:pPr>
              <w:pStyle w:val="ListParagraph"/>
              <w:numPr>
                <w:ilvl w:val="0"/>
                <w:numId w:val="47"/>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t>Reference to the specific provisions which fulfil the relevant elements of the milestone, as listed in the description of milestone and the corresponding measure in the CID annex, with appropriate links to or copies of the document(s) mentioned in the summary document – including compliance with the ‘Do no significant harm’ Technical Guidance (2021/C58/01), as specified in the CID annex</w:t>
            </w:r>
          </w:p>
        </w:tc>
        <w:tc>
          <w:tcPr>
            <w:tcW w:w="3402" w:type="dxa"/>
            <w:shd w:val="clear" w:color="auto" w:fill="D6E3C6"/>
          </w:tcPr>
          <w:p w14:paraId="43FAE0D6"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0A905699" w14:textId="77777777" w:rsidR="0046499F" w:rsidRPr="009F2F58" w:rsidRDefault="0046499F" w:rsidP="0046499F">
            <w:pPr>
              <w:spacing w:after="0"/>
              <w:rPr>
                <w:rFonts w:ascii="Arial" w:hAnsi="Arial" w:cs="Arial"/>
                <w:color w:val="006100"/>
                <w:sz w:val="16"/>
                <w:szCs w:val="16"/>
              </w:rPr>
            </w:pPr>
          </w:p>
          <w:p w14:paraId="5E56F1CA" w14:textId="387D27B9"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 xml:space="preserve">What: </w:t>
            </w:r>
            <w:r w:rsidRPr="00554B86">
              <w:rPr>
                <w:rFonts w:ascii="Arial" w:hAnsi="Arial" w:cs="Arial"/>
                <w:color w:val="006100"/>
                <w:sz w:val="16"/>
                <w:szCs w:val="16"/>
              </w:rPr>
              <w:t>Launch of a tender for the construction of 285 MW production capacity of electricity from renewable sources (wind and solar power) co-located with 75 MW of energy storage systems</w:t>
            </w:r>
          </w:p>
          <w:p w14:paraId="4886B3CA" w14:textId="77777777" w:rsidR="0046499F" w:rsidRPr="009F2F58" w:rsidRDefault="0046499F" w:rsidP="0046499F">
            <w:pPr>
              <w:spacing w:after="0"/>
              <w:rPr>
                <w:rFonts w:ascii="Arial" w:hAnsi="Arial" w:cs="Arial"/>
                <w:color w:val="006100"/>
                <w:sz w:val="16"/>
                <w:szCs w:val="16"/>
              </w:rPr>
            </w:pPr>
          </w:p>
          <w:p w14:paraId="72AC2B50" w14:textId="6BE79DF9"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publication (evidence</w:t>
            </w:r>
            <w:r w:rsidR="00D775E7">
              <w:rPr>
                <w:rFonts w:ascii="Arial" w:hAnsi="Arial" w:cs="Arial"/>
                <w:color w:val="006100"/>
                <w:sz w:val="16"/>
                <w:szCs w:val="16"/>
              </w:rPr>
              <w:t>d</w:t>
            </w:r>
            <w:r>
              <w:rPr>
                <w:rFonts w:ascii="Arial" w:hAnsi="Arial" w:cs="Arial"/>
                <w:color w:val="006100"/>
                <w:sz w:val="16"/>
                <w:szCs w:val="16"/>
              </w:rPr>
              <w:t xml:space="preserve"> by a) and reporting (b)</w:t>
            </w:r>
          </w:p>
          <w:p w14:paraId="5206A195" w14:textId="77777777" w:rsidR="0046499F" w:rsidRPr="009F2F58" w:rsidRDefault="0046499F" w:rsidP="0046499F">
            <w:pPr>
              <w:spacing w:after="0"/>
              <w:rPr>
                <w:rFonts w:ascii="Arial" w:hAnsi="Arial" w:cs="Arial"/>
                <w:color w:val="006100"/>
                <w:sz w:val="16"/>
                <w:szCs w:val="16"/>
              </w:rPr>
            </w:pPr>
          </w:p>
          <w:p w14:paraId="6371C557" w14:textId="7DA163F2"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2D5F75">
              <w:rPr>
                <w:rFonts w:ascii="Arial" w:hAnsi="Arial" w:cs="Arial"/>
                <w:color w:val="006100"/>
                <w:sz w:val="16"/>
                <w:szCs w:val="16"/>
              </w:rPr>
              <w:t xml:space="preserve">A competitive call for tender for the selection of projects for the production of energy from renewable sources collocated with electricity storage is published. The auction mechanism shall be designed in consultation with an implementing international financial institution and based on best practices. The selection criteria shall ensure compliance with the ‘do no significant harm’ Technical Guidance (2021/C58/01). </w:t>
            </w:r>
            <w:r w:rsidRPr="009F2F58">
              <w:rPr>
                <w:rFonts w:ascii="Arial" w:hAnsi="Arial" w:cs="Arial"/>
                <w:color w:val="006100"/>
                <w:sz w:val="16"/>
                <w:szCs w:val="16"/>
              </w:rPr>
              <w:t>[provide references to the above in the summary document]</w:t>
            </w:r>
          </w:p>
          <w:p w14:paraId="1EAC903F" w14:textId="77777777" w:rsidR="0046499F" w:rsidRPr="009F2F58" w:rsidRDefault="0046499F" w:rsidP="0046499F">
            <w:pPr>
              <w:spacing w:after="0"/>
              <w:rPr>
                <w:rFonts w:ascii="Arial" w:hAnsi="Arial" w:cs="Arial"/>
                <w:color w:val="006100"/>
                <w:sz w:val="16"/>
                <w:szCs w:val="16"/>
              </w:rPr>
            </w:pPr>
          </w:p>
          <w:p w14:paraId="1C97546D" w14:textId="074E32F6"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development and publication</w:t>
            </w:r>
          </w:p>
        </w:tc>
        <w:tc>
          <w:tcPr>
            <w:tcW w:w="2268" w:type="dxa"/>
            <w:shd w:val="clear" w:color="auto" w:fill="D6E3C6"/>
          </w:tcPr>
          <w:p w14:paraId="6A7CEA97" w14:textId="54EAEB0B"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119DD1AD" w14:textId="7BA17C92" w:rsidR="0046499F" w:rsidRPr="004F3D4C" w:rsidRDefault="0046499F" w:rsidP="0046499F">
            <w:pPr>
              <w:spacing w:after="0"/>
              <w:rPr>
                <w:rFonts w:ascii="Arial" w:hAnsi="Arial" w:cs="Arial"/>
                <w:color w:val="006100"/>
                <w:sz w:val="16"/>
                <w:szCs w:val="16"/>
              </w:rPr>
            </w:pPr>
            <w:r w:rsidRPr="00E80460">
              <w:rPr>
                <w:rFonts w:ascii="Arial" w:hAnsi="Arial" w:cs="Arial"/>
                <w:color w:val="006100"/>
                <w:sz w:val="16"/>
                <w:szCs w:val="16"/>
              </w:rPr>
              <w:t>Delays in the definition of the selection criteria and the launching of the ca</w:t>
            </w:r>
            <w:r>
              <w:rPr>
                <w:rFonts w:ascii="Arial" w:hAnsi="Arial" w:cs="Arial"/>
                <w:color w:val="006100"/>
                <w:sz w:val="16"/>
                <w:szCs w:val="16"/>
              </w:rPr>
              <w:t>ll</w:t>
            </w:r>
          </w:p>
        </w:tc>
        <w:tc>
          <w:tcPr>
            <w:tcW w:w="1090" w:type="dxa"/>
            <w:gridSpan w:val="2"/>
            <w:shd w:val="clear" w:color="auto" w:fill="D6E3C6"/>
          </w:tcPr>
          <w:p w14:paraId="5F0AED12" w14:textId="367DC290"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21A4D79F" w14:textId="0A6724F3"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57392E30" w14:textId="4BB4A340" w:rsidR="0046499F" w:rsidRPr="004F3D4C" w:rsidRDefault="00D775E7"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5894E5D5" w14:textId="75BA97FF" w:rsidTr="00596EEA">
        <w:trPr>
          <w:trHeight w:val="309"/>
        </w:trPr>
        <w:tc>
          <w:tcPr>
            <w:tcW w:w="454" w:type="dxa"/>
            <w:shd w:val="clear" w:color="auto" w:fill="D6E3C6"/>
            <w:noWrap/>
          </w:tcPr>
          <w:p w14:paraId="49E95972" w14:textId="23012C1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lastRenderedPageBreak/>
              <w:t>100</w:t>
            </w:r>
          </w:p>
        </w:tc>
        <w:tc>
          <w:tcPr>
            <w:tcW w:w="1215" w:type="dxa"/>
            <w:shd w:val="clear" w:color="auto" w:fill="D6E3C6"/>
            <w:noWrap/>
          </w:tcPr>
          <w:p w14:paraId="1819387E" w14:textId="4965DF6D"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C4.I6: Support for new capacities for electricity generation from renewable sources and electricity storage</w:t>
            </w:r>
          </w:p>
        </w:tc>
        <w:tc>
          <w:tcPr>
            <w:tcW w:w="956" w:type="dxa"/>
            <w:shd w:val="clear" w:color="auto" w:fill="D6E3C6"/>
            <w:noWrap/>
          </w:tcPr>
          <w:p w14:paraId="1A98F798" w14:textId="643921E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795F3012" w14:textId="3732ED73"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Launch of a tender for the construction of 285 MW production capacity of electricity from renewable sources (wind and solar power)</w:t>
            </w:r>
            <w:r>
              <w:rPr>
                <w:rFonts w:ascii="Arial" w:hAnsi="Arial" w:cs="Arial"/>
                <w:color w:val="006100"/>
                <w:sz w:val="16"/>
                <w:szCs w:val="16"/>
              </w:rPr>
              <w:t xml:space="preserve"> </w:t>
            </w:r>
            <w:r w:rsidRPr="004F3D4C">
              <w:rPr>
                <w:rFonts w:ascii="Arial" w:hAnsi="Arial" w:cs="Arial"/>
                <w:color w:val="006100"/>
                <w:sz w:val="16"/>
                <w:szCs w:val="16"/>
              </w:rPr>
              <w:t>co-located with 75 MW of energy storage systems</w:t>
            </w:r>
          </w:p>
        </w:tc>
        <w:tc>
          <w:tcPr>
            <w:tcW w:w="1322" w:type="dxa"/>
            <w:shd w:val="clear" w:color="auto" w:fill="D6E3C6"/>
            <w:noWrap/>
          </w:tcPr>
          <w:p w14:paraId="53C42909" w14:textId="5FC06CF9"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Publication of tender specifications</w:t>
            </w:r>
          </w:p>
        </w:tc>
        <w:tc>
          <w:tcPr>
            <w:tcW w:w="709" w:type="dxa"/>
            <w:shd w:val="clear" w:color="auto" w:fill="D6E3C6"/>
            <w:noWrap/>
          </w:tcPr>
          <w:p w14:paraId="276719E9"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3959B8BE"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4211143C"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24421904" w14:textId="74217AF9"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16C6726A" w14:textId="43779F96"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56201CAE" w14:textId="0CBA189A"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421252AF" w14:textId="7777777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The auction mechanism will be designed in consultation with an implementing international financial institution and based on best practices. </w:t>
            </w:r>
          </w:p>
          <w:p w14:paraId="28F926B0" w14:textId="53FAD7F1"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The report from international financial institution will be provided as a verification mechanism.</w:t>
            </w:r>
          </w:p>
        </w:tc>
        <w:tc>
          <w:tcPr>
            <w:tcW w:w="1751" w:type="dxa"/>
            <w:gridSpan w:val="2"/>
            <w:shd w:val="clear" w:color="auto" w:fill="D6E3C6"/>
          </w:tcPr>
          <w:p w14:paraId="6471296E" w14:textId="77777777" w:rsidR="0046499F" w:rsidRDefault="0046499F" w:rsidP="0046499F">
            <w:pPr>
              <w:pStyle w:val="ListParagraph"/>
              <w:numPr>
                <w:ilvl w:val="0"/>
                <w:numId w:val="48"/>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t>Copy of the publication in the State Gazette and/or relevant public website of the tender for the production capacity of electricity from renewable sources (wind and solar power) co-located with energy storage systems</w:t>
            </w:r>
          </w:p>
          <w:p w14:paraId="2F1D4C9A" w14:textId="66440EDB" w:rsidR="0046499F" w:rsidRPr="00B935BA" w:rsidRDefault="0046499F" w:rsidP="0046499F">
            <w:pPr>
              <w:pStyle w:val="ListParagraph"/>
              <w:numPr>
                <w:ilvl w:val="0"/>
                <w:numId w:val="48"/>
              </w:numPr>
              <w:spacing w:after="0"/>
              <w:ind w:left="391" w:hanging="357"/>
              <w:rPr>
                <w:rFonts w:ascii="Arial" w:hAnsi="Arial" w:cs="Arial"/>
                <w:color w:val="006100"/>
                <w:sz w:val="16"/>
                <w:szCs w:val="16"/>
              </w:rPr>
            </w:pPr>
            <w:r w:rsidRPr="00B935BA">
              <w:rPr>
                <w:rFonts w:ascii="Arial" w:hAnsi="Arial" w:cs="Arial"/>
                <w:color w:val="006100"/>
                <w:sz w:val="16"/>
                <w:szCs w:val="16"/>
                <w:lang w:eastAsia="en-GB"/>
              </w:rPr>
              <w:t>Reference to the specific provisions which fulfil the relevant elements of the milestone, as listed in the description of milestone and the corresponding measure in the CID annex, with appropriate links to or copies of the document(s) mentioned in the summary document – including compliance with the ‘Do no significant harm’ Technical Guidance (2021/C58/01), as specified in the CID annex</w:t>
            </w:r>
          </w:p>
        </w:tc>
        <w:tc>
          <w:tcPr>
            <w:tcW w:w="3402" w:type="dxa"/>
            <w:shd w:val="clear" w:color="auto" w:fill="D6E3C6"/>
          </w:tcPr>
          <w:p w14:paraId="3F829D12"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10D0892B" w14:textId="77777777" w:rsidR="0046499F" w:rsidRPr="009F2F58" w:rsidRDefault="0046499F" w:rsidP="0046499F">
            <w:pPr>
              <w:spacing w:after="0"/>
              <w:rPr>
                <w:rFonts w:ascii="Arial" w:hAnsi="Arial" w:cs="Arial"/>
                <w:color w:val="006100"/>
                <w:sz w:val="16"/>
                <w:szCs w:val="16"/>
              </w:rPr>
            </w:pPr>
          </w:p>
          <w:p w14:paraId="296C06DC" w14:textId="4C21DA04"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 xml:space="preserve">What: </w:t>
            </w:r>
            <w:r w:rsidRPr="00955642">
              <w:rPr>
                <w:rFonts w:ascii="Arial" w:hAnsi="Arial" w:cs="Arial"/>
                <w:color w:val="006100"/>
                <w:sz w:val="16"/>
                <w:szCs w:val="16"/>
              </w:rPr>
              <w:t>Launch of a tender for the construction of 285 MW production capacity of electricity from renewable sources (wind and solar power) co-located with 75 MW of energy storage systems</w:t>
            </w:r>
          </w:p>
          <w:p w14:paraId="16C447EB" w14:textId="77777777" w:rsidR="0046499F" w:rsidRPr="009F2F58" w:rsidRDefault="0046499F" w:rsidP="0046499F">
            <w:pPr>
              <w:spacing w:after="0"/>
              <w:rPr>
                <w:rFonts w:ascii="Arial" w:hAnsi="Arial" w:cs="Arial"/>
                <w:color w:val="006100"/>
                <w:sz w:val="16"/>
                <w:szCs w:val="16"/>
              </w:rPr>
            </w:pPr>
          </w:p>
          <w:p w14:paraId="304FDD72" w14:textId="2FA43D7D"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publication (evidence</w:t>
            </w:r>
            <w:r w:rsidR="00D775E7">
              <w:rPr>
                <w:rFonts w:ascii="Arial" w:hAnsi="Arial" w:cs="Arial"/>
                <w:color w:val="006100"/>
                <w:sz w:val="16"/>
                <w:szCs w:val="16"/>
              </w:rPr>
              <w:t>d</w:t>
            </w:r>
            <w:r>
              <w:rPr>
                <w:rFonts w:ascii="Arial" w:hAnsi="Arial" w:cs="Arial"/>
                <w:color w:val="006100"/>
                <w:sz w:val="16"/>
                <w:szCs w:val="16"/>
              </w:rPr>
              <w:t xml:space="preserve"> by a) and reporting (b)</w:t>
            </w:r>
          </w:p>
          <w:p w14:paraId="02EF28BF" w14:textId="77777777" w:rsidR="0046499F" w:rsidRPr="009F2F58" w:rsidRDefault="0046499F" w:rsidP="0046499F">
            <w:pPr>
              <w:spacing w:after="0"/>
              <w:rPr>
                <w:rFonts w:ascii="Arial" w:hAnsi="Arial" w:cs="Arial"/>
                <w:color w:val="006100"/>
                <w:sz w:val="16"/>
                <w:szCs w:val="16"/>
              </w:rPr>
            </w:pPr>
          </w:p>
          <w:p w14:paraId="2BFAE20F" w14:textId="23DA59A3"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E85569">
              <w:rPr>
                <w:rFonts w:ascii="Arial" w:hAnsi="Arial" w:cs="Arial"/>
                <w:color w:val="006100"/>
                <w:sz w:val="16"/>
                <w:szCs w:val="16"/>
              </w:rPr>
              <w:t xml:space="preserve">A competitive call for tender for the selection of projects for the production of energy from renewable sources collocated with electricity storage is published. The auction mechanism shall be designed in consultation with an implementing international financial institution and based on best practices. The selection criteria shall ensure compliance with the ‘do no significant harm’ Technical Guidance (2021/C58/01). </w:t>
            </w:r>
            <w:r w:rsidRPr="009F2F58">
              <w:rPr>
                <w:rFonts w:ascii="Arial" w:hAnsi="Arial" w:cs="Arial"/>
                <w:color w:val="006100"/>
                <w:sz w:val="16"/>
                <w:szCs w:val="16"/>
              </w:rPr>
              <w:t>[provide references to the above in the summary document]</w:t>
            </w:r>
          </w:p>
          <w:p w14:paraId="52BF158B" w14:textId="77777777" w:rsidR="0046499F" w:rsidRPr="009F2F58" w:rsidRDefault="0046499F" w:rsidP="0046499F">
            <w:pPr>
              <w:spacing w:after="0"/>
              <w:rPr>
                <w:rFonts w:ascii="Arial" w:hAnsi="Arial" w:cs="Arial"/>
                <w:color w:val="006100"/>
                <w:sz w:val="16"/>
                <w:szCs w:val="16"/>
              </w:rPr>
            </w:pPr>
          </w:p>
          <w:p w14:paraId="05529210" w14:textId="07AA59E7"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development and publication</w:t>
            </w:r>
          </w:p>
        </w:tc>
        <w:tc>
          <w:tcPr>
            <w:tcW w:w="2268" w:type="dxa"/>
            <w:shd w:val="clear" w:color="auto" w:fill="D6E3C6"/>
          </w:tcPr>
          <w:p w14:paraId="19879439" w14:textId="3911456C"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068D04CA" w14:textId="57686ABD" w:rsidR="0046499F" w:rsidRPr="004F3D4C" w:rsidRDefault="0046499F" w:rsidP="0046499F">
            <w:pPr>
              <w:spacing w:after="0"/>
              <w:rPr>
                <w:rFonts w:ascii="Arial" w:hAnsi="Arial" w:cs="Arial"/>
                <w:color w:val="006100"/>
                <w:sz w:val="16"/>
                <w:szCs w:val="16"/>
              </w:rPr>
            </w:pPr>
            <w:r w:rsidRPr="00E80460">
              <w:rPr>
                <w:rFonts w:ascii="Arial" w:hAnsi="Arial" w:cs="Arial"/>
                <w:color w:val="006100"/>
                <w:sz w:val="16"/>
                <w:szCs w:val="16"/>
              </w:rPr>
              <w:t>Delays in the definition of the selection criteria and the launching of the ca</w:t>
            </w:r>
            <w:r>
              <w:rPr>
                <w:rFonts w:ascii="Arial" w:hAnsi="Arial" w:cs="Arial"/>
                <w:color w:val="006100"/>
                <w:sz w:val="16"/>
                <w:szCs w:val="16"/>
              </w:rPr>
              <w:t>ll</w:t>
            </w:r>
          </w:p>
        </w:tc>
        <w:tc>
          <w:tcPr>
            <w:tcW w:w="1090" w:type="dxa"/>
            <w:gridSpan w:val="2"/>
            <w:shd w:val="clear" w:color="auto" w:fill="D6E3C6"/>
          </w:tcPr>
          <w:p w14:paraId="774B373F" w14:textId="5A583F9B"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3AA73410" w14:textId="4AD75195"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126618E3" w14:textId="4AD7AAC4" w:rsidR="0046499F" w:rsidRPr="004F3D4C" w:rsidRDefault="00D775E7"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11176385" w14:textId="5C9C69C0" w:rsidTr="00596EEA">
        <w:trPr>
          <w:trHeight w:val="309"/>
        </w:trPr>
        <w:tc>
          <w:tcPr>
            <w:tcW w:w="454" w:type="dxa"/>
            <w:shd w:val="clear" w:color="auto" w:fill="D6E3C6"/>
            <w:noWrap/>
          </w:tcPr>
          <w:p w14:paraId="6341FA56" w14:textId="326F80F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101</w:t>
            </w:r>
          </w:p>
        </w:tc>
        <w:tc>
          <w:tcPr>
            <w:tcW w:w="1215" w:type="dxa"/>
            <w:shd w:val="clear" w:color="auto" w:fill="D6E3C6"/>
            <w:noWrap/>
          </w:tcPr>
          <w:p w14:paraId="752DACE6" w14:textId="71366C5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C4.I6: Support for new capacities for electricity generation from renewable sources and electricity storage</w:t>
            </w:r>
          </w:p>
        </w:tc>
        <w:tc>
          <w:tcPr>
            <w:tcW w:w="956" w:type="dxa"/>
            <w:shd w:val="clear" w:color="auto" w:fill="D6E3C6"/>
            <w:noWrap/>
          </w:tcPr>
          <w:p w14:paraId="744EF6D4" w14:textId="4FE83BF2"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146005D9" w14:textId="1B509F0A"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Launch of a tender for the construction of 285 MW production capacity of electricity from renewable sources (wind and solar power) co-located with 75 MW of energy storage systems</w:t>
            </w:r>
          </w:p>
        </w:tc>
        <w:tc>
          <w:tcPr>
            <w:tcW w:w="1322" w:type="dxa"/>
            <w:shd w:val="clear" w:color="auto" w:fill="D6E3C6"/>
            <w:noWrap/>
          </w:tcPr>
          <w:p w14:paraId="42CD1FC9" w14:textId="7EF1FA3A"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Publication of tender specifications</w:t>
            </w:r>
          </w:p>
        </w:tc>
        <w:tc>
          <w:tcPr>
            <w:tcW w:w="709" w:type="dxa"/>
            <w:shd w:val="clear" w:color="auto" w:fill="D6E3C6"/>
            <w:noWrap/>
          </w:tcPr>
          <w:p w14:paraId="52494693"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60254619"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10FF1EFA"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265413E5" w14:textId="24197AB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028BFF14" w14:textId="008634E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2024</w:t>
            </w:r>
          </w:p>
        </w:tc>
        <w:tc>
          <w:tcPr>
            <w:tcW w:w="872" w:type="dxa"/>
            <w:gridSpan w:val="2"/>
            <w:shd w:val="clear" w:color="auto" w:fill="D6E3C6"/>
          </w:tcPr>
          <w:p w14:paraId="4FC54F4C" w14:textId="44CC872A"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29D4128B" w14:textId="7777777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The auction mechanism will be designed in consultation with an implementing international financial institution and based on best practices. </w:t>
            </w:r>
          </w:p>
          <w:p w14:paraId="5F7FF6D1" w14:textId="77B0A06E"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The report from international financial </w:t>
            </w:r>
            <w:r w:rsidRPr="004F3D4C">
              <w:rPr>
                <w:rFonts w:ascii="Arial" w:eastAsia="Times New Roman" w:hAnsi="Arial" w:cs="Arial"/>
                <w:color w:val="006100"/>
                <w:sz w:val="16"/>
                <w:szCs w:val="16"/>
                <w:lang w:eastAsia="en-GB"/>
              </w:rPr>
              <w:lastRenderedPageBreak/>
              <w:t>institution will be provided as a verification mechanism.</w:t>
            </w:r>
          </w:p>
        </w:tc>
        <w:tc>
          <w:tcPr>
            <w:tcW w:w="1751" w:type="dxa"/>
            <w:gridSpan w:val="2"/>
            <w:shd w:val="clear" w:color="auto" w:fill="D6E3C6"/>
          </w:tcPr>
          <w:p w14:paraId="7FD9C4E3" w14:textId="77777777" w:rsidR="0046499F" w:rsidRDefault="0046499F" w:rsidP="0046499F">
            <w:pPr>
              <w:pStyle w:val="ListParagraph"/>
              <w:numPr>
                <w:ilvl w:val="0"/>
                <w:numId w:val="49"/>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lastRenderedPageBreak/>
              <w:t>Copy of the publication in the State Gazette and/or relevant public website of the tender for the production capacity of electricity from renewable sources (wind and solar power) co-located with energy storage systems</w:t>
            </w:r>
          </w:p>
          <w:p w14:paraId="0D3594DC" w14:textId="68E9F50F" w:rsidR="0046499F" w:rsidRPr="00767036" w:rsidRDefault="0046499F" w:rsidP="0046499F">
            <w:pPr>
              <w:pStyle w:val="ListParagraph"/>
              <w:numPr>
                <w:ilvl w:val="0"/>
                <w:numId w:val="49"/>
              </w:numPr>
              <w:spacing w:after="0"/>
              <w:ind w:left="391" w:hanging="357"/>
              <w:rPr>
                <w:rFonts w:ascii="Arial" w:hAnsi="Arial" w:cs="Arial"/>
                <w:color w:val="006100"/>
                <w:sz w:val="16"/>
                <w:szCs w:val="16"/>
              </w:rPr>
            </w:pPr>
            <w:r w:rsidRPr="00767036">
              <w:rPr>
                <w:rFonts w:ascii="Arial" w:hAnsi="Arial" w:cs="Arial"/>
                <w:color w:val="006100"/>
                <w:sz w:val="16"/>
                <w:szCs w:val="16"/>
                <w:lang w:eastAsia="en-GB"/>
              </w:rPr>
              <w:t xml:space="preserve">Reference to the specific provisions which fulfil the relevant elements of the milestone, </w:t>
            </w:r>
            <w:r w:rsidRPr="00767036">
              <w:rPr>
                <w:rFonts w:ascii="Arial" w:hAnsi="Arial" w:cs="Arial"/>
                <w:color w:val="006100"/>
                <w:sz w:val="16"/>
                <w:szCs w:val="16"/>
                <w:lang w:eastAsia="en-GB"/>
              </w:rPr>
              <w:lastRenderedPageBreak/>
              <w:t>as listed in the description of milestone and the corresponding measure in the CID annex, with appropriate links to or copies of the document(s) mentioned in the summary document – including compliance with the ‘Do no significant harm’ Technical Guidance (2021/C58/01), as specified in the CID annex</w:t>
            </w:r>
          </w:p>
        </w:tc>
        <w:tc>
          <w:tcPr>
            <w:tcW w:w="3402" w:type="dxa"/>
            <w:shd w:val="clear" w:color="auto" w:fill="D6E3C6"/>
          </w:tcPr>
          <w:p w14:paraId="50DABB30"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p>
          <w:p w14:paraId="724C04C4" w14:textId="77777777" w:rsidR="0046499F" w:rsidRPr="009F2F58" w:rsidRDefault="0046499F" w:rsidP="0046499F">
            <w:pPr>
              <w:spacing w:after="0"/>
              <w:rPr>
                <w:rFonts w:ascii="Arial" w:hAnsi="Arial" w:cs="Arial"/>
                <w:color w:val="006100"/>
                <w:sz w:val="16"/>
                <w:szCs w:val="16"/>
              </w:rPr>
            </w:pPr>
          </w:p>
          <w:p w14:paraId="17BD6277" w14:textId="2F808B94"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 xml:space="preserve">What: </w:t>
            </w:r>
            <w:r w:rsidRPr="00767036">
              <w:rPr>
                <w:rFonts w:ascii="Arial" w:hAnsi="Arial" w:cs="Arial"/>
                <w:color w:val="006100"/>
                <w:sz w:val="16"/>
                <w:szCs w:val="16"/>
              </w:rPr>
              <w:t>Launch of a tender for the construction of 285 MW production capacity of electricity from renewable sources (wind and solar power) co-located with 75 MW of energy storage systems</w:t>
            </w:r>
          </w:p>
          <w:p w14:paraId="7B134A14" w14:textId="77777777" w:rsidR="0046499F" w:rsidRPr="009F2F58" w:rsidRDefault="0046499F" w:rsidP="0046499F">
            <w:pPr>
              <w:spacing w:after="0"/>
              <w:rPr>
                <w:rFonts w:ascii="Arial" w:hAnsi="Arial" w:cs="Arial"/>
                <w:color w:val="006100"/>
                <w:sz w:val="16"/>
                <w:szCs w:val="16"/>
              </w:rPr>
            </w:pPr>
          </w:p>
          <w:p w14:paraId="5777331D" w14:textId="12EAA18E"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publication (evidence</w:t>
            </w:r>
            <w:r w:rsidR="00D775E7">
              <w:rPr>
                <w:rFonts w:ascii="Arial" w:hAnsi="Arial" w:cs="Arial"/>
                <w:color w:val="006100"/>
                <w:sz w:val="16"/>
                <w:szCs w:val="16"/>
              </w:rPr>
              <w:t>d</w:t>
            </w:r>
            <w:r>
              <w:rPr>
                <w:rFonts w:ascii="Arial" w:hAnsi="Arial" w:cs="Arial"/>
                <w:color w:val="006100"/>
                <w:sz w:val="16"/>
                <w:szCs w:val="16"/>
              </w:rPr>
              <w:t xml:space="preserve"> by a) and reporting (b)</w:t>
            </w:r>
          </w:p>
          <w:p w14:paraId="12F0CF1B" w14:textId="77777777" w:rsidR="0046499F" w:rsidRPr="009F2F58" w:rsidRDefault="0046499F" w:rsidP="0046499F">
            <w:pPr>
              <w:spacing w:after="0"/>
              <w:rPr>
                <w:rFonts w:ascii="Arial" w:hAnsi="Arial" w:cs="Arial"/>
                <w:color w:val="006100"/>
                <w:sz w:val="16"/>
                <w:szCs w:val="16"/>
              </w:rPr>
            </w:pPr>
          </w:p>
          <w:p w14:paraId="3B46040B" w14:textId="0B7356C6"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767036">
              <w:rPr>
                <w:rFonts w:ascii="Arial" w:hAnsi="Arial" w:cs="Arial"/>
                <w:color w:val="006100"/>
                <w:sz w:val="16"/>
                <w:szCs w:val="16"/>
              </w:rPr>
              <w:t xml:space="preserve">A competitive call for tender for the selection of projects for the production of energy from renewable sources collocated with electricity storage is published. The auction mechanism shall be designed in consultation with an implementing international financial institution and based on best practices. The selection criteria shall ensure compliance with the ‘do no significant harm’ Technical </w:t>
            </w:r>
            <w:r w:rsidRPr="00767036">
              <w:rPr>
                <w:rFonts w:ascii="Arial" w:hAnsi="Arial" w:cs="Arial"/>
                <w:color w:val="006100"/>
                <w:sz w:val="16"/>
                <w:szCs w:val="16"/>
              </w:rPr>
              <w:lastRenderedPageBreak/>
              <w:t xml:space="preserve">Guidance (2021/C58/01). </w:t>
            </w:r>
            <w:r w:rsidRPr="009F2F58">
              <w:rPr>
                <w:rFonts w:ascii="Arial" w:hAnsi="Arial" w:cs="Arial"/>
                <w:color w:val="006100"/>
                <w:sz w:val="16"/>
                <w:szCs w:val="16"/>
              </w:rPr>
              <w:t>[provide references to the above in the summary document]</w:t>
            </w:r>
          </w:p>
          <w:p w14:paraId="0815ED8B" w14:textId="77777777" w:rsidR="0046499F" w:rsidRPr="009F2F58" w:rsidRDefault="0046499F" w:rsidP="0046499F">
            <w:pPr>
              <w:spacing w:after="0"/>
              <w:rPr>
                <w:rFonts w:ascii="Arial" w:hAnsi="Arial" w:cs="Arial"/>
                <w:color w:val="006100"/>
                <w:sz w:val="16"/>
                <w:szCs w:val="16"/>
              </w:rPr>
            </w:pPr>
          </w:p>
          <w:p w14:paraId="26B881BA" w14:textId="4C46B547"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development and publication</w:t>
            </w:r>
          </w:p>
        </w:tc>
        <w:tc>
          <w:tcPr>
            <w:tcW w:w="2268" w:type="dxa"/>
            <w:shd w:val="clear" w:color="auto" w:fill="D6E3C6"/>
          </w:tcPr>
          <w:p w14:paraId="754D23F9" w14:textId="6DD0D06B"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36" w:type="dxa"/>
            <w:gridSpan w:val="2"/>
            <w:shd w:val="clear" w:color="auto" w:fill="D6E3C6"/>
          </w:tcPr>
          <w:p w14:paraId="6EF65BBF" w14:textId="3FC2E1BE" w:rsidR="0046499F" w:rsidRPr="004F3D4C" w:rsidRDefault="0046499F" w:rsidP="0046499F">
            <w:pPr>
              <w:spacing w:after="0"/>
              <w:rPr>
                <w:rFonts w:ascii="Arial" w:hAnsi="Arial" w:cs="Arial"/>
                <w:color w:val="006100"/>
                <w:sz w:val="16"/>
                <w:szCs w:val="16"/>
              </w:rPr>
            </w:pPr>
            <w:r w:rsidRPr="00E80460">
              <w:rPr>
                <w:rFonts w:ascii="Arial" w:hAnsi="Arial" w:cs="Arial"/>
                <w:color w:val="006100"/>
                <w:sz w:val="16"/>
                <w:szCs w:val="16"/>
              </w:rPr>
              <w:t>Delays in the definition of the selection criteria and the launching of the ca</w:t>
            </w:r>
            <w:r>
              <w:rPr>
                <w:rFonts w:ascii="Arial" w:hAnsi="Arial" w:cs="Arial"/>
                <w:color w:val="006100"/>
                <w:sz w:val="16"/>
                <w:szCs w:val="16"/>
              </w:rPr>
              <w:t>ll</w:t>
            </w:r>
          </w:p>
        </w:tc>
        <w:tc>
          <w:tcPr>
            <w:tcW w:w="1090" w:type="dxa"/>
            <w:gridSpan w:val="2"/>
            <w:shd w:val="clear" w:color="auto" w:fill="D6E3C6"/>
          </w:tcPr>
          <w:p w14:paraId="16E5D93C" w14:textId="6C96C451"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59D5DF7C" w14:textId="55E8660F"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7791C51C" w14:textId="4EBF108C" w:rsidR="0046499F" w:rsidRPr="004F3D4C" w:rsidRDefault="00D775E7"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2795AB0E" w14:textId="412A1BD7" w:rsidTr="00596EEA">
        <w:trPr>
          <w:trHeight w:val="309"/>
        </w:trPr>
        <w:tc>
          <w:tcPr>
            <w:tcW w:w="454" w:type="dxa"/>
            <w:shd w:val="clear" w:color="auto" w:fill="D6E3C6"/>
            <w:noWrap/>
          </w:tcPr>
          <w:p w14:paraId="49519233" w14:textId="50F8D96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102</w:t>
            </w:r>
          </w:p>
        </w:tc>
        <w:tc>
          <w:tcPr>
            <w:tcW w:w="1215" w:type="dxa"/>
            <w:shd w:val="clear" w:color="auto" w:fill="D6E3C6"/>
            <w:noWrap/>
          </w:tcPr>
          <w:p w14:paraId="596280CC" w14:textId="08661874"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C4.I6: Support for new capacities for electricity generation from renewable sources and electricity storage</w:t>
            </w:r>
          </w:p>
        </w:tc>
        <w:tc>
          <w:tcPr>
            <w:tcW w:w="956" w:type="dxa"/>
            <w:shd w:val="clear" w:color="auto" w:fill="D6E3C6"/>
            <w:noWrap/>
          </w:tcPr>
          <w:p w14:paraId="32F3FCE2" w14:textId="4FC4BD0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55393DB8" w14:textId="4995B4A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Launch of a tender for the construction of 285 MW production capacity of electricity from renewable sources (wind and solar power) co-located with 75 MW of energy storage systems</w:t>
            </w:r>
          </w:p>
        </w:tc>
        <w:tc>
          <w:tcPr>
            <w:tcW w:w="1322" w:type="dxa"/>
            <w:shd w:val="clear" w:color="auto" w:fill="D6E3C6"/>
            <w:noWrap/>
          </w:tcPr>
          <w:p w14:paraId="1001B0F6" w14:textId="0F403A18"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Publication of tender specifications</w:t>
            </w:r>
          </w:p>
        </w:tc>
        <w:tc>
          <w:tcPr>
            <w:tcW w:w="709" w:type="dxa"/>
            <w:shd w:val="clear" w:color="auto" w:fill="D6E3C6"/>
            <w:noWrap/>
          </w:tcPr>
          <w:p w14:paraId="2BEE7D2C"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7744D679"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26E4E9D4"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36EB25E2" w14:textId="2E0172E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76192DF5" w14:textId="08A0D22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2024</w:t>
            </w:r>
          </w:p>
        </w:tc>
        <w:tc>
          <w:tcPr>
            <w:tcW w:w="872" w:type="dxa"/>
            <w:gridSpan w:val="2"/>
            <w:shd w:val="clear" w:color="auto" w:fill="D6E3C6"/>
          </w:tcPr>
          <w:p w14:paraId="3F050E8F" w14:textId="60E523D0"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00E545D4" w14:textId="7777777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The auction mechanism will be designed in consultation with an implementing international financial institution and based on best practices. </w:t>
            </w:r>
          </w:p>
          <w:p w14:paraId="400C55D9" w14:textId="76B4764F"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The report from international financial institution will be provided as a verification mechanism.</w:t>
            </w:r>
          </w:p>
        </w:tc>
        <w:tc>
          <w:tcPr>
            <w:tcW w:w="1751" w:type="dxa"/>
            <w:gridSpan w:val="2"/>
            <w:shd w:val="clear" w:color="auto" w:fill="D6E3C6"/>
          </w:tcPr>
          <w:p w14:paraId="154823B0" w14:textId="77777777" w:rsidR="0046499F" w:rsidRDefault="0046499F" w:rsidP="0046499F">
            <w:pPr>
              <w:pStyle w:val="ListParagraph"/>
              <w:numPr>
                <w:ilvl w:val="0"/>
                <w:numId w:val="50"/>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t>Copy of the publication in the State Gazette and/or relevant public website of the tender for the production capacity of electricity from renewable sources (wind and solar power) co-located with energy storage systems</w:t>
            </w:r>
          </w:p>
          <w:p w14:paraId="74166809" w14:textId="33D79D7E" w:rsidR="0046499F" w:rsidRPr="0050233F" w:rsidRDefault="0046499F" w:rsidP="0046499F">
            <w:pPr>
              <w:pStyle w:val="ListParagraph"/>
              <w:numPr>
                <w:ilvl w:val="0"/>
                <w:numId w:val="50"/>
              </w:numPr>
              <w:spacing w:after="0"/>
              <w:ind w:left="391" w:hanging="357"/>
              <w:rPr>
                <w:rFonts w:ascii="Arial" w:hAnsi="Arial" w:cs="Arial"/>
                <w:color w:val="006100"/>
                <w:sz w:val="16"/>
                <w:szCs w:val="16"/>
              </w:rPr>
            </w:pPr>
            <w:r w:rsidRPr="0050233F">
              <w:rPr>
                <w:rFonts w:ascii="Arial" w:hAnsi="Arial" w:cs="Arial"/>
                <w:color w:val="006100"/>
                <w:sz w:val="16"/>
                <w:szCs w:val="16"/>
                <w:lang w:eastAsia="en-GB"/>
              </w:rPr>
              <w:t>Referenc</w:t>
            </w:r>
            <w:r>
              <w:rPr>
                <w:rFonts w:ascii="Arial" w:hAnsi="Arial" w:cs="Arial"/>
                <w:color w:val="006100"/>
                <w:sz w:val="16"/>
                <w:szCs w:val="16"/>
                <w:lang w:eastAsia="en-GB"/>
              </w:rPr>
              <w:t>e</w:t>
            </w:r>
            <w:r w:rsidRPr="0050233F">
              <w:rPr>
                <w:rFonts w:ascii="Arial" w:hAnsi="Arial" w:cs="Arial"/>
                <w:color w:val="006100"/>
                <w:sz w:val="16"/>
                <w:szCs w:val="16"/>
                <w:lang w:eastAsia="en-GB"/>
              </w:rPr>
              <w:t xml:space="preserve"> to the specific provisions which fulfil the relevant elements of the milestone, as listed in the description of milestone and the corresponding measure in the CID annex, with appropriate links to or copies of the document(s) mentioned in the summary document – including compliance with the ‘Do no significant harm’ Technical Guidance (2021/C58/01), as </w:t>
            </w:r>
            <w:r w:rsidRPr="0050233F">
              <w:rPr>
                <w:rFonts w:ascii="Arial" w:hAnsi="Arial" w:cs="Arial"/>
                <w:color w:val="006100"/>
                <w:sz w:val="16"/>
                <w:szCs w:val="16"/>
                <w:lang w:eastAsia="en-GB"/>
              </w:rPr>
              <w:lastRenderedPageBreak/>
              <w:t>specified in the CID annex</w:t>
            </w:r>
          </w:p>
        </w:tc>
        <w:tc>
          <w:tcPr>
            <w:tcW w:w="3402" w:type="dxa"/>
            <w:shd w:val="clear" w:color="auto" w:fill="D6E3C6"/>
          </w:tcPr>
          <w:p w14:paraId="4FA53F15"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p>
          <w:p w14:paraId="1171DDC0" w14:textId="77777777" w:rsidR="0046499F" w:rsidRPr="009F2F58" w:rsidRDefault="0046499F" w:rsidP="0046499F">
            <w:pPr>
              <w:spacing w:after="0"/>
              <w:rPr>
                <w:rFonts w:ascii="Arial" w:hAnsi="Arial" w:cs="Arial"/>
                <w:color w:val="006100"/>
                <w:sz w:val="16"/>
                <w:szCs w:val="16"/>
              </w:rPr>
            </w:pPr>
          </w:p>
          <w:p w14:paraId="48A5E5FB" w14:textId="43015AA2"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 xml:space="preserve">What: </w:t>
            </w:r>
            <w:r w:rsidRPr="0050233F">
              <w:rPr>
                <w:rFonts w:ascii="Arial" w:hAnsi="Arial" w:cs="Arial"/>
                <w:color w:val="006100"/>
                <w:sz w:val="16"/>
                <w:szCs w:val="16"/>
              </w:rPr>
              <w:t>Launch of a tender for the construction of 285 MW production capacity of electricity from renewable sources (wind and solar power) co-located with 75 MW of energy storage systems</w:t>
            </w:r>
          </w:p>
          <w:p w14:paraId="2C3FF717" w14:textId="77777777" w:rsidR="0046499F" w:rsidRPr="009F2F58" w:rsidRDefault="0046499F" w:rsidP="0046499F">
            <w:pPr>
              <w:spacing w:after="0"/>
              <w:rPr>
                <w:rFonts w:ascii="Arial" w:hAnsi="Arial" w:cs="Arial"/>
                <w:color w:val="006100"/>
                <w:sz w:val="16"/>
                <w:szCs w:val="16"/>
              </w:rPr>
            </w:pPr>
          </w:p>
          <w:p w14:paraId="1F74AB2C" w14:textId="2353AFD1"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publication (evidence</w:t>
            </w:r>
            <w:r w:rsidR="00F14AC7">
              <w:rPr>
                <w:rFonts w:ascii="Arial" w:hAnsi="Arial" w:cs="Arial"/>
                <w:color w:val="006100"/>
                <w:sz w:val="16"/>
                <w:szCs w:val="16"/>
              </w:rPr>
              <w:t>d</w:t>
            </w:r>
            <w:r>
              <w:rPr>
                <w:rFonts w:ascii="Arial" w:hAnsi="Arial" w:cs="Arial"/>
                <w:color w:val="006100"/>
                <w:sz w:val="16"/>
                <w:szCs w:val="16"/>
              </w:rPr>
              <w:t xml:space="preserve"> by a) and reporting (b)</w:t>
            </w:r>
          </w:p>
          <w:p w14:paraId="59D77A6B" w14:textId="77777777" w:rsidR="0046499F" w:rsidRPr="009F2F58" w:rsidRDefault="0046499F" w:rsidP="0046499F">
            <w:pPr>
              <w:spacing w:after="0"/>
              <w:rPr>
                <w:rFonts w:ascii="Arial" w:hAnsi="Arial" w:cs="Arial"/>
                <w:color w:val="006100"/>
                <w:sz w:val="16"/>
                <w:szCs w:val="16"/>
              </w:rPr>
            </w:pPr>
          </w:p>
          <w:p w14:paraId="3A8046FE" w14:textId="5D82159B"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50233F">
              <w:rPr>
                <w:rFonts w:ascii="Arial" w:hAnsi="Arial" w:cs="Arial"/>
                <w:color w:val="006100"/>
                <w:sz w:val="16"/>
                <w:szCs w:val="16"/>
              </w:rPr>
              <w:t xml:space="preserve">A competitive call for tender for the selection of projects for the production of energy from renewable sources collocated with electricity storage shall be published. The auction mechanism shall be designed in consultation with an implementing international financial institution and based on best practices. The selection criteria shall ensure compliance with the ‘do no significant harm’ Technical Guidance (2021/C58/01). </w:t>
            </w:r>
            <w:r w:rsidRPr="009F2F58">
              <w:rPr>
                <w:rFonts w:ascii="Arial" w:hAnsi="Arial" w:cs="Arial"/>
                <w:color w:val="006100"/>
                <w:sz w:val="16"/>
                <w:szCs w:val="16"/>
              </w:rPr>
              <w:t>[provide references to the above in the summary document]</w:t>
            </w:r>
          </w:p>
          <w:p w14:paraId="66305C3B" w14:textId="77777777" w:rsidR="0046499F" w:rsidRPr="009F2F58" w:rsidRDefault="0046499F" w:rsidP="0046499F">
            <w:pPr>
              <w:spacing w:after="0"/>
              <w:rPr>
                <w:rFonts w:ascii="Arial" w:hAnsi="Arial" w:cs="Arial"/>
                <w:color w:val="006100"/>
                <w:sz w:val="16"/>
                <w:szCs w:val="16"/>
              </w:rPr>
            </w:pPr>
          </w:p>
          <w:p w14:paraId="35CFD253" w14:textId="684F3B18"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development and publication</w:t>
            </w:r>
          </w:p>
        </w:tc>
        <w:tc>
          <w:tcPr>
            <w:tcW w:w="2268" w:type="dxa"/>
            <w:shd w:val="clear" w:color="auto" w:fill="D6E3C6"/>
          </w:tcPr>
          <w:p w14:paraId="4D341465" w14:textId="3B0DD978"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12C3CF9B" w14:textId="02991819" w:rsidR="0046499F" w:rsidRPr="004F3D4C" w:rsidRDefault="0046499F" w:rsidP="0046499F">
            <w:pPr>
              <w:spacing w:after="0"/>
              <w:rPr>
                <w:rFonts w:ascii="Arial" w:hAnsi="Arial" w:cs="Arial"/>
                <w:color w:val="006100"/>
                <w:sz w:val="16"/>
                <w:szCs w:val="16"/>
              </w:rPr>
            </w:pPr>
            <w:r w:rsidRPr="00E80460">
              <w:rPr>
                <w:rFonts w:ascii="Arial" w:hAnsi="Arial" w:cs="Arial"/>
                <w:color w:val="006100"/>
                <w:sz w:val="16"/>
                <w:szCs w:val="16"/>
              </w:rPr>
              <w:t>Delays in the definition of the selection criteria and the launching of the ca</w:t>
            </w:r>
            <w:r>
              <w:rPr>
                <w:rFonts w:ascii="Arial" w:hAnsi="Arial" w:cs="Arial"/>
                <w:color w:val="006100"/>
                <w:sz w:val="16"/>
                <w:szCs w:val="16"/>
              </w:rPr>
              <w:t>ll</w:t>
            </w:r>
          </w:p>
        </w:tc>
        <w:tc>
          <w:tcPr>
            <w:tcW w:w="1090" w:type="dxa"/>
            <w:gridSpan w:val="2"/>
            <w:shd w:val="clear" w:color="auto" w:fill="D6E3C6"/>
          </w:tcPr>
          <w:p w14:paraId="241053F7" w14:textId="4D1AA8A0"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6006A6CD" w14:textId="07CF4CD1"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077ADC74" w14:textId="6DCE6DB5" w:rsidR="0046499F" w:rsidRPr="004F3D4C" w:rsidRDefault="00F14AC7"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0BBFF468" w14:textId="74E3E428" w:rsidTr="00596EEA">
        <w:trPr>
          <w:trHeight w:val="309"/>
        </w:trPr>
        <w:tc>
          <w:tcPr>
            <w:tcW w:w="454" w:type="dxa"/>
            <w:shd w:val="clear" w:color="auto" w:fill="D6E3C6"/>
            <w:noWrap/>
          </w:tcPr>
          <w:p w14:paraId="33CFF980" w14:textId="3AAD7693"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103</w:t>
            </w:r>
          </w:p>
        </w:tc>
        <w:tc>
          <w:tcPr>
            <w:tcW w:w="1215" w:type="dxa"/>
            <w:shd w:val="clear" w:color="auto" w:fill="D6E3C6"/>
            <w:noWrap/>
          </w:tcPr>
          <w:p w14:paraId="4CA36CEE" w14:textId="7100855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C4.I6: Support for new capacities for electricity generation from renewable sources and electricity storage</w:t>
            </w:r>
          </w:p>
        </w:tc>
        <w:tc>
          <w:tcPr>
            <w:tcW w:w="956" w:type="dxa"/>
            <w:shd w:val="clear" w:color="auto" w:fill="D6E3C6"/>
            <w:noWrap/>
          </w:tcPr>
          <w:p w14:paraId="3496C09A" w14:textId="3C090379"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16679B21" w14:textId="40D705E9"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Additional new production capacity of electricity from renewable sources (wind and solar power) co-located with electricity storage capacity commissioned</w:t>
            </w:r>
          </w:p>
        </w:tc>
        <w:tc>
          <w:tcPr>
            <w:tcW w:w="1322" w:type="dxa"/>
            <w:shd w:val="clear" w:color="auto" w:fill="D6E3C6"/>
            <w:noWrap/>
          </w:tcPr>
          <w:p w14:paraId="1FB709E5"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4C0365EA" w14:textId="140A8407"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Megawatts (MW)</w:t>
            </w:r>
          </w:p>
        </w:tc>
        <w:tc>
          <w:tcPr>
            <w:tcW w:w="614" w:type="dxa"/>
            <w:shd w:val="clear" w:color="auto" w:fill="D6E3C6"/>
            <w:noWrap/>
          </w:tcPr>
          <w:p w14:paraId="3969A60A" w14:textId="7277C5D9"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1704</w:t>
            </w:r>
          </w:p>
        </w:tc>
        <w:tc>
          <w:tcPr>
            <w:tcW w:w="731" w:type="dxa"/>
            <w:shd w:val="clear" w:color="auto" w:fill="D6E3C6"/>
            <w:noWrap/>
          </w:tcPr>
          <w:p w14:paraId="251393EB" w14:textId="77EE16B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3129</w:t>
            </w:r>
          </w:p>
        </w:tc>
        <w:tc>
          <w:tcPr>
            <w:tcW w:w="756" w:type="dxa"/>
            <w:gridSpan w:val="2"/>
            <w:shd w:val="clear" w:color="auto" w:fill="D6E3C6"/>
            <w:noWrap/>
          </w:tcPr>
          <w:p w14:paraId="7B1E6061" w14:textId="03EA07C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57646A6A" w14:textId="4439380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2026</w:t>
            </w:r>
          </w:p>
        </w:tc>
        <w:tc>
          <w:tcPr>
            <w:tcW w:w="872" w:type="dxa"/>
            <w:gridSpan w:val="2"/>
            <w:shd w:val="clear" w:color="auto" w:fill="D6E3C6"/>
          </w:tcPr>
          <w:p w14:paraId="4253440B" w14:textId="2DA3B6B6"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42185B6B" w14:textId="6E84EE8D"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Information about each facility should be publicly available via official websites, including the registry of the Agency for Sustainable Energy Development (SEDA).</w:t>
            </w:r>
          </w:p>
          <w:p w14:paraId="0338C807" w14:textId="77777777" w:rsidR="0046499F" w:rsidRPr="004F3D4C" w:rsidRDefault="0046499F" w:rsidP="0046499F">
            <w:pPr>
              <w:spacing w:after="0"/>
              <w:rPr>
                <w:rFonts w:ascii="Arial" w:eastAsia="Times New Roman" w:hAnsi="Arial" w:cs="Arial"/>
                <w:color w:val="006100"/>
                <w:sz w:val="16"/>
                <w:szCs w:val="16"/>
                <w:lang w:eastAsia="en-GB"/>
              </w:rPr>
            </w:pPr>
          </w:p>
          <w:p w14:paraId="0F66242E" w14:textId="45FAF98A"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SEDA to consider adding information on storage capacity of installations (if any) to its official registry.</w:t>
            </w:r>
          </w:p>
        </w:tc>
        <w:tc>
          <w:tcPr>
            <w:tcW w:w="1751" w:type="dxa"/>
            <w:gridSpan w:val="2"/>
            <w:shd w:val="clear" w:color="auto" w:fill="D6E3C6"/>
          </w:tcPr>
          <w:p w14:paraId="59D030B7" w14:textId="3E902DF0" w:rsidR="0046499F" w:rsidRPr="0043584F" w:rsidRDefault="0046499F" w:rsidP="0046499F">
            <w:pPr>
              <w:pStyle w:val="ListParagraph"/>
              <w:numPr>
                <w:ilvl w:val="0"/>
                <w:numId w:val="51"/>
              </w:numPr>
              <w:spacing w:after="0"/>
              <w:ind w:left="391" w:hanging="357"/>
              <w:rPr>
                <w:rFonts w:ascii="Arial" w:hAnsi="Arial" w:cs="Arial"/>
                <w:color w:val="006100"/>
                <w:sz w:val="16"/>
                <w:szCs w:val="16"/>
              </w:rPr>
            </w:pPr>
            <w:r>
              <w:rPr>
                <w:rFonts w:ascii="Arial" w:hAnsi="Arial" w:cs="Arial"/>
                <w:color w:val="006100"/>
                <w:sz w:val="16"/>
                <w:szCs w:val="16"/>
                <w:lang w:val="en-IE" w:eastAsia="en-GB"/>
              </w:rPr>
              <w:t>S</w:t>
            </w:r>
            <w:r w:rsidRPr="004F3D4C">
              <w:rPr>
                <w:rFonts w:ascii="Arial" w:hAnsi="Arial" w:cs="Arial"/>
                <w:color w:val="006100"/>
                <w:sz w:val="16"/>
                <w:szCs w:val="16"/>
                <w:lang w:val="en-IE" w:eastAsia="en-GB"/>
              </w:rPr>
              <w:t>preadshee</w:t>
            </w:r>
            <w:r>
              <w:rPr>
                <w:rFonts w:ascii="Arial" w:hAnsi="Arial" w:cs="Arial"/>
                <w:color w:val="006100"/>
                <w:sz w:val="16"/>
                <w:szCs w:val="16"/>
                <w:lang w:val="en-IE" w:eastAsia="en-GB"/>
              </w:rPr>
              <w:t xml:space="preserve">t </w:t>
            </w:r>
            <w:r w:rsidRPr="004F3D4C">
              <w:rPr>
                <w:rFonts w:ascii="Arial" w:hAnsi="Arial" w:cs="Arial"/>
                <w:color w:val="006100"/>
                <w:sz w:val="16"/>
                <w:szCs w:val="16"/>
                <w:lang w:val="en-IE" w:eastAsia="en-GB"/>
              </w:rPr>
              <w:t>with the list of the renewable energy facilities commissioned, including for each one of them</w:t>
            </w:r>
            <w:r>
              <w:rPr>
                <w:rFonts w:ascii="Arial" w:hAnsi="Arial" w:cs="Arial"/>
                <w:color w:val="006100"/>
                <w:sz w:val="16"/>
                <w:szCs w:val="16"/>
                <w:lang w:val="en-IE" w:eastAsia="en-GB"/>
              </w:rPr>
              <w:t>:</w:t>
            </w:r>
          </w:p>
          <w:p w14:paraId="4C21B2C8" w14:textId="77777777" w:rsidR="0046499F" w:rsidRPr="0043584F" w:rsidRDefault="0046499F" w:rsidP="0046499F">
            <w:pPr>
              <w:pStyle w:val="ListParagraph"/>
              <w:numPr>
                <w:ilvl w:val="0"/>
                <w:numId w:val="3"/>
              </w:numPr>
              <w:spacing w:after="0"/>
              <w:ind w:left="543" w:hanging="142"/>
              <w:rPr>
                <w:rFonts w:ascii="Arial" w:hAnsi="Arial" w:cs="Arial"/>
                <w:color w:val="006100"/>
                <w:sz w:val="16"/>
                <w:szCs w:val="16"/>
              </w:rPr>
            </w:pPr>
            <w:r w:rsidRPr="004F3D4C">
              <w:rPr>
                <w:rFonts w:ascii="Arial" w:hAnsi="Arial" w:cs="Arial"/>
                <w:color w:val="006100"/>
                <w:sz w:val="16"/>
                <w:szCs w:val="16"/>
                <w:lang w:val="en-IE" w:eastAsia="en-GB"/>
              </w:rPr>
              <w:t>a unique identifier, the name, the location and a brief description of the facility</w:t>
            </w:r>
          </w:p>
          <w:p w14:paraId="75B55D01" w14:textId="77777777" w:rsidR="0046499F" w:rsidRPr="0043584F" w:rsidRDefault="0046499F" w:rsidP="0046499F">
            <w:pPr>
              <w:pStyle w:val="ListParagraph"/>
              <w:numPr>
                <w:ilvl w:val="0"/>
                <w:numId w:val="3"/>
              </w:numPr>
              <w:spacing w:after="0"/>
              <w:ind w:left="543" w:hanging="142"/>
              <w:rPr>
                <w:rFonts w:ascii="Arial" w:hAnsi="Arial" w:cs="Arial"/>
                <w:color w:val="006100"/>
                <w:sz w:val="16"/>
                <w:szCs w:val="16"/>
              </w:rPr>
            </w:pPr>
            <w:r w:rsidRPr="004F3D4C">
              <w:rPr>
                <w:rFonts w:ascii="Arial" w:hAnsi="Arial" w:cs="Arial"/>
                <w:color w:val="006100"/>
                <w:sz w:val="16"/>
                <w:szCs w:val="16"/>
                <w:lang w:val="en-IE" w:eastAsia="en-GB"/>
              </w:rPr>
              <w:t>extract of the relevant parts of the specifications of the project providing alignment with the description of the target and reform in the CID annex</w:t>
            </w:r>
          </w:p>
          <w:p w14:paraId="1DCA437D" w14:textId="77777777" w:rsidR="0046499F" w:rsidRPr="0043584F" w:rsidRDefault="0046499F" w:rsidP="0046499F">
            <w:pPr>
              <w:pStyle w:val="ListParagraph"/>
              <w:numPr>
                <w:ilvl w:val="0"/>
                <w:numId w:val="3"/>
              </w:numPr>
              <w:spacing w:after="0"/>
              <w:ind w:left="543" w:hanging="142"/>
              <w:rPr>
                <w:rFonts w:ascii="Arial" w:hAnsi="Arial" w:cs="Arial"/>
                <w:color w:val="006100"/>
                <w:sz w:val="16"/>
                <w:szCs w:val="16"/>
              </w:rPr>
            </w:pPr>
            <w:r w:rsidRPr="004F3D4C">
              <w:rPr>
                <w:rFonts w:ascii="Arial" w:hAnsi="Arial" w:cs="Arial"/>
                <w:color w:val="006100"/>
                <w:sz w:val="16"/>
                <w:szCs w:val="16"/>
                <w:lang w:val="en-IE" w:eastAsia="en-GB"/>
              </w:rPr>
              <w:t>the type of renewable energy capacity</w:t>
            </w:r>
          </w:p>
          <w:p w14:paraId="4B488959" w14:textId="77777777" w:rsidR="0046499F" w:rsidRPr="00596563" w:rsidRDefault="0046499F" w:rsidP="0046499F">
            <w:pPr>
              <w:pStyle w:val="ListParagraph"/>
              <w:numPr>
                <w:ilvl w:val="0"/>
                <w:numId w:val="3"/>
              </w:numPr>
              <w:spacing w:after="0"/>
              <w:ind w:left="543" w:hanging="142"/>
              <w:rPr>
                <w:rFonts w:ascii="Arial" w:hAnsi="Arial" w:cs="Arial"/>
                <w:color w:val="006100"/>
                <w:sz w:val="16"/>
                <w:szCs w:val="16"/>
              </w:rPr>
            </w:pPr>
            <w:r w:rsidRPr="004F3D4C">
              <w:rPr>
                <w:rFonts w:ascii="Arial" w:hAnsi="Arial" w:cs="Arial"/>
                <w:color w:val="006100"/>
                <w:sz w:val="16"/>
                <w:szCs w:val="16"/>
                <w:lang w:val="en-IE" w:eastAsia="en-GB"/>
              </w:rPr>
              <w:t>the amount of cumulative additional production capacity for renewable energy and storage installed (in MW)</w:t>
            </w:r>
          </w:p>
          <w:p w14:paraId="37C044AC" w14:textId="3A4B158C" w:rsidR="0046499F" w:rsidRPr="00596563" w:rsidRDefault="0046499F" w:rsidP="0046499F">
            <w:pPr>
              <w:pStyle w:val="ListParagraph"/>
              <w:numPr>
                <w:ilvl w:val="0"/>
                <w:numId w:val="51"/>
              </w:numPr>
              <w:spacing w:after="0"/>
              <w:ind w:left="391" w:hanging="357"/>
              <w:rPr>
                <w:rFonts w:ascii="Arial" w:hAnsi="Arial" w:cs="Arial"/>
                <w:color w:val="006100"/>
                <w:sz w:val="16"/>
                <w:szCs w:val="16"/>
              </w:rPr>
            </w:pPr>
            <w:r w:rsidRPr="004F3D4C">
              <w:rPr>
                <w:rFonts w:ascii="Arial" w:hAnsi="Arial" w:cs="Arial"/>
                <w:color w:val="006100"/>
                <w:sz w:val="16"/>
                <w:szCs w:val="16"/>
                <w:lang w:val="en-IE" w:eastAsia="en-GB"/>
              </w:rPr>
              <w:t>Certification by the national authority responsible for connection to the power grid</w:t>
            </w:r>
            <w:r>
              <w:rPr>
                <w:rFonts w:ascii="Arial" w:hAnsi="Arial" w:cs="Arial"/>
                <w:color w:val="006100"/>
                <w:sz w:val="16"/>
                <w:szCs w:val="16"/>
                <w:lang w:val="en-IE" w:eastAsia="en-GB"/>
              </w:rPr>
              <w:t xml:space="preserve"> (</w:t>
            </w:r>
            <w:r w:rsidRPr="004F3D4C">
              <w:rPr>
                <w:rFonts w:ascii="Arial" w:hAnsi="Arial" w:cs="Arial"/>
                <w:color w:val="006100"/>
                <w:sz w:val="16"/>
                <w:szCs w:val="16"/>
                <w:lang w:val="en-IE" w:eastAsia="en-GB"/>
              </w:rPr>
              <w:t>BG to specify proof of operation</w:t>
            </w:r>
            <w:r>
              <w:rPr>
                <w:rFonts w:ascii="Arial" w:hAnsi="Arial" w:cs="Arial"/>
                <w:color w:val="006100"/>
                <w:sz w:val="16"/>
                <w:szCs w:val="16"/>
                <w:lang w:val="en-IE" w:eastAsia="en-GB"/>
              </w:rPr>
              <w:t>)</w:t>
            </w:r>
          </w:p>
        </w:tc>
        <w:tc>
          <w:tcPr>
            <w:tcW w:w="3402" w:type="dxa"/>
            <w:shd w:val="clear" w:color="auto" w:fill="D6E3C6"/>
          </w:tcPr>
          <w:p w14:paraId="3E9179B4"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6DF6D018" w14:textId="77777777" w:rsidR="0046499F" w:rsidRPr="009F2F58" w:rsidRDefault="0046499F" w:rsidP="0046499F">
            <w:pPr>
              <w:spacing w:after="0"/>
              <w:rPr>
                <w:rFonts w:ascii="Arial" w:hAnsi="Arial" w:cs="Arial"/>
                <w:color w:val="006100"/>
                <w:sz w:val="16"/>
                <w:szCs w:val="16"/>
              </w:rPr>
            </w:pPr>
          </w:p>
          <w:p w14:paraId="309A2387" w14:textId="065F71E0"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60391E">
              <w:rPr>
                <w:rFonts w:ascii="Arial" w:hAnsi="Arial" w:cs="Arial"/>
                <w:color w:val="006100"/>
                <w:sz w:val="16"/>
                <w:szCs w:val="16"/>
              </w:rPr>
              <w:t>Additional new production capacity of electricity from renewable sources (wind and solar power) co-located with electricity storage capacity commissioned</w:t>
            </w:r>
          </w:p>
          <w:p w14:paraId="2451C0CB" w14:textId="77777777" w:rsidR="0046499F" w:rsidRPr="009F2F58" w:rsidRDefault="0046499F" w:rsidP="0046499F">
            <w:pPr>
              <w:spacing w:after="0"/>
              <w:rPr>
                <w:rFonts w:ascii="Arial" w:hAnsi="Arial" w:cs="Arial"/>
                <w:color w:val="006100"/>
                <w:sz w:val="16"/>
                <w:szCs w:val="16"/>
              </w:rPr>
            </w:pPr>
          </w:p>
          <w:p w14:paraId="6F5E01E9" w14:textId="1B7A4437"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w:t>
            </w:r>
            <w:r w:rsidR="00FF502B">
              <w:rPr>
                <w:rFonts w:ascii="Arial" w:hAnsi="Arial" w:cs="Arial"/>
                <w:color w:val="006100"/>
                <w:sz w:val="16"/>
                <w:szCs w:val="16"/>
              </w:rPr>
              <w:t xml:space="preserve">implementation and </w:t>
            </w:r>
            <w:r>
              <w:rPr>
                <w:rFonts w:ascii="Arial" w:hAnsi="Arial" w:cs="Arial"/>
                <w:color w:val="006100"/>
                <w:sz w:val="16"/>
                <w:szCs w:val="16"/>
              </w:rPr>
              <w:t>reporting (a) and certification (b)</w:t>
            </w:r>
          </w:p>
          <w:p w14:paraId="047C4381" w14:textId="77777777" w:rsidR="0046499F" w:rsidRPr="009F2F58" w:rsidRDefault="0046499F" w:rsidP="0046499F">
            <w:pPr>
              <w:spacing w:after="0"/>
              <w:rPr>
                <w:rFonts w:ascii="Arial" w:hAnsi="Arial" w:cs="Arial"/>
                <w:color w:val="006100"/>
                <w:sz w:val="16"/>
                <w:szCs w:val="16"/>
              </w:rPr>
            </w:pPr>
          </w:p>
          <w:p w14:paraId="2E366915" w14:textId="450ED6CA"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1E4956">
              <w:rPr>
                <w:rFonts w:ascii="Arial" w:hAnsi="Arial" w:cs="Arial"/>
                <w:color w:val="006100"/>
                <w:sz w:val="16"/>
                <w:szCs w:val="16"/>
              </w:rPr>
              <w:t>A cumulative 1425 MW capacity of electricity production from renewable source collocated with at least 350 MW electricity storage commissioned and connected to the grid, compared to the 2022 levels of installed capacity, in compliance with the conditions in milestones 98-102.</w:t>
            </w:r>
            <w:r w:rsidRPr="0050233F">
              <w:rPr>
                <w:rFonts w:ascii="Arial" w:hAnsi="Arial" w:cs="Arial"/>
                <w:color w:val="006100"/>
                <w:sz w:val="16"/>
                <w:szCs w:val="16"/>
              </w:rPr>
              <w:t xml:space="preserve"> </w:t>
            </w:r>
            <w:r w:rsidRPr="009F2F58">
              <w:rPr>
                <w:rFonts w:ascii="Arial" w:hAnsi="Arial" w:cs="Arial"/>
                <w:color w:val="006100"/>
                <w:sz w:val="16"/>
                <w:szCs w:val="16"/>
              </w:rPr>
              <w:t>[provide references to the above in the summary document]</w:t>
            </w:r>
          </w:p>
          <w:p w14:paraId="786A0D76" w14:textId="77777777" w:rsidR="0046499F" w:rsidRPr="009F2F58" w:rsidRDefault="0046499F" w:rsidP="0046499F">
            <w:pPr>
              <w:spacing w:after="0"/>
              <w:rPr>
                <w:rFonts w:ascii="Arial" w:hAnsi="Arial" w:cs="Arial"/>
                <w:color w:val="006100"/>
                <w:sz w:val="16"/>
                <w:szCs w:val="16"/>
              </w:rPr>
            </w:pPr>
          </w:p>
          <w:p w14:paraId="4D7BBB6E" w14:textId="4F25A1E8"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after project completion and certification</w:t>
            </w:r>
          </w:p>
        </w:tc>
        <w:tc>
          <w:tcPr>
            <w:tcW w:w="2268" w:type="dxa"/>
            <w:shd w:val="clear" w:color="auto" w:fill="D6E3C6"/>
          </w:tcPr>
          <w:p w14:paraId="1B9143F4" w14:textId="4891E6B4"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2D9B3B21" w14:textId="28DDC89A"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Delays in the launching of the tenders and the implementation of the projects (delays in milestones 97-102)</w:t>
            </w:r>
          </w:p>
        </w:tc>
        <w:tc>
          <w:tcPr>
            <w:tcW w:w="1090" w:type="dxa"/>
            <w:gridSpan w:val="2"/>
            <w:shd w:val="clear" w:color="auto" w:fill="D6E3C6"/>
          </w:tcPr>
          <w:p w14:paraId="721CF776" w14:textId="3817C5D5" w:rsidR="0046499F" w:rsidRPr="009502E1" w:rsidRDefault="0046499F" w:rsidP="0046499F">
            <w:pPr>
              <w:spacing w:after="0"/>
              <w:rPr>
                <w:rFonts w:ascii="Arial" w:hAnsi="Arial" w:cs="Arial"/>
                <w:color w:val="005D00"/>
                <w:sz w:val="16"/>
                <w:szCs w:val="16"/>
              </w:rPr>
            </w:pPr>
            <w:r>
              <w:rPr>
                <w:rFonts w:ascii="Arial" w:hAnsi="Arial" w:cs="Arial"/>
                <w:color w:val="005D00"/>
                <w:sz w:val="16"/>
                <w:szCs w:val="16"/>
              </w:rPr>
              <w:t>Yes, a</w:t>
            </w:r>
            <w:r w:rsidRPr="004F3D4C">
              <w:rPr>
                <w:rFonts w:ascii="Arial" w:hAnsi="Arial" w:cs="Arial"/>
                <w:color w:val="005D00"/>
                <w:sz w:val="16"/>
                <w:szCs w:val="16"/>
              </w:rPr>
              <w:t>t 1-2 sites after the receipt of documents for completion of the works / equipment installation (Q2 2026, or earlier if completed before that date)</w:t>
            </w:r>
          </w:p>
        </w:tc>
        <w:tc>
          <w:tcPr>
            <w:tcW w:w="992" w:type="dxa"/>
            <w:gridSpan w:val="2"/>
            <w:shd w:val="clear" w:color="auto" w:fill="D6E3C6"/>
          </w:tcPr>
          <w:p w14:paraId="2D2C453D" w14:textId="73BC0ABF"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Indicator 2</w:t>
            </w:r>
          </w:p>
        </w:tc>
        <w:tc>
          <w:tcPr>
            <w:tcW w:w="1418" w:type="dxa"/>
            <w:gridSpan w:val="2"/>
            <w:shd w:val="clear" w:color="auto" w:fill="D6E3C6"/>
          </w:tcPr>
          <w:p w14:paraId="65B4D820" w14:textId="5C8CB087" w:rsidR="0046499F" w:rsidRPr="004F3D4C" w:rsidRDefault="00F14AC7" w:rsidP="0046499F">
            <w:pPr>
              <w:spacing w:after="0"/>
              <w:rPr>
                <w:rFonts w:ascii="Arial" w:hAnsi="Arial" w:cs="Arial"/>
                <w:color w:val="005D00"/>
                <w:sz w:val="16"/>
                <w:szCs w:val="16"/>
              </w:rPr>
            </w:pPr>
            <w:r>
              <w:rPr>
                <w:rFonts w:ascii="Arial" w:hAnsi="Arial" w:cs="Arial"/>
                <w:color w:val="005D00"/>
                <w:sz w:val="16"/>
                <w:szCs w:val="16"/>
              </w:rPr>
              <w:t>-</w:t>
            </w:r>
          </w:p>
        </w:tc>
      </w:tr>
      <w:tr w:rsidR="0046499F" w:rsidRPr="004F3D4C" w14:paraId="4C94A8DD" w14:textId="740931C2" w:rsidTr="00596EEA">
        <w:trPr>
          <w:trHeight w:val="309"/>
        </w:trPr>
        <w:tc>
          <w:tcPr>
            <w:tcW w:w="454" w:type="dxa"/>
            <w:shd w:val="clear" w:color="auto" w:fill="D6E3C6"/>
            <w:noWrap/>
          </w:tcPr>
          <w:p w14:paraId="5E0FE64A" w14:textId="6DC20D0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104</w:t>
            </w:r>
          </w:p>
        </w:tc>
        <w:tc>
          <w:tcPr>
            <w:tcW w:w="1215" w:type="dxa"/>
            <w:shd w:val="clear" w:color="auto" w:fill="D6E3C6"/>
            <w:noWrap/>
          </w:tcPr>
          <w:p w14:paraId="23027AAE" w14:textId="76C44D2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C4.R6: Boosting electricity generation from renewable sources</w:t>
            </w:r>
          </w:p>
        </w:tc>
        <w:tc>
          <w:tcPr>
            <w:tcW w:w="956" w:type="dxa"/>
            <w:shd w:val="clear" w:color="auto" w:fill="D6E3C6"/>
            <w:noWrap/>
          </w:tcPr>
          <w:p w14:paraId="312917DD" w14:textId="4D0317E2"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10854B09" w14:textId="0AB81A5D"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Overall new production capacity of electricity from renewable sources (wind and solar power) commissioned</w:t>
            </w:r>
          </w:p>
        </w:tc>
        <w:tc>
          <w:tcPr>
            <w:tcW w:w="1322" w:type="dxa"/>
            <w:shd w:val="clear" w:color="auto" w:fill="D6E3C6"/>
            <w:noWrap/>
          </w:tcPr>
          <w:p w14:paraId="649C5243"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5C0CC4CE" w14:textId="53D80C6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Megawatts (MW)</w:t>
            </w:r>
          </w:p>
        </w:tc>
        <w:tc>
          <w:tcPr>
            <w:tcW w:w="614" w:type="dxa"/>
            <w:shd w:val="clear" w:color="auto" w:fill="D6E3C6"/>
            <w:noWrap/>
          </w:tcPr>
          <w:p w14:paraId="70E70553" w14:textId="22614C46"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1704</w:t>
            </w:r>
          </w:p>
        </w:tc>
        <w:tc>
          <w:tcPr>
            <w:tcW w:w="731" w:type="dxa"/>
            <w:shd w:val="clear" w:color="auto" w:fill="D6E3C6"/>
            <w:noWrap/>
          </w:tcPr>
          <w:p w14:paraId="69C42FF8" w14:textId="09B7E662"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5204</w:t>
            </w:r>
          </w:p>
        </w:tc>
        <w:tc>
          <w:tcPr>
            <w:tcW w:w="756" w:type="dxa"/>
            <w:gridSpan w:val="2"/>
            <w:shd w:val="clear" w:color="auto" w:fill="D6E3C6"/>
            <w:noWrap/>
          </w:tcPr>
          <w:p w14:paraId="26712FD0" w14:textId="6F0E05F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5F43F58F" w14:textId="080859D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2026</w:t>
            </w:r>
          </w:p>
        </w:tc>
        <w:tc>
          <w:tcPr>
            <w:tcW w:w="872" w:type="dxa"/>
            <w:gridSpan w:val="2"/>
            <w:shd w:val="clear" w:color="auto" w:fill="D6E3C6"/>
          </w:tcPr>
          <w:p w14:paraId="4D30553A" w14:textId="7B3F1698"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4AC9F29A" w14:textId="7777777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Information about each facility should be publically available via official websites, including the registry of the Agency for </w:t>
            </w:r>
            <w:r w:rsidRPr="004F3D4C">
              <w:rPr>
                <w:rFonts w:ascii="Arial" w:eastAsia="Times New Roman" w:hAnsi="Arial" w:cs="Arial"/>
                <w:color w:val="006100"/>
                <w:sz w:val="16"/>
                <w:szCs w:val="16"/>
                <w:lang w:eastAsia="en-GB"/>
              </w:rPr>
              <w:lastRenderedPageBreak/>
              <w:t>Sustainable Energy Development (SEDA).</w:t>
            </w:r>
          </w:p>
          <w:p w14:paraId="406CCCD8" w14:textId="77777777" w:rsidR="0046499F" w:rsidRPr="004F3D4C" w:rsidRDefault="0046499F" w:rsidP="0046499F">
            <w:pPr>
              <w:spacing w:after="0"/>
              <w:rPr>
                <w:rFonts w:ascii="Arial" w:eastAsia="Times New Roman" w:hAnsi="Arial" w:cs="Arial"/>
                <w:color w:val="006100"/>
                <w:sz w:val="16"/>
                <w:szCs w:val="16"/>
                <w:lang w:eastAsia="en-GB"/>
              </w:rPr>
            </w:pPr>
          </w:p>
          <w:p w14:paraId="52426996" w14:textId="28FB5E93"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SEDA to consider adding information on storage capacity of installations (if any) to its official registry.</w:t>
            </w:r>
          </w:p>
        </w:tc>
        <w:tc>
          <w:tcPr>
            <w:tcW w:w="1751" w:type="dxa"/>
            <w:gridSpan w:val="2"/>
            <w:shd w:val="clear" w:color="auto" w:fill="D6E3C6"/>
          </w:tcPr>
          <w:p w14:paraId="7B219070" w14:textId="5C78D484" w:rsidR="0046499F" w:rsidRPr="00E63F3F" w:rsidRDefault="0046499F" w:rsidP="0046499F">
            <w:pPr>
              <w:pStyle w:val="ListParagraph"/>
              <w:numPr>
                <w:ilvl w:val="0"/>
                <w:numId w:val="52"/>
              </w:numPr>
              <w:spacing w:after="0"/>
              <w:ind w:left="391" w:hanging="357"/>
              <w:rPr>
                <w:rFonts w:ascii="Arial" w:hAnsi="Arial" w:cs="Arial"/>
                <w:color w:val="006100"/>
                <w:sz w:val="16"/>
                <w:szCs w:val="16"/>
              </w:rPr>
            </w:pPr>
            <w:r>
              <w:rPr>
                <w:rFonts w:ascii="Arial" w:hAnsi="Arial" w:cs="Arial"/>
                <w:color w:val="006100"/>
                <w:sz w:val="16"/>
                <w:szCs w:val="16"/>
                <w:lang w:val="en-IE" w:eastAsia="en-GB"/>
              </w:rPr>
              <w:lastRenderedPageBreak/>
              <w:t>S</w:t>
            </w:r>
            <w:r w:rsidRPr="004F3D4C">
              <w:rPr>
                <w:rFonts w:ascii="Arial" w:hAnsi="Arial" w:cs="Arial"/>
                <w:color w:val="006100"/>
                <w:sz w:val="16"/>
                <w:szCs w:val="16"/>
                <w:lang w:val="en-IE" w:eastAsia="en-GB"/>
              </w:rPr>
              <w:t>preadsheet</w:t>
            </w:r>
            <w:r>
              <w:rPr>
                <w:rFonts w:ascii="Arial" w:hAnsi="Arial" w:cs="Arial"/>
                <w:color w:val="006100"/>
                <w:sz w:val="16"/>
                <w:szCs w:val="16"/>
                <w:lang w:val="en-IE" w:eastAsia="en-GB"/>
              </w:rPr>
              <w:t xml:space="preserve"> </w:t>
            </w:r>
            <w:r w:rsidRPr="004F3D4C">
              <w:rPr>
                <w:rFonts w:ascii="Arial" w:hAnsi="Arial" w:cs="Arial"/>
                <w:color w:val="006100"/>
                <w:sz w:val="16"/>
                <w:szCs w:val="16"/>
                <w:lang w:val="en-IE" w:eastAsia="en-GB"/>
              </w:rPr>
              <w:t>with the list of the renewable energy facilities commissioned, including for each one of them</w:t>
            </w:r>
            <w:r>
              <w:rPr>
                <w:rFonts w:ascii="Arial" w:hAnsi="Arial" w:cs="Arial"/>
                <w:color w:val="006100"/>
                <w:sz w:val="16"/>
                <w:szCs w:val="16"/>
                <w:lang w:val="en-IE" w:eastAsia="en-GB"/>
              </w:rPr>
              <w:t>:</w:t>
            </w:r>
          </w:p>
          <w:p w14:paraId="7384ADFA" w14:textId="77777777" w:rsidR="0046499F" w:rsidRPr="00E63F3F" w:rsidRDefault="0046499F" w:rsidP="0046499F">
            <w:pPr>
              <w:pStyle w:val="ListParagraph"/>
              <w:numPr>
                <w:ilvl w:val="0"/>
                <w:numId w:val="3"/>
              </w:numPr>
              <w:spacing w:after="0"/>
              <w:ind w:left="543" w:hanging="142"/>
              <w:rPr>
                <w:rFonts w:ascii="Arial" w:hAnsi="Arial" w:cs="Arial"/>
                <w:color w:val="006100"/>
                <w:sz w:val="16"/>
                <w:szCs w:val="16"/>
              </w:rPr>
            </w:pPr>
            <w:r w:rsidRPr="004F3D4C">
              <w:rPr>
                <w:rFonts w:ascii="Arial" w:hAnsi="Arial" w:cs="Arial"/>
                <w:color w:val="006100"/>
                <w:sz w:val="16"/>
                <w:szCs w:val="16"/>
                <w:lang w:val="en-IE" w:eastAsia="en-GB"/>
              </w:rPr>
              <w:t>a unique identifier, the name, the location and a brief description of the facility</w:t>
            </w:r>
          </w:p>
          <w:p w14:paraId="47781F22" w14:textId="77777777" w:rsidR="0046499F" w:rsidRPr="00E63F3F" w:rsidRDefault="0046499F" w:rsidP="0046499F">
            <w:pPr>
              <w:pStyle w:val="ListParagraph"/>
              <w:numPr>
                <w:ilvl w:val="0"/>
                <w:numId w:val="3"/>
              </w:numPr>
              <w:spacing w:after="0"/>
              <w:ind w:left="543" w:hanging="142"/>
              <w:rPr>
                <w:rFonts w:ascii="Arial" w:hAnsi="Arial" w:cs="Arial"/>
                <w:color w:val="006100"/>
                <w:sz w:val="16"/>
                <w:szCs w:val="16"/>
              </w:rPr>
            </w:pPr>
            <w:r w:rsidRPr="004F3D4C">
              <w:rPr>
                <w:rFonts w:ascii="Arial" w:hAnsi="Arial" w:cs="Arial"/>
                <w:color w:val="006100"/>
                <w:sz w:val="16"/>
                <w:szCs w:val="16"/>
                <w:lang w:val="en-IE" w:eastAsia="en-GB"/>
              </w:rPr>
              <w:lastRenderedPageBreak/>
              <w:t>the type of renewable energy capacity; and d) the amount of cumulative additional production capacity for renewable energy and storage installed (in MW)</w:t>
            </w:r>
          </w:p>
          <w:p w14:paraId="08ECB37E" w14:textId="6E056E27" w:rsidR="0046499F" w:rsidRPr="00726587" w:rsidRDefault="0046499F" w:rsidP="0046499F">
            <w:pPr>
              <w:pStyle w:val="ListParagraph"/>
              <w:numPr>
                <w:ilvl w:val="0"/>
                <w:numId w:val="52"/>
              </w:numPr>
              <w:spacing w:after="0"/>
              <w:ind w:left="391" w:hanging="357"/>
              <w:rPr>
                <w:rFonts w:ascii="Arial" w:hAnsi="Arial" w:cs="Arial"/>
                <w:color w:val="006100"/>
                <w:sz w:val="16"/>
                <w:szCs w:val="16"/>
              </w:rPr>
            </w:pPr>
            <w:r w:rsidRPr="004F3D4C">
              <w:rPr>
                <w:rFonts w:ascii="Arial" w:hAnsi="Arial" w:cs="Arial"/>
                <w:color w:val="006100"/>
                <w:sz w:val="16"/>
                <w:szCs w:val="16"/>
                <w:lang w:val="en-IE" w:eastAsia="en-GB"/>
              </w:rPr>
              <w:t>Certification by the national authority responsible for connection to the power grid</w:t>
            </w:r>
            <w:r>
              <w:rPr>
                <w:rFonts w:ascii="Arial" w:hAnsi="Arial" w:cs="Arial"/>
                <w:color w:val="006100"/>
                <w:sz w:val="16"/>
                <w:szCs w:val="16"/>
                <w:lang w:val="en-IE" w:eastAsia="en-GB"/>
              </w:rPr>
              <w:t xml:space="preserve"> (</w:t>
            </w:r>
            <w:r w:rsidRPr="004F3D4C">
              <w:rPr>
                <w:rFonts w:ascii="Arial" w:hAnsi="Arial" w:cs="Arial"/>
                <w:color w:val="006100"/>
                <w:sz w:val="16"/>
                <w:szCs w:val="16"/>
                <w:lang w:val="en-IE" w:eastAsia="en-GB"/>
              </w:rPr>
              <w:t>BG to specify proof of operation</w:t>
            </w:r>
            <w:r>
              <w:rPr>
                <w:rFonts w:ascii="Arial" w:hAnsi="Arial" w:cs="Arial"/>
                <w:color w:val="006100"/>
                <w:sz w:val="16"/>
                <w:szCs w:val="16"/>
                <w:lang w:val="en-IE" w:eastAsia="en-GB"/>
              </w:rPr>
              <w:t>)</w:t>
            </w:r>
          </w:p>
        </w:tc>
        <w:tc>
          <w:tcPr>
            <w:tcW w:w="3402" w:type="dxa"/>
            <w:shd w:val="clear" w:color="auto" w:fill="D6E3C6"/>
          </w:tcPr>
          <w:p w14:paraId="09BC517B"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p>
          <w:p w14:paraId="188E7EC1" w14:textId="77777777" w:rsidR="0046499F" w:rsidRPr="009F2F58" w:rsidRDefault="0046499F" w:rsidP="0046499F">
            <w:pPr>
              <w:spacing w:after="0"/>
              <w:rPr>
                <w:rFonts w:ascii="Arial" w:hAnsi="Arial" w:cs="Arial"/>
                <w:color w:val="006100"/>
                <w:sz w:val="16"/>
                <w:szCs w:val="16"/>
              </w:rPr>
            </w:pPr>
          </w:p>
          <w:p w14:paraId="2DA165E4" w14:textId="5646BDC0"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3834A4">
              <w:rPr>
                <w:rFonts w:ascii="Arial" w:hAnsi="Arial" w:cs="Arial"/>
                <w:color w:val="006100"/>
                <w:sz w:val="16"/>
                <w:szCs w:val="16"/>
              </w:rPr>
              <w:t>Overall new production capacity of electricity from renewable sources (wind and solar power) commissioned</w:t>
            </w:r>
          </w:p>
          <w:p w14:paraId="23CEA303" w14:textId="77777777" w:rsidR="0046499F" w:rsidRPr="009F2F58" w:rsidRDefault="0046499F" w:rsidP="0046499F">
            <w:pPr>
              <w:spacing w:after="0"/>
              <w:rPr>
                <w:rFonts w:ascii="Arial" w:hAnsi="Arial" w:cs="Arial"/>
                <w:color w:val="006100"/>
                <w:sz w:val="16"/>
                <w:szCs w:val="16"/>
              </w:rPr>
            </w:pPr>
          </w:p>
          <w:p w14:paraId="495072FF" w14:textId="74704A86"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w:t>
            </w:r>
            <w:r w:rsidR="00FF502B">
              <w:rPr>
                <w:rFonts w:ascii="Arial" w:hAnsi="Arial" w:cs="Arial"/>
                <w:color w:val="006100"/>
                <w:sz w:val="16"/>
                <w:szCs w:val="16"/>
              </w:rPr>
              <w:t xml:space="preserve">commissioning and </w:t>
            </w:r>
            <w:r>
              <w:rPr>
                <w:rFonts w:ascii="Arial" w:hAnsi="Arial" w:cs="Arial"/>
                <w:color w:val="006100"/>
                <w:sz w:val="16"/>
                <w:szCs w:val="16"/>
              </w:rPr>
              <w:t>reporting (a) and certification (b)</w:t>
            </w:r>
          </w:p>
          <w:p w14:paraId="2E58705D" w14:textId="77777777" w:rsidR="0046499F" w:rsidRPr="009F2F58" w:rsidRDefault="0046499F" w:rsidP="0046499F">
            <w:pPr>
              <w:spacing w:after="0"/>
              <w:rPr>
                <w:rFonts w:ascii="Arial" w:hAnsi="Arial" w:cs="Arial"/>
                <w:color w:val="006100"/>
                <w:sz w:val="16"/>
                <w:szCs w:val="16"/>
              </w:rPr>
            </w:pPr>
          </w:p>
          <w:p w14:paraId="11DB5D74" w14:textId="101AE41F"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3834A4">
              <w:rPr>
                <w:rFonts w:ascii="Arial" w:hAnsi="Arial" w:cs="Arial"/>
                <w:color w:val="006100"/>
                <w:sz w:val="16"/>
                <w:szCs w:val="16"/>
              </w:rPr>
              <w:t xml:space="preserve">At least 3 500MW of additional renewables capacity (wind and solar) compared to the 2022 levels of installed capacity (wind and solar) shall be </w:t>
            </w:r>
            <w:r w:rsidRPr="003834A4">
              <w:rPr>
                <w:rFonts w:ascii="Arial" w:hAnsi="Arial" w:cs="Arial"/>
                <w:color w:val="006100"/>
                <w:sz w:val="16"/>
                <w:szCs w:val="16"/>
              </w:rPr>
              <w:lastRenderedPageBreak/>
              <w:t xml:space="preserve">commissioned and connected to the grid. </w:t>
            </w:r>
            <w:r w:rsidRPr="009F2F58">
              <w:rPr>
                <w:rFonts w:ascii="Arial" w:hAnsi="Arial" w:cs="Arial"/>
                <w:color w:val="006100"/>
                <w:sz w:val="16"/>
                <w:szCs w:val="16"/>
              </w:rPr>
              <w:t>[provide references to the above in the summary document]</w:t>
            </w:r>
          </w:p>
          <w:p w14:paraId="279CF16D" w14:textId="77777777" w:rsidR="0046499F" w:rsidRPr="009F2F58" w:rsidRDefault="0046499F" w:rsidP="0046499F">
            <w:pPr>
              <w:spacing w:after="0"/>
              <w:rPr>
                <w:rFonts w:ascii="Arial" w:hAnsi="Arial" w:cs="Arial"/>
                <w:color w:val="006100"/>
                <w:sz w:val="16"/>
                <w:szCs w:val="16"/>
              </w:rPr>
            </w:pPr>
          </w:p>
          <w:p w14:paraId="3AF94E47" w14:textId="1CBE6D5F"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after project completion and certification</w:t>
            </w:r>
          </w:p>
        </w:tc>
        <w:tc>
          <w:tcPr>
            <w:tcW w:w="2268" w:type="dxa"/>
            <w:shd w:val="clear" w:color="auto" w:fill="D6E3C6"/>
          </w:tcPr>
          <w:p w14:paraId="7C09EF5A" w14:textId="77777777" w:rsidR="0046499F" w:rsidRPr="00941B0D" w:rsidRDefault="0046499F" w:rsidP="0046499F">
            <w:pPr>
              <w:spacing w:after="0"/>
              <w:rPr>
                <w:rFonts w:ascii="Arial" w:hAnsi="Arial" w:cs="Arial"/>
                <w:color w:val="006100"/>
                <w:sz w:val="16"/>
                <w:szCs w:val="16"/>
              </w:rPr>
            </w:pPr>
            <w:r w:rsidRPr="00941B0D">
              <w:rPr>
                <w:rFonts w:ascii="Arial" w:hAnsi="Arial" w:cs="Arial"/>
                <w:color w:val="006100"/>
                <w:sz w:val="16"/>
                <w:szCs w:val="16"/>
              </w:rPr>
              <w:lastRenderedPageBreak/>
              <w:t xml:space="preserve">The objective of this reform is reducing the administrative burden for investments from renewable sources concerning installation, connection and operation.  </w:t>
            </w:r>
          </w:p>
          <w:p w14:paraId="24305106" w14:textId="77777777" w:rsidR="0046499F" w:rsidRPr="00941B0D" w:rsidRDefault="0046499F" w:rsidP="0046499F">
            <w:pPr>
              <w:spacing w:after="0"/>
              <w:rPr>
                <w:rFonts w:ascii="Arial" w:hAnsi="Arial" w:cs="Arial"/>
                <w:color w:val="006100"/>
                <w:sz w:val="16"/>
                <w:szCs w:val="16"/>
              </w:rPr>
            </w:pPr>
          </w:p>
          <w:p w14:paraId="6CA11A6F" w14:textId="77777777" w:rsidR="0046499F" w:rsidRPr="00941B0D" w:rsidRDefault="0046499F" w:rsidP="0046499F">
            <w:pPr>
              <w:spacing w:after="0"/>
              <w:rPr>
                <w:rFonts w:ascii="Arial" w:hAnsi="Arial" w:cs="Arial"/>
                <w:color w:val="006100"/>
                <w:sz w:val="16"/>
                <w:szCs w:val="16"/>
              </w:rPr>
            </w:pPr>
            <w:r w:rsidRPr="00941B0D">
              <w:rPr>
                <w:rFonts w:ascii="Arial" w:hAnsi="Arial" w:cs="Arial"/>
                <w:color w:val="006100"/>
                <w:sz w:val="16"/>
                <w:szCs w:val="16"/>
              </w:rPr>
              <w:t xml:space="preserve">Amendments to the relevant primary and/or secondary legislation, including the acts by the national regulator shall: (i) simplify licensing and permitting procedures for RES </w:t>
            </w:r>
            <w:r w:rsidRPr="00941B0D">
              <w:rPr>
                <w:rFonts w:ascii="Arial" w:hAnsi="Arial" w:cs="Arial"/>
                <w:color w:val="006100"/>
                <w:sz w:val="16"/>
                <w:szCs w:val="16"/>
              </w:rPr>
              <w:lastRenderedPageBreak/>
              <w:t xml:space="preserve">(i.e., solar and onshore wind), including energy storage facilities, ensure short and binding administrative response times and accountability procedures for unnecessary delays, reducing the grid connection timeline (for both solar and onshore wind); (ii) enable dedicated ‘go-to’ areas where onshore wind parks would be compliant with environmental legislation; (iii) simplify the procedure for renewables installations for own use up to 1 MW (e.g. rooftop PV installations for households and SMEs) by excluding from the procedure the technical approval by the distribution system operator and phase out the obligation to declare excise duty for self-generation.  </w:t>
            </w:r>
          </w:p>
          <w:p w14:paraId="7B800A8F" w14:textId="77777777" w:rsidR="0046499F" w:rsidRPr="00941B0D" w:rsidRDefault="0046499F" w:rsidP="0046499F">
            <w:pPr>
              <w:spacing w:after="0"/>
              <w:rPr>
                <w:rFonts w:ascii="Arial" w:hAnsi="Arial" w:cs="Arial"/>
                <w:color w:val="006100"/>
                <w:sz w:val="16"/>
                <w:szCs w:val="16"/>
              </w:rPr>
            </w:pPr>
          </w:p>
          <w:p w14:paraId="1457B756" w14:textId="7A220210" w:rsidR="0046499F" w:rsidRPr="004F3D4C" w:rsidRDefault="0046499F" w:rsidP="0046499F">
            <w:pPr>
              <w:spacing w:after="0"/>
              <w:rPr>
                <w:rFonts w:ascii="Arial" w:hAnsi="Arial" w:cs="Arial"/>
                <w:color w:val="006100"/>
                <w:sz w:val="16"/>
                <w:szCs w:val="16"/>
              </w:rPr>
            </w:pPr>
            <w:r w:rsidRPr="00941B0D">
              <w:rPr>
                <w:rFonts w:ascii="Arial" w:hAnsi="Arial" w:cs="Arial"/>
                <w:color w:val="006100"/>
                <w:sz w:val="16"/>
                <w:szCs w:val="16"/>
              </w:rPr>
              <w:t>In addition, amendments to the relevant primary and/or secondary legislation shall eliminate barriers, introduce a specific regulatory, and support framework for the construction, connection and operation of electricity storage facilities. This element of the reform is expected to support the implementation of investment 8 on storage.</w:t>
            </w:r>
          </w:p>
        </w:tc>
        <w:tc>
          <w:tcPr>
            <w:tcW w:w="1036" w:type="dxa"/>
            <w:gridSpan w:val="2"/>
            <w:shd w:val="clear" w:color="auto" w:fill="D6E3C6"/>
          </w:tcPr>
          <w:p w14:paraId="4E932BD8" w14:textId="4964084F"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lastRenderedPageBreak/>
              <w:t xml:space="preserve">As above </w:t>
            </w:r>
          </w:p>
        </w:tc>
        <w:tc>
          <w:tcPr>
            <w:tcW w:w="1090" w:type="dxa"/>
            <w:gridSpan w:val="2"/>
            <w:shd w:val="clear" w:color="auto" w:fill="D6E3C6"/>
          </w:tcPr>
          <w:p w14:paraId="37FED193" w14:textId="17F5DFB0"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As above</w:t>
            </w:r>
          </w:p>
        </w:tc>
        <w:tc>
          <w:tcPr>
            <w:tcW w:w="992" w:type="dxa"/>
            <w:gridSpan w:val="2"/>
            <w:shd w:val="clear" w:color="auto" w:fill="D6E3C6"/>
          </w:tcPr>
          <w:p w14:paraId="08F15C6E" w14:textId="07038E5D"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Indicator 2</w:t>
            </w:r>
          </w:p>
        </w:tc>
        <w:tc>
          <w:tcPr>
            <w:tcW w:w="1418" w:type="dxa"/>
            <w:gridSpan w:val="2"/>
            <w:shd w:val="clear" w:color="auto" w:fill="D6E3C6"/>
          </w:tcPr>
          <w:p w14:paraId="1FC6E0F4" w14:textId="7FF8B823" w:rsidR="0046499F" w:rsidRPr="004F3D4C" w:rsidRDefault="00F9728C" w:rsidP="0046499F">
            <w:pPr>
              <w:spacing w:after="0"/>
              <w:rPr>
                <w:rFonts w:ascii="Arial" w:hAnsi="Arial" w:cs="Arial"/>
                <w:color w:val="006100"/>
                <w:sz w:val="16"/>
                <w:szCs w:val="16"/>
              </w:rPr>
            </w:pPr>
            <w:r>
              <w:rPr>
                <w:rFonts w:ascii="Arial" w:hAnsi="Arial" w:cs="Arial"/>
                <w:color w:val="006100"/>
                <w:sz w:val="16"/>
                <w:szCs w:val="16"/>
              </w:rPr>
              <w:t xml:space="preserve">A monitoring step: </w:t>
            </w:r>
            <w:r w:rsidR="007B6EB6" w:rsidRPr="007B6EB6">
              <w:rPr>
                <w:rFonts w:ascii="Arial" w:hAnsi="Arial" w:cs="Arial"/>
                <w:color w:val="006100"/>
                <w:sz w:val="16"/>
                <w:szCs w:val="16"/>
              </w:rPr>
              <w:t xml:space="preserve">A status report that describes key achievements for the completion of overall new production capacity of electricity from renewable sources up to the reporting date, compared against the </w:t>
            </w:r>
            <w:r w:rsidR="007B6EB6" w:rsidRPr="007B6EB6">
              <w:rPr>
                <w:rFonts w:ascii="Arial" w:hAnsi="Arial" w:cs="Arial"/>
                <w:color w:val="006100"/>
                <w:sz w:val="16"/>
                <w:szCs w:val="16"/>
              </w:rPr>
              <w:lastRenderedPageBreak/>
              <w:t>investment plan. It shall include the work that was completed, the plan for what will follow, any issues and risks, and what is being done to address them</w:t>
            </w:r>
            <w:r w:rsidR="007B6EB6">
              <w:rPr>
                <w:rFonts w:ascii="Arial" w:hAnsi="Arial" w:cs="Arial"/>
                <w:color w:val="006100"/>
                <w:sz w:val="16"/>
                <w:szCs w:val="16"/>
              </w:rPr>
              <w:t xml:space="preserve"> (</w:t>
            </w:r>
            <w:r w:rsidR="000126AC">
              <w:rPr>
                <w:rFonts w:ascii="Arial" w:hAnsi="Arial" w:cs="Arial"/>
                <w:color w:val="006100"/>
                <w:sz w:val="16"/>
                <w:szCs w:val="16"/>
              </w:rPr>
              <w:t>Q4 2024</w:t>
            </w:r>
            <w:r w:rsidR="007B6EB6">
              <w:rPr>
                <w:rFonts w:ascii="Arial" w:hAnsi="Arial" w:cs="Arial"/>
                <w:color w:val="006100"/>
                <w:sz w:val="16"/>
                <w:szCs w:val="16"/>
              </w:rPr>
              <w:t>)</w:t>
            </w:r>
          </w:p>
        </w:tc>
      </w:tr>
      <w:tr w:rsidR="0046499F" w:rsidRPr="004F3D4C" w14:paraId="140E5899" w14:textId="104ADD73" w:rsidTr="00596EEA">
        <w:trPr>
          <w:trHeight w:val="309"/>
        </w:trPr>
        <w:tc>
          <w:tcPr>
            <w:tcW w:w="454" w:type="dxa"/>
            <w:shd w:val="clear" w:color="auto" w:fill="D6E3C6"/>
            <w:noWrap/>
          </w:tcPr>
          <w:p w14:paraId="7E1F127A" w14:textId="15D4DE77"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lastRenderedPageBreak/>
              <w:t>105</w:t>
            </w:r>
          </w:p>
        </w:tc>
        <w:tc>
          <w:tcPr>
            <w:tcW w:w="1215" w:type="dxa"/>
            <w:shd w:val="clear" w:color="auto" w:fill="D6E3C6"/>
            <w:noWrap/>
          </w:tcPr>
          <w:p w14:paraId="0914DD9E" w14:textId="1AC64DD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C4.I7: Pilot project on combined heat and power from geothermal sources</w:t>
            </w:r>
          </w:p>
        </w:tc>
        <w:tc>
          <w:tcPr>
            <w:tcW w:w="956" w:type="dxa"/>
            <w:shd w:val="clear" w:color="auto" w:fill="D6E3C6"/>
            <w:noWrap/>
          </w:tcPr>
          <w:p w14:paraId="00869D4A" w14:textId="44A60F9F"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474CDDC6" w14:textId="31B215AA"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Entry into force of the amendments to the Water Act, the Energy Act and the Concessions Act in relation to the construction of a new type of power plant and the use of geothermal energy.</w:t>
            </w:r>
          </w:p>
        </w:tc>
        <w:tc>
          <w:tcPr>
            <w:tcW w:w="1322" w:type="dxa"/>
            <w:shd w:val="clear" w:color="auto" w:fill="D6E3C6"/>
            <w:noWrap/>
          </w:tcPr>
          <w:p w14:paraId="6AE4D01E" w14:textId="17F5D880"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the Acts indicating the entry into force of the amendments to the Water Act, the Energy Act and the Concessions Act</w:t>
            </w:r>
          </w:p>
        </w:tc>
        <w:tc>
          <w:tcPr>
            <w:tcW w:w="709" w:type="dxa"/>
            <w:shd w:val="clear" w:color="auto" w:fill="D6E3C6"/>
            <w:noWrap/>
          </w:tcPr>
          <w:p w14:paraId="6710F65F"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10C894DF"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7A03FA3D"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05A3DE17" w14:textId="4D7F73C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7A8BC96E" w14:textId="2D88710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5FBB8030" w14:textId="076453C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 Ministry of Environment and Waters</w:t>
            </w:r>
          </w:p>
        </w:tc>
        <w:tc>
          <w:tcPr>
            <w:tcW w:w="851" w:type="dxa"/>
            <w:gridSpan w:val="2"/>
            <w:shd w:val="clear" w:color="auto" w:fill="D6E3C6"/>
          </w:tcPr>
          <w:p w14:paraId="37319BC3"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5236DB1D" w14:textId="77777777" w:rsidR="0046499F" w:rsidRDefault="0046499F" w:rsidP="0046499F">
            <w:pPr>
              <w:pStyle w:val="ListParagraph"/>
              <w:numPr>
                <w:ilvl w:val="0"/>
                <w:numId w:val="53"/>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t>Copy of the publication in the State Gazette for primary legislation and the secondary legislation that is critical for achieving the objectives described in the milestone and in the CID</w:t>
            </w:r>
          </w:p>
          <w:p w14:paraId="2E28948A" w14:textId="6A487736" w:rsidR="0046499F" w:rsidRPr="000D6F3A" w:rsidRDefault="0046499F" w:rsidP="0046499F">
            <w:pPr>
              <w:pStyle w:val="ListParagraph"/>
              <w:numPr>
                <w:ilvl w:val="0"/>
                <w:numId w:val="53"/>
              </w:numPr>
              <w:spacing w:after="0"/>
              <w:ind w:left="391" w:hanging="357"/>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 xml:space="preserve">eference to the relevant provisions indicating the entry into force, accompanied by a document duly justifying how the milestone (including all the constitutive </w:t>
            </w:r>
            <w:r w:rsidRPr="004F3D4C">
              <w:rPr>
                <w:rFonts w:ascii="Arial" w:hAnsi="Arial" w:cs="Arial"/>
                <w:color w:val="006100"/>
                <w:sz w:val="16"/>
                <w:szCs w:val="16"/>
                <w:lang w:eastAsia="en-GB"/>
              </w:rPr>
              <w:lastRenderedPageBreak/>
              <w:t>elements) was satisfactorily fulfilled</w:t>
            </w:r>
          </w:p>
        </w:tc>
        <w:tc>
          <w:tcPr>
            <w:tcW w:w="3402" w:type="dxa"/>
            <w:shd w:val="clear" w:color="auto" w:fill="D6E3C6"/>
          </w:tcPr>
          <w:p w14:paraId="0F01F1FB" w14:textId="1030CC12"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 Ministry of Environment and Waters</w:t>
            </w:r>
          </w:p>
          <w:p w14:paraId="58ACDBC9" w14:textId="77777777" w:rsidR="0046499F" w:rsidRPr="009F2F58" w:rsidRDefault="0046499F" w:rsidP="0046499F">
            <w:pPr>
              <w:spacing w:after="0"/>
              <w:rPr>
                <w:rFonts w:ascii="Arial" w:hAnsi="Arial" w:cs="Arial"/>
                <w:color w:val="006100"/>
                <w:sz w:val="16"/>
                <w:szCs w:val="16"/>
              </w:rPr>
            </w:pPr>
          </w:p>
          <w:p w14:paraId="7A78914C" w14:textId="72F67963"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D52EC4">
              <w:rPr>
                <w:rFonts w:ascii="Arial" w:hAnsi="Arial" w:cs="Arial"/>
                <w:color w:val="006100"/>
                <w:sz w:val="16"/>
                <w:szCs w:val="16"/>
              </w:rPr>
              <w:t>Entry into force of the amendments to the Water Act, the Energy Act and the Concessions Act in relation to the construction of a new type of power plant and the use of geothermal energy</w:t>
            </w:r>
          </w:p>
          <w:p w14:paraId="7E6B044C" w14:textId="77777777" w:rsidR="0046499F" w:rsidRPr="009F2F58" w:rsidRDefault="0046499F" w:rsidP="0046499F">
            <w:pPr>
              <w:spacing w:after="0"/>
              <w:rPr>
                <w:rFonts w:ascii="Arial" w:hAnsi="Arial" w:cs="Arial"/>
                <w:color w:val="006100"/>
                <w:sz w:val="16"/>
                <w:szCs w:val="16"/>
              </w:rPr>
            </w:pPr>
          </w:p>
          <w:p w14:paraId="6A90C2D4" w14:textId="1D818289"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entry into force (evidence</w:t>
            </w:r>
            <w:r w:rsidR="00110411">
              <w:rPr>
                <w:rFonts w:ascii="Arial" w:hAnsi="Arial" w:cs="Arial"/>
                <w:color w:val="006100"/>
                <w:sz w:val="16"/>
                <w:szCs w:val="16"/>
              </w:rPr>
              <w:t>d</w:t>
            </w:r>
            <w:r>
              <w:rPr>
                <w:rFonts w:ascii="Arial" w:hAnsi="Arial" w:cs="Arial"/>
                <w:color w:val="006100"/>
                <w:sz w:val="16"/>
                <w:szCs w:val="16"/>
              </w:rPr>
              <w:t xml:space="preserve"> by a) and reporting (b)</w:t>
            </w:r>
          </w:p>
          <w:p w14:paraId="4E8F3C85" w14:textId="77777777" w:rsidR="0046499F" w:rsidRPr="009F2F58" w:rsidRDefault="0046499F" w:rsidP="0046499F">
            <w:pPr>
              <w:spacing w:after="0"/>
              <w:rPr>
                <w:rFonts w:ascii="Arial" w:hAnsi="Arial" w:cs="Arial"/>
                <w:color w:val="006100"/>
                <w:sz w:val="16"/>
                <w:szCs w:val="16"/>
              </w:rPr>
            </w:pPr>
          </w:p>
          <w:p w14:paraId="68119DAB" w14:textId="66C4D61A"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990D23">
              <w:rPr>
                <w:rFonts w:ascii="Arial" w:hAnsi="Arial" w:cs="Arial"/>
                <w:color w:val="006100"/>
                <w:sz w:val="16"/>
                <w:szCs w:val="16"/>
              </w:rPr>
              <w:t>The amendments to the regulatory framework (Water Act, Energy Act and Concessions Act and of any required secondary legislation) shall: remove key impediments identified in the roadmap for the development of geothermal energy as a renewable energy source; provide that there is no pollution of groundwater and water surfaces, both in geothermal energy studies and during operation of the installation; regulate the use of geothermal energy as a resource.</w:t>
            </w:r>
          </w:p>
          <w:p w14:paraId="06DAA3C8" w14:textId="77777777" w:rsidR="0046499F" w:rsidRPr="009F2F58" w:rsidRDefault="0046499F" w:rsidP="0046499F">
            <w:pPr>
              <w:spacing w:after="0"/>
              <w:rPr>
                <w:rFonts w:ascii="Arial" w:hAnsi="Arial" w:cs="Arial"/>
                <w:color w:val="006100"/>
                <w:sz w:val="16"/>
                <w:szCs w:val="16"/>
              </w:rPr>
            </w:pPr>
          </w:p>
          <w:p w14:paraId="23639713" w14:textId="1F1FCA64"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development and entry into force</w:t>
            </w:r>
          </w:p>
        </w:tc>
        <w:tc>
          <w:tcPr>
            <w:tcW w:w="2268" w:type="dxa"/>
            <w:shd w:val="clear" w:color="auto" w:fill="D6E3C6"/>
          </w:tcPr>
          <w:p w14:paraId="308D1803" w14:textId="77777777" w:rsidR="0046499F" w:rsidRPr="000D6F3A" w:rsidRDefault="0046499F" w:rsidP="0046499F">
            <w:pPr>
              <w:spacing w:after="0"/>
              <w:rPr>
                <w:rFonts w:ascii="Arial" w:hAnsi="Arial" w:cs="Arial"/>
                <w:color w:val="006100"/>
                <w:sz w:val="16"/>
                <w:szCs w:val="16"/>
              </w:rPr>
            </w:pPr>
            <w:r w:rsidRPr="000D6F3A">
              <w:rPr>
                <w:rFonts w:ascii="Arial" w:hAnsi="Arial" w:cs="Arial"/>
                <w:color w:val="006100"/>
                <w:sz w:val="16"/>
                <w:szCs w:val="16"/>
              </w:rPr>
              <w:lastRenderedPageBreak/>
              <w:t xml:space="preserve">The objective of the investment is to promote the production of renewable energy from geothermal sources by putting into operation a pilot geothermal power plant for the production of electricity and heat.  </w:t>
            </w:r>
          </w:p>
          <w:p w14:paraId="2FDF089A" w14:textId="77777777" w:rsidR="0046499F" w:rsidRPr="000D6F3A" w:rsidRDefault="0046499F" w:rsidP="0046499F">
            <w:pPr>
              <w:spacing w:after="0"/>
              <w:rPr>
                <w:rFonts w:ascii="Arial" w:hAnsi="Arial" w:cs="Arial"/>
                <w:color w:val="006100"/>
                <w:sz w:val="16"/>
                <w:szCs w:val="16"/>
              </w:rPr>
            </w:pPr>
          </w:p>
          <w:p w14:paraId="0998CC29" w14:textId="08B96334" w:rsidR="0046499F" w:rsidRPr="004F3D4C" w:rsidRDefault="0046499F" w:rsidP="0046499F">
            <w:pPr>
              <w:spacing w:after="0"/>
              <w:rPr>
                <w:rFonts w:ascii="Arial" w:hAnsi="Arial" w:cs="Arial"/>
                <w:color w:val="006100"/>
                <w:sz w:val="16"/>
                <w:szCs w:val="16"/>
              </w:rPr>
            </w:pPr>
            <w:r w:rsidRPr="000D6F3A">
              <w:rPr>
                <w:rFonts w:ascii="Arial" w:hAnsi="Arial" w:cs="Arial"/>
                <w:color w:val="006100"/>
                <w:sz w:val="16"/>
                <w:szCs w:val="16"/>
              </w:rPr>
              <w:t xml:space="preserve">The investment shall consist in grants for the construction of the selected installations, with the objective of installing at least 10 MW of electricity and 30 MW of heat. The investment shall also provide 3D seismic mapping of deep geothermal reservoirs providing conditions for production and electricity and build a specialised laboratory at university level for research and training on combined geothermal energy system. </w:t>
            </w:r>
            <w:r w:rsidRPr="000D6F3A">
              <w:rPr>
                <w:rFonts w:ascii="Arial" w:hAnsi="Arial" w:cs="Arial"/>
                <w:color w:val="006100"/>
                <w:sz w:val="16"/>
                <w:szCs w:val="16"/>
              </w:rPr>
              <w:lastRenderedPageBreak/>
              <w:t>Amendments to the regulatory framework shall remove key impediments identified in the roadmap for the development of geothermal energy as a renewable energy source and regulate the use of geothermal energy.</w:t>
            </w:r>
          </w:p>
        </w:tc>
        <w:tc>
          <w:tcPr>
            <w:tcW w:w="1036" w:type="dxa"/>
            <w:gridSpan w:val="2"/>
            <w:shd w:val="clear" w:color="auto" w:fill="D6E3C6"/>
          </w:tcPr>
          <w:p w14:paraId="4E61BCA4" w14:textId="3FABE935"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lastRenderedPageBreak/>
              <w:t>-</w:t>
            </w:r>
          </w:p>
        </w:tc>
        <w:tc>
          <w:tcPr>
            <w:tcW w:w="1090" w:type="dxa"/>
            <w:gridSpan w:val="2"/>
            <w:shd w:val="clear" w:color="auto" w:fill="D6E3C6"/>
          </w:tcPr>
          <w:p w14:paraId="181F9B59" w14:textId="692F15BC"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1F72E867" w14:textId="7C86FB94"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231E3B07" w14:textId="55428E78" w:rsidR="0046499F" w:rsidRPr="004F3D4C" w:rsidRDefault="00110411" w:rsidP="0046499F">
            <w:pPr>
              <w:spacing w:after="0"/>
              <w:rPr>
                <w:rFonts w:ascii="Arial" w:hAnsi="Arial" w:cs="Arial"/>
                <w:color w:val="006100"/>
                <w:sz w:val="16"/>
                <w:szCs w:val="16"/>
              </w:rPr>
            </w:pPr>
            <w:r>
              <w:rPr>
                <w:rFonts w:ascii="Arial" w:hAnsi="Arial" w:cs="Arial"/>
                <w:color w:val="006100"/>
                <w:sz w:val="16"/>
                <w:szCs w:val="16"/>
              </w:rPr>
              <w:t>A monitoring step:</w:t>
            </w:r>
            <w:r w:rsidR="00BC0744">
              <w:rPr>
                <w:rFonts w:ascii="Arial" w:hAnsi="Arial" w:cs="Arial"/>
                <w:color w:val="006100"/>
                <w:sz w:val="16"/>
                <w:szCs w:val="16"/>
              </w:rPr>
              <w:t xml:space="preserve"> </w:t>
            </w:r>
            <w:r w:rsidR="00BC0744" w:rsidRPr="00BC0744">
              <w:rPr>
                <w:rFonts w:ascii="Arial" w:hAnsi="Arial" w:cs="Arial"/>
                <w:color w:val="006100"/>
                <w:sz w:val="16"/>
                <w:szCs w:val="16"/>
              </w:rPr>
              <w:t>Preliminary consultation of the European Commission</w:t>
            </w:r>
            <w:r w:rsidR="00BC0744">
              <w:rPr>
                <w:rFonts w:ascii="Arial" w:hAnsi="Arial" w:cs="Arial"/>
                <w:color w:val="006100"/>
                <w:sz w:val="16"/>
                <w:szCs w:val="16"/>
              </w:rPr>
              <w:t xml:space="preserve"> (</w:t>
            </w:r>
            <w:r w:rsidR="00B64B79">
              <w:rPr>
                <w:rFonts w:ascii="Arial" w:hAnsi="Arial" w:cs="Arial"/>
                <w:color w:val="006100"/>
                <w:sz w:val="16"/>
                <w:szCs w:val="16"/>
              </w:rPr>
              <w:t>Q3 20</w:t>
            </w:r>
            <w:r w:rsidR="00C84110">
              <w:rPr>
                <w:rFonts w:ascii="Arial" w:hAnsi="Arial" w:cs="Arial"/>
                <w:color w:val="006100"/>
                <w:sz w:val="16"/>
                <w:szCs w:val="16"/>
              </w:rPr>
              <w:t>22</w:t>
            </w:r>
            <w:r w:rsidR="00BC0744">
              <w:rPr>
                <w:rFonts w:ascii="Arial" w:hAnsi="Arial" w:cs="Arial"/>
                <w:color w:val="006100"/>
                <w:sz w:val="16"/>
                <w:szCs w:val="16"/>
              </w:rPr>
              <w:t>)</w:t>
            </w:r>
            <w:r>
              <w:rPr>
                <w:rFonts w:ascii="Arial" w:hAnsi="Arial" w:cs="Arial"/>
                <w:color w:val="006100"/>
                <w:sz w:val="16"/>
                <w:szCs w:val="16"/>
              </w:rPr>
              <w:t xml:space="preserve"> </w:t>
            </w:r>
          </w:p>
        </w:tc>
      </w:tr>
      <w:tr w:rsidR="0046499F" w:rsidRPr="004F3D4C" w14:paraId="1539D1B7" w14:textId="0551B460" w:rsidTr="00596EEA">
        <w:trPr>
          <w:trHeight w:val="309"/>
        </w:trPr>
        <w:tc>
          <w:tcPr>
            <w:tcW w:w="454" w:type="dxa"/>
            <w:shd w:val="clear" w:color="auto" w:fill="D6E3C6"/>
            <w:noWrap/>
          </w:tcPr>
          <w:p w14:paraId="0569A9D8" w14:textId="223438B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106</w:t>
            </w:r>
          </w:p>
        </w:tc>
        <w:tc>
          <w:tcPr>
            <w:tcW w:w="1215" w:type="dxa"/>
            <w:shd w:val="clear" w:color="auto" w:fill="D6E3C6"/>
            <w:noWrap/>
          </w:tcPr>
          <w:p w14:paraId="41A58927" w14:textId="36E1C0B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C4.I7: Pilot project on combined heat and power from geothermal sources</w:t>
            </w:r>
          </w:p>
        </w:tc>
        <w:tc>
          <w:tcPr>
            <w:tcW w:w="956" w:type="dxa"/>
            <w:shd w:val="clear" w:color="auto" w:fill="D6E3C6"/>
            <w:noWrap/>
          </w:tcPr>
          <w:p w14:paraId="068B742A" w14:textId="0DABC14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2EF41E50" w14:textId="112226CC"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Setting up a specialised laboratory for research and training in the field of geothermal energy</w:t>
            </w:r>
          </w:p>
        </w:tc>
        <w:tc>
          <w:tcPr>
            <w:tcW w:w="1322" w:type="dxa"/>
            <w:shd w:val="clear" w:color="auto" w:fill="D6E3C6"/>
            <w:noWrap/>
          </w:tcPr>
          <w:p w14:paraId="663BBF99" w14:textId="66371276"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Specialised laboratory operational</w:t>
            </w:r>
          </w:p>
        </w:tc>
        <w:tc>
          <w:tcPr>
            <w:tcW w:w="709" w:type="dxa"/>
            <w:shd w:val="clear" w:color="auto" w:fill="D6E3C6"/>
            <w:noWrap/>
          </w:tcPr>
          <w:p w14:paraId="1D3236F0"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2A724D4F"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7E0CAB68"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4718C192" w14:textId="69CC151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Q3</w:t>
            </w:r>
          </w:p>
        </w:tc>
        <w:tc>
          <w:tcPr>
            <w:tcW w:w="520" w:type="dxa"/>
            <w:shd w:val="clear" w:color="auto" w:fill="D6E3C6"/>
            <w:noWrap/>
          </w:tcPr>
          <w:p w14:paraId="1BC6E392" w14:textId="55527749"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3815103C" w14:textId="7D8F2556"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1B1CB07B"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510A65FE" w14:textId="3FB68B3F" w:rsidR="0046499F" w:rsidRPr="004F3D4C" w:rsidRDefault="0046499F" w:rsidP="0046499F">
            <w:pPr>
              <w:pStyle w:val="ListParagraph"/>
              <w:numPr>
                <w:ilvl w:val="0"/>
                <w:numId w:val="54"/>
              </w:numPr>
              <w:ind w:left="391" w:hanging="357"/>
              <w:rPr>
                <w:rFonts w:ascii="Arial" w:hAnsi="Arial" w:cs="Arial"/>
                <w:color w:val="006100"/>
                <w:sz w:val="16"/>
                <w:szCs w:val="16"/>
                <w:lang w:val="en-IE" w:eastAsia="en-GB"/>
              </w:rPr>
            </w:pPr>
            <w:r w:rsidRPr="004F3D4C">
              <w:rPr>
                <w:rFonts w:ascii="Arial" w:hAnsi="Arial" w:cs="Arial"/>
                <w:color w:val="006100"/>
                <w:sz w:val="16"/>
                <w:szCs w:val="16"/>
                <w:lang w:val="en-IE" w:eastAsia="en-GB"/>
              </w:rPr>
              <w:t>A copy of the signed contracts</w:t>
            </w:r>
          </w:p>
          <w:p w14:paraId="16F7B08B" w14:textId="5908D231" w:rsidR="0046499F" w:rsidRPr="004F3D4C" w:rsidRDefault="0046499F" w:rsidP="0046499F">
            <w:pPr>
              <w:pStyle w:val="ListParagraph"/>
              <w:numPr>
                <w:ilvl w:val="0"/>
                <w:numId w:val="54"/>
              </w:numPr>
              <w:ind w:left="391" w:hanging="357"/>
              <w:rPr>
                <w:rFonts w:ascii="Arial" w:hAnsi="Arial" w:cs="Arial"/>
                <w:color w:val="006100"/>
                <w:sz w:val="16"/>
                <w:szCs w:val="16"/>
                <w:lang w:val="en-IE" w:eastAsia="en-GB"/>
              </w:rPr>
            </w:pPr>
            <w:r w:rsidRPr="004F3D4C">
              <w:rPr>
                <w:rFonts w:ascii="Arial" w:hAnsi="Arial" w:cs="Arial"/>
                <w:color w:val="006100"/>
                <w:sz w:val="16"/>
                <w:szCs w:val="16"/>
                <w:lang w:val="en-IE" w:eastAsia="en-GB"/>
              </w:rPr>
              <w:t>Certificates of entry into operation of the laboratory signed by the contractor and the competent authority in accordance with national legislation</w:t>
            </w:r>
          </w:p>
          <w:p w14:paraId="6838A98B" w14:textId="427487A1" w:rsidR="0046499F" w:rsidRPr="00FD56C8" w:rsidRDefault="0046499F" w:rsidP="0046499F">
            <w:pPr>
              <w:pStyle w:val="ListParagraph"/>
              <w:numPr>
                <w:ilvl w:val="0"/>
                <w:numId w:val="54"/>
              </w:numPr>
              <w:ind w:left="391" w:hanging="357"/>
              <w:rPr>
                <w:rFonts w:ascii="Arial" w:hAnsi="Arial" w:cs="Arial"/>
                <w:color w:val="006100"/>
                <w:sz w:val="16"/>
                <w:szCs w:val="16"/>
              </w:rPr>
            </w:pPr>
            <w:r w:rsidRPr="004F3D4C">
              <w:rPr>
                <w:rFonts w:ascii="Arial" w:hAnsi="Arial" w:cs="Arial"/>
                <w:color w:val="006100"/>
                <w:sz w:val="16"/>
                <w:szCs w:val="16"/>
                <w:lang w:val="en-IE" w:eastAsia="en-GB"/>
              </w:rPr>
              <w:t xml:space="preserve">Report from the competent authorities detailing how the laboratory is equipped for research and training in the field of geothermal energy, given the conditions indicated in the </w:t>
            </w:r>
            <w:r>
              <w:rPr>
                <w:rFonts w:ascii="Arial" w:hAnsi="Arial" w:cs="Arial"/>
                <w:color w:val="006100"/>
                <w:sz w:val="16"/>
                <w:szCs w:val="16"/>
                <w:lang w:val="en-IE" w:eastAsia="en-GB"/>
              </w:rPr>
              <w:t>CID</w:t>
            </w:r>
            <w:r w:rsidRPr="004F3D4C">
              <w:rPr>
                <w:rFonts w:ascii="Arial" w:hAnsi="Arial" w:cs="Arial"/>
                <w:color w:val="006100"/>
                <w:sz w:val="16"/>
                <w:szCs w:val="16"/>
                <w:lang w:val="en-IE" w:eastAsia="en-GB"/>
              </w:rPr>
              <w:t xml:space="preserve"> annex</w:t>
            </w:r>
          </w:p>
        </w:tc>
        <w:tc>
          <w:tcPr>
            <w:tcW w:w="3402" w:type="dxa"/>
            <w:shd w:val="clear" w:color="auto" w:fill="D6E3C6"/>
          </w:tcPr>
          <w:p w14:paraId="64A979BF" w14:textId="0D61CCCF"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54B073EB" w14:textId="77777777" w:rsidR="0046499F" w:rsidRPr="009F2F58" w:rsidRDefault="0046499F" w:rsidP="0046499F">
            <w:pPr>
              <w:spacing w:after="0"/>
              <w:rPr>
                <w:rFonts w:ascii="Arial" w:hAnsi="Arial" w:cs="Arial"/>
                <w:color w:val="006100"/>
                <w:sz w:val="16"/>
                <w:szCs w:val="16"/>
              </w:rPr>
            </w:pPr>
          </w:p>
          <w:p w14:paraId="31E95A1B" w14:textId="6A59A578"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E80B72">
              <w:rPr>
                <w:rFonts w:ascii="Arial" w:hAnsi="Arial" w:cs="Arial"/>
                <w:color w:val="006100"/>
                <w:sz w:val="16"/>
                <w:szCs w:val="16"/>
              </w:rPr>
              <w:t>Setting up a specialised laboratory for research and training in the field of geothermal energy</w:t>
            </w:r>
          </w:p>
          <w:p w14:paraId="40BD52B8" w14:textId="77777777" w:rsidR="0046499F" w:rsidRPr="009F2F58" w:rsidRDefault="0046499F" w:rsidP="0046499F">
            <w:pPr>
              <w:spacing w:after="0"/>
              <w:rPr>
                <w:rFonts w:ascii="Arial" w:hAnsi="Arial" w:cs="Arial"/>
                <w:color w:val="006100"/>
                <w:sz w:val="16"/>
                <w:szCs w:val="16"/>
              </w:rPr>
            </w:pPr>
          </w:p>
          <w:p w14:paraId="60328224" w14:textId="53F7A009"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entry into force (evidence</w:t>
            </w:r>
            <w:r w:rsidR="003B27CA">
              <w:rPr>
                <w:rFonts w:ascii="Arial" w:hAnsi="Arial" w:cs="Arial"/>
                <w:color w:val="006100"/>
                <w:sz w:val="16"/>
                <w:szCs w:val="16"/>
              </w:rPr>
              <w:t>d</w:t>
            </w:r>
            <w:r>
              <w:rPr>
                <w:rFonts w:ascii="Arial" w:hAnsi="Arial" w:cs="Arial"/>
                <w:color w:val="006100"/>
                <w:sz w:val="16"/>
                <w:szCs w:val="16"/>
              </w:rPr>
              <w:t xml:space="preserve"> by a), contracting (b), reporting (c)</w:t>
            </w:r>
          </w:p>
          <w:p w14:paraId="0CB79219" w14:textId="77777777" w:rsidR="0046499F" w:rsidRPr="009F2F58" w:rsidRDefault="0046499F" w:rsidP="0046499F">
            <w:pPr>
              <w:spacing w:after="0"/>
              <w:rPr>
                <w:rFonts w:ascii="Arial" w:hAnsi="Arial" w:cs="Arial"/>
                <w:color w:val="006100"/>
                <w:sz w:val="16"/>
                <w:szCs w:val="16"/>
              </w:rPr>
            </w:pPr>
          </w:p>
          <w:p w14:paraId="796C7596" w14:textId="0750A815"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1E6DAC">
              <w:rPr>
                <w:rFonts w:ascii="Arial" w:hAnsi="Arial" w:cs="Arial"/>
                <w:color w:val="006100"/>
                <w:sz w:val="16"/>
                <w:szCs w:val="16"/>
              </w:rPr>
              <w:t>Specialised laboratory shall be set up and equipped for research and training on high-efficiency combined geothermal energy conversion technologies and geothermal energy systems.</w:t>
            </w:r>
            <w:r>
              <w:rPr>
                <w:rFonts w:ascii="Arial" w:hAnsi="Arial" w:cs="Arial"/>
                <w:color w:val="006100"/>
                <w:sz w:val="16"/>
                <w:szCs w:val="16"/>
              </w:rPr>
              <w:t xml:space="preserve"> </w:t>
            </w:r>
            <w:r w:rsidRPr="00E80B72">
              <w:rPr>
                <w:rFonts w:ascii="Arial" w:hAnsi="Arial" w:cs="Arial"/>
                <w:color w:val="006100"/>
                <w:sz w:val="16"/>
                <w:szCs w:val="16"/>
              </w:rPr>
              <w:t>[provide references to the above in the summary document]</w:t>
            </w:r>
          </w:p>
          <w:p w14:paraId="50E7F7A6" w14:textId="77777777" w:rsidR="0046499F" w:rsidRPr="009F2F58" w:rsidRDefault="0046499F" w:rsidP="0046499F">
            <w:pPr>
              <w:spacing w:after="0"/>
              <w:rPr>
                <w:rFonts w:ascii="Arial" w:hAnsi="Arial" w:cs="Arial"/>
                <w:color w:val="006100"/>
                <w:sz w:val="16"/>
                <w:szCs w:val="16"/>
              </w:rPr>
            </w:pPr>
          </w:p>
          <w:p w14:paraId="77373D3B" w14:textId="1AF5FEF6"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development and entry into operation</w:t>
            </w:r>
          </w:p>
        </w:tc>
        <w:tc>
          <w:tcPr>
            <w:tcW w:w="2268" w:type="dxa"/>
            <w:shd w:val="clear" w:color="auto" w:fill="D6E3C6"/>
          </w:tcPr>
          <w:p w14:paraId="2604D847" w14:textId="7A2E2315"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147E4A40" w14:textId="41E8EB55"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3F50F630" w14:textId="410FC17A"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3041E8CB" w14:textId="6BCF2134"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2A81836B" w14:textId="350D22AA" w:rsidR="0046499F" w:rsidRPr="004F3D4C" w:rsidRDefault="003B27CA"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18FA9B95" w14:textId="718AD7E4" w:rsidTr="00596EEA">
        <w:trPr>
          <w:trHeight w:val="309"/>
        </w:trPr>
        <w:tc>
          <w:tcPr>
            <w:tcW w:w="454" w:type="dxa"/>
            <w:shd w:val="clear" w:color="auto" w:fill="D6E3C6"/>
            <w:noWrap/>
          </w:tcPr>
          <w:p w14:paraId="51136964" w14:textId="307475C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107</w:t>
            </w:r>
          </w:p>
        </w:tc>
        <w:tc>
          <w:tcPr>
            <w:tcW w:w="1215" w:type="dxa"/>
            <w:shd w:val="clear" w:color="auto" w:fill="D6E3C6"/>
            <w:noWrap/>
          </w:tcPr>
          <w:p w14:paraId="70BEEFB3" w14:textId="18B15347"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C4.I7: Pilot project on combined heat and power from geothermal sources</w:t>
            </w:r>
          </w:p>
        </w:tc>
        <w:tc>
          <w:tcPr>
            <w:tcW w:w="956" w:type="dxa"/>
            <w:shd w:val="clear" w:color="auto" w:fill="D6E3C6"/>
            <w:noWrap/>
          </w:tcPr>
          <w:p w14:paraId="67FEA614" w14:textId="65D48F93"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2F363771" w14:textId="2694F0DE"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Signature of contract(s) for development of a pilot project for combined heat and electricity generation from geothermal sources.</w:t>
            </w:r>
          </w:p>
        </w:tc>
        <w:tc>
          <w:tcPr>
            <w:tcW w:w="1322" w:type="dxa"/>
            <w:shd w:val="clear" w:color="auto" w:fill="D6E3C6"/>
            <w:noWrap/>
          </w:tcPr>
          <w:p w14:paraId="4DF9AC49" w14:textId="3AE92ECB"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Signed contract(s) by Ministry of Energy with the successful tenderer(s)</w:t>
            </w:r>
          </w:p>
        </w:tc>
        <w:tc>
          <w:tcPr>
            <w:tcW w:w="709" w:type="dxa"/>
            <w:shd w:val="clear" w:color="auto" w:fill="D6E3C6"/>
            <w:noWrap/>
          </w:tcPr>
          <w:p w14:paraId="7E535C3C"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5F066354"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131D7F56"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6DAAB658" w14:textId="1EB4F9C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49223F56" w14:textId="1FDF7E4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41E49956" w14:textId="77577785"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79DB62F0"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13C10F43" w14:textId="77777777" w:rsidR="0046499F" w:rsidRDefault="0046499F" w:rsidP="0046499F">
            <w:pPr>
              <w:pStyle w:val="ListParagraph"/>
              <w:numPr>
                <w:ilvl w:val="0"/>
                <w:numId w:val="55"/>
              </w:numPr>
              <w:spacing w:after="0"/>
              <w:rPr>
                <w:rFonts w:ascii="Arial" w:hAnsi="Arial" w:cs="Arial"/>
                <w:color w:val="006100"/>
                <w:sz w:val="16"/>
                <w:szCs w:val="16"/>
              </w:rPr>
            </w:pPr>
            <w:r w:rsidRPr="004F3D4C">
              <w:rPr>
                <w:rFonts w:ascii="Arial" w:hAnsi="Arial" w:cs="Arial"/>
                <w:color w:val="006100"/>
                <w:sz w:val="16"/>
                <w:szCs w:val="16"/>
              </w:rPr>
              <w:t>Copy of contract(s) for engineering, design and construction of a pilot demonstration geothermal power plant</w:t>
            </w:r>
            <w:r>
              <w:rPr>
                <w:rFonts w:ascii="Arial" w:hAnsi="Arial" w:cs="Arial"/>
                <w:color w:val="006100"/>
                <w:sz w:val="16"/>
                <w:szCs w:val="16"/>
              </w:rPr>
              <w:t xml:space="preserve"> (as annex to the summary report)</w:t>
            </w:r>
          </w:p>
          <w:p w14:paraId="14F1E9C3" w14:textId="2F90EE88" w:rsidR="0046499F" w:rsidRDefault="0046499F" w:rsidP="0046499F">
            <w:pPr>
              <w:pStyle w:val="ListParagraph"/>
              <w:numPr>
                <w:ilvl w:val="0"/>
                <w:numId w:val="55"/>
              </w:numPr>
              <w:spacing w:after="0"/>
              <w:rPr>
                <w:rFonts w:ascii="Arial" w:hAnsi="Arial" w:cs="Arial"/>
                <w:color w:val="006100"/>
                <w:sz w:val="16"/>
                <w:szCs w:val="16"/>
              </w:rPr>
            </w:pPr>
            <w:r>
              <w:rPr>
                <w:rFonts w:ascii="Arial" w:hAnsi="Arial" w:cs="Arial"/>
                <w:color w:val="006100"/>
                <w:sz w:val="16"/>
                <w:szCs w:val="16"/>
              </w:rPr>
              <w:t>E</w:t>
            </w:r>
            <w:r w:rsidRPr="004F3D4C">
              <w:rPr>
                <w:rFonts w:ascii="Arial" w:hAnsi="Arial" w:cs="Arial"/>
                <w:color w:val="006100"/>
                <w:sz w:val="16"/>
                <w:szCs w:val="16"/>
              </w:rPr>
              <w:t>xtract of the official documents/copy of the tender documentation containing evidence that the selection criteria/technical specifications ensured</w:t>
            </w:r>
            <w:r>
              <w:rPr>
                <w:rFonts w:ascii="Arial" w:hAnsi="Arial" w:cs="Arial"/>
                <w:color w:val="006100"/>
                <w:sz w:val="16"/>
                <w:szCs w:val="16"/>
              </w:rPr>
              <w:t>:</w:t>
            </w:r>
          </w:p>
          <w:p w14:paraId="24D786A7" w14:textId="0C2EC9EC" w:rsidR="0046499F" w:rsidRDefault="0046499F" w:rsidP="0046499F">
            <w:pPr>
              <w:pStyle w:val="ListParagraph"/>
              <w:numPr>
                <w:ilvl w:val="0"/>
                <w:numId w:val="3"/>
              </w:numPr>
              <w:spacing w:after="0"/>
              <w:ind w:left="543" w:hanging="142"/>
              <w:rPr>
                <w:rFonts w:ascii="Arial" w:hAnsi="Arial" w:cs="Arial"/>
                <w:color w:val="006100"/>
                <w:sz w:val="16"/>
                <w:szCs w:val="16"/>
              </w:rPr>
            </w:pPr>
            <w:r w:rsidRPr="004F3D4C">
              <w:rPr>
                <w:rFonts w:ascii="Arial" w:hAnsi="Arial" w:cs="Arial"/>
                <w:color w:val="006100"/>
                <w:sz w:val="16"/>
                <w:szCs w:val="16"/>
              </w:rPr>
              <w:t>competitive bidding process, which was open, non-</w:t>
            </w:r>
            <w:r w:rsidRPr="004F3D4C">
              <w:rPr>
                <w:rFonts w:ascii="Arial" w:hAnsi="Arial" w:cs="Arial"/>
                <w:color w:val="006100"/>
                <w:sz w:val="16"/>
                <w:szCs w:val="16"/>
              </w:rPr>
              <w:lastRenderedPageBreak/>
              <w:t>discriminatory and provide for the participation of all interested undertakings</w:t>
            </w:r>
          </w:p>
          <w:p w14:paraId="2E17EF36" w14:textId="0F8AB2ED" w:rsidR="0046499F" w:rsidRPr="00273DB8" w:rsidRDefault="0046499F" w:rsidP="0046499F">
            <w:pPr>
              <w:pStyle w:val="ListParagraph"/>
              <w:numPr>
                <w:ilvl w:val="0"/>
                <w:numId w:val="3"/>
              </w:numPr>
              <w:spacing w:after="0"/>
              <w:ind w:left="543" w:hanging="142"/>
              <w:rPr>
                <w:rFonts w:ascii="Arial" w:hAnsi="Arial" w:cs="Arial"/>
                <w:color w:val="006100"/>
                <w:sz w:val="16"/>
                <w:szCs w:val="16"/>
              </w:rPr>
            </w:pPr>
            <w:r w:rsidRPr="004F3D4C">
              <w:rPr>
                <w:rFonts w:ascii="Arial" w:hAnsi="Arial" w:cs="Arial"/>
                <w:color w:val="006100"/>
                <w:sz w:val="16"/>
                <w:szCs w:val="16"/>
              </w:rPr>
              <w:t>compliance with the ‘Do no significant harm’ Technical Guidance (2021/C58/01), as specified in the CID annex</w:t>
            </w:r>
          </w:p>
        </w:tc>
        <w:tc>
          <w:tcPr>
            <w:tcW w:w="3402" w:type="dxa"/>
            <w:shd w:val="clear" w:color="auto" w:fill="D6E3C6"/>
          </w:tcPr>
          <w:p w14:paraId="4D46F2CE"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p>
          <w:p w14:paraId="35DDA3A7" w14:textId="77777777" w:rsidR="0046499F" w:rsidRPr="009F2F58" w:rsidRDefault="0046499F" w:rsidP="0046499F">
            <w:pPr>
              <w:spacing w:after="0"/>
              <w:rPr>
                <w:rFonts w:ascii="Arial" w:hAnsi="Arial" w:cs="Arial"/>
                <w:color w:val="006100"/>
                <w:sz w:val="16"/>
                <w:szCs w:val="16"/>
              </w:rPr>
            </w:pPr>
          </w:p>
          <w:p w14:paraId="12DC024E" w14:textId="67037D69"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273DB8">
              <w:rPr>
                <w:rFonts w:ascii="Arial" w:hAnsi="Arial" w:cs="Arial"/>
                <w:color w:val="006100"/>
                <w:sz w:val="16"/>
                <w:szCs w:val="16"/>
              </w:rPr>
              <w:t>Signature of contract(s) for development of a pilot project for combined heat and electricity generation from geothermal sources.</w:t>
            </w:r>
          </w:p>
          <w:p w14:paraId="1D512C80" w14:textId="77777777" w:rsidR="0046499F" w:rsidRPr="009F2F58" w:rsidRDefault="0046499F" w:rsidP="0046499F">
            <w:pPr>
              <w:spacing w:after="0"/>
              <w:rPr>
                <w:rFonts w:ascii="Arial" w:hAnsi="Arial" w:cs="Arial"/>
                <w:color w:val="006100"/>
                <w:sz w:val="16"/>
                <w:szCs w:val="16"/>
              </w:rPr>
            </w:pPr>
          </w:p>
          <w:p w14:paraId="4E24ECE3" w14:textId="016E24D3"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entry into force (evidence by a), contracting (b)</w:t>
            </w:r>
          </w:p>
          <w:p w14:paraId="79A097C1" w14:textId="77777777" w:rsidR="0046499F" w:rsidRPr="009F2F58" w:rsidRDefault="0046499F" w:rsidP="0046499F">
            <w:pPr>
              <w:spacing w:after="0"/>
              <w:rPr>
                <w:rFonts w:ascii="Arial" w:hAnsi="Arial" w:cs="Arial"/>
                <w:color w:val="006100"/>
                <w:sz w:val="16"/>
                <w:szCs w:val="16"/>
              </w:rPr>
            </w:pPr>
          </w:p>
          <w:p w14:paraId="20EAB868" w14:textId="74807F27"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1E6DAC">
              <w:rPr>
                <w:rFonts w:ascii="Arial" w:hAnsi="Arial" w:cs="Arial"/>
                <w:color w:val="006100"/>
                <w:sz w:val="16"/>
                <w:szCs w:val="16"/>
              </w:rPr>
              <w:t>S</w:t>
            </w:r>
            <w:r w:rsidRPr="00273DB8">
              <w:rPr>
                <w:rFonts w:ascii="Arial" w:hAnsi="Arial" w:cs="Arial"/>
                <w:color w:val="006100"/>
                <w:sz w:val="16"/>
                <w:szCs w:val="16"/>
              </w:rPr>
              <w:t xml:space="preserve">ignature of contract(s) for the production of at least 10 MW electricity from geothermal sources following a competitive bidding process. Such a bidding process shall be open, non-discriminatory and provide for the participation of all interested undertakings. The contracts shall cover the engineering, design and construction of a pilot demonstration geothermal power plant. The selection criteria shall ensure compliance with the “do no significant harm” Technical Guidance (2021/C58/01). </w:t>
            </w:r>
            <w:r w:rsidRPr="00E80B72">
              <w:rPr>
                <w:rFonts w:ascii="Arial" w:hAnsi="Arial" w:cs="Arial"/>
                <w:color w:val="006100"/>
                <w:sz w:val="16"/>
                <w:szCs w:val="16"/>
              </w:rPr>
              <w:t>[provide references to the above in the summary document]</w:t>
            </w:r>
          </w:p>
          <w:p w14:paraId="67B139D5" w14:textId="77777777" w:rsidR="0046499F" w:rsidRPr="009F2F58" w:rsidRDefault="0046499F" w:rsidP="0046499F">
            <w:pPr>
              <w:spacing w:after="0"/>
              <w:rPr>
                <w:rFonts w:ascii="Arial" w:hAnsi="Arial" w:cs="Arial"/>
                <w:color w:val="006100"/>
                <w:sz w:val="16"/>
                <w:szCs w:val="16"/>
              </w:rPr>
            </w:pPr>
          </w:p>
          <w:p w14:paraId="22616814" w14:textId="76A51282"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xml:space="preserve">: </w:t>
            </w:r>
            <w:r w:rsidRPr="00F26F17">
              <w:rPr>
                <w:rFonts w:ascii="Arial" w:hAnsi="Arial" w:cs="Arial"/>
                <w:color w:val="006100"/>
                <w:sz w:val="16"/>
                <w:szCs w:val="16"/>
              </w:rPr>
              <w:t>specify the dates of selection, award, and contracting</w:t>
            </w:r>
          </w:p>
        </w:tc>
        <w:tc>
          <w:tcPr>
            <w:tcW w:w="2268" w:type="dxa"/>
            <w:shd w:val="clear" w:color="auto" w:fill="D6E3C6"/>
          </w:tcPr>
          <w:p w14:paraId="3C483683" w14:textId="579848F1"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4D6BE0C8" w14:textId="1AD5F2CB" w:rsidR="0046499F" w:rsidRPr="004F3D4C" w:rsidRDefault="0046499F" w:rsidP="0046499F">
            <w:pPr>
              <w:spacing w:after="0"/>
              <w:rPr>
                <w:rFonts w:ascii="Arial" w:hAnsi="Arial" w:cs="Arial"/>
                <w:color w:val="006100"/>
                <w:sz w:val="16"/>
                <w:szCs w:val="16"/>
              </w:rPr>
            </w:pPr>
            <w:r w:rsidRPr="006D2358">
              <w:rPr>
                <w:rFonts w:ascii="Arial" w:hAnsi="Arial" w:cs="Arial"/>
                <w:color w:val="006100"/>
                <w:sz w:val="16"/>
                <w:szCs w:val="16"/>
              </w:rPr>
              <w:t>Delays in the launching of the procedures</w:t>
            </w:r>
          </w:p>
        </w:tc>
        <w:tc>
          <w:tcPr>
            <w:tcW w:w="1090" w:type="dxa"/>
            <w:gridSpan w:val="2"/>
            <w:shd w:val="clear" w:color="auto" w:fill="D6E3C6"/>
          </w:tcPr>
          <w:p w14:paraId="47075BFB" w14:textId="40E5DD69"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159C716A" w14:textId="08331AE6"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768933E5" w14:textId="1278DEB4" w:rsidR="0046499F" w:rsidRPr="004F3D4C" w:rsidRDefault="003F2C56"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3FABA5E9" w14:textId="4E4F5273" w:rsidTr="00596EEA">
        <w:trPr>
          <w:trHeight w:val="309"/>
        </w:trPr>
        <w:tc>
          <w:tcPr>
            <w:tcW w:w="454" w:type="dxa"/>
            <w:shd w:val="clear" w:color="auto" w:fill="D6E3C6"/>
            <w:noWrap/>
          </w:tcPr>
          <w:p w14:paraId="612F58A1" w14:textId="007850D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108</w:t>
            </w:r>
          </w:p>
        </w:tc>
        <w:tc>
          <w:tcPr>
            <w:tcW w:w="1215" w:type="dxa"/>
            <w:shd w:val="clear" w:color="auto" w:fill="D6E3C6"/>
            <w:noWrap/>
          </w:tcPr>
          <w:p w14:paraId="7067F1FD" w14:textId="31FADD4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C4.I7: Pilot project on combined heat and power from geothermal sources</w:t>
            </w:r>
          </w:p>
        </w:tc>
        <w:tc>
          <w:tcPr>
            <w:tcW w:w="956" w:type="dxa"/>
            <w:shd w:val="clear" w:color="auto" w:fill="D6E3C6"/>
            <w:noWrap/>
          </w:tcPr>
          <w:p w14:paraId="5EBB62CE" w14:textId="0008C11F"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55CA6841" w14:textId="6AE5762F"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A pilot demonstration geothermal power plant is operational.</w:t>
            </w:r>
          </w:p>
        </w:tc>
        <w:tc>
          <w:tcPr>
            <w:tcW w:w="1322" w:type="dxa"/>
            <w:shd w:val="clear" w:color="auto" w:fill="D6E3C6"/>
            <w:noWrap/>
          </w:tcPr>
          <w:p w14:paraId="510E6346"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30035038" w14:textId="7FF3E48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Megawatts (MW)</w:t>
            </w:r>
          </w:p>
        </w:tc>
        <w:tc>
          <w:tcPr>
            <w:tcW w:w="614" w:type="dxa"/>
            <w:shd w:val="clear" w:color="auto" w:fill="D6E3C6"/>
            <w:noWrap/>
          </w:tcPr>
          <w:p w14:paraId="0A293B61" w14:textId="4A941066"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0</w:t>
            </w:r>
          </w:p>
        </w:tc>
        <w:tc>
          <w:tcPr>
            <w:tcW w:w="731" w:type="dxa"/>
            <w:shd w:val="clear" w:color="auto" w:fill="D6E3C6"/>
            <w:noWrap/>
          </w:tcPr>
          <w:p w14:paraId="6AD7B334" w14:textId="2D45F9C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10</w:t>
            </w:r>
          </w:p>
        </w:tc>
        <w:tc>
          <w:tcPr>
            <w:tcW w:w="756" w:type="dxa"/>
            <w:gridSpan w:val="2"/>
            <w:shd w:val="clear" w:color="auto" w:fill="D6E3C6"/>
            <w:noWrap/>
          </w:tcPr>
          <w:p w14:paraId="7002D038" w14:textId="708C80F6"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36FAD7C6" w14:textId="593C619D"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2026</w:t>
            </w:r>
          </w:p>
        </w:tc>
        <w:tc>
          <w:tcPr>
            <w:tcW w:w="872" w:type="dxa"/>
            <w:gridSpan w:val="2"/>
            <w:shd w:val="clear" w:color="auto" w:fill="D6E3C6"/>
          </w:tcPr>
          <w:p w14:paraId="5034A244" w14:textId="09E7B4DF"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0E41F4A8"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2021279D" w14:textId="6FB948CF" w:rsidR="0046499F" w:rsidRDefault="0046499F" w:rsidP="0046499F">
            <w:pPr>
              <w:pStyle w:val="ListParagraph"/>
              <w:numPr>
                <w:ilvl w:val="0"/>
                <w:numId w:val="56"/>
              </w:numPr>
              <w:spacing w:after="0"/>
              <w:rPr>
                <w:rFonts w:ascii="Arial" w:hAnsi="Arial" w:cs="Arial"/>
                <w:color w:val="006100"/>
                <w:sz w:val="16"/>
                <w:szCs w:val="16"/>
              </w:rPr>
            </w:pPr>
            <w:r w:rsidRPr="004F3D4C">
              <w:rPr>
                <w:rFonts w:ascii="Arial" w:hAnsi="Arial" w:cs="Arial"/>
                <w:color w:val="006100"/>
                <w:sz w:val="16"/>
                <w:szCs w:val="16"/>
                <w:lang w:eastAsia="en-GB"/>
              </w:rPr>
              <w:t>The certificate of completion issued in accordance with the national legislation.  An indication in the certificate of electricity and heat production capacities as listed in the CID annex by the target deadline compared to the baseline.</w:t>
            </w:r>
          </w:p>
          <w:p w14:paraId="26668EC4" w14:textId="6F12544E" w:rsidR="0046499F" w:rsidRDefault="0046499F" w:rsidP="0046499F">
            <w:pPr>
              <w:pStyle w:val="ListParagraph"/>
              <w:numPr>
                <w:ilvl w:val="0"/>
                <w:numId w:val="56"/>
              </w:numPr>
              <w:spacing w:after="0"/>
              <w:rPr>
                <w:rFonts w:ascii="Arial" w:hAnsi="Arial" w:cs="Arial"/>
                <w:color w:val="006100"/>
                <w:sz w:val="16"/>
                <w:szCs w:val="16"/>
              </w:rPr>
            </w:pPr>
            <w:r w:rsidRPr="004F3D4C">
              <w:rPr>
                <w:rFonts w:ascii="Arial" w:hAnsi="Arial" w:cs="Arial"/>
                <w:color w:val="006100"/>
                <w:sz w:val="16"/>
                <w:szCs w:val="16"/>
                <w:lang w:eastAsia="en-GB"/>
              </w:rPr>
              <w:t>Copy of the operating license issued in accordance with the national legislation</w:t>
            </w:r>
          </w:p>
          <w:p w14:paraId="77DD8600" w14:textId="3550CFEA" w:rsidR="0046499F" w:rsidRDefault="0046499F" w:rsidP="0046499F">
            <w:pPr>
              <w:pStyle w:val="ListParagraph"/>
              <w:numPr>
                <w:ilvl w:val="0"/>
                <w:numId w:val="56"/>
              </w:numPr>
              <w:spacing w:after="0"/>
              <w:rPr>
                <w:rFonts w:ascii="Arial" w:hAnsi="Arial" w:cs="Arial"/>
                <w:color w:val="006100"/>
                <w:sz w:val="16"/>
                <w:szCs w:val="16"/>
              </w:rPr>
            </w:pPr>
            <w:r w:rsidRPr="004F3D4C">
              <w:rPr>
                <w:rFonts w:ascii="Arial" w:hAnsi="Arial" w:cs="Arial"/>
                <w:color w:val="006100"/>
                <w:sz w:val="16"/>
                <w:szCs w:val="16"/>
                <w:lang w:eastAsia="en-GB"/>
              </w:rPr>
              <w:t>The location, a brief description of the installation and the number of MW for heat and electricity</w:t>
            </w:r>
          </w:p>
          <w:p w14:paraId="70C59302" w14:textId="0CAB559F" w:rsidR="0046499F" w:rsidRPr="0037647B" w:rsidRDefault="0046499F" w:rsidP="0046499F">
            <w:pPr>
              <w:pStyle w:val="ListParagraph"/>
              <w:numPr>
                <w:ilvl w:val="0"/>
                <w:numId w:val="56"/>
              </w:numPr>
              <w:spacing w:after="0"/>
              <w:rPr>
                <w:rFonts w:ascii="Arial" w:hAnsi="Arial" w:cs="Arial"/>
                <w:color w:val="006100"/>
                <w:sz w:val="16"/>
                <w:szCs w:val="16"/>
              </w:rPr>
            </w:pPr>
            <w:r w:rsidRPr="004F3D4C">
              <w:rPr>
                <w:rFonts w:ascii="Arial" w:hAnsi="Arial" w:cs="Arial"/>
                <w:color w:val="006100"/>
                <w:sz w:val="16"/>
                <w:szCs w:val="16"/>
                <w:lang w:eastAsia="en-GB"/>
              </w:rPr>
              <w:t>Extract of the official documents providing evidence of compliance with the ‘Do no significant harm’</w:t>
            </w:r>
            <w:r>
              <w:rPr>
                <w:rFonts w:ascii="Arial" w:hAnsi="Arial" w:cs="Arial"/>
                <w:color w:val="006100"/>
                <w:sz w:val="16"/>
                <w:szCs w:val="16"/>
                <w:lang w:eastAsia="en-GB"/>
              </w:rPr>
              <w:t xml:space="preserve"> </w:t>
            </w:r>
            <w:r w:rsidRPr="004F3D4C">
              <w:rPr>
                <w:rFonts w:ascii="Arial" w:hAnsi="Arial" w:cs="Arial"/>
                <w:color w:val="006100"/>
                <w:sz w:val="16"/>
                <w:szCs w:val="16"/>
                <w:lang w:eastAsia="en-GB"/>
              </w:rPr>
              <w:t>Technical Guidance (2021/C58/01), as specified in the CID annex</w:t>
            </w:r>
          </w:p>
        </w:tc>
        <w:tc>
          <w:tcPr>
            <w:tcW w:w="3402" w:type="dxa"/>
            <w:shd w:val="clear" w:color="auto" w:fill="D6E3C6"/>
          </w:tcPr>
          <w:p w14:paraId="07234850"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6F99D1B8" w14:textId="77777777" w:rsidR="0046499F" w:rsidRPr="009F2F58" w:rsidRDefault="0046499F" w:rsidP="0046499F">
            <w:pPr>
              <w:spacing w:after="0"/>
              <w:rPr>
                <w:rFonts w:ascii="Arial" w:hAnsi="Arial" w:cs="Arial"/>
                <w:color w:val="006100"/>
                <w:sz w:val="16"/>
                <w:szCs w:val="16"/>
              </w:rPr>
            </w:pPr>
          </w:p>
          <w:p w14:paraId="7B0F6392" w14:textId="13CC5BD1"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7F7B23">
              <w:rPr>
                <w:rFonts w:ascii="Arial" w:hAnsi="Arial" w:cs="Arial"/>
                <w:color w:val="006100"/>
                <w:sz w:val="16"/>
                <w:szCs w:val="16"/>
              </w:rPr>
              <w:t>A pilot demonstration geothermal power plant is operational</w:t>
            </w:r>
          </w:p>
          <w:p w14:paraId="186BCF41" w14:textId="77777777" w:rsidR="0046499F" w:rsidRPr="009F2F58" w:rsidRDefault="0046499F" w:rsidP="0046499F">
            <w:pPr>
              <w:spacing w:after="0"/>
              <w:rPr>
                <w:rFonts w:ascii="Arial" w:hAnsi="Arial" w:cs="Arial"/>
                <w:color w:val="006100"/>
                <w:sz w:val="16"/>
                <w:szCs w:val="16"/>
              </w:rPr>
            </w:pPr>
          </w:p>
          <w:p w14:paraId="7AFAA3C9" w14:textId="3DD5403D"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w:t>
            </w:r>
            <w:r w:rsidR="003F2C56">
              <w:rPr>
                <w:rFonts w:ascii="Arial" w:hAnsi="Arial" w:cs="Arial"/>
                <w:color w:val="006100"/>
                <w:sz w:val="16"/>
                <w:szCs w:val="16"/>
              </w:rPr>
              <w:t xml:space="preserve">completion, </w:t>
            </w:r>
            <w:r>
              <w:rPr>
                <w:rFonts w:ascii="Arial" w:hAnsi="Arial" w:cs="Arial"/>
                <w:color w:val="006100"/>
                <w:sz w:val="16"/>
                <w:szCs w:val="16"/>
              </w:rPr>
              <w:t>certification and licensing (a, b), reporting (c, d)</w:t>
            </w:r>
          </w:p>
          <w:p w14:paraId="7C6A588B" w14:textId="77777777" w:rsidR="0046499F" w:rsidRPr="009F2F58" w:rsidRDefault="0046499F" w:rsidP="0046499F">
            <w:pPr>
              <w:spacing w:after="0"/>
              <w:rPr>
                <w:rFonts w:ascii="Arial" w:hAnsi="Arial" w:cs="Arial"/>
                <w:color w:val="006100"/>
                <w:sz w:val="16"/>
                <w:szCs w:val="16"/>
              </w:rPr>
            </w:pPr>
          </w:p>
          <w:p w14:paraId="16D3B686" w14:textId="2E26528B"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54398F">
              <w:rPr>
                <w:rFonts w:ascii="Arial" w:hAnsi="Arial" w:cs="Arial"/>
                <w:color w:val="006100"/>
                <w:sz w:val="16"/>
                <w:szCs w:val="16"/>
              </w:rPr>
              <w:t>Entry into operation of the pilot geothermal power plant for the production of 10 MW of electricity and 30 MW of heat from geothermal energy, in compliance with the “do no significant harm” Technical Guidance (2021/C58/01).</w:t>
            </w:r>
            <w:r w:rsidRPr="00273DB8">
              <w:rPr>
                <w:rFonts w:ascii="Arial" w:hAnsi="Arial" w:cs="Arial"/>
                <w:color w:val="006100"/>
                <w:sz w:val="16"/>
                <w:szCs w:val="16"/>
              </w:rPr>
              <w:t xml:space="preserve"> </w:t>
            </w:r>
            <w:r w:rsidRPr="00E80B72">
              <w:rPr>
                <w:rFonts w:ascii="Arial" w:hAnsi="Arial" w:cs="Arial"/>
                <w:color w:val="006100"/>
                <w:sz w:val="16"/>
                <w:szCs w:val="16"/>
              </w:rPr>
              <w:t>[provide references to the above in the summary document]</w:t>
            </w:r>
          </w:p>
          <w:p w14:paraId="530DE70E" w14:textId="77777777" w:rsidR="0046499F" w:rsidRPr="009F2F58" w:rsidRDefault="0046499F" w:rsidP="0046499F">
            <w:pPr>
              <w:spacing w:after="0"/>
              <w:rPr>
                <w:rFonts w:ascii="Arial" w:hAnsi="Arial" w:cs="Arial"/>
                <w:color w:val="006100"/>
                <w:sz w:val="16"/>
                <w:szCs w:val="16"/>
              </w:rPr>
            </w:pPr>
          </w:p>
          <w:p w14:paraId="7AE5D63B" w14:textId="6CEAE887"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entry into operation</w:t>
            </w:r>
          </w:p>
        </w:tc>
        <w:tc>
          <w:tcPr>
            <w:tcW w:w="2268" w:type="dxa"/>
            <w:shd w:val="clear" w:color="auto" w:fill="D6E3C6"/>
          </w:tcPr>
          <w:p w14:paraId="0B67B88F" w14:textId="2212A076"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58B0EF49" w14:textId="4830BF01"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Delays in the implementation of milestones 105, 106 and 107</w:t>
            </w:r>
          </w:p>
        </w:tc>
        <w:tc>
          <w:tcPr>
            <w:tcW w:w="1090" w:type="dxa"/>
            <w:gridSpan w:val="2"/>
            <w:shd w:val="clear" w:color="auto" w:fill="D6E3C6"/>
          </w:tcPr>
          <w:p w14:paraId="26D55B46" w14:textId="4C4847B7" w:rsidR="0046499F" w:rsidRPr="009502E1" w:rsidRDefault="0046499F" w:rsidP="0046499F">
            <w:pPr>
              <w:spacing w:after="0"/>
              <w:rPr>
                <w:rFonts w:ascii="Arial" w:hAnsi="Arial" w:cs="Arial"/>
                <w:color w:val="005D00"/>
                <w:sz w:val="16"/>
                <w:szCs w:val="16"/>
              </w:rPr>
            </w:pPr>
            <w:r>
              <w:rPr>
                <w:rFonts w:ascii="Arial" w:hAnsi="Arial" w:cs="Arial"/>
                <w:color w:val="005D00"/>
                <w:sz w:val="16"/>
                <w:szCs w:val="16"/>
              </w:rPr>
              <w:t>Yes, a</w:t>
            </w:r>
            <w:r w:rsidRPr="004F3D4C">
              <w:rPr>
                <w:rFonts w:ascii="Arial" w:hAnsi="Arial" w:cs="Arial"/>
                <w:color w:val="005D00"/>
                <w:sz w:val="16"/>
                <w:szCs w:val="16"/>
              </w:rPr>
              <w:t>t the site after the receipt of documents for completion of the works / equipment installation (Q2 2026, or earlier if completed before that date)</w:t>
            </w:r>
          </w:p>
        </w:tc>
        <w:tc>
          <w:tcPr>
            <w:tcW w:w="992" w:type="dxa"/>
            <w:gridSpan w:val="2"/>
            <w:shd w:val="clear" w:color="auto" w:fill="D6E3C6"/>
          </w:tcPr>
          <w:p w14:paraId="6A55BBFF" w14:textId="13FCBEF4"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Indicator 2</w:t>
            </w:r>
          </w:p>
        </w:tc>
        <w:tc>
          <w:tcPr>
            <w:tcW w:w="1418" w:type="dxa"/>
            <w:gridSpan w:val="2"/>
            <w:shd w:val="clear" w:color="auto" w:fill="D6E3C6"/>
          </w:tcPr>
          <w:p w14:paraId="541AD606" w14:textId="225F6CC1" w:rsidR="0046499F" w:rsidRPr="004F3D4C" w:rsidRDefault="00D6140D" w:rsidP="0046499F">
            <w:pPr>
              <w:spacing w:after="0"/>
              <w:rPr>
                <w:rFonts w:ascii="Arial" w:hAnsi="Arial" w:cs="Arial"/>
                <w:color w:val="005D00"/>
                <w:sz w:val="16"/>
                <w:szCs w:val="16"/>
              </w:rPr>
            </w:pPr>
            <w:r>
              <w:rPr>
                <w:rFonts w:ascii="Arial" w:hAnsi="Arial" w:cs="Arial"/>
                <w:color w:val="005D00"/>
                <w:sz w:val="16"/>
                <w:szCs w:val="16"/>
              </w:rPr>
              <w:t xml:space="preserve">A monitoring step: </w:t>
            </w:r>
            <w:r w:rsidR="00D0656E">
              <w:rPr>
                <w:rFonts w:ascii="Arial" w:hAnsi="Arial" w:cs="Arial"/>
                <w:color w:val="005D00"/>
                <w:sz w:val="16"/>
                <w:szCs w:val="16"/>
              </w:rPr>
              <w:t xml:space="preserve"> </w:t>
            </w:r>
            <w:r w:rsidR="00D0656E" w:rsidRPr="00D0656E">
              <w:rPr>
                <w:rFonts w:ascii="Arial" w:hAnsi="Arial" w:cs="Arial"/>
                <w:color w:val="005D00"/>
                <w:sz w:val="16"/>
                <w:szCs w:val="16"/>
              </w:rPr>
              <w:t>Project status report</w:t>
            </w:r>
            <w:r w:rsidR="00D0656E">
              <w:rPr>
                <w:rFonts w:ascii="Arial" w:hAnsi="Arial" w:cs="Arial"/>
                <w:color w:val="005D00"/>
                <w:sz w:val="16"/>
                <w:szCs w:val="16"/>
              </w:rPr>
              <w:t xml:space="preserve"> (</w:t>
            </w:r>
            <w:r w:rsidR="00417564">
              <w:rPr>
                <w:rFonts w:ascii="Arial" w:hAnsi="Arial" w:cs="Arial"/>
                <w:color w:val="005D00"/>
                <w:sz w:val="16"/>
                <w:szCs w:val="16"/>
              </w:rPr>
              <w:t xml:space="preserve">Q4 </w:t>
            </w:r>
            <w:r w:rsidR="005B110D">
              <w:rPr>
                <w:rFonts w:ascii="Arial" w:hAnsi="Arial" w:cs="Arial"/>
                <w:color w:val="005D00"/>
                <w:sz w:val="16"/>
                <w:szCs w:val="16"/>
              </w:rPr>
              <w:t>2024</w:t>
            </w:r>
            <w:r w:rsidR="00D0656E">
              <w:rPr>
                <w:rFonts w:ascii="Arial" w:hAnsi="Arial" w:cs="Arial"/>
                <w:color w:val="005D00"/>
                <w:sz w:val="16"/>
                <w:szCs w:val="16"/>
              </w:rPr>
              <w:t>)</w:t>
            </w:r>
          </w:p>
        </w:tc>
      </w:tr>
      <w:tr w:rsidR="0046499F" w:rsidRPr="004F3D4C" w14:paraId="6ACCF68D" w14:textId="0A78EFBC" w:rsidTr="00596EEA">
        <w:trPr>
          <w:trHeight w:val="309"/>
        </w:trPr>
        <w:tc>
          <w:tcPr>
            <w:tcW w:w="454" w:type="dxa"/>
            <w:shd w:val="clear" w:color="auto" w:fill="D6E3C6"/>
            <w:noWrap/>
          </w:tcPr>
          <w:p w14:paraId="3708B183" w14:textId="65B7D497"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109</w:t>
            </w:r>
          </w:p>
        </w:tc>
        <w:tc>
          <w:tcPr>
            <w:tcW w:w="1215" w:type="dxa"/>
            <w:shd w:val="clear" w:color="auto" w:fill="D6E3C6"/>
            <w:noWrap/>
          </w:tcPr>
          <w:p w14:paraId="638ECE92" w14:textId="552A744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C4.I5: Pilot projects for the production of green hydrogen and biogas</w:t>
            </w:r>
          </w:p>
        </w:tc>
        <w:tc>
          <w:tcPr>
            <w:tcW w:w="956" w:type="dxa"/>
            <w:shd w:val="clear" w:color="auto" w:fill="D6E3C6"/>
            <w:noWrap/>
          </w:tcPr>
          <w:p w14:paraId="7897AB06" w14:textId="58BC2F0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6D890C46" w14:textId="4664C17C"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Launching a call for projects for the production of green hydrogen and biogas.</w:t>
            </w:r>
          </w:p>
        </w:tc>
        <w:tc>
          <w:tcPr>
            <w:tcW w:w="1322" w:type="dxa"/>
            <w:shd w:val="clear" w:color="auto" w:fill="D6E3C6"/>
            <w:noWrap/>
          </w:tcPr>
          <w:p w14:paraId="3DA8C673" w14:textId="225F96C1"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Publication of the call for tender (including guidelines and selection criteria) for project proposals</w:t>
            </w:r>
          </w:p>
        </w:tc>
        <w:tc>
          <w:tcPr>
            <w:tcW w:w="709" w:type="dxa"/>
            <w:shd w:val="clear" w:color="auto" w:fill="D6E3C6"/>
            <w:noWrap/>
          </w:tcPr>
          <w:p w14:paraId="0ED20EB6"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2B8B02EE"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0EFC41C0"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7E731BB1" w14:textId="48272262"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Q1</w:t>
            </w:r>
          </w:p>
        </w:tc>
        <w:tc>
          <w:tcPr>
            <w:tcW w:w="520" w:type="dxa"/>
            <w:shd w:val="clear" w:color="auto" w:fill="D6E3C6"/>
            <w:noWrap/>
          </w:tcPr>
          <w:p w14:paraId="20FA574E" w14:textId="205EF34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3EF40482" w14:textId="08AF81FF"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325DB968"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7E041D23" w14:textId="77777777" w:rsidR="0046499F" w:rsidRDefault="0046499F" w:rsidP="0046499F">
            <w:pPr>
              <w:pStyle w:val="ListParagraph"/>
              <w:numPr>
                <w:ilvl w:val="0"/>
                <w:numId w:val="57"/>
              </w:numPr>
              <w:spacing w:after="0"/>
              <w:rPr>
                <w:rFonts w:ascii="Arial" w:hAnsi="Arial" w:cs="Arial"/>
                <w:color w:val="006100"/>
                <w:sz w:val="16"/>
                <w:szCs w:val="16"/>
              </w:rPr>
            </w:pPr>
            <w:r w:rsidRPr="004F3D4C">
              <w:rPr>
                <w:rFonts w:ascii="Arial" w:hAnsi="Arial" w:cs="Arial"/>
                <w:color w:val="006100"/>
                <w:sz w:val="16"/>
                <w:szCs w:val="16"/>
                <w:lang w:eastAsia="en-GB"/>
              </w:rPr>
              <w:t>Copy of the publication in the State Gazette and/or relevant public website of the call for proposals</w:t>
            </w:r>
          </w:p>
          <w:p w14:paraId="69B485A2" w14:textId="4667A1A1" w:rsidR="0046499F" w:rsidRPr="00783FFB" w:rsidRDefault="0046499F" w:rsidP="0046499F">
            <w:pPr>
              <w:pStyle w:val="ListParagraph"/>
              <w:numPr>
                <w:ilvl w:val="0"/>
                <w:numId w:val="57"/>
              </w:numPr>
              <w:spacing w:after="0"/>
              <w:rPr>
                <w:rFonts w:ascii="Arial" w:hAnsi="Arial" w:cs="Arial"/>
                <w:color w:val="006100"/>
                <w:sz w:val="16"/>
                <w:szCs w:val="16"/>
              </w:rPr>
            </w:pPr>
            <w:r w:rsidRPr="008E323E">
              <w:rPr>
                <w:rFonts w:ascii="Arial" w:hAnsi="Arial" w:cs="Arial"/>
                <w:color w:val="006100"/>
                <w:sz w:val="16"/>
                <w:szCs w:val="16"/>
              </w:rPr>
              <w:t xml:space="preserve">Reference to the specific provisions </w:t>
            </w:r>
            <w:r w:rsidRPr="008E323E">
              <w:rPr>
                <w:rFonts w:ascii="Arial" w:hAnsi="Arial" w:cs="Arial"/>
                <w:color w:val="006100"/>
                <w:sz w:val="16"/>
                <w:szCs w:val="16"/>
              </w:rPr>
              <w:lastRenderedPageBreak/>
              <w:t>which fulfil the relevant elements of the milestone, as listed in the description of milestone and the corresponding measure in the CID annex, with appropriate links to or copies of the document(s) mentioned in the summary document – including compliance with the ‘Do no significant harm’ Technical Guidance (2021/C58/01), as specified in the CID annex.</w:t>
            </w:r>
          </w:p>
        </w:tc>
        <w:tc>
          <w:tcPr>
            <w:tcW w:w="3402" w:type="dxa"/>
            <w:shd w:val="clear" w:color="auto" w:fill="D6E3C6"/>
          </w:tcPr>
          <w:p w14:paraId="77C09BEB"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p>
          <w:p w14:paraId="332A8A05" w14:textId="77777777" w:rsidR="0046499F" w:rsidRPr="009F2F58" w:rsidRDefault="0046499F" w:rsidP="0046499F">
            <w:pPr>
              <w:spacing w:after="0"/>
              <w:rPr>
                <w:rFonts w:ascii="Arial" w:hAnsi="Arial" w:cs="Arial"/>
                <w:color w:val="006100"/>
                <w:sz w:val="16"/>
                <w:szCs w:val="16"/>
              </w:rPr>
            </w:pPr>
          </w:p>
          <w:p w14:paraId="01FDC134" w14:textId="24011698"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8E323E">
              <w:rPr>
                <w:rFonts w:ascii="Arial" w:hAnsi="Arial" w:cs="Arial"/>
                <w:color w:val="006100"/>
                <w:sz w:val="16"/>
                <w:szCs w:val="16"/>
              </w:rPr>
              <w:t>Launching a call for projects for the production of green hydrogen and biogas.</w:t>
            </w:r>
          </w:p>
          <w:p w14:paraId="7EE9A421" w14:textId="77777777" w:rsidR="0046499F" w:rsidRPr="009F2F58" w:rsidRDefault="0046499F" w:rsidP="0046499F">
            <w:pPr>
              <w:spacing w:after="0"/>
              <w:rPr>
                <w:rFonts w:ascii="Arial" w:hAnsi="Arial" w:cs="Arial"/>
                <w:color w:val="006100"/>
                <w:sz w:val="16"/>
                <w:szCs w:val="16"/>
              </w:rPr>
            </w:pPr>
          </w:p>
          <w:p w14:paraId="644A87B1" w14:textId="4EFF6B2C"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publication (evidence</w:t>
            </w:r>
            <w:r w:rsidR="00E656CA">
              <w:rPr>
                <w:rFonts w:ascii="Arial" w:hAnsi="Arial" w:cs="Arial"/>
                <w:color w:val="006100"/>
                <w:sz w:val="16"/>
                <w:szCs w:val="16"/>
              </w:rPr>
              <w:t>d</w:t>
            </w:r>
            <w:r>
              <w:rPr>
                <w:rFonts w:ascii="Arial" w:hAnsi="Arial" w:cs="Arial"/>
                <w:color w:val="006100"/>
                <w:sz w:val="16"/>
                <w:szCs w:val="16"/>
              </w:rPr>
              <w:t xml:space="preserve"> by a) and reporting (b)</w:t>
            </w:r>
          </w:p>
          <w:p w14:paraId="1A446BE4" w14:textId="77777777" w:rsidR="0046499F" w:rsidRPr="009F2F58" w:rsidRDefault="0046499F" w:rsidP="0046499F">
            <w:pPr>
              <w:spacing w:after="0"/>
              <w:rPr>
                <w:rFonts w:ascii="Arial" w:hAnsi="Arial" w:cs="Arial"/>
                <w:color w:val="006100"/>
                <w:sz w:val="16"/>
                <w:szCs w:val="16"/>
              </w:rPr>
            </w:pPr>
          </w:p>
          <w:p w14:paraId="4DEBD475" w14:textId="2FFAB653"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lastRenderedPageBreak/>
              <w:t>Why:</w:t>
            </w:r>
            <w:r>
              <w:rPr>
                <w:rFonts w:ascii="Arial" w:hAnsi="Arial" w:cs="Arial"/>
                <w:color w:val="006100"/>
                <w:sz w:val="16"/>
                <w:szCs w:val="16"/>
              </w:rPr>
              <w:t xml:space="preserve"> </w:t>
            </w:r>
            <w:r w:rsidRPr="008E323E">
              <w:rPr>
                <w:rFonts w:ascii="Arial" w:hAnsi="Arial" w:cs="Arial"/>
                <w:color w:val="006100"/>
                <w:sz w:val="16"/>
                <w:szCs w:val="16"/>
              </w:rPr>
              <w:t>The call for tender for the production of green hydrogen and biogas shall be launched and shall cover the production of green hydrogen of at least 55 MW of new electrolysers’ capacity and biogas of at least 9 MW production capacity. The selection criteria of the call for tender shall ensure compliance with the ‘do no significant harm’ Technical Guidance (2021/C58/01).</w:t>
            </w:r>
            <w:r>
              <w:rPr>
                <w:rFonts w:ascii="Arial" w:hAnsi="Arial" w:cs="Arial"/>
                <w:color w:val="006100"/>
                <w:sz w:val="16"/>
                <w:szCs w:val="16"/>
              </w:rPr>
              <w:t xml:space="preserve"> </w:t>
            </w:r>
            <w:r w:rsidRPr="00E80B72">
              <w:rPr>
                <w:rFonts w:ascii="Arial" w:hAnsi="Arial" w:cs="Arial"/>
                <w:color w:val="006100"/>
                <w:sz w:val="16"/>
                <w:szCs w:val="16"/>
              </w:rPr>
              <w:t>[provide references to the above in the summary document]</w:t>
            </w:r>
          </w:p>
          <w:p w14:paraId="6B42630B" w14:textId="77777777" w:rsidR="0046499F" w:rsidRPr="009F2F58" w:rsidRDefault="0046499F" w:rsidP="0046499F">
            <w:pPr>
              <w:spacing w:after="0"/>
              <w:rPr>
                <w:rFonts w:ascii="Arial" w:hAnsi="Arial" w:cs="Arial"/>
                <w:color w:val="006100"/>
                <w:sz w:val="16"/>
                <w:szCs w:val="16"/>
              </w:rPr>
            </w:pPr>
          </w:p>
          <w:p w14:paraId="35602DEC" w14:textId="554A8528"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 of development and publication</w:t>
            </w:r>
          </w:p>
        </w:tc>
        <w:tc>
          <w:tcPr>
            <w:tcW w:w="2268" w:type="dxa"/>
            <w:shd w:val="clear" w:color="auto" w:fill="D6E3C6"/>
          </w:tcPr>
          <w:p w14:paraId="25AB8121" w14:textId="7C15F5EE" w:rsidR="0046499F" w:rsidRPr="004F3D4C" w:rsidRDefault="0046499F" w:rsidP="0046499F">
            <w:pPr>
              <w:spacing w:after="0"/>
              <w:rPr>
                <w:rFonts w:ascii="Arial" w:hAnsi="Arial" w:cs="Arial"/>
                <w:color w:val="006100"/>
                <w:sz w:val="16"/>
                <w:szCs w:val="16"/>
              </w:rPr>
            </w:pPr>
            <w:r w:rsidRPr="0063368F">
              <w:rPr>
                <w:rFonts w:ascii="Arial" w:hAnsi="Arial" w:cs="Arial"/>
                <w:color w:val="006100"/>
                <w:sz w:val="16"/>
                <w:szCs w:val="16"/>
              </w:rPr>
              <w:lastRenderedPageBreak/>
              <w:t xml:space="preserve">The objective of the investment is to contribute to decarbonising the Bulgarian energy market by providing support for the development of pilot projects to enable the production of green hydrogen and biogas. The investment shall consist of grants for the </w:t>
            </w:r>
            <w:r w:rsidRPr="0063368F">
              <w:rPr>
                <w:rFonts w:ascii="Arial" w:hAnsi="Arial" w:cs="Arial"/>
                <w:color w:val="006100"/>
                <w:sz w:val="16"/>
                <w:szCs w:val="16"/>
              </w:rPr>
              <w:lastRenderedPageBreak/>
              <w:t>installation of: (i) green hydrogen production capacities of at least 55 MW in electrolysers, producing at least 7 800 tonnes of hydrogen per year from renewable sources and (ii) biogas production facilities of at least 9 MW, producing at least 7 ktoe per year of biogas</w:t>
            </w:r>
            <w:r>
              <w:rPr>
                <w:rFonts w:ascii="Arial" w:hAnsi="Arial" w:cs="Arial"/>
                <w:color w:val="006100"/>
                <w:sz w:val="16"/>
                <w:szCs w:val="16"/>
              </w:rPr>
              <w:t>.</w:t>
            </w:r>
          </w:p>
        </w:tc>
        <w:tc>
          <w:tcPr>
            <w:tcW w:w="1036" w:type="dxa"/>
            <w:gridSpan w:val="2"/>
            <w:shd w:val="clear" w:color="auto" w:fill="D6E3C6"/>
          </w:tcPr>
          <w:p w14:paraId="4A9508AE" w14:textId="26005C51" w:rsidR="0046499F" w:rsidRDefault="0046499F" w:rsidP="0046499F">
            <w:pPr>
              <w:spacing w:after="0"/>
              <w:rPr>
                <w:rFonts w:ascii="Arial" w:hAnsi="Arial" w:cs="Arial"/>
                <w:color w:val="006100"/>
                <w:sz w:val="16"/>
                <w:szCs w:val="16"/>
              </w:rPr>
            </w:pPr>
            <w:r w:rsidRPr="00B72616">
              <w:rPr>
                <w:rFonts w:ascii="Arial" w:hAnsi="Arial" w:cs="Arial"/>
                <w:color w:val="006100"/>
                <w:sz w:val="16"/>
                <w:szCs w:val="16"/>
              </w:rPr>
              <w:lastRenderedPageBreak/>
              <w:t>Delays in the definition of the selection criteria and the launching of the cal</w:t>
            </w:r>
            <w:r>
              <w:rPr>
                <w:rFonts w:ascii="Arial" w:hAnsi="Arial" w:cs="Arial"/>
                <w:color w:val="006100"/>
                <w:sz w:val="16"/>
                <w:szCs w:val="16"/>
              </w:rPr>
              <w:t>l</w:t>
            </w:r>
          </w:p>
          <w:p w14:paraId="75582C0E" w14:textId="421213F9" w:rsidR="0046499F" w:rsidRPr="00B72616" w:rsidRDefault="0046499F" w:rsidP="0046499F">
            <w:pPr>
              <w:rPr>
                <w:rFonts w:ascii="Arial" w:hAnsi="Arial" w:cs="Arial"/>
                <w:sz w:val="16"/>
                <w:szCs w:val="16"/>
              </w:rPr>
            </w:pPr>
          </w:p>
        </w:tc>
        <w:tc>
          <w:tcPr>
            <w:tcW w:w="1090" w:type="dxa"/>
            <w:gridSpan w:val="2"/>
            <w:shd w:val="clear" w:color="auto" w:fill="D6E3C6"/>
          </w:tcPr>
          <w:p w14:paraId="2F7B22F3" w14:textId="6111723B"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098764DC" w14:textId="718897CE"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5C91C175" w14:textId="553E3837" w:rsidR="0046499F" w:rsidRPr="004F3D4C" w:rsidRDefault="00E656CA"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7BD999FE" w14:textId="204FD136" w:rsidTr="00596EEA">
        <w:trPr>
          <w:trHeight w:val="309"/>
        </w:trPr>
        <w:tc>
          <w:tcPr>
            <w:tcW w:w="454" w:type="dxa"/>
            <w:shd w:val="clear" w:color="auto" w:fill="D6E3C6"/>
            <w:noWrap/>
          </w:tcPr>
          <w:p w14:paraId="541B7888" w14:textId="412C2DE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110</w:t>
            </w:r>
          </w:p>
        </w:tc>
        <w:tc>
          <w:tcPr>
            <w:tcW w:w="1215" w:type="dxa"/>
            <w:shd w:val="clear" w:color="auto" w:fill="D6E3C6"/>
            <w:noWrap/>
          </w:tcPr>
          <w:p w14:paraId="3CEBD63E" w14:textId="13C10F9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C4.I5: Pilot projects for the production of green hydrogen and biogas</w:t>
            </w:r>
          </w:p>
        </w:tc>
        <w:tc>
          <w:tcPr>
            <w:tcW w:w="956" w:type="dxa"/>
            <w:shd w:val="clear" w:color="auto" w:fill="D6E3C6"/>
            <w:noWrap/>
          </w:tcPr>
          <w:p w14:paraId="3E86E463" w14:textId="707FF7CF"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57F477F7" w14:textId="7852A5E0"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Signature of contract(s) for the construction of electrolyser capacity and biogas</w:t>
            </w:r>
          </w:p>
        </w:tc>
        <w:tc>
          <w:tcPr>
            <w:tcW w:w="1322" w:type="dxa"/>
            <w:shd w:val="clear" w:color="auto" w:fill="D6E3C6"/>
            <w:noWrap/>
          </w:tcPr>
          <w:p w14:paraId="58AB1BF1" w14:textId="15B26EF3"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Signed contract(s) by the Ministry of Energy with the successful tenderer(s)</w:t>
            </w:r>
          </w:p>
        </w:tc>
        <w:tc>
          <w:tcPr>
            <w:tcW w:w="709" w:type="dxa"/>
            <w:shd w:val="clear" w:color="auto" w:fill="D6E3C6"/>
            <w:noWrap/>
          </w:tcPr>
          <w:p w14:paraId="375BC4E4"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569D3E96"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6976DF93"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106BF780" w14:textId="79571B6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Q3</w:t>
            </w:r>
          </w:p>
        </w:tc>
        <w:tc>
          <w:tcPr>
            <w:tcW w:w="520" w:type="dxa"/>
            <w:shd w:val="clear" w:color="auto" w:fill="D6E3C6"/>
            <w:noWrap/>
          </w:tcPr>
          <w:p w14:paraId="1902AEF6" w14:textId="1DC2D799"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16FED575" w14:textId="139777DA"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494FA4EC"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09BD6378" w14:textId="77777777" w:rsidR="0046499F" w:rsidRDefault="0046499F" w:rsidP="0046499F">
            <w:pPr>
              <w:pStyle w:val="ListParagraph"/>
              <w:numPr>
                <w:ilvl w:val="0"/>
                <w:numId w:val="58"/>
              </w:numPr>
              <w:spacing w:after="0"/>
              <w:rPr>
                <w:rFonts w:ascii="Arial" w:hAnsi="Arial" w:cs="Arial"/>
                <w:color w:val="006100"/>
                <w:sz w:val="16"/>
                <w:szCs w:val="16"/>
              </w:rPr>
            </w:pPr>
            <w:r w:rsidRPr="004F3D4C">
              <w:rPr>
                <w:rFonts w:ascii="Arial" w:hAnsi="Arial" w:cs="Arial"/>
                <w:color w:val="006100"/>
                <w:sz w:val="16"/>
                <w:szCs w:val="16"/>
              </w:rPr>
              <w:t>Copy of contract(s) for new electrolysers capacity and new biogas production facility</w:t>
            </w:r>
          </w:p>
          <w:p w14:paraId="3CD9D01A" w14:textId="77777777" w:rsidR="0046499F" w:rsidRDefault="0046499F" w:rsidP="0046499F">
            <w:pPr>
              <w:pStyle w:val="ListParagraph"/>
              <w:numPr>
                <w:ilvl w:val="0"/>
                <w:numId w:val="58"/>
              </w:numPr>
              <w:spacing w:after="0"/>
              <w:rPr>
                <w:rFonts w:ascii="Arial" w:hAnsi="Arial" w:cs="Arial"/>
                <w:color w:val="006100"/>
                <w:sz w:val="16"/>
                <w:szCs w:val="16"/>
              </w:rPr>
            </w:pPr>
            <w:r>
              <w:rPr>
                <w:rFonts w:ascii="Arial" w:hAnsi="Arial" w:cs="Arial"/>
                <w:color w:val="006100"/>
                <w:sz w:val="16"/>
                <w:szCs w:val="16"/>
              </w:rPr>
              <w:t>E</w:t>
            </w:r>
            <w:r w:rsidRPr="004F3D4C">
              <w:rPr>
                <w:rFonts w:ascii="Arial" w:hAnsi="Arial" w:cs="Arial"/>
                <w:color w:val="006100"/>
                <w:sz w:val="16"/>
                <w:szCs w:val="16"/>
              </w:rPr>
              <w:t>xtract of the official documents/copy of the tender documentation containing evidence that the selection criteria/technical specifications ensured</w:t>
            </w:r>
            <w:r>
              <w:rPr>
                <w:rFonts w:ascii="Arial" w:hAnsi="Arial" w:cs="Arial"/>
                <w:color w:val="006100"/>
                <w:sz w:val="16"/>
                <w:szCs w:val="16"/>
              </w:rPr>
              <w:t>:</w:t>
            </w:r>
          </w:p>
          <w:p w14:paraId="2DA64A99" w14:textId="4CF10A18" w:rsidR="0046499F" w:rsidRDefault="0046499F" w:rsidP="0046499F">
            <w:pPr>
              <w:pStyle w:val="ListParagraph"/>
              <w:numPr>
                <w:ilvl w:val="0"/>
                <w:numId w:val="3"/>
              </w:numPr>
              <w:spacing w:after="0"/>
              <w:ind w:left="543" w:hanging="142"/>
              <w:rPr>
                <w:rFonts w:ascii="Arial" w:hAnsi="Arial" w:cs="Arial"/>
                <w:color w:val="006100"/>
                <w:sz w:val="16"/>
                <w:szCs w:val="16"/>
              </w:rPr>
            </w:pPr>
            <w:r w:rsidRPr="004F3D4C">
              <w:rPr>
                <w:rFonts w:ascii="Arial" w:hAnsi="Arial" w:cs="Arial"/>
                <w:color w:val="006100"/>
                <w:sz w:val="16"/>
                <w:szCs w:val="16"/>
              </w:rPr>
              <w:t>competitive bidding process, which was open, non-discriminatory and provide for the participation of all interested undertakings</w:t>
            </w:r>
          </w:p>
          <w:p w14:paraId="7E958F9D" w14:textId="20735261" w:rsidR="0046499F" w:rsidRPr="0051498B" w:rsidRDefault="0046499F" w:rsidP="0046499F">
            <w:pPr>
              <w:pStyle w:val="ListParagraph"/>
              <w:numPr>
                <w:ilvl w:val="0"/>
                <w:numId w:val="3"/>
              </w:numPr>
              <w:spacing w:after="0"/>
              <w:ind w:left="543" w:hanging="142"/>
              <w:rPr>
                <w:rFonts w:ascii="Arial" w:hAnsi="Arial" w:cs="Arial"/>
                <w:color w:val="006100"/>
                <w:sz w:val="16"/>
                <w:szCs w:val="16"/>
              </w:rPr>
            </w:pPr>
            <w:r w:rsidRPr="004F3D4C">
              <w:rPr>
                <w:rFonts w:ascii="Arial" w:hAnsi="Arial" w:cs="Arial"/>
                <w:color w:val="006100"/>
                <w:sz w:val="16"/>
                <w:szCs w:val="16"/>
              </w:rPr>
              <w:t>compliance with the ‘Do no significant harm’ Technical Guidance (2021/C58/01), as specified in the CID annex</w:t>
            </w:r>
          </w:p>
        </w:tc>
        <w:tc>
          <w:tcPr>
            <w:tcW w:w="3402" w:type="dxa"/>
            <w:shd w:val="clear" w:color="auto" w:fill="D6E3C6"/>
          </w:tcPr>
          <w:p w14:paraId="0FFF2882"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4AC1AD56" w14:textId="77777777" w:rsidR="0046499F" w:rsidRPr="009F2F58" w:rsidRDefault="0046499F" w:rsidP="0046499F">
            <w:pPr>
              <w:spacing w:after="0"/>
              <w:rPr>
                <w:rFonts w:ascii="Arial" w:hAnsi="Arial" w:cs="Arial"/>
                <w:color w:val="006100"/>
                <w:sz w:val="16"/>
                <w:szCs w:val="16"/>
              </w:rPr>
            </w:pPr>
          </w:p>
          <w:p w14:paraId="0323993B" w14:textId="1CBF4B4E"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51498B">
              <w:rPr>
                <w:rFonts w:ascii="Arial" w:hAnsi="Arial" w:cs="Arial"/>
                <w:color w:val="006100"/>
                <w:sz w:val="16"/>
                <w:szCs w:val="16"/>
              </w:rPr>
              <w:t>Signature of contract(s) for the construction of electrolyser capacity and biogas</w:t>
            </w:r>
          </w:p>
          <w:p w14:paraId="07BA2FDF" w14:textId="77777777" w:rsidR="0046499F" w:rsidRPr="009F2F58" w:rsidRDefault="0046499F" w:rsidP="0046499F">
            <w:pPr>
              <w:spacing w:after="0"/>
              <w:rPr>
                <w:rFonts w:ascii="Arial" w:hAnsi="Arial" w:cs="Arial"/>
                <w:color w:val="006100"/>
                <w:sz w:val="16"/>
                <w:szCs w:val="16"/>
              </w:rPr>
            </w:pPr>
          </w:p>
          <w:p w14:paraId="0CCB43C7" w14:textId="6B675607"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contracting (a, b)</w:t>
            </w:r>
          </w:p>
          <w:p w14:paraId="6CF3D185" w14:textId="77777777" w:rsidR="0046499F" w:rsidRPr="009F2F58" w:rsidRDefault="0046499F" w:rsidP="0046499F">
            <w:pPr>
              <w:spacing w:after="0"/>
              <w:rPr>
                <w:rFonts w:ascii="Arial" w:hAnsi="Arial" w:cs="Arial"/>
                <w:color w:val="006100"/>
                <w:sz w:val="16"/>
                <w:szCs w:val="16"/>
              </w:rPr>
            </w:pPr>
          </w:p>
          <w:p w14:paraId="60B9BAA7" w14:textId="163E3E78"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51498B">
              <w:rPr>
                <w:rFonts w:ascii="Arial" w:hAnsi="Arial" w:cs="Arial"/>
                <w:color w:val="006100"/>
                <w:sz w:val="16"/>
                <w:szCs w:val="16"/>
              </w:rPr>
              <w:t>The contract(s) for construction shall be signed by the Ministry of Energy with the successful tenderer(s) and shall cover: new electrolysers capacity, of at least 55 MW, with an expected volume generated of at least 7 800 tons/year of green hydrogen produced from electricity from renewable energy sources; new biogas production facility of at least 9 MW, with an expected volume generated of at least 7 ktoe/year of biogas.</w:t>
            </w:r>
            <w:r>
              <w:rPr>
                <w:rFonts w:ascii="Arial" w:hAnsi="Arial" w:cs="Arial"/>
                <w:color w:val="006100"/>
                <w:sz w:val="16"/>
                <w:szCs w:val="16"/>
              </w:rPr>
              <w:t xml:space="preserve"> </w:t>
            </w:r>
            <w:r w:rsidRPr="00E80B72">
              <w:rPr>
                <w:rFonts w:ascii="Arial" w:hAnsi="Arial" w:cs="Arial"/>
                <w:color w:val="006100"/>
                <w:sz w:val="16"/>
                <w:szCs w:val="16"/>
              </w:rPr>
              <w:t>[provide references to the above in the summary document]</w:t>
            </w:r>
          </w:p>
          <w:p w14:paraId="503A7BCC" w14:textId="77777777" w:rsidR="0046499F" w:rsidRPr="009F2F58" w:rsidRDefault="0046499F" w:rsidP="0046499F">
            <w:pPr>
              <w:spacing w:after="0"/>
              <w:rPr>
                <w:rFonts w:ascii="Arial" w:hAnsi="Arial" w:cs="Arial"/>
                <w:color w:val="006100"/>
                <w:sz w:val="16"/>
                <w:szCs w:val="16"/>
              </w:rPr>
            </w:pPr>
          </w:p>
          <w:p w14:paraId="62A7F29E" w14:textId="6821825B"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xml:space="preserve">: </w:t>
            </w:r>
            <w:r w:rsidRPr="00B4080E">
              <w:rPr>
                <w:rFonts w:ascii="Arial" w:hAnsi="Arial" w:cs="Arial"/>
                <w:color w:val="006100"/>
                <w:sz w:val="16"/>
                <w:szCs w:val="16"/>
              </w:rPr>
              <w:t xml:space="preserve">specify the dates of </w:t>
            </w:r>
            <w:r>
              <w:rPr>
                <w:rFonts w:ascii="Arial" w:hAnsi="Arial" w:cs="Arial"/>
                <w:color w:val="006100"/>
                <w:sz w:val="16"/>
                <w:szCs w:val="16"/>
              </w:rPr>
              <w:t>selection, award, and contracting</w:t>
            </w:r>
          </w:p>
        </w:tc>
        <w:tc>
          <w:tcPr>
            <w:tcW w:w="2268" w:type="dxa"/>
            <w:shd w:val="clear" w:color="auto" w:fill="D6E3C6"/>
          </w:tcPr>
          <w:p w14:paraId="40613BE4" w14:textId="54ACA661"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25450349" w14:textId="764F4AC8"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Delays in the launching of the procedures</w:t>
            </w:r>
          </w:p>
        </w:tc>
        <w:tc>
          <w:tcPr>
            <w:tcW w:w="1090" w:type="dxa"/>
            <w:gridSpan w:val="2"/>
            <w:shd w:val="clear" w:color="auto" w:fill="D6E3C6"/>
          </w:tcPr>
          <w:p w14:paraId="0A3EDC12" w14:textId="1BB26122"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3F989FA2" w14:textId="1108809E"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3119D0AC" w14:textId="37BF64FB" w:rsidR="0046499F" w:rsidRPr="004F3D4C" w:rsidRDefault="00E656CA"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7916C5EB" w14:textId="790F5693" w:rsidTr="00596EEA">
        <w:trPr>
          <w:trHeight w:val="309"/>
        </w:trPr>
        <w:tc>
          <w:tcPr>
            <w:tcW w:w="454" w:type="dxa"/>
            <w:shd w:val="clear" w:color="auto" w:fill="D6E3C6"/>
            <w:noWrap/>
          </w:tcPr>
          <w:p w14:paraId="65F5A1BA" w14:textId="53BD0B97"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lastRenderedPageBreak/>
              <w:t>111</w:t>
            </w:r>
          </w:p>
        </w:tc>
        <w:tc>
          <w:tcPr>
            <w:tcW w:w="1215" w:type="dxa"/>
            <w:shd w:val="clear" w:color="auto" w:fill="D6E3C6"/>
            <w:noWrap/>
          </w:tcPr>
          <w:p w14:paraId="1B4A5189" w14:textId="4E13E5E7"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C4.I5: Pilot projects for the production of green hydrogen and biogas</w:t>
            </w:r>
          </w:p>
        </w:tc>
        <w:tc>
          <w:tcPr>
            <w:tcW w:w="956" w:type="dxa"/>
            <w:shd w:val="clear" w:color="auto" w:fill="D6E3C6"/>
            <w:noWrap/>
          </w:tcPr>
          <w:p w14:paraId="0D26BD01" w14:textId="6C67A323"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222D86BD" w14:textId="5EEA55D9"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Production of green hydrogen</w:t>
            </w:r>
          </w:p>
        </w:tc>
        <w:tc>
          <w:tcPr>
            <w:tcW w:w="1322" w:type="dxa"/>
            <w:shd w:val="clear" w:color="auto" w:fill="D6E3C6"/>
            <w:noWrap/>
          </w:tcPr>
          <w:p w14:paraId="4796BD0D"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7CDF84FE" w14:textId="5EEC417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Megawatts (MW)</w:t>
            </w:r>
          </w:p>
        </w:tc>
        <w:tc>
          <w:tcPr>
            <w:tcW w:w="614" w:type="dxa"/>
            <w:shd w:val="clear" w:color="auto" w:fill="D6E3C6"/>
            <w:noWrap/>
          </w:tcPr>
          <w:p w14:paraId="25FE0C58" w14:textId="2898780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0</w:t>
            </w:r>
          </w:p>
        </w:tc>
        <w:tc>
          <w:tcPr>
            <w:tcW w:w="731" w:type="dxa"/>
            <w:shd w:val="clear" w:color="auto" w:fill="D6E3C6"/>
            <w:noWrap/>
          </w:tcPr>
          <w:p w14:paraId="1E2C606A" w14:textId="7C42744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55</w:t>
            </w:r>
          </w:p>
        </w:tc>
        <w:tc>
          <w:tcPr>
            <w:tcW w:w="756" w:type="dxa"/>
            <w:gridSpan w:val="2"/>
            <w:shd w:val="clear" w:color="auto" w:fill="D6E3C6"/>
            <w:noWrap/>
          </w:tcPr>
          <w:p w14:paraId="277B912F" w14:textId="1C745ED4"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4A7D8746" w14:textId="3766AEF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2025</w:t>
            </w:r>
          </w:p>
        </w:tc>
        <w:tc>
          <w:tcPr>
            <w:tcW w:w="872" w:type="dxa"/>
            <w:gridSpan w:val="2"/>
            <w:shd w:val="clear" w:color="auto" w:fill="D6E3C6"/>
          </w:tcPr>
          <w:p w14:paraId="4CBB620B" w14:textId="6729ED42"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4BAD2320"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52566BC9" w14:textId="5119A264" w:rsidR="0046499F" w:rsidRDefault="0046499F" w:rsidP="0046499F">
            <w:pPr>
              <w:pStyle w:val="ListParagraph"/>
              <w:numPr>
                <w:ilvl w:val="0"/>
                <w:numId w:val="59"/>
              </w:numPr>
              <w:spacing w:after="0"/>
              <w:rPr>
                <w:rFonts w:ascii="Arial" w:hAnsi="Arial" w:cs="Arial"/>
                <w:color w:val="006100"/>
                <w:sz w:val="16"/>
                <w:szCs w:val="16"/>
              </w:rPr>
            </w:pPr>
            <w:r w:rsidRPr="004F3D4C">
              <w:rPr>
                <w:rFonts w:ascii="Arial" w:hAnsi="Arial" w:cs="Arial"/>
                <w:color w:val="006100"/>
                <w:sz w:val="16"/>
                <w:szCs w:val="16"/>
                <w:lang w:eastAsia="en-GB"/>
              </w:rPr>
              <w:t xml:space="preserve">Certificate of completion issued in accordance with the national legislation.  An indication in the certificate of additional renewables hydrogen capacity as listed in the </w:t>
            </w:r>
            <w:r>
              <w:rPr>
                <w:rFonts w:ascii="Arial" w:hAnsi="Arial" w:cs="Arial"/>
                <w:color w:val="006100"/>
                <w:sz w:val="16"/>
                <w:szCs w:val="16"/>
                <w:lang w:eastAsia="en-GB"/>
              </w:rPr>
              <w:t>CID</w:t>
            </w:r>
            <w:r w:rsidRPr="004F3D4C">
              <w:rPr>
                <w:rFonts w:ascii="Arial" w:hAnsi="Arial" w:cs="Arial"/>
                <w:color w:val="006100"/>
                <w:sz w:val="16"/>
                <w:szCs w:val="16"/>
                <w:lang w:eastAsia="en-GB"/>
              </w:rPr>
              <w:t xml:space="preserve"> annex by the target deadline compared to the baseline</w:t>
            </w:r>
          </w:p>
          <w:p w14:paraId="21DE2DF6" w14:textId="160B8DF6" w:rsidR="0046499F" w:rsidRDefault="0046499F" w:rsidP="0046499F">
            <w:pPr>
              <w:pStyle w:val="ListParagraph"/>
              <w:numPr>
                <w:ilvl w:val="0"/>
                <w:numId w:val="59"/>
              </w:numPr>
              <w:spacing w:after="0"/>
              <w:rPr>
                <w:rFonts w:ascii="Arial" w:hAnsi="Arial" w:cs="Arial"/>
                <w:color w:val="006100"/>
                <w:sz w:val="16"/>
                <w:szCs w:val="16"/>
              </w:rPr>
            </w:pPr>
            <w:r w:rsidRPr="004F3D4C">
              <w:rPr>
                <w:rFonts w:ascii="Arial" w:hAnsi="Arial" w:cs="Arial"/>
                <w:color w:val="006100"/>
                <w:sz w:val="16"/>
                <w:szCs w:val="16"/>
                <w:lang w:eastAsia="en-GB"/>
              </w:rPr>
              <w:t>Copy of the operating license issued in accordance with the national legislation</w:t>
            </w:r>
          </w:p>
          <w:p w14:paraId="4C46854C" w14:textId="66CCFC48" w:rsidR="0046499F" w:rsidRDefault="0046499F" w:rsidP="0046499F">
            <w:pPr>
              <w:pStyle w:val="ListParagraph"/>
              <w:numPr>
                <w:ilvl w:val="0"/>
                <w:numId w:val="59"/>
              </w:numPr>
              <w:spacing w:after="0"/>
              <w:rPr>
                <w:rFonts w:ascii="Arial" w:hAnsi="Arial" w:cs="Arial"/>
                <w:color w:val="006100"/>
                <w:sz w:val="16"/>
                <w:szCs w:val="16"/>
              </w:rPr>
            </w:pPr>
            <w:r w:rsidRPr="004F3D4C">
              <w:rPr>
                <w:rFonts w:ascii="Arial" w:hAnsi="Arial" w:cs="Arial"/>
                <w:color w:val="006100"/>
                <w:sz w:val="16"/>
                <w:szCs w:val="16"/>
                <w:lang w:eastAsia="en-GB"/>
              </w:rPr>
              <w:t>The location, a brief description of the installation and the number of mw of renewable hydrogen capacity installed</w:t>
            </w:r>
          </w:p>
          <w:p w14:paraId="15EF9CF4" w14:textId="0B263FB1" w:rsidR="0046499F" w:rsidRPr="00B012EE" w:rsidRDefault="0046499F" w:rsidP="0046499F">
            <w:pPr>
              <w:pStyle w:val="ListParagraph"/>
              <w:numPr>
                <w:ilvl w:val="0"/>
                <w:numId w:val="59"/>
              </w:numPr>
              <w:spacing w:after="0"/>
              <w:rPr>
                <w:rFonts w:ascii="Arial" w:hAnsi="Arial" w:cs="Arial"/>
                <w:color w:val="006100"/>
                <w:sz w:val="16"/>
                <w:szCs w:val="16"/>
              </w:rPr>
            </w:pPr>
            <w:r w:rsidRPr="004F3D4C">
              <w:rPr>
                <w:rFonts w:ascii="Arial" w:hAnsi="Arial" w:cs="Arial"/>
                <w:color w:val="006100"/>
                <w:sz w:val="16"/>
                <w:szCs w:val="16"/>
                <w:lang w:eastAsia="en-GB"/>
              </w:rPr>
              <w:t>The methodology used to produce low carbon hydrogen and source of electricity</w:t>
            </w:r>
          </w:p>
        </w:tc>
        <w:tc>
          <w:tcPr>
            <w:tcW w:w="3402" w:type="dxa"/>
            <w:shd w:val="clear" w:color="auto" w:fill="D6E3C6"/>
          </w:tcPr>
          <w:p w14:paraId="77C1F278"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667FDEE7" w14:textId="77777777" w:rsidR="0046499F" w:rsidRPr="009F2F58" w:rsidRDefault="0046499F" w:rsidP="0046499F">
            <w:pPr>
              <w:spacing w:after="0"/>
              <w:rPr>
                <w:rFonts w:ascii="Arial" w:hAnsi="Arial" w:cs="Arial"/>
                <w:color w:val="006100"/>
                <w:sz w:val="16"/>
                <w:szCs w:val="16"/>
              </w:rPr>
            </w:pPr>
          </w:p>
          <w:p w14:paraId="529720C1" w14:textId="152B8E90"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F4107B">
              <w:rPr>
                <w:rFonts w:ascii="Arial" w:hAnsi="Arial" w:cs="Arial"/>
                <w:color w:val="006100"/>
                <w:sz w:val="16"/>
                <w:szCs w:val="16"/>
              </w:rPr>
              <w:t>Production of green hydrogen</w:t>
            </w:r>
          </w:p>
          <w:p w14:paraId="0AD067FB" w14:textId="77777777" w:rsidR="0046499F" w:rsidRPr="009F2F58" w:rsidRDefault="0046499F" w:rsidP="0046499F">
            <w:pPr>
              <w:spacing w:after="0"/>
              <w:rPr>
                <w:rFonts w:ascii="Arial" w:hAnsi="Arial" w:cs="Arial"/>
                <w:color w:val="006100"/>
                <w:sz w:val="16"/>
                <w:szCs w:val="16"/>
              </w:rPr>
            </w:pPr>
          </w:p>
          <w:p w14:paraId="7831AFD1" w14:textId="7BD06DAB"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certification and licensing (a, b) reporting (c, d)</w:t>
            </w:r>
          </w:p>
          <w:p w14:paraId="2532E880" w14:textId="77777777" w:rsidR="0046499F" w:rsidRPr="009F2F58" w:rsidRDefault="0046499F" w:rsidP="0046499F">
            <w:pPr>
              <w:spacing w:after="0"/>
              <w:rPr>
                <w:rFonts w:ascii="Arial" w:hAnsi="Arial" w:cs="Arial"/>
                <w:color w:val="006100"/>
                <w:sz w:val="16"/>
                <w:szCs w:val="16"/>
              </w:rPr>
            </w:pPr>
          </w:p>
          <w:p w14:paraId="2D0E4ED8" w14:textId="350D40D6"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B012EE">
              <w:rPr>
                <w:rFonts w:ascii="Arial" w:hAnsi="Arial" w:cs="Arial"/>
                <w:color w:val="006100"/>
                <w:sz w:val="16"/>
                <w:szCs w:val="16"/>
              </w:rPr>
              <w:t>Entry in operation of 55 MW installed capacity of electrolysers capable of producing at least 7800 tonnes/year of green hydrogen produced from renewable energy sources.</w:t>
            </w:r>
            <w:r>
              <w:rPr>
                <w:rFonts w:ascii="Arial" w:hAnsi="Arial" w:cs="Arial"/>
                <w:color w:val="006100"/>
                <w:sz w:val="16"/>
                <w:szCs w:val="16"/>
              </w:rPr>
              <w:t xml:space="preserve"> </w:t>
            </w:r>
            <w:r w:rsidRPr="00E80B72">
              <w:rPr>
                <w:rFonts w:ascii="Arial" w:hAnsi="Arial" w:cs="Arial"/>
                <w:color w:val="006100"/>
                <w:sz w:val="16"/>
                <w:szCs w:val="16"/>
              </w:rPr>
              <w:t>[provide references to the above in the summary document]</w:t>
            </w:r>
          </w:p>
          <w:p w14:paraId="18F36DDE" w14:textId="77777777" w:rsidR="0046499F" w:rsidRPr="009F2F58" w:rsidRDefault="0046499F" w:rsidP="0046499F">
            <w:pPr>
              <w:spacing w:after="0"/>
              <w:rPr>
                <w:rFonts w:ascii="Arial" w:hAnsi="Arial" w:cs="Arial"/>
                <w:color w:val="006100"/>
                <w:sz w:val="16"/>
                <w:szCs w:val="16"/>
              </w:rPr>
            </w:pPr>
          </w:p>
          <w:p w14:paraId="14D590EE" w14:textId="6DBAB5A8"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after signature of contracts and project implementation</w:t>
            </w:r>
          </w:p>
        </w:tc>
        <w:tc>
          <w:tcPr>
            <w:tcW w:w="2268" w:type="dxa"/>
            <w:shd w:val="clear" w:color="auto" w:fill="D6E3C6"/>
          </w:tcPr>
          <w:p w14:paraId="52E52365" w14:textId="30DB4CEA"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 xml:space="preserve">As above </w:t>
            </w:r>
          </w:p>
        </w:tc>
        <w:tc>
          <w:tcPr>
            <w:tcW w:w="1036" w:type="dxa"/>
            <w:gridSpan w:val="2"/>
            <w:shd w:val="clear" w:color="auto" w:fill="D6E3C6"/>
          </w:tcPr>
          <w:p w14:paraId="4E3F8E78" w14:textId="67B34EE2"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Delays in the signature of contracts</w:t>
            </w:r>
          </w:p>
        </w:tc>
        <w:tc>
          <w:tcPr>
            <w:tcW w:w="1090" w:type="dxa"/>
            <w:gridSpan w:val="2"/>
            <w:shd w:val="clear" w:color="auto" w:fill="D6E3C6"/>
          </w:tcPr>
          <w:p w14:paraId="199D6A53" w14:textId="3CE99AB7" w:rsidR="0046499F" w:rsidRPr="009502E1" w:rsidRDefault="0046499F" w:rsidP="0046499F">
            <w:pPr>
              <w:spacing w:after="0"/>
              <w:rPr>
                <w:rFonts w:ascii="Arial" w:hAnsi="Arial" w:cs="Arial"/>
                <w:color w:val="005D00"/>
                <w:sz w:val="16"/>
                <w:szCs w:val="16"/>
              </w:rPr>
            </w:pPr>
            <w:r>
              <w:rPr>
                <w:rFonts w:ascii="Arial" w:hAnsi="Arial" w:cs="Arial"/>
                <w:color w:val="005D00"/>
                <w:sz w:val="16"/>
                <w:szCs w:val="16"/>
              </w:rPr>
              <w:t>Yes, a</w:t>
            </w:r>
            <w:r w:rsidRPr="004F3D4C">
              <w:rPr>
                <w:rFonts w:ascii="Arial" w:hAnsi="Arial" w:cs="Arial"/>
                <w:color w:val="005D00"/>
                <w:sz w:val="16"/>
                <w:szCs w:val="16"/>
              </w:rPr>
              <w:t>t 2-3 sites after the receipt of documents for completion of the works / equipment installation (Q4 2025, or earlier if completed before that date)</w:t>
            </w:r>
          </w:p>
        </w:tc>
        <w:tc>
          <w:tcPr>
            <w:tcW w:w="992" w:type="dxa"/>
            <w:gridSpan w:val="2"/>
            <w:shd w:val="clear" w:color="auto" w:fill="D6E3C6"/>
          </w:tcPr>
          <w:p w14:paraId="79BB284E" w14:textId="0EEC874E"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Indicator 2</w:t>
            </w:r>
          </w:p>
        </w:tc>
        <w:tc>
          <w:tcPr>
            <w:tcW w:w="1418" w:type="dxa"/>
            <w:gridSpan w:val="2"/>
            <w:shd w:val="clear" w:color="auto" w:fill="D6E3C6"/>
          </w:tcPr>
          <w:p w14:paraId="5C793352" w14:textId="1CFB962C" w:rsidR="0046499F" w:rsidRPr="004F3D4C" w:rsidRDefault="004918A0" w:rsidP="0046499F">
            <w:pPr>
              <w:spacing w:after="0"/>
              <w:rPr>
                <w:rFonts w:ascii="Arial" w:hAnsi="Arial" w:cs="Arial"/>
                <w:color w:val="005D00"/>
                <w:sz w:val="16"/>
                <w:szCs w:val="16"/>
              </w:rPr>
            </w:pPr>
            <w:r>
              <w:rPr>
                <w:rFonts w:ascii="Arial" w:hAnsi="Arial" w:cs="Arial"/>
                <w:color w:val="005D00"/>
                <w:sz w:val="16"/>
                <w:szCs w:val="16"/>
              </w:rPr>
              <w:t xml:space="preserve">A monitoring step: </w:t>
            </w:r>
            <w:r w:rsidR="00470A26" w:rsidRPr="00470A26">
              <w:rPr>
                <w:rFonts w:ascii="Arial" w:hAnsi="Arial" w:cs="Arial"/>
                <w:color w:val="005D00"/>
                <w:sz w:val="16"/>
                <w:szCs w:val="16"/>
              </w:rPr>
              <w:t>Project status report</w:t>
            </w:r>
            <w:r w:rsidR="00470A26">
              <w:rPr>
                <w:rFonts w:ascii="Arial" w:hAnsi="Arial" w:cs="Arial"/>
                <w:color w:val="005D00"/>
                <w:sz w:val="16"/>
                <w:szCs w:val="16"/>
              </w:rPr>
              <w:t xml:space="preserve"> (</w:t>
            </w:r>
            <w:r w:rsidR="00ED4330">
              <w:rPr>
                <w:rFonts w:ascii="Arial" w:hAnsi="Arial" w:cs="Arial"/>
                <w:color w:val="005D00"/>
                <w:sz w:val="16"/>
                <w:szCs w:val="16"/>
              </w:rPr>
              <w:t xml:space="preserve">Q4 </w:t>
            </w:r>
            <w:r w:rsidR="003621BC">
              <w:rPr>
                <w:rFonts w:ascii="Arial" w:hAnsi="Arial" w:cs="Arial"/>
                <w:color w:val="005D00"/>
                <w:sz w:val="16"/>
                <w:szCs w:val="16"/>
              </w:rPr>
              <w:t>2024</w:t>
            </w:r>
            <w:r w:rsidR="00470A26">
              <w:rPr>
                <w:rFonts w:ascii="Arial" w:hAnsi="Arial" w:cs="Arial"/>
                <w:color w:val="005D00"/>
                <w:sz w:val="16"/>
                <w:szCs w:val="16"/>
              </w:rPr>
              <w:t>)</w:t>
            </w:r>
          </w:p>
        </w:tc>
      </w:tr>
      <w:tr w:rsidR="0046499F" w:rsidRPr="004F3D4C" w14:paraId="37205217" w14:textId="4F37A80B" w:rsidTr="00596EEA">
        <w:trPr>
          <w:trHeight w:val="309"/>
        </w:trPr>
        <w:tc>
          <w:tcPr>
            <w:tcW w:w="454" w:type="dxa"/>
            <w:shd w:val="clear" w:color="auto" w:fill="D6E3C6"/>
            <w:noWrap/>
          </w:tcPr>
          <w:p w14:paraId="79B3D229" w14:textId="3BE6747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112</w:t>
            </w:r>
          </w:p>
        </w:tc>
        <w:tc>
          <w:tcPr>
            <w:tcW w:w="1215" w:type="dxa"/>
            <w:shd w:val="clear" w:color="auto" w:fill="D6E3C6"/>
            <w:noWrap/>
          </w:tcPr>
          <w:p w14:paraId="02927099" w14:textId="766FB0B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C4.I5: Pilot projects for the production of green hydrogen and biogas</w:t>
            </w:r>
          </w:p>
        </w:tc>
        <w:tc>
          <w:tcPr>
            <w:tcW w:w="956" w:type="dxa"/>
            <w:shd w:val="clear" w:color="auto" w:fill="D6E3C6"/>
            <w:noWrap/>
          </w:tcPr>
          <w:p w14:paraId="46F6613E" w14:textId="35DC5A9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74FD6230" w14:textId="618D20F5"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Biogas production</w:t>
            </w:r>
          </w:p>
        </w:tc>
        <w:tc>
          <w:tcPr>
            <w:tcW w:w="1322" w:type="dxa"/>
            <w:shd w:val="clear" w:color="auto" w:fill="D6E3C6"/>
            <w:noWrap/>
          </w:tcPr>
          <w:p w14:paraId="37ACB40A"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7783ACFC" w14:textId="7E3654B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Megawatts (MW)</w:t>
            </w:r>
          </w:p>
        </w:tc>
        <w:tc>
          <w:tcPr>
            <w:tcW w:w="614" w:type="dxa"/>
            <w:shd w:val="clear" w:color="auto" w:fill="D6E3C6"/>
            <w:noWrap/>
          </w:tcPr>
          <w:p w14:paraId="11903915" w14:textId="055D8233"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0</w:t>
            </w:r>
          </w:p>
        </w:tc>
        <w:tc>
          <w:tcPr>
            <w:tcW w:w="731" w:type="dxa"/>
            <w:shd w:val="clear" w:color="auto" w:fill="D6E3C6"/>
            <w:noWrap/>
          </w:tcPr>
          <w:p w14:paraId="64EAA614" w14:textId="6F58802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9</w:t>
            </w:r>
          </w:p>
        </w:tc>
        <w:tc>
          <w:tcPr>
            <w:tcW w:w="756" w:type="dxa"/>
            <w:gridSpan w:val="2"/>
            <w:shd w:val="clear" w:color="auto" w:fill="D6E3C6"/>
            <w:noWrap/>
          </w:tcPr>
          <w:p w14:paraId="18F24A19" w14:textId="3139E0D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Q4</w:t>
            </w:r>
          </w:p>
        </w:tc>
        <w:tc>
          <w:tcPr>
            <w:tcW w:w="520" w:type="dxa"/>
            <w:shd w:val="clear" w:color="auto" w:fill="D6E3C6"/>
            <w:noWrap/>
          </w:tcPr>
          <w:p w14:paraId="22116C16" w14:textId="14727AAF"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2025</w:t>
            </w:r>
          </w:p>
        </w:tc>
        <w:tc>
          <w:tcPr>
            <w:tcW w:w="872" w:type="dxa"/>
            <w:gridSpan w:val="2"/>
            <w:shd w:val="clear" w:color="auto" w:fill="D6E3C6"/>
          </w:tcPr>
          <w:p w14:paraId="116C5B04" w14:textId="28B69A0E"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04EC65D3"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30FE62B4" w14:textId="2ADAF3AB" w:rsidR="0046499F" w:rsidRDefault="0046499F" w:rsidP="0046499F">
            <w:pPr>
              <w:pStyle w:val="ListParagraph"/>
              <w:numPr>
                <w:ilvl w:val="0"/>
                <w:numId w:val="60"/>
              </w:numPr>
              <w:spacing w:after="0"/>
              <w:rPr>
                <w:rFonts w:ascii="Arial" w:hAnsi="Arial" w:cs="Arial"/>
                <w:color w:val="006100"/>
                <w:sz w:val="16"/>
                <w:szCs w:val="16"/>
              </w:rPr>
            </w:pPr>
            <w:r w:rsidRPr="004F3D4C">
              <w:rPr>
                <w:rFonts w:ascii="Arial" w:hAnsi="Arial" w:cs="Arial"/>
                <w:color w:val="006100"/>
                <w:sz w:val="16"/>
                <w:szCs w:val="16"/>
                <w:lang w:eastAsia="en-GB"/>
              </w:rPr>
              <w:t>Certificate of completion issued in accordance with the national legislation.  An indication in the certificate of additional biogas capacity as listed in the CID annex by the target deadline compared to the baseline</w:t>
            </w:r>
          </w:p>
          <w:p w14:paraId="6955A6C4" w14:textId="445DA6F7" w:rsidR="0046499F" w:rsidRDefault="0046499F" w:rsidP="0046499F">
            <w:pPr>
              <w:pStyle w:val="ListParagraph"/>
              <w:numPr>
                <w:ilvl w:val="0"/>
                <w:numId w:val="60"/>
              </w:numPr>
              <w:spacing w:after="0"/>
              <w:rPr>
                <w:rFonts w:ascii="Arial" w:hAnsi="Arial" w:cs="Arial"/>
                <w:color w:val="006100"/>
                <w:sz w:val="16"/>
                <w:szCs w:val="16"/>
              </w:rPr>
            </w:pPr>
            <w:r w:rsidRPr="004F3D4C">
              <w:rPr>
                <w:rFonts w:ascii="Arial" w:hAnsi="Arial" w:cs="Arial"/>
                <w:color w:val="006100"/>
                <w:sz w:val="16"/>
                <w:szCs w:val="16"/>
                <w:lang w:eastAsia="en-GB"/>
              </w:rPr>
              <w:t>Copy of the operating license issued in accordance with the national legislation</w:t>
            </w:r>
          </w:p>
          <w:p w14:paraId="4190DC39" w14:textId="0D573AE5" w:rsidR="0046499F" w:rsidRPr="001E1289" w:rsidRDefault="0046499F" w:rsidP="0046499F">
            <w:pPr>
              <w:pStyle w:val="ListParagraph"/>
              <w:numPr>
                <w:ilvl w:val="0"/>
                <w:numId w:val="60"/>
              </w:numPr>
              <w:spacing w:after="0"/>
              <w:rPr>
                <w:rFonts w:ascii="Arial" w:hAnsi="Arial" w:cs="Arial"/>
                <w:color w:val="006100"/>
                <w:sz w:val="16"/>
                <w:szCs w:val="16"/>
              </w:rPr>
            </w:pPr>
            <w:r w:rsidRPr="004F3D4C">
              <w:rPr>
                <w:rFonts w:ascii="Arial" w:hAnsi="Arial" w:cs="Arial"/>
                <w:color w:val="006100"/>
                <w:sz w:val="16"/>
                <w:szCs w:val="16"/>
                <w:lang w:eastAsia="en-GB"/>
              </w:rPr>
              <w:t>The location, a brief description of the installation and the number of MW of biogas capacity installed</w:t>
            </w:r>
          </w:p>
        </w:tc>
        <w:tc>
          <w:tcPr>
            <w:tcW w:w="3402" w:type="dxa"/>
            <w:shd w:val="clear" w:color="auto" w:fill="D6E3C6"/>
          </w:tcPr>
          <w:p w14:paraId="286D3B39" w14:textId="77777777"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0185D413" w14:textId="77777777" w:rsidR="0046499F" w:rsidRPr="009F2F58" w:rsidRDefault="0046499F" w:rsidP="0046499F">
            <w:pPr>
              <w:spacing w:after="0"/>
              <w:rPr>
                <w:rFonts w:ascii="Arial" w:hAnsi="Arial" w:cs="Arial"/>
                <w:color w:val="006100"/>
                <w:sz w:val="16"/>
                <w:szCs w:val="16"/>
              </w:rPr>
            </w:pPr>
          </w:p>
          <w:p w14:paraId="062592A1" w14:textId="338D1B48"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9E117A">
              <w:rPr>
                <w:rFonts w:ascii="Arial" w:hAnsi="Arial" w:cs="Arial"/>
                <w:color w:val="006100"/>
                <w:sz w:val="16"/>
                <w:szCs w:val="16"/>
              </w:rPr>
              <w:t>Biogas production</w:t>
            </w:r>
          </w:p>
          <w:p w14:paraId="6A76E707" w14:textId="77777777" w:rsidR="0046499F" w:rsidRPr="009F2F58" w:rsidRDefault="0046499F" w:rsidP="0046499F">
            <w:pPr>
              <w:spacing w:after="0"/>
              <w:rPr>
                <w:rFonts w:ascii="Arial" w:hAnsi="Arial" w:cs="Arial"/>
                <w:color w:val="006100"/>
                <w:sz w:val="16"/>
                <w:szCs w:val="16"/>
              </w:rPr>
            </w:pPr>
          </w:p>
          <w:p w14:paraId="6E89FA40" w14:textId="25AED886"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certification and licensing (a, b) reporting (c)</w:t>
            </w:r>
          </w:p>
          <w:p w14:paraId="3E5249C2" w14:textId="77777777" w:rsidR="0046499F" w:rsidRPr="009F2F58" w:rsidRDefault="0046499F" w:rsidP="0046499F">
            <w:pPr>
              <w:spacing w:after="0"/>
              <w:rPr>
                <w:rFonts w:ascii="Arial" w:hAnsi="Arial" w:cs="Arial"/>
                <w:color w:val="006100"/>
                <w:sz w:val="16"/>
                <w:szCs w:val="16"/>
              </w:rPr>
            </w:pPr>
          </w:p>
          <w:p w14:paraId="75E46F84" w14:textId="0790D0AF"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214ED3">
              <w:rPr>
                <w:rFonts w:ascii="Arial" w:hAnsi="Arial" w:cs="Arial"/>
                <w:color w:val="006100"/>
                <w:sz w:val="16"/>
                <w:szCs w:val="16"/>
              </w:rPr>
              <w:t>Entry in operation of 9 MW biogas production facility, capable of generating at least 7 ktoe/year of biogas.</w:t>
            </w:r>
            <w:r>
              <w:rPr>
                <w:rFonts w:ascii="Arial" w:hAnsi="Arial" w:cs="Arial"/>
                <w:color w:val="006100"/>
                <w:sz w:val="16"/>
                <w:szCs w:val="16"/>
              </w:rPr>
              <w:t xml:space="preserve"> </w:t>
            </w:r>
            <w:r w:rsidRPr="00E80B72">
              <w:rPr>
                <w:rFonts w:ascii="Arial" w:hAnsi="Arial" w:cs="Arial"/>
                <w:color w:val="006100"/>
                <w:sz w:val="16"/>
                <w:szCs w:val="16"/>
              </w:rPr>
              <w:t>[provide references to the above in the summary document]</w:t>
            </w:r>
          </w:p>
          <w:p w14:paraId="57970533" w14:textId="77777777" w:rsidR="0046499F" w:rsidRPr="009F2F58" w:rsidRDefault="0046499F" w:rsidP="0046499F">
            <w:pPr>
              <w:spacing w:after="0"/>
              <w:rPr>
                <w:rFonts w:ascii="Arial" w:hAnsi="Arial" w:cs="Arial"/>
                <w:color w:val="006100"/>
                <w:sz w:val="16"/>
                <w:szCs w:val="16"/>
              </w:rPr>
            </w:pPr>
          </w:p>
          <w:p w14:paraId="3917F8C6" w14:textId="79F8D355"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after signature of contracts and project implementation</w:t>
            </w:r>
          </w:p>
        </w:tc>
        <w:tc>
          <w:tcPr>
            <w:tcW w:w="2268" w:type="dxa"/>
            <w:shd w:val="clear" w:color="auto" w:fill="D6E3C6"/>
          </w:tcPr>
          <w:p w14:paraId="33477064" w14:textId="61BD7A71"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50C4A495" w14:textId="648A9072"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90" w:type="dxa"/>
            <w:gridSpan w:val="2"/>
            <w:shd w:val="clear" w:color="auto" w:fill="D6E3C6"/>
          </w:tcPr>
          <w:p w14:paraId="0469500B" w14:textId="61CB568F"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As above</w:t>
            </w:r>
          </w:p>
        </w:tc>
        <w:tc>
          <w:tcPr>
            <w:tcW w:w="992" w:type="dxa"/>
            <w:gridSpan w:val="2"/>
            <w:shd w:val="clear" w:color="auto" w:fill="D6E3C6"/>
          </w:tcPr>
          <w:p w14:paraId="187FAEE6" w14:textId="3CB187F2"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Indicator 2</w:t>
            </w:r>
          </w:p>
        </w:tc>
        <w:tc>
          <w:tcPr>
            <w:tcW w:w="1418" w:type="dxa"/>
            <w:gridSpan w:val="2"/>
            <w:shd w:val="clear" w:color="auto" w:fill="D6E3C6"/>
          </w:tcPr>
          <w:p w14:paraId="25368969" w14:textId="773F4E2B" w:rsidR="0046499F" w:rsidRPr="004F3D4C" w:rsidRDefault="00A51A06" w:rsidP="0046499F">
            <w:pPr>
              <w:spacing w:after="0"/>
              <w:rPr>
                <w:rFonts w:ascii="Arial" w:hAnsi="Arial" w:cs="Arial"/>
                <w:color w:val="006100"/>
                <w:sz w:val="16"/>
                <w:szCs w:val="16"/>
              </w:rPr>
            </w:pPr>
            <w:r>
              <w:rPr>
                <w:rFonts w:ascii="Arial" w:hAnsi="Arial" w:cs="Arial"/>
                <w:color w:val="005D00"/>
                <w:sz w:val="16"/>
                <w:szCs w:val="16"/>
              </w:rPr>
              <w:t xml:space="preserve">A monitoring step: </w:t>
            </w:r>
            <w:r w:rsidRPr="00470A26">
              <w:rPr>
                <w:rFonts w:ascii="Arial" w:hAnsi="Arial" w:cs="Arial"/>
                <w:color w:val="005D00"/>
                <w:sz w:val="16"/>
                <w:szCs w:val="16"/>
              </w:rPr>
              <w:t>Project status report</w:t>
            </w:r>
            <w:r>
              <w:rPr>
                <w:rFonts w:ascii="Arial" w:hAnsi="Arial" w:cs="Arial"/>
                <w:color w:val="005D00"/>
                <w:sz w:val="16"/>
                <w:szCs w:val="16"/>
              </w:rPr>
              <w:t xml:space="preserve"> (Q4 2024)</w:t>
            </w:r>
          </w:p>
        </w:tc>
      </w:tr>
      <w:tr w:rsidR="0046499F" w:rsidRPr="004F3D4C" w14:paraId="430FEC12" w14:textId="6D01A709" w:rsidTr="00596EEA">
        <w:trPr>
          <w:trHeight w:val="309"/>
        </w:trPr>
        <w:tc>
          <w:tcPr>
            <w:tcW w:w="454" w:type="dxa"/>
            <w:shd w:val="clear" w:color="auto" w:fill="D6E3C6"/>
            <w:noWrap/>
          </w:tcPr>
          <w:p w14:paraId="6DFA0A94" w14:textId="4B6F4423"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lastRenderedPageBreak/>
              <w:t>113</w:t>
            </w:r>
          </w:p>
        </w:tc>
        <w:tc>
          <w:tcPr>
            <w:tcW w:w="1215" w:type="dxa"/>
            <w:shd w:val="clear" w:color="auto" w:fill="D6E3C6"/>
            <w:noWrap/>
          </w:tcPr>
          <w:p w14:paraId="2C74C1E2" w14:textId="2C2FA833"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C4.R9: Roadmap to Climate Neutrality</w:t>
            </w:r>
          </w:p>
        </w:tc>
        <w:tc>
          <w:tcPr>
            <w:tcW w:w="956" w:type="dxa"/>
            <w:shd w:val="clear" w:color="auto" w:fill="D6E3C6"/>
            <w:noWrap/>
          </w:tcPr>
          <w:p w14:paraId="163EC728" w14:textId="3B54759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016B0B06" w14:textId="322FB2CA"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Entry into force of the Government Decision establishing the Green Energy Transition Commission</w:t>
            </w:r>
          </w:p>
        </w:tc>
        <w:tc>
          <w:tcPr>
            <w:tcW w:w="1322" w:type="dxa"/>
            <w:shd w:val="clear" w:color="auto" w:fill="D6E3C6"/>
            <w:noWrap/>
          </w:tcPr>
          <w:p w14:paraId="02928F38" w14:textId="6AEACB2B"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the Government Decision indicating the entry into force of the Government Decision and the establishment of the Green Energy Transition Commission</w:t>
            </w:r>
          </w:p>
        </w:tc>
        <w:tc>
          <w:tcPr>
            <w:tcW w:w="709" w:type="dxa"/>
            <w:shd w:val="clear" w:color="auto" w:fill="D6E3C6"/>
            <w:noWrap/>
          </w:tcPr>
          <w:p w14:paraId="4B8D0700"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7C525E0D"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7EEF2283"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370BFD4B" w14:textId="4C811E04"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6200E9E8" w14:textId="106960C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581A43F1" w14:textId="51D4602D"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Council of Ministers, Ministry of Environment and Water, Ministry of Energy</w:t>
            </w:r>
          </w:p>
        </w:tc>
        <w:tc>
          <w:tcPr>
            <w:tcW w:w="851" w:type="dxa"/>
            <w:gridSpan w:val="2"/>
            <w:shd w:val="clear" w:color="auto" w:fill="D6E3C6"/>
          </w:tcPr>
          <w:p w14:paraId="02AD6C84"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0546E6E8" w14:textId="77777777" w:rsidR="0046499F" w:rsidRDefault="0046499F" w:rsidP="0046499F">
            <w:pPr>
              <w:pStyle w:val="ListParagraph"/>
              <w:numPr>
                <w:ilvl w:val="0"/>
                <w:numId w:val="61"/>
              </w:numPr>
              <w:spacing w:after="0"/>
              <w:rPr>
                <w:rFonts w:ascii="Arial" w:hAnsi="Arial" w:cs="Arial"/>
                <w:color w:val="006100"/>
                <w:sz w:val="16"/>
                <w:szCs w:val="16"/>
              </w:rPr>
            </w:pPr>
            <w:r w:rsidRPr="004F3D4C">
              <w:rPr>
                <w:rFonts w:ascii="Arial" w:hAnsi="Arial" w:cs="Arial"/>
                <w:color w:val="006100"/>
                <w:sz w:val="16"/>
                <w:szCs w:val="16"/>
                <w:lang w:eastAsia="en-GB"/>
              </w:rPr>
              <w:t>Copy of the publication in the State Gazette of the Government Decision establishing the Green Energy Transition Commission</w:t>
            </w:r>
          </w:p>
          <w:p w14:paraId="2CFDDBB8" w14:textId="4198ACE7" w:rsidR="0046499F" w:rsidRPr="00C20575" w:rsidRDefault="0046499F" w:rsidP="0046499F">
            <w:pPr>
              <w:pStyle w:val="ListParagraph"/>
              <w:numPr>
                <w:ilvl w:val="0"/>
                <w:numId w:val="61"/>
              </w:numPr>
              <w:spacing w:after="0"/>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milestone and of the corresponding measure in the CID annex, with appropriate links to or copies of the documents mentioned in the summary document</w:t>
            </w:r>
          </w:p>
        </w:tc>
        <w:tc>
          <w:tcPr>
            <w:tcW w:w="3402" w:type="dxa"/>
            <w:shd w:val="clear" w:color="auto" w:fill="D6E3C6"/>
          </w:tcPr>
          <w:p w14:paraId="76F6EBBC" w14:textId="518D3C1C"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Council of Ministers, Ministry of Environment and Water, Ministry of Energy</w:t>
            </w:r>
          </w:p>
          <w:p w14:paraId="79BE8F8B" w14:textId="77777777" w:rsidR="0046499F" w:rsidRPr="009F2F58" w:rsidRDefault="0046499F" w:rsidP="0046499F">
            <w:pPr>
              <w:spacing w:after="0"/>
              <w:rPr>
                <w:rFonts w:ascii="Arial" w:hAnsi="Arial" w:cs="Arial"/>
                <w:color w:val="006100"/>
                <w:sz w:val="16"/>
                <w:szCs w:val="16"/>
              </w:rPr>
            </w:pPr>
          </w:p>
          <w:p w14:paraId="1E95B844" w14:textId="21CD8367"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941088">
              <w:rPr>
                <w:rFonts w:ascii="Arial" w:hAnsi="Arial" w:cs="Arial"/>
                <w:color w:val="006100"/>
                <w:sz w:val="16"/>
                <w:szCs w:val="16"/>
              </w:rPr>
              <w:t>Entry into force of the Government Decision establishing the Green Energy Transition Commission</w:t>
            </w:r>
          </w:p>
          <w:p w14:paraId="70CACA6A" w14:textId="77777777" w:rsidR="0046499F" w:rsidRPr="009F2F58" w:rsidRDefault="0046499F" w:rsidP="0046499F">
            <w:pPr>
              <w:spacing w:after="0"/>
              <w:rPr>
                <w:rFonts w:ascii="Arial" w:hAnsi="Arial" w:cs="Arial"/>
                <w:color w:val="006100"/>
                <w:sz w:val="16"/>
                <w:szCs w:val="16"/>
              </w:rPr>
            </w:pPr>
          </w:p>
          <w:p w14:paraId="2EC429D0" w14:textId="78E0458E"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entry into force (evidence by a), reporting (b)</w:t>
            </w:r>
          </w:p>
          <w:p w14:paraId="3684DA38" w14:textId="77777777" w:rsidR="0046499F" w:rsidRPr="009F2F58" w:rsidRDefault="0046499F" w:rsidP="0046499F">
            <w:pPr>
              <w:spacing w:after="0"/>
              <w:rPr>
                <w:rFonts w:ascii="Arial" w:hAnsi="Arial" w:cs="Arial"/>
                <w:color w:val="006100"/>
                <w:sz w:val="16"/>
                <w:szCs w:val="16"/>
              </w:rPr>
            </w:pPr>
          </w:p>
          <w:p w14:paraId="21B45F07" w14:textId="24E4DB83"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941088">
              <w:rPr>
                <w:rFonts w:ascii="Arial" w:hAnsi="Arial" w:cs="Arial"/>
                <w:color w:val="006100"/>
                <w:sz w:val="16"/>
                <w:szCs w:val="16"/>
              </w:rPr>
              <w:t xml:space="preserve">The Government Decision shall establish the Commission and give it a mandate to prepare scenarios and recommendations for a Roadmap to Climate Neutrality. The Commission shall be set up at expert level with broad involvement of stakeholders to ensure expertise, independence and pluralism. The scenario report and the recommendations shall be addressed to the Government and made public. The scenarios and recommendations developed shall include steps for completing the phase out of coal/lignite as soon as possible and at the latest by 2038.The development of the scenarios and of the report is expected to contribute to the timely finalisation of the Territorial Just Transition Plans for the coal regions. The Commission shall assess different scenarios for the coal/lignite phase out, including for an accelerated phase-out to be completed by 2030, in line with comparable neighbouring Member States. </w:t>
            </w:r>
            <w:r w:rsidRPr="00E80B72">
              <w:rPr>
                <w:rFonts w:ascii="Arial" w:hAnsi="Arial" w:cs="Arial"/>
                <w:color w:val="006100"/>
                <w:sz w:val="16"/>
                <w:szCs w:val="16"/>
              </w:rPr>
              <w:t>[provide references to the above in the summary document]</w:t>
            </w:r>
          </w:p>
          <w:p w14:paraId="1FAE4A5D" w14:textId="77777777" w:rsidR="0046499F" w:rsidRPr="009F2F58" w:rsidRDefault="0046499F" w:rsidP="0046499F">
            <w:pPr>
              <w:spacing w:after="0"/>
              <w:rPr>
                <w:rFonts w:ascii="Arial" w:hAnsi="Arial" w:cs="Arial"/>
                <w:color w:val="006100"/>
                <w:sz w:val="16"/>
                <w:szCs w:val="16"/>
              </w:rPr>
            </w:pPr>
          </w:p>
          <w:p w14:paraId="75222352" w14:textId="4ED95125"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development and entry into force</w:t>
            </w:r>
          </w:p>
        </w:tc>
        <w:tc>
          <w:tcPr>
            <w:tcW w:w="2268" w:type="dxa"/>
            <w:shd w:val="clear" w:color="auto" w:fill="D6E3C6"/>
          </w:tcPr>
          <w:p w14:paraId="5E43EEF9" w14:textId="77777777" w:rsidR="0046499F" w:rsidRPr="004708D7" w:rsidRDefault="0046499F" w:rsidP="0046499F">
            <w:pPr>
              <w:spacing w:after="0"/>
              <w:rPr>
                <w:rFonts w:ascii="Arial" w:hAnsi="Arial" w:cs="Arial"/>
                <w:color w:val="006100"/>
                <w:sz w:val="16"/>
                <w:szCs w:val="16"/>
              </w:rPr>
            </w:pPr>
            <w:r w:rsidRPr="004708D7">
              <w:rPr>
                <w:rFonts w:ascii="Arial" w:hAnsi="Arial" w:cs="Arial"/>
                <w:color w:val="006100"/>
                <w:sz w:val="16"/>
                <w:szCs w:val="16"/>
              </w:rPr>
              <w:t xml:space="preserve">The objective of the reform is to provide an updated strategic framework for the decarbonisation of the economy. The reform covers two main measures: the establishment of an ‘Energy Transition Commission to prepare scenarios and recommendations for a roadmap to Climate Neutrality and the adoption of a parliamentary resolution.  </w:t>
            </w:r>
          </w:p>
          <w:p w14:paraId="6F33BB58" w14:textId="77777777" w:rsidR="0046499F" w:rsidRPr="004708D7" w:rsidRDefault="0046499F" w:rsidP="0046499F">
            <w:pPr>
              <w:spacing w:after="0"/>
              <w:rPr>
                <w:rFonts w:ascii="Arial" w:hAnsi="Arial" w:cs="Arial"/>
                <w:color w:val="006100"/>
                <w:sz w:val="16"/>
                <w:szCs w:val="16"/>
              </w:rPr>
            </w:pPr>
          </w:p>
          <w:p w14:paraId="7B2F35B3" w14:textId="2EA70699" w:rsidR="0046499F" w:rsidRPr="004F3D4C" w:rsidRDefault="0046499F" w:rsidP="0046499F">
            <w:pPr>
              <w:spacing w:after="0"/>
              <w:rPr>
                <w:rFonts w:ascii="Arial" w:hAnsi="Arial" w:cs="Arial"/>
                <w:color w:val="006100"/>
                <w:sz w:val="16"/>
                <w:szCs w:val="16"/>
              </w:rPr>
            </w:pPr>
            <w:r w:rsidRPr="004708D7">
              <w:rPr>
                <w:rFonts w:ascii="Arial" w:hAnsi="Arial" w:cs="Arial"/>
                <w:color w:val="006100"/>
                <w:sz w:val="16"/>
                <w:szCs w:val="16"/>
              </w:rPr>
              <w:t>The Commission shall be set up at expert level with broad involvement of stakeholders to ensure expertise, independence and pluralism. The Commission shall assess different scenarios for the coal/lignite phase out, including for an accelerated phase-out, in line with comparable neighbouring Member States. The scenario report and the recommendations shall be addressed to the Government and made public. The scenarios and recommendations developed shall include steps for completing the phase out of coal/lignite as soon as possible and at the latest by 2038</w:t>
            </w:r>
          </w:p>
        </w:tc>
        <w:tc>
          <w:tcPr>
            <w:tcW w:w="1036" w:type="dxa"/>
            <w:gridSpan w:val="2"/>
            <w:shd w:val="clear" w:color="auto" w:fill="D6E3C6"/>
          </w:tcPr>
          <w:p w14:paraId="55139345" w14:textId="215C4BBF"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522DF03C" w14:textId="7B8C6BE1"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02458584" w14:textId="3F6C2DCC"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7371F928" w14:textId="13B4A1C6" w:rsidR="0046499F" w:rsidRPr="004F3D4C" w:rsidRDefault="00091B78"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3029AD7C" w14:textId="14A06B4B" w:rsidTr="00596EEA">
        <w:trPr>
          <w:trHeight w:val="309"/>
        </w:trPr>
        <w:tc>
          <w:tcPr>
            <w:tcW w:w="454" w:type="dxa"/>
            <w:shd w:val="clear" w:color="auto" w:fill="D6E3C6"/>
            <w:noWrap/>
          </w:tcPr>
          <w:p w14:paraId="54E0350C" w14:textId="2718CC9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114</w:t>
            </w:r>
          </w:p>
        </w:tc>
        <w:tc>
          <w:tcPr>
            <w:tcW w:w="1215" w:type="dxa"/>
            <w:shd w:val="clear" w:color="auto" w:fill="D6E3C6"/>
            <w:noWrap/>
          </w:tcPr>
          <w:p w14:paraId="385FE447" w14:textId="5C9EE657"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C4.R9: Roadmap to Climate Neutrality</w:t>
            </w:r>
          </w:p>
        </w:tc>
        <w:tc>
          <w:tcPr>
            <w:tcW w:w="956" w:type="dxa"/>
            <w:shd w:val="clear" w:color="auto" w:fill="D6E3C6"/>
            <w:noWrap/>
          </w:tcPr>
          <w:p w14:paraId="51C5463E" w14:textId="56F782D4"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1824992F" w14:textId="7062D614"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Submission of the scenario report and recommendations and endorsement by the National Assembly of a Roadmap to Climate Neutrality.</w:t>
            </w:r>
          </w:p>
        </w:tc>
        <w:tc>
          <w:tcPr>
            <w:tcW w:w="1322" w:type="dxa"/>
            <w:shd w:val="clear" w:color="auto" w:fill="D6E3C6"/>
            <w:noWrap/>
          </w:tcPr>
          <w:p w14:paraId="4F155FB0" w14:textId="1ABBC005"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Resolution adopted by the National Assembly</w:t>
            </w:r>
          </w:p>
        </w:tc>
        <w:tc>
          <w:tcPr>
            <w:tcW w:w="709" w:type="dxa"/>
            <w:shd w:val="clear" w:color="auto" w:fill="D6E3C6"/>
            <w:noWrap/>
          </w:tcPr>
          <w:p w14:paraId="0204C4F3"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0C0441DF"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1A5FC635"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6743A094" w14:textId="2FC231F2"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Q3</w:t>
            </w:r>
          </w:p>
        </w:tc>
        <w:tc>
          <w:tcPr>
            <w:tcW w:w="520" w:type="dxa"/>
            <w:shd w:val="clear" w:color="auto" w:fill="D6E3C6"/>
            <w:noWrap/>
          </w:tcPr>
          <w:p w14:paraId="28744DB5" w14:textId="4802D83F"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2022</w:t>
            </w:r>
          </w:p>
        </w:tc>
        <w:tc>
          <w:tcPr>
            <w:tcW w:w="872" w:type="dxa"/>
            <w:gridSpan w:val="2"/>
            <w:shd w:val="clear" w:color="auto" w:fill="D6E3C6"/>
          </w:tcPr>
          <w:p w14:paraId="10D5E52F" w14:textId="058F6D89"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Council of Ministers, Ministry of Environment and Water, Ministry of Energy</w:t>
            </w:r>
          </w:p>
        </w:tc>
        <w:tc>
          <w:tcPr>
            <w:tcW w:w="851" w:type="dxa"/>
            <w:gridSpan w:val="2"/>
            <w:shd w:val="clear" w:color="auto" w:fill="D6E3C6"/>
          </w:tcPr>
          <w:p w14:paraId="78C5FA09"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4B0FA08D" w14:textId="77777777" w:rsidR="0046499F" w:rsidRDefault="0046499F" w:rsidP="0046499F">
            <w:pPr>
              <w:pStyle w:val="ListParagraph"/>
              <w:numPr>
                <w:ilvl w:val="0"/>
                <w:numId w:val="62"/>
              </w:numPr>
              <w:spacing w:after="0"/>
              <w:rPr>
                <w:rFonts w:ascii="Arial" w:hAnsi="Arial" w:cs="Arial"/>
                <w:color w:val="006100"/>
                <w:sz w:val="16"/>
                <w:szCs w:val="16"/>
              </w:rPr>
            </w:pPr>
            <w:r w:rsidRPr="004F3D4C">
              <w:rPr>
                <w:rFonts w:ascii="Arial" w:hAnsi="Arial" w:cs="Arial"/>
                <w:color w:val="006100"/>
                <w:sz w:val="16"/>
                <w:szCs w:val="16"/>
                <w:lang w:eastAsia="en-GB"/>
              </w:rPr>
              <w:t xml:space="preserve">Copy of the publication in the State Gazette of the resolution adopted by the National Assembly endorsing the Government proposal </w:t>
            </w:r>
            <w:r w:rsidRPr="004F3D4C">
              <w:rPr>
                <w:rFonts w:ascii="Arial" w:hAnsi="Arial" w:cs="Arial"/>
                <w:color w:val="006100"/>
                <w:sz w:val="16"/>
                <w:szCs w:val="16"/>
              </w:rPr>
              <w:t>for the coal-phase out</w:t>
            </w:r>
          </w:p>
          <w:p w14:paraId="2A7D91D1" w14:textId="5FD161C7" w:rsidR="0046499F" w:rsidRPr="001605C4" w:rsidRDefault="0046499F" w:rsidP="0046499F">
            <w:pPr>
              <w:pStyle w:val="ListParagraph"/>
              <w:numPr>
                <w:ilvl w:val="0"/>
                <w:numId w:val="62"/>
              </w:numPr>
              <w:spacing w:after="0"/>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 xml:space="preserve">eference to the relevant provisions indicating the entry into force and to the provisions which fulfil the relevant elements of the milestone, as listed in the description of milestone and of the corresponding measure in the CID annex, with </w:t>
            </w:r>
            <w:r w:rsidRPr="004F3D4C">
              <w:rPr>
                <w:rFonts w:ascii="Arial" w:hAnsi="Arial" w:cs="Arial"/>
                <w:color w:val="006100"/>
                <w:sz w:val="16"/>
                <w:szCs w:val="16"/>
                <w:lang w:eastAsia="en-GB"/>
              </w:rPr>
              <w:lastRenderedPageBreak/>
              <w:t>appropriate links to or copies of the documents mentioned in the summary document</w:t>
            </w:r>
          </w:p>
        </w:tc>
        <w:tc>
          <w:tcPr>
            <w:tcW w:w="3402" w:type="dxa"/>
            <w:shd w:val="clear" w:color="auto" w:fill="D6E3C6"/>
          </w:tcPr>
          <w:p w14:paraId="7F7AD3D3" w14:textId="3789AECA"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Council of Ministers, Ministry of Environment and Water, Ministry of Energy</w:t>
            </w:r>
          </w:p>
          <w:p w14:paraId="261D44A8" w14:textId="77777777" w:rsidR="0046499F" w:rsidRPr="009F2F58" w:rsidRDefault="0046499F" w:rsidP="0046499F">
            <w:pPr>
              <w:spacing w:after="0"/>
              <w:rPr>
                <w:rFonts w:ascii="Arial" w:hAnsi="Arial" w:cs="Arial"/>
                <w:color w:val="006100"/>
                <w:sz w:val="16"/>
                <w:szCs w:val="16"/>
              </w:rPr>
            </w:pPr>
          </w:p>
          <w:p w14:paraId="4BDFB660" w14:textId="6647BC59"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110AE9">
              <w:rPr>
                <w:rFonts w:ascii="Arial" w:hAnsi="Arial" w:cs="Arial"/>
                <w:color w:val="006100"/>
                <w:sz w:val="16"/>
                <w:szCs w:val="16"/>
              </w:rPr>
              <w:t>Submission of the scenario report and recommendations and endorsement by the National Assembly of a Roadmap to Climate Neutrality</w:t>
            </w:r>
          </w:p>
          <w:p w14:paraId="60645671" w14:textId="77777777" w:rsidR="0046499F" w:rsidRPr="009F2F58" w:rsidRDefault="0046499F" w:rsidP="0046499F">
            <w:pPr>
              <w:spacing w:after="0"/>
              <w:rPr>
                <w:rFonts w:ascii="Arial" w:hAnsi="Arial" w:cs="Arial"/>
                <w:color w:val="006100"/>
                <w:sz w:val="16"/>
                <w:szCs w:val="16"/>
              </w:rPr>
            </w:pPr>
          </w:p>
          <w:p w14:paraId="04551787" w14:textId="392FF216"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entry into force (evidence</w:t>
            </w:r>
            <w:r w:rsidR="00091B78">
              <w:rPr>
                <w:rFonts w:ascii="Arial" w:hAnsi="Arial" w:cs="Arial"/>
                <w:color w:val="006100"/>
                <w:sz w:val="16"/>
                <w:szCs w:val="16"/>
              </w:rPr>
              <w:t>d</w:t>
            </w:r>
            <w:r>
              <w:rPr>
                <w:rFonts w:ascii="Arial" w:hAnsi="Arial" w:cs="Arial"/>
                <w:color w:val="006100"/>
                <w:sz w:val="16"/>
                <w:szCs w:val="16"/>
              </w:rPr>
              <w:t xml:space="preserve"> by a), reporting (b)</w:t>
            </w:r>
          </w:p>
          <w:p w14:paraId="4F744DCA" w14:textId="77777777" w:rsidR="0046499F" w:rsidRPr="009F2F58" w:rsidRDefault="0046499F" w:rsidP="0046499F">
            <w:pPr>
              <w:spacing w:after="0"/>
              <w:rPr>
                <w:rFonts w:ascii="Arial" w:hAnsi="Arial" w:cs="Arial"/>
                <w:color w:val="006100"/>
                <w:sz w:val="16"/>
                <w:szCs w:val="16"/>
              </w:rPr>
            </w:pPr>
          </w:p>
          <w:p w14:paraId="3BD91D9E" w14:textId="4DF628B3"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110AE9">
              <w:rPr>
                <w:rFonts w:ascii="Arial" w:hAnsi="Arial" w:cs="Arial"/>
                <w:color w:val="006100"/>
                <w:sz w:val="16"/>
                <w:szCs w:val="16"/>
              </w:rPr>
              <w:t xml:space="preserve">The Government shall submit a proposal for the coal-phase out to the National Assembly on the basis of the scenario report and recommendations developed by the Energy Transition Commission. The National Assembly shall adopt a resolution endorsing a Roadmap to climate neutrality, based on the report and recommendations submitted by the Government. The resolution shall set the final date for the coal/lignite phase out as identified in one of the scenarios developed by the Energy Transition Commission. </w:t>
            </w:r>
            <w:r w:rsidRPr="00E80B72">
              <w:rPr>
                <w:rFonts w:ascii="Arial" w:hAnsi="Arial" w:cs="Arial"/>
                <w:color w:val="006100"/>
                <w:sz w:val="16"/>
                <w:szCs w:val="16"/>
              </w:rPr>
              <w:t>[provide references to the above in the summary document]</w:t>
            </w:r>
          </w:p>
          <w:p w14:paraId="13520B12" w14:textId="77777777" w:rsidR="0046499F" w:rsidRPr="009F2F58" w:rsidRDefault="0046499F" w:rsidP="0046499F">
            <w:pPr>
              <w:spacing w:after="0"/>
              <w:rPr>
                <w:rFonts w:ascii="Arial" w:hAnsi="Arial" w:cs="Arial"/>
                <w:color w:val="006100"/>
                <w:sz w:val="16"/>
                <w:szCs w:val="16"/>
              </w:rPr>
            </w:pPr>
          </w:p>
          <w:p w14:paraId="18C3599B" w14:textId="626F43DD"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development and submission</w:t>
            </w:r>
          </w:p>
        </w:tc>
        <w:tc>
          <w:tcPr>
            <w:tcW w:w="2268" w:type="dxa"/>
            <w:shd w:val="clear" w:color="auto" w:fill="D6E3C6"/>
          </w:tcPr>
          <w:p w14:paraId="509B738F" w14:textId="4483B3CB"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lastRenderedPageBreak/>
              <w:t xml:space="preserve">As above </w:t>
            </w:r>
          </w:p>
        </w:tc>
        <w:tc>
          <w:tcPr>
            <w:tcW w:w="1036" w:type="dxa"/>
            <w:gridSpan w:val="2"/>
            <w:shd w:val="clear" w:color="auto" w:fill="D6E3C6"/>
          </w:tcPr>
          <w:p w14:paraId="2782A785" w14:textId="4EE717FF"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4E6747A0" w14:textId="3D0FF04E"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0F59E959" w14:textId="0B953968"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6940E586" w14:textId="13AEEFBD" w:rsidR="0046499F" w:rsidRPr="004F3D4C" w:rsidRDefault="00091B78"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6CE30566" w14:textId="27F3FD38" w:rsidTr="00596EEA">
        <w:trPr>
          <w:trHeight w:val="309"/>
        </w:trPr>
        <w:tc>
          <w:tcPr>
            <w:tcW w:w="454" w:type="dxa"/>
            <w:shd w:val="clear" w:color="auto" w:fill="D6E3C6"/>
            <w:noWrap/>
          </w:tcPr>
          <w:p w14:paraId="49F13740" w14:textId="7C57B4A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115</w:t>
            </w:r>
          </w:p>
        </w:tc>
        <w:tc>
          <w:tcPr>
            <w:tcW w:w="1215" w:type="dxa"/>
            <w:shd w:val="clear" w:color="auto" w:fill="D6E3C6"/>
            <w:noWrap/>
          </w:tcPr>
          <w:p w14:paraId="45E17DD9" w14:textId="60143749"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C4.R10: Decarbonisation of the energy sector</w:t>
            </w:r>
          </w:p>
        </w:tc>
        <w:tc>
          <w:tcPr>
            <w:tcW w:w="956" w:type="dxa"/>
            <w:shd w:val="clear" w:color="auto" w:fill="D6E3C6"/>
            <w:noWrap/>
          </w:tcPr>
          <w:p w14:paraId="76A5C160" w14:textId="0299D12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4FF86E05" w14:textId="61F877CA"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Entry into force of legislation adopting the coal and lignite phase-out calendar and introducing a CO2 emissions cap for lignite and coal fired power plants.</w:t>
            </w:r>
          </w:p>
        </w:tc>
        <w:tc>
          <w:tcPr>
            <w:tcW w:w="1322" w:type="dxa"/>
            <w:shd w:val="clear" w:color="auto" w:fill="D6E3C6"/>
            <w:noWrap/>
          </w:tcPr>
          <w:p w14:paraId="08A19042" w14:textId="14185EF3"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the law indicating the entry into force</w:t>
            </w:r>
          </w:p>
        </w:tc>
        <w:tc>
          <w:tcPr>
            <w:tcW w:w="709" w:type="dxa"/>
            <w:shd w:val="clear" w:color="auto" w:fill="D6E3C6"/>
            <w:noWrap/>
          </w:tcPr>
          <w:p w14:paraId="3927F0AB"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4C48AEE8"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1B6ACB82"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6B0DE9CE" w14:textId="05FF3D3D"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Q1</w:t>
            </w:r>
          </w:p>
        </w:tc>
        <w:tc>
          <w:tcPr>
            <w:tcW w:w="520" w:type="dxa"/>
            <w:shd w:val="clear" w:color="auto" w:fill="D6E3C6"/>
            <w:noWrap/>
          </w:tcPr>
          <w:p w14:paraId="0FCF6ACA" w14:textId="2BDD000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2340910A" w14:textId="1B944F78"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Council of Ministers, Ministry of Energy, Ministry of Environment and Water</w:t>
            </w:r>
          </w:p>
        </w:tc>
        <w:tc>
          <w:tcPr>
            <w:tcW w:w="851" w:type="dxa"/>
            <w:gridSpan w:val="2"/>
            <w:shd w:val="clear" w:color="auto" w:fill="D6E3C6"/>
          </w:tcPr>
          <w:p w14:paraId="7F08F54F" w14:textId="655BF1E1" w:rsidR="0046499F" w:rsidRPr="004F3D4C" w:rsidRDefault="0046499F" w:rsidP="0046499F">
            <w:pPr>
              <w:spacing w:after="0"/>
              <w:rPr>
                <w:rFonts w:ascii="Arial" w:hAnsi="Arial" w:cs="Arial"/>
                <w:color w:val="006100"/>
                <w:sz w:val="16"/>
                <w:szCs w:val="16"/>
                <w:lang w:eastAsia="en-GB"/>
              </w:rPr>
            </w:pPr>
            <w:r w:rsidRPr="004F3D4C">
              <w:rPr>
                <w:rFonts w:ascii="Arial" w:hAnsi="Arial" w:cs="Arial"/>
                <w:color w:val="006100"/>
                <w:sz w:val="16"/>
                <w:szCs w:val="16"/>
                <w:lang w:eastAsia="en-GB"/>
              </w:rPr>
              <w:t>The reduction of the carbon dioxide emissions shall cover: TPP Maritsa 3 EAD, TPP Maritsa East 2 EAD, TPP Bobov dol EAD, AES-3C Maritza East 1, TPP Contour Global Maritsa East 3, TEC BRIKEL EAD, TEC Republika, TPP Russe East, and Toplofikacia Sliven.</w:t>
            </w:r>
          </w:p>
        </w:tc>
        <w:tc>
          <w:tcPr>
            <w:tcW w:w="1751" w:type="dxa"/>
            <w:gridSpan w:val="2"/>
            <w:shd w:val="clear" w:color="auto" w:fill="D6E3C6"/>
          </w:tcPr>
          <w:p w14:paraId="11CAAF17" w14:textId="77777777" w:rsidR="0046499F" w:rsidRDefault="0046499F" w:rsidP="0046499F">
            <w:pPr>
              <w:pStyle w:val="ListParagraph"/>
              <w:numPr>
                <w:ilvl w:val="0"/>
                <w:numId w:val="63"/>
              </w:numPr>
              <w:spacing w:after="0"/>
              <w:rPr>
                <w:rFonts w:ascii="Arial" w:hAnsi="Arial" w:cs="Arial"/>
                <w:color w:val="006100"/>
                <w:sz w:val="16"/>
                <w:szCs w:val="16"/>
              </w:rPr>
            </w:pPr>
            <w:r w:rsidRPr="004F3D4C">
              <w:rPr>
                <w:rFonts w:ascii="Arial" w:hAnsi="Arial" w:cs="Arial"/>
                <w:color w:val="006100"/>
                <w:sz w:val="16"/>
                <w:szCs w:val="16"/>
                <w:lang w:eastAsia="en-GB"/>
              </w:rPr>
              <w:t>Copy of the publication in the State Gazette of primary legislation that is critical for achieving the objectives described in the milestone and in the CID annex</w:t>
            </w:r>
          </w:p>
          <w:p w14:paraId="20609287" w14:textId="4C0D3460" w:rsidR="0046499F" w:rsidRPr="0081569E" w:rsidRDefault="0046499F" w:rsidP="0046499F">
            <w:pPr>
              <w:pStyle w:val="ListParagraph"/>
              <w:numPr>
                <w:ilvl w:val="0"/>
                <w:numId w:val="63"/>
              </w:numPr>
              <w:spacing w:after="0"/>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eference to the relevant provisions indicating the entry into force, accompanied by a document duly justifying how the milestone (including all the constitutive elements) was satisfactorily fulfilled</w:t>
            </w:r>
          </w:p>
        </w:tc>
        <w:tc>
          <w:tcPr>
            <w:tcW w:w="3402" w:type="dxa"/>
            <w:shd w:val="clear" w:color="auto" w:fill="D6E3C6"/>
          </w:tcPr>
          <w:p w14:paraId="098529EC" w14:textId="1DD99156"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211BE8">
              <w:rPr>
                <w:rFonts w:ascii="Arial" w:eastAsia="Times New Roman" w:hAnsi="Arial" w:cs="Arial"/>
                <w:color w:val="006100"/>
                <w:sz w:val="16"/>
                <w:szCs w:val="16"/>
                <w:lang w:eastAsia="en-GB"/>
              </w:rPr>
              <w:t>Council of Ministers, Ministry of Energy, Ministry of Environment and Water</w:t>
            </w:r>
          </w:p>
          <w:p w14:paraId="54A5F59C" w14:textId="77777777" w:rsidR="0046499F" w:rsidRPr="009F2F58" w:rsidRDefault="0046499F" w:rsidP="0046499F">
            <w:pPr>
              <w:spacing w:after="0"/>
              <w:rPr>
                <w:rFonts w:ascii="Arial" w:hAnsi="Arial" w:cs="Arial"/>
                <w:color w:val="006100"/>
                <w:sz w:val="16"/>
                <w:szCs w:val="16"/>
              </w:rPr>
            </w:pPr>
          </w:p>
          <w:p w14:paraId="7DCC4852" w14:textId="7E32E1B6"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211BE8">
              <w:rPr>
                <w:rFonts w:ascii="Arial" w:hAnsi="Arial" w:cs="Arial"/>
                <w:color w:val="006100"/>
                <w:sz w:val="16"/>
                <w:szCs w:val="16"/>
              </w:rPr>
              <w:t>Entry into force of legislation adopting the coal and lignite phase-out calendar and introducing a CO2 emissions cap for lignite and coal fired power plants.</w:t>
            </w:r>
          </w:p>
          <w:p w14:paraId="20FF6C26" w14:textId="77777777" w:rsidR="0046499F" w:rsidRPr="009F2F58" w:rsidRDefault="0046499F" w:rsidP="0046499F">
            <w:pPr>
              <w:spacing w:after="0"/>
              <w:rPr>
                <w:rFonts w:ascii="Arial" w:hAnsi="Arial" w:cs="Arial"/>
                <w:color w:val="006100"/>
                <w:sz w:val="16"/>
                <w:szCs w:val="16"/>
              </w:rPr>
            </w:pPr>
          </w:p>
          <w:p w14:paraId="01E4B91D" w14:textId="7F671A51"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entry into force (evidence</w:t>
            </w:r>
            <w:r w:rsidR="00091B78">
              <w:rPr>
                <w:rFonts w:ascii="Arial" w:hAnsi="Arial" w:cs="Arial"/>
                <w:color w:val="006100"/>
                <w:sz w:val="16"/>
                <w:szCs w:val="16"/>
              </w:rPr>
              <w:t>d</w:t>
            </w:r>
            <w:r>
              <w:rPr>
                <w:rFonts w:ascii="Arial" w:hAnsi="Arial" w:cs="Arial"/>
                <w:color w:val="006100"/>
                <w:sz w:val="16"/>
                <w:szCs w:val="16"/>
              </w:rPr>
              <w:t xml:space="preserve"> by a), reporting (b)</w:t>
            </w:r>
          </w:p>
          <w:p w14:paraId="3E9E2FB4" w14:textId="77777777" w:rsidR="0046499F" w:rsidRPr="009F2F58" w:rsidRDefault="0046499F" w:rsidP="0046499F">
            <w:pPr>
              <w:spacing w:after="0"/>
              <w:rPr>
                <w:rFonts w:ascii="Arial" w:hAnsi="Arial" w:cs="Arial"/>
                <w:color w:val="006100"/>
                <w:sz w:val="16"/>
                <w:szCs w:val="16"/>
              </w:rPr>
            </w:pPr>
          </w:p>
          <w:p w14:paraId="5598DFA3" w14:textId="3E797838"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211BE8">
              <w:rPr>
                <w:rFonts w:ascii="Arial" w:hAnsi="Arial" w:cs="Arial"/>
                <w:color w:val="006100"/>
                <w:sz w:val="16"/>
                <w:szCs w:val="16"/>
              </w:rPr>
              <w:t>Entry into force of legislations establishing rules for the production of electricity from coal or lignite. The law shall: include a prohibition to: build and operate new installations for production of electricity from hard coal or lignite; generate electricity from coal or lignite entering into force no later than 2038, including a binding timetable for gradual phase out.place an overall limit on the total annual amount of carbon dioxide (CO2) emissions as recorded in the Union Emissions Registry (EU ETS) for existing coal and lignite fired power plants (“Emission Cap”). The Emissions Cap shall be applicable as of 1 January 2026 and shall be implemented by the mechanism provided for in milestone 116. The Emissions Cap shall ensure that yearly emissions of all lignite and coal fired power plants as referenced in the description of the component in Bulgaria do not exceed 10 983 000 tonnes of CO2 until the coal and lignite phase out is complete. The annual emissions cap shall apply on the basis of a calendar year, in accordance with the annual cycle for monitoring, reporting and verification of emissions under the EU ETS as provided for by the ETS Directive 2003/87/EC. The annual emissions reported for the purposes of the EU ETS shall be used by the regulator for compliance verification. Provide for an implementing decision that shall stipulate detailed regulatory arrangements for implementation, and enforcement of the emission limit to be put in place by the Bulgarian government. This shall include the appointment of a regulator and a mechanism to implement the global emission limit into limits at the level of individual installations on a yearly basis. The law shall also provide for measures aimed at addressing socio-economic impacts in the affected communities. Such measures shall be consistent with the relevant territorial just transition plan, under the Just Transition Fund.</w:t>
            </w:r>
          </w:p>
          <w:p w14:paraId="64C8597D" w14:textId="77777777" w:rsidR="0046499F" w:rsidRPr="009F2F58" w:rsidRDefault="0046499F" w:rsidP="0046499F">
            <w:pPr>
              <w:spacing w:after="0"/>
              <w:rPr>
                <w:rFonts w:ascii="Arial" w:hAnsi="Arial" w:cs="Arial"/>
                <w:color w:val="006100"/>
                <w:sz w:val="16"/>
                <w:szCs w:val="16"/>
              </w:rPr>
            </w:pPr>
          </w:p>
          <w:p w14:paraId="2F4E470F" w14:textId="2CC1364B"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development and entry into force</w:t>
            </w:r>
          </w:p>
        </w:tc>
        <w:tc>
          <w:tcPr>
            <w:tcW w:w="2268" w:type="dxa"/>
            <w:shd w:val="clear" w:color="auto" w:fill="D6E3C6"/>
          </w:tcPr>
          <w:p w14:paraId="393B3C28" w14:textId="77777777" w:rsidR="0046499F" w:rsidRPr="008540AC" w:rsidRDefault="0046499F" w:rsidP="0046499F">
            <w:pPr>
              <w:spacing w:after="0"/>
              <w:rPr>
                <w:rFonts w:ascii="Arial" w:hAnsi="Arial" w:cs="Arial"/>
                <w:color w:val="006100"/>
                <w:sz w:val="16"/>
                <w:szCs w:val="16"/>
              </w:rPr>
            </w:pPr>
            <w:r w:rsidRPr="008540AC">
              <w:rPr>
                <w:rFonts w:ascii="Arial" w:hAnsi="Arial" w:cs="Arial"/>
                <w:color w:val="006100"/>
                <w:sz w:val="16"/>
                <w:szCs w:val="16"/>
              </w:rPr>
              <w:lastRenderedPageBreak/>
              <w:t xml:space="preserve">The objective of the reform is the decarbonisation of the energy sector, with a focus on power generation. The reform covers two main measures: binding targets for the reduction of the carbon dioxide emissions associated with electricity generation by 40% below 2019 levels to be achieved in 2025, and legislation on decarbonisation, including a calendar for the phase-out of coal and lignite power plants and a regulatory cap on their carbon dioxide emissions applicable as of 1 January 2026.  </w:t>
            </w:r>
          </w:p>
          <w:p w14:paraId="307FAA71" w14:textId="77777777" w:rsidR="0046499F" w:rsidRPr="008540AC" w:rsidRDefault="0046499F" w:rsidP="0046499F">
            <w:pPr>
              <w:spacing w:after="0"/>
              <w:rPr>
                <w:rFonts w:ascii="Arial" w:hAnsi="Arial" w:cs="Arial"/>
                <w:color w:val="006100"/>
                <w:sz w:val="16"/>
                <w:szCs w:val="16"/>
              </w:rPr>
            </w:pPr>
          </w:p>
          <w:p w14:paraId="2CBA77B6" w14:textId="77777777" w:rsidR="0046499F" w:rsidRPr="008540AC" w:rsidRDefault="0046499F" w:rsidP="0046499F">
            <w:pPr>
              <w:spacing w:after="0"/>
              <w:rPr>
                <w:rFonts w:ascii="Arial" w:hAnsi="Arial" w:cs="Arial"/>
                <w:color w:val="006100"/>
                <w:sz w:val="16"/>
                <w:szCs w:val="16"/>
              </w:rPr>
            </w:pPr>
            <w:r w:rsidRPr="008540AC">
              <w:rPr>
                <w:rFonts w:ascii="Arial" w:hAnsi="Arial" w:cs="Arial"/>
                <w:color w:val="006100"/>
                <w:sz w:val="16"/>
                <w:szCs w:val="16"/>
              </w:rPr>
              <w:t xml:space="preserve">Total verified emissions in 2019 for the power sector amounted to 21 182 433 tons of carbon dioxide emissions, among which the lignite and coal-fired power plants amounted to 19 437 716 tons of carbon dioxide emissions. The measure is expected to reduce the carbon dioxide emissions related to electricity generation from coal and lignite-fired power plants by at least 8 455 406 tons. </w:t>
            </w:r>
          </w:p>
          <w:p w14:paraId="088F3F9C" w14:textId="77777777" w:rsidR="0046499F" w:rsidRPr="008540AC" w:rsidRDefault="0046499F" w:rsidP="0046499F">
            <w:pPr>
              <w:spacing w:after="0"/>
              <w:rPr>
                <w:rFonts w:ascii="Arial" w:hAnsi="Arial" w:cs="Arial"/>
                <w:color w:val="006100"/>
                <w:sz w:val="16"/>
                <w:szCs w:val="16"/>
              </w:rPr>
            </w:pPr>
          </w:p>
          <w:p w14:paraId="7A8809E0" w14:textId="77777777" w:rsidR="0046499F" w:rsidRPr="008540AC" w:rsidRDefault="0046499F" w:rsidP="0046499F">
            <w:pPr>
              <w:spacing w:after="0"/>
              <w:rPr>
                <w:rFonts w:ascii="Arial" w:hAnsi="Arial" w:cs="Arial"/>
                <w:color w:val="006100"/>
                <w:sz w:val="16"/>
                <w:szCs w:val="16"/>
              </w:rPr>
            </w:pPr>
            <w:r w:rsidRPr="008540AC">
              <w:rPr>
                <w:rFonts w:ascii="Arial" w:hAnsi="Arial" w:cs="Arial"/>
                <w:color w:val="006100"/>
                <w:sz w:val="16"/>
                <w:szCs w:val="16"/>
              </w:rPr>
              <w:t xml:space="preserve">The reduction of the carbon dioxide emissions shall cover: TPP Maritsa 3 EAD, TPP Maritsa East 2 EAD, TPP Bobov dol EAD, AES-3C Maritza East 1, TPP Contour Global Maritsa East 3, TEC BRIKEL EAD, TEC Republika, TPP Russe East, and Toplofikacia Sliven. </w:t>
            </w:r>
          </w:p>
          <w:p w14:paraId="4FEFDE25" w14:textId="77777777" w:rsidR="0046499F" w:rsidRPr="008540AC" w:rsidRDefault="0046499F" w:rsidP="0046499F">
            <w:pPr>
              <w:spacing w:after="0"/>
              <w:rPr>
                <w:rFonts w:ascii="Arial" w:hAnsi="Arial" w:cs="Arial"/>
                <w:color w:val="006100"/>
                <w:sz w:val="16"/>
                <w:szCs w:val="16"/>
              </w:rPr>
            </w:pPr>
          </w:p>
          <w:p w14:paraId="7AF8B49F" w14:textId="75A7898D" w:rsidR="0046499F" w:rsidRPr="004F3D4C" w:rsidRDefault="0046499F" w:rsidP="0046499F">
            <w:pPr>
              <w:spacing w:after="0"/>
              <w:rPr>
                <w:rFonts w:ascii="Arial" w:hAnsi="Arial" w:cs="Arial"/>
                <w:color w:val="006100"/>
                <w:sz w:val="16"/>
                <w:szCs w:val="16"/>
              </w:rPr>
            </w:pPr>
            <w:r w:rsidRPr="008540AC">
              <w:rPr>
                <w:rFonts w:ascii="Arial" w:hAnsi="Arial" w:cs="Arial"/>
                <w:color w:val="006100"/>
                <w:sz w:val="16"/>
                <w:szCs w:val="16"/>
              </w:rPr>
              <w:t xml:space="preserve">In the implementation of the decarbonisation targets set under milestones 54-57, the authorities shall take due account of the overarching environmental performance of concerned installations, notably with regards to emissions of air pollutants such as dust and sulphur </w:t>
            </w:r>
            <w:r w:rsidRPr="008540AC">
              <w:rPr>
                <w:rFonts w:ascii="Arial" w:hAnsi="Arial" w:cs="Arial"/>
                <w:color w:val="006100"/>
                <w:sz w:val="16"/>
                <w:szCs w:val="16"/>
              </w:rPr>
              <w:lastRenderedPageBreak/>
              <w:t>dioxide, as well as compliance with EU standards for ambient air quality in all air quality zones where the installations are located</w:t>
            </w:r>
            <w:r>
              <w:rPr>
                <w:rFonts w:ascii="Arial" w:hAnsi="Arial" w:cs="Arial"/>
                <w:color w:val="006100"/>
                <w:sz w:val="16"/>
                <w:szCs w:val="16"/>
              </w:rPr>
              <w:t>.</w:t>
            </w:r>
          </w:p>
        </w:tc>
        <w:tc>
          <w:tcPr>
            <w:tcW w:w="1036" w:type="dxa"/>
            <w:gridSpan w:val="2"/>
            <w:shd w:val="clear" w:color="auto" w:fill="D6E3C6"/>
          </w:tcPr>
          <w:p w14:paraId="1CA4ED8F" w14:textId="5EF904E7"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lastRenderedPageBreak/>
              <w:t>-</w:t>
            </w:r>
          </w:p>
        </w:tc>
        <w:tc>
          <w:tcPr>
            <w:tcW w:w="1090" w:type="dxa"/>
            <w:gridSpan w:val="2"/>
            <w:shd w:val="clear" w:color="auto" w:fill="D6E3C6"/>
          </w:tcPr>
          <w:p w14:paraId="0F237088" w14:textId="170B03FE"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227871F1" w14:textId="3CFBF84E"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2AB44A00" w14:textId="77777777" w:rsidR="0046499F" w:rsidRDefault="004422A6" w:rsidP="0046499F">
            <w:pPr>
              <w:spacing w:after="0"/>
              <w:rPr>
                <w:rFonts w:ascii="Arial" w:hAnsi="Arial" w:cs="Arial"/>
                <w:color w:val="006100"/>
                <w:sz w:val="16"/>
                <w:szCs w:val="16"/>
              </w:rPr>
            </w:pPr>
            <w:r>
              <w:rPr>
                <w:rFonts w:ascii="Arial" w:hAnsi="Arial" w:cs="Arial"/>
                <w:color w:val="006100"/>
                <w:sz w:val="16"/>
                <w:szCs w:val="16"/>
              </w:rPr>
              <w:t>M</w:t>
            </w:r>
            <w:r w:rsidR="00F62112">
              <w:rPr>
                <w:rFonts w:ascii="Arial" w:hAnsi="Arial" w:cs="Arial"/>
                <w:color w:val="006100"/>
                <w:sz w:val="16"/>
                <w:szCs w:val="16"/>
              </w:rPr>
              <w:t>onitoring step</w:t>
            </w:r>
            <w:r>
              <w:rPr>
                <w:rFonts w:ascii="Arial" w:hAnsi="Arial" w:cs="Arial"/>
                <w:color w:val="006100"/>
                <w:sz w:val="16"/>
                <w:szCs w:val="16"/>
              </w:rPr>
              <w:t>s</w:t>
            </w:r>
            <w:r w:rsidR="00F62112">
              <w:rPr>
                <w:rFonts w:ascii="Arial" w:hAnsi="Arial" w:cs="Arial"/>
                <w:color w:val="006100"/>
                <w:sz w:val="16"/>
                <w:szCs w:val="16"/>
              </w:rPr>
              <w:t xml:space="preserve">: </w:t>
            </w:r>
            <w:r w:rsidR="00042179">
              <w:rPr>
                <w:rFonts w:ascii="Arial" w:hAnsi="Arial" w:cs="Arial"/>
                <w:color w:val="006100"/>
                <w:sz w:val="16"/>
                <w:szCs w:val="16"/>
              </w:rPr>
              <w:t xml:space="preserve">Consultation </w:t>
            </w:r>
            <w:r w:rsidR="00F62112">
              <w:rPr>
                <w:rFonts w:ascii="Arial" w:hAnsi="Arial" w:cs="Arial"/>
                <w:color w:val="006100"/>
                <w:sz w:val="16"/>
                <w:szCs w:val="16"/>
              </w:rPr>
              <w:t>(</w:t>
            </w:r>
            <w:r w:rsidR="004D5998">
              <w:rPr>
                <w:rFonts w:ascii="Arial" w:hAnsi="Arial" w:cs="Arial"/>
                <w:color w:val="006100"/>
                <w:sz w:val="16"/>
                <w:szCs w:val="16"/>
              </w:rPr>
              <w:t>Q1 2023</w:t>
            </w:r>
            <w:r w:rsidR="00F62112">
              <w:rPr>
                <w:rFonts w:ascii="Arial" w:hAnsi="Arial" w:cs="Arial"/>
                <w:color w:val="006100"/>
                <w:sz w:val="16"/>
                <w:szCs w:val="16"/>
              </w:rPr>
              <w:t>)</w:t>
            </w:r>
            <w:r w:rsidR="004D5998">
              <w:rPr>
                <w:rFonts w:ascii="Arial" w:hAnsi="Arial" w:cs="Arial"/>
                <w:color w:val="006100"/>
                <w:sz w:val="16"/>
                <w:szCs w:val="16"/>
              </w:rPr>
              <w:t xml:space="preserve"> and </w:t>
            </w:r>
            <w:r w:rsidR="00150440" w:rsidRPr="00150440">
              <w:rPr>
                <w:rFonts w:ascii="Arial" w:hAnsi="Arial" w:cs="Arial"/>
                <w:color w:val="006100"/>
                <w:sz w:val="16"/>
                <w:szCs w:val="16"/>
              </w:rPr>
              <w:t>Adoption of the draft law by the Government and submission to the Parliament</w:t>
            </w:r>
            <w:r w:rsidR="00150440">
              <w:rPr>
                <w:rFonts w:ascii="Arial" w:hAnsi="Arial" w:cs="Arial"/>
                <w:color w:val="006100"/>
                <w:sz w:val="16"/>
                <w:szCs w:val="16"/>
              </w:rPr>
              <w:t xml:space="preserve"> (</w:t>
            </w:r>
            <w:r w:rsidR="00114AB2">
              <w:rPr>
                <w:rFonts w:ascii="Arial" w:hAnsi="Arial" w:cs="Arial"/>
                <w:color w:val="006100"/>
                <w:sz w:val="16"/>
                <w:szCs w:val="16"/>
              </w:rPr>
              <w:t>Q1 2023</w:t>
            </w:r>
            <w:r w:rsidR="00150440">
              <w:rPr>
                <w:rFonts w:ascii="Arial" w:hAnsi="Arial" w:cs="Arial"/>
                <w:color w:val="006100"/>
                <w:sz w:val="16"/>
                <w:szCs w:val="16"/>
              </w:rPr>
              <w:t>)</w:t>
            </w:r>
          </w:p>
          <w:p w14:paraId="2B4FE60B" w14:textId="77777777" w:rsidR="00114AB2" w:rsidRDefault="00114AB2" w:rsidP="0046499F">
            <w:pPr>
              <w:spacing w:after="0"/>
              <w:rPr>
                <w:rFonts w:ascii="Arial" w:hAnsi="Arial" w:cs="Arial"/>
                <w:color w:val="006100"/>
                <w:sz w:val="16"/>
                <w:szCs w:val="16"/>
              </w:rPr>
            </w:pPr>
          </w:p>
          <w:p w14:paraId="5646241C" w14:textId="00CAAB26" w:rsidR="00114AB2" w:rsidRPr="004F3D4C" w:rsidRDefault="00114AB2" w:rsidP="0046499F">
            <w:pPr>
              <w:spacing w:after="0"/>
              <w:rPr>
                <w:rFonts w:ascii="Arial" w:hAnsi="Arial" w:cs="Arial"/>
                <w:color w:val="006100"/>
                <w:sz w:val="16"/>
                <w:szCs w:val="16"/>
              </w:rPr>
            </w:pPr>
            <w:r>
              <w:rPr>
                <w:rFonts w:ascii="Arial" w:hAnsi="Arial" w:cs="Arial"/>
                <w:color w:val="006100"/>
                <w:sz w:val="16"/>
                <w:szCs w:val="16"/>
              </w:rPr>
              <w:t>It should be noted that the monitoring steps coincide with the envisioned date for completion, which reduces their value.</w:t>
            </w:r>
          </w:p>
        </w:tc>
      </w:tr>
      <w:tr w:rsidR="0046499F" w:rsidRPr="004F3D4C" w14:paraId="1E8BE208" w14:textId="4CACDF34" w:rsidTr="00596EEA">
        <w:trPr>
          <w:trHeight w:val="309"/>
        </w:trPr>
        <w:tc>
          <w:tcPr>
            <w:tcW w:w="454" w:type="dxa"/>
            <w:shd w:val="clear" w:color="auto" w:fill="D6E3C6"/>
            <w:noWrap/>
          </w:tcPr>
          <w:p w14:paraId="5C5308DF" w14:textId="2649F883"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116</w:t>
            </w:r>
          </w:p>
        </w:tc>
        <w:tc>
          <w:tcPr>
            <w:tcW w:w="1215" w:type="dxa"/>
            <w:shd w:val="clear" w:color="auto" w:fill="D6E3C6"/>
            <w:noWrap/>
          </w:tcPr>
          <w:p w14:paraId="788845B9" w14:textId="69F41529"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C4.R10: Decarbonisation of the energy sector</w:t>
            </w:r>
          </w:p>
        </w:tc>
        <w:tc>
          <w:tcPr>
            <w:tcW w:w="956" w:type="dxa"/>
            <w:shd w:val="clear" w:color="auto" w:fill="D6E3C6"/>
            <w:noWrap/>
          </w:tcPr>
          <w:p w14:paraId="1EE7CDEF" w14:textId="53DCADD2"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3DD409E3" w14:textId="540528A8"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Entry into force of implementing decision(s) enforcing the carbon dioxide emissions limit for production of electricity from coal and lignite</w:t>
            </w:r>
          </w:p>
        </w:tc>
        <w:tc>
          <w:tcPr>
            <w:tcW w:w="1322" w:type="dxa"/>
            <w:shd w:val="clear" w:color="auto" w:fill="D6E3C6"/>
            <w:noWrap/>
          </w:tcPr>
          <w:p w14:paraId="0A8C2EEC" w14:textId="64F586ED"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the implementing decision(s) indicating the entry into force</w:t>
            </w:r>
          </w:p>
        </w:tc>
        <w:tc>
          <w:tcPr>
            <w:tcW w:w="709" w:type="dxa"/>
            <w:shd w:val="clear" w:color="auto" w:fill="D6E3C6"/>
            <w:noWrap/>
          </w:tcPr>
          <w:p w14:paraId="3EF0C4F6"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35C0F82B"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46FD6B8D"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0313E993" w14:textId="3A46206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2DF46EB7" w14:textId="2F55848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154832CF" w14:textId="0CCA901F"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Council of Ministers, Ministry of Energy, Ministry of Environment and Water</w:t>
            </w:r>
          </w:p>
        </w:tc>
        <w:tc>
          <w:tcPr>
            <w:tcW w:w="851" w:type="dxa"/>
            <w:gridSpan w:val="2"/>
            <w:shd w:val="clear" w:color="auto" w:fill="D6E3C6"/>
          </w:tcPr>
          <w:p w14:paraId="0DD1EEE4"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57456EFD" w14:textId="701FAE17" w:rsidR="0046499F" w:rsidRDefault="0046499F" w:rsidP="0046499F">
            <w:pPr>
              <w:pStyle w:val="ListParagraph"/>
              <w:numPr>
                <w:ilvl w:val="0"/>
                <w:numId w:val="64"/>
              </w:numPr>
              <w:spacing w:after="0"/>
              <w:rPr>
                <w:rFonts w:ascii="Arial" w:hAnsi="Arial" w:cs="Arial"/>
                <w:color w:val="006100"/>
                <w:sz w:val="16"/>
                <w:szCs w:val="16"/>
              </w:rPr>
            </w:pPr>
            <w:r w:rsidRPr="004F3D4C">
              <w:rPr>
                <w:rFonts w:ascii="Arial" w:hAnsi="Arial" w:cs="Arial"/>
                <w:color w:val="006100"/>
                <w:sz w:val="16"/>
                <w:szCs w:val="16"/>
                <w:lang w:eastAsia="en-GB"/>
              </w:rPr>
              <w:t>Copy of the publication in the State Gazette of any primary legislation and secondary legislation that is critical for achieving the objectives described in the milestone and in the CID annex</w:t>
            </w:r>
          </w:p>
          <w:p w14:paraId="333C817B" w14:textId="5A935D7F" w:rsidR="0046499F" w:rsidRPr="00573B5B" w:rsidRDefault="0046499F" w:rsidP="0046499F">
            <w:pPr>
              <w:pStyle w:val="ListParagraph"/>
              <w:numPr>
                <w:ilvl w:val="0"/>
                <w:numId w:val="64"/>
              </w:numPr>
              <w:spacing w:after="0"/>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eference to the relevant</w:t>
            </w:r>
            <w:r>
              <w:rPr>
                <w:rFonts w:ascii="Arial" w:hAnsi="Arial" w:cs="Arial"/>
                <w:color w:val="006100"/>
                <w:sz w:val="16"/>
                <w:szCs w:val="16"/>
                <w:lang w:eastAsia="en-GB"/>
              </w:rPr>
              <w:t xml:space="preserve"> </w:t>
            </w:r>
            <w:r w:rsidRPr="004F3D4C">
              <w:rPr>
                <w:rFonts w:ascii="Arial" w:hAnsi="Arial" w:cs="Arial"/>
                <w:color w:val="006100"/>
                <w:sz w:val="16"/>
                <w:szCs w:val="16"/>
                <w:lang w:eastAsia="en-GB"/>
              </w:rPr>
              <w:t>provisions indicating the entry into force</w:t>
            </w:r>
          </w:p>
        </w:tc>
        <w:tc>
          <w:tcPr>
            <w:tcW w:w="3402" w:type="dxa"/>
            <w:shd w:val="clear" w:color="auto" w:fill="D6E3C6"/>
          </w:tcPr>
          <w:p w14:paraId="6D959BB0" w14:textId="6342A3AB"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Council of Ministers, Ministry of Energy, Ministry of Environment and Water</w:t>
            </w:r>
          </w:p>
          <w:p w14:paraId="1F8299DD" w14:textId="77777777" w:rsidR="0046499F" w:rsidRPr="009F2F58" w:rsidRDefault="0046499F" w:rsidP="0046499F">
            <w:pPr>
              <w:spacing w:after="0"/>
              <w:rPr>
                <w:rFonts w:ascii="Arial" w:hAnsi="Arial" w:cs="Arial"/>
                <w:color w:val="006100"/>
                <w:sz w:val="16"/>
                <w:szCs w:val="16"/>
              </w:rPr>
            </w:pPr>
          </w:p>
          <w:p w14:paraId="70556E8D" w14:textId="759BD0D8"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B92552">
              <w:rPr>
                <w:rFonts w:ascii="Arial" w:hAnsi="Arial" w:cs="Arial"/>
                <w:color w:val="006100"/>
                <w:sz w:val="16"/>
                <w:szCs w:val="16"/>
              </w:rPr>
              <w:t>Entry into force of implementing decision(s) enforcing the carbon dioxide emissions limit for production of electricity from coal and lignite</w:t>
            </w:r>
          </w:p>
          <w:p w14:paraId="187F0B11" w14:textId="77777777" w:rsidR="0046499F" w:rsidRPr="009F2F58" w:rsidRDefault="0046499F" w:rsidP="0046499F">
            <w:pPr>
              <w:spacing w:after="0"/>
              <w:rPr>
                <w:rFonts w:ascii="Arial" w:hAnsi="Arial" w:cs="Arial"/>
                <w:color w:val="006100"/>
                <w:sz w:val="16"/>
                <w:szCs w:val="16"/>
              </w:rPr>
            </w:pPr>
          </w:p>
          <w:p w14:paraId="5CD837C2" w14:textId="0EF799E4"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entry into force (evidence</w:t>
            </w:r>
            <w:r w:rsidR="00BC5D15">
              <w:rPr>
                <w:rFonts w:ascii="Arial" w:hAnsi="Arial" w:cs="Arial"/>
                <w:color w:val="006100"/>
                <w:sz w:val="16"/>
                <w:szCs w:val="16"/>
              </w:rPr>
              <w:t>d</w:t>
            </w:r>
            <w:r>
              <w:rPr>
                <w:rFonts w:ascii="Arial" w:hAnsi="Arial" w:cs="Arial"/>
                <w:color w:val="006100"/>
                <w:sz w:val="16"/>
                <w:szCs w:val="16"/>
              </w:rPr>
              <w:t xml:space="preserve"> by a), reporting (b)</w:t>
            </w:r>
          </w:p>
          <w:p w14:paraId="6DDFEA3C" w14:textId="77777777" w:rsidR="0046499F" w:rsidRPr="009F2F58" w:rsidRDefault="0046499F" w:rsidP="0046499F">
            <w:pPr>
              <w:spacing w:after="0"/>
              <w:rPr>
                <w:rFonts w:ascii="Arial" w:hAnsi="Arial" w:cs="Arial"/>
                <w:color w:val="006100"/>
                <w:sz w:val="16"/>
                <w:szCs w:val="16"/>
              </w:rPr>
            </w:pPr>
          </w:p>
          <w:p w14:paraId="4229FB0E" w14:textId="1C6EF020"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B92552">
              <w:rPr>
                <w:rFonts w:ascii="Arial" w:hAnsi="Arial" w:cs="Arial"/>
                <w:color w:val="006100"/>
                <w:sz w:val="16"/>
                <w:szCs w:val="16"/>
              </w:rPr>
              <w:t>Entry into force of an implementing decision by the Bulgarian government, which shall establish: a regulator: a competent authority shall be appointed to implement, verify and enforce the emission cap for production of electricity from coal and lignite. Implementation arrangements: detailed rules for the implementation of the annual emission cap shall be put in place, including the mechanisms whereby the Regulator shall set the annual carbon emission limits for individual installations. reporting, monitoring and compliance arrangements: the reporting arrangements shall be those used under the EU ETS to minimise burden on operators; compliance with the emission cap shall be carried out by comparing the installation annual verified carbon emissions reported under the EU ETS with the limits set by the Regulator under the emission cap</w:t>
            </w:r>
            <w:r>
              <w:rPr>
                <w:rFonts w:ascii="Arial" w:hAnsi="Arial" w:cs="Arial"/>
                <w:color w:val="006100"/>
                <w:sz w:val="16"/>
                <w:szCs w:val="16"/>
              </w:rPr>
              <w:t xml:space="preserve"> </w:t>
            </w:r>
            <w:r w:rsidRPr="00B92552">
              <w:rPr>
                <w:rFonts w:ascii="Arial" w:hAnsi="Arial" w:cs="Arial"/>
                <w:color w:val="006100"/>
                <w:sz w:val="16"/>
                <w:szCs w:val="16"/>
              </w:rPr>
              <w:t>enforcement and sanctioning: the Regulator shall have access to appropriate enforcement mechanisms to ensure there is no financial incentive to breach the emission cap and shall be required to impose fines in the event that a plant operator breaches the emission cap; the level of any financial penalty issued in connection with a breach emission cap shall be sufficient to remove any benefit derived by an operator from such breach.</w:t>
            </w:r>
            <w:r>
              <w:rPr>
                <w:rFonts w:ascii="Arial" w:hAnsi="Arial" w:cs="Arial"/>
                <w:color w:val="006100"/>
                <w:sz w:val="16"/>
                <w:szCs w:val="16"/>
              </w:rPr>
              <w:t xml:space="preserve"> </w:t>
            </w:r>
            <w:r w:rsidRPr="00E80B72">
              <w:rPr>
                <w:rFonts w:ascii="Arial" w:hAnsi="Arial" w:cs="Arial"/>
                <w:color w:val="006100"/>
                <w:sz w:val="16"/>
                <w:szCs w:val="16"/>
              </w:rPr>
              <w:t>[provide references to the above in the summary document]</w:t>
            </w:r>
          </w:p>
          <w:p w14:paraId="5F911A48" w14:textId="77777777" w:rsidR="0046499F" w:rsidRPr="009F2F58" w:rsidRDefault="0046499F" w:rsidP="0046499F">
            <w:pPr>
              <w:spacing w:after="0"/>
              <w:rPr>
                <w:rFonts w:ascii="Arial" w:hAnsi="Arial" w:cs="Arial"/>
                <w:color w:val="006100"/>
                <w:sz w:val="16"/>
                <w:szCs w:val="16"/>
              </w:rPr>
            </w:pPr>
          </w:p>
          <w:p w14:paraId="7EE10297" w14:textId="0BA23657"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specify the dates of development and entry into force</w:t>
            </w:r>
          </w:p>
        </w:tc>
        <w:tc>
          <w:tcPr>
            <w:tcW w:w="2268" w:type="dxa"/>
            <w:shd w:val="clear" w:color="auto" w:fill="D6E3C6"/>
          </w:tcPr>
          <w:p w14:paraId="70F71001" w14:textId="691B9E0D"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0EA14F12" w14:textId="690B686B"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3A494615" w14:textId="385E243F"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2BB3659E" w14:textId="1CD9D080"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1EFBB6F1" w14:textId="282AD9F0" w:rsidR="0046499F" w:rsidRPr="004F3D4C" w:rsidRDefault="00BC5D15"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09A185A1" w14:textId="2CC6336A" w:rsidTr="00596EEA">
        <w:trPr>
          <w:trHeight w:val="309"/>
        </w:trPr>
        <w:tc>
          <w:tcPr>
            <w:tcW w:w="454" w:type="dxa"/>
            <w:shd w:val="clear" w:color="auto" w:fill="D6E3C6"/>
            <w:noWrap/>
          </w:tcPr>
          <w:p w14:paraId="776B1A14" w14:textId="2E8ECAA2"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117</w:t>
            </w:r>
          </w:p>
        </w:tc>
        <w:tc>
          <w:tcPr>
            <w:tcW w:w="1215" w:type="dxa"/>
            <w:shd w:val="clear" w:color="auto" w:fill="D6E3C6"/>
            <w:noWrap/>
          </w:tcPr>
          <w:p w14:paraId="62D474EA" w14:textId="69D74972"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C4.R10: Decarbonisation of the energy sector</w:t>
            </w:r>
          </w:p>
        </w:tc>
        <w:tc>
          <w:tcPr>
            <w:tcW w:w="956" w:type="dxa"/>
            <w:shd w:val="clear" w:color="auto" w:fill="D6E3C6"/>
            <w:noWrap/>
          </w:tcPr>
          <w:p w14:paraId="0B961465" w14:textId="03297B86"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179922F0" w14:textId="697486BD"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Reducing carbon dioxide emissions from the power sector (I)</w:t>
            </w:r>
          </w:p>
        </w:tc>
        <w:tc>
          <w:tcPr>
            <w:tcW w:w="1322" w:type="dxa"/>
            <w:shd w:val="clear" w:color="auto" w:fill="D6E3C6"/>
            <w:noWrap/>
          </w:tcPr>
          <w:p w14:paraId="68DE0629"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289F3CD8" w14:textId="3661F04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Tonnes of CO2</w:t>
            </w:r>
          </w:p>
        </w:tc>
        <w:tc>
          <w:tcPr>
            <w:tcW w:w="614" w:type="dxa"/>
            <w:shd w:val="clear" w:color="auto" w:fill="D6E3C6"/>
            <w:noWrap/>
          </w:tcPr>
          <w:p w14:paraId="7FEDFE29" w14:textId="664CC38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19 438 000</w:t>
            </w:r>
          </w:p>
        </w:tc>
        <w:tc>
          <w:tcPr>
            <w:tcW w:w="731" w:type="dxa"/>
            <w:shd w:val="clear" w:color="auto" w:fill="D6E3C6"/>
            <w:noWrap/>
          </w:tcPr>
          <w:p w14:paraId="683C66F9" w14:textId="29F671D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17 883 000</w:t>
            </w:r>
          </w:p>
        </w:tc>
        <w:tc>
          <w:tcPr>
            <w:tcW w:w="756" w:type="dxa"/>
            <w:gridSpan w:val="2"/>
            <w:shd w:val="clear" w:color="auto" w:fill="D6E3C6"/>
            <w:noWrap/>
          </w:tcPr>
          <w:p w14:paraId="704756DD" w14:textId="6E7AA789"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7BDC5883" w14:textId="727A2FD2"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4F3CA016" w14:textId="111CCE46"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Council of Ministers, Ministry of Energy, Ministry of Environment and Water</w:t>
            </w:r>
          </w:p>
        </w:tc>
        <w:tc>
          <w:tcPr>
            <w:tcW w:w="851" w:type="dxa"/>
            <w:gridSpan w:val="2"/>
            <w:shd w:val="clear" w:color="auto" w:fill="D6E3C6"/>
          </w:tcPr>
          <w:p w14:paraId="7E812BFD" w14:textId="714CBC8D"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The list shall cover the following installations: TPP Maritsa 3 EAD, TPP </w:t>
            </w:r>
          </w:p>
          <w:p w14:paraId="3C8195C7" w14:textId="7777777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Maritsa East 2 EAD, TPP </w:t>
            </w:r>
            <w:r w:rsidRPr="004F3D4C">
              <w:rPr>
                <w:rFonts w:ascii="Arial" w:eastAsia="Times New Roman" w:hAnsi="Arial" w:cs="Arial"/>
                <w:color w:val="006100"/>
                <w:sz w:val="16"/>
                <w:szCs w:val="16"/>
                <w:lang w:eastAsia="en-GB"/>
              </w:rPr>
              <w:lastRenderedPageBreak/>
              <w:t xml:space="preserve">Bobov dol EAD, AES-3C Maritza East 1, TPP Contour </w:t>
            </w:r>
          </w:p>
          <w:p w14:paraId="525BB95A" w14:textId="7777777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 xml:space="preserve">Global Maritsa East 3, TEC BRIKEL EAD, TEC Republika, TPP Russe East, and </w:t>
            </w:r>
          </w:p>
          <w:p w14:paraId="63D647A1" w14:textId="23E2852B"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Toplofikacia Sliven.</w:t>
            </w:r>
          </w:p>
        </w:tc>
        <w:tc>
          <w:tcPr>
            <w:tcW w:w="1751" w:type="dxa"/>
            <w:gridSpan w:val="2"/>
            <w:shd w:val="clear" w:color="auto" w:fill="D6E3C6"/>
          </w:tcPr>
          <w:p w14:paraId="63EE12F5" w14:textId="698005C1" w:rsidR="0046499F" w:rsidRPr="00065395" w:rsidRDefault="0046499F" w:rsidP="0046499F">
            <w:pPr>
              <w:pStyle w:val="ListParagraph"/>
              <w:numPr>
                <w:ilvl w:val="0"/>
                <w:numId w:val="65"/>
              </w:numPr>
              <w:ind w:left="391" w:hanging="357"/>
              <w:rPr>
                <w:rFonts w:ascii="Arial" w:hAnsi="Arial" w:cs="Arial"/>
                <w:color w:val="006100"/>
                <w:sz w:val="16"/>
                <w:szCs w:val="16"/>
              </w:rPr>
            </w:pPr>
            <w:r w:rsidRPr="004F3D4C">
              <w:rPr>
                <w:rFonts w:ascii="Arial" w:hAnsi="Arial" w:cs="Arial"/>
                <w:color w:val="006100"/>
                <w:sz w:val="16"/>
                <w:szCs w:val="16"/>
                <w:lang w:eastAsia="en-GB"/>
              </w:rPr>
              <w:lastRenderedPageBreak/>
              <w:t xml:space="preserve">A list of all coal- or lignite-fired power plants with all their verified carbon dioxide emissions for 2022 and for 2019 as </w:t>
            </w:r>
            <w:r w:rsidRPr="004F3D4C">
              <w:rPr>
                <w:rFonts w:ascii="Arial" w:hAnsi="Arial" w:cs="Arial"/>
                <w:color w:val="006100"/>
                <w:sz w:val="16"/>
                <w:szCs w:val="16"/>
              </w:rPr>
              <w:t xml:space="preserve">verified and recorded in the Union Emissions </w:t>
            </w:r>
            <w:r w:rsidRPr="004F3D4C">
              <w:rPr>
                <w:rFonts w:ascii="Arial" w:hAnsi="Arial" w:cs="Arial"/>
                <w:color w:val="006100"/>
                <w:sz w:val="16"/>
                <w:szCs w:val="16"/>
              </w:rPr>
              <w:lastRenderedPageBreak/>
              <w:t>Registry (EU ETS)</w:t>
            </w:r>
          </w:p>
        </w:tc>
        <w:tc>
          <w:tcPr>
            <w:tcW w:w="3402" w:type="dxa"/>
            <w:shd w:val="clear" w:color="auto" w:fill="D6E3C6"/>
          </w:tcPr>
          <w:p w14:paraId="197B6D2A" w14:textId="65E7C830" w:rsidR="0046499F" w:rsidRDefault="0046499F" w:rsidP="0046499F">
            <w:pPr>
              <w:spacing w:after="0"/>
              <w:rPr>
                <w:rFonts w:ascii="Arial" w:eastAsia="Times New Roman" w:hAnsi="Arial" w:cs="Arial"/>
                <w:color w:val="006100"/>
                <w:sz w:val="16"/>
                <w:szCs w:val="16"/>
                <w:lang w:eastAsia="en-GB"/>
              </w:rPr>
            </w:pPr>
            <w:r w:rsidRPr="009F2F58">
              <w:rPr>
                <w:rFonts w:ascii="Arial" w:hAnsi="Arial" w:cs="Arial"/>
                <w:color w:val="006100"/>
                <w:sz w:val="16"/>
                <w:szCs w:val="16"/>
              </w:rPr>
              <w:lastRenderedPageBreak/>
              <w:t xml:space="preserve">Institution/s: </w:t>
            </w:r>
            <w:r w:rsidRPr="00065395">
              <w:rPr>
                <w:rFonts w:ascii="Arial" w:eastAsia="Times New Roman" w:hAnsi="Arial" w:cs="Arial"/>
                <w:color w:val="006100"/>
                <w:sz w:val="16"/>
                <w:szCs w:val="16"/>
                <w:lang w:eastAsia="en-GB"/>
              </w:rPr>
              <w:t>Council of Ministers, Ministry of Energy, Ministry of Environment and Water</w:t>
            </w:r>
          </w:p>
          <w:p w14:paraId="2F17AF56" w14:textId="77777777" w:rsidR="0046499F" w:rsidRPr="009F2F58" w:rsidRDefault="0046499F" w:rsidP="0046499F">
            <w:pPr>
              <w:spacing w:after="0"/>
              <w:rPr>
                <w:rFonts w:ascii="Arial" w:hAnsi="Arial" w:cs="Arial"/>
                <w:color w:val="006100"/>
                <w:sz w:val="16"/>
                <w:szCs w:val="16"/>
              </w:rPr>
            </w:pPr>
          </w:p>
          <w:p w14:paraId="3AAE503B" w14:textId="7BE80D8B" w:rsidR="0046499F" w:rsidRDefault="0046499F" w:rsidP="0046499F">
            <w:pPr>
              <w:spacing w:after="0"/>
              <w:rPr>
                <w:rFonts w:ascii="Arial" w:hAnsi="Arial" w:cs="Arial"/>
                <w:color w:val="006100"/>
                <w:sz w:val="16"/>
                <w:szCs w:val="16"/>
              </w:rPr>
            </w:pPr>
            <w:r w:rsidRPr="009F2F58">
              <w:rPr>
                <w:rFonts w:ascii="Arial" w:hAnsi="Arial" w:cs="Arial"/>
                <w:color w:val="006100"/>
                <w:sz w:val="16"/>
                <w:szCs w:val="16"/>
              </w:rPr>
              <w:t>What</w:t>
            </w:r>
            <w:r>
              <w:rPr>
                <w:rFonts w:ascii="Arial" w:hAnsi="Arial" w:cs="Arial"/>
                <w:color w:val="006100"/>
                <w:sz w:val="16"/>
                <w:szCs w:val="16"/>
              </w:rPr>
              <w:t xml:space="preserve">: </w:t>
            </w:r>
            <w:r w:rsidRPr="00065395">
              <w:rPr>
                <w:rFonts w:ascii="Arial" w:hAnsi="Arial" w:cs="Arial"/>
                <w:color w:val="006100"/>
                <w:sz w:val="16"/>
                <w:szCs w:val="16"/>
              </w:rPr>
              <w:t>Reducing carbon dioxide emissions from the power sector (I)</w:t>
            </w:r>
          </w:p>
          <w:p w14:paraId="4C48C70B" w14:textId="77777777" w:rsidR="0046499F" w:rsidRPr="009F2F58" w:rsidRDefault="0046499F" w:rsidP="0046499F">
            <w:pPr>
              <w:spacing w:after="0"/>
              <w:rPr>
                <w:rFonts w:ascii="Arial" w:hAnsi="Arial" w:cs="Arial"/>
                <w:color w:val="006100"/>
                <w:sz w:val="16"/>
                <w:szCs w:val="16"/>
              </w:rPr>
            </w:pPr>
          </w:p>
          <w:p w14:paraId="1F08C225" w14:textId="3D62EE97"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How:</w:t>
            </w:r>
            <w:r>
              <w:rPr>
                <w:rFonts w:ascii="Arial" w:hAnsi="Arial" w:cs="Arial"/>
                <w:color w:val="006100"/>
                <w:sz w:val="16"/>
                <w:szCs w:val="16"/>
              </w:rPr>
              <w:t xml:space="preserve"> reporting (a)</w:t>
            </w:r>
          </w:p>
          <w:p w14:paraId="2E0CD46B" w14:textId="77777777" w:rsidR="0046499F" w:rsidRPr="009F2F58" w:rsidRDefault="0046499F" w:rsidP="0046499F">
            <w:pPr>
              <w:spacing w:after="0"/>
              <w:rPr>
                <w:rFonts w:ascii="Arial" w:hAnsi="Arial" w:cs="Arial"/>
                <w:color w:val="006100"/>
                <w:sz w:val="16"/>
                <w:szCs w:val="16"/>
              </w:rPr>
            </w:pPr>
          </w:p>
          <w:p w14:paraId="3D3DD195" w14:textId="3DE74BA7" w:rsidR="0046499F" w:rsidRPr="009F2F58" w:rsidRDefault="0046499F" w:rsidP="0046499F">
            <w:pPr>
              <w:spacing w:after="0"/>
              <w:rPr>
                <w:rFonts w:ascii="Arial" w:hAnsi="Arial" w:cs="Arial"/>
                <w:color w:val="006100"/>
                <w:sz w:val="16"/>
                <w:szCs w:val="16"/>
              </w:rPr>
            </w:pPr>
            <w:r w:rsidRPr="009F2F58">
              <w:rPr>
                <w:rFonts w:ascii="Arial" w:hAnsi="Arial" w:cs="Arial"/>
                <w:color w:val="006100"/>
                <w:sz w:val="16"/>
                <w:szCs w:val="16"/>
              </w:rPr>
              <w:t>Why:</w:t>
            </w:r>
            <w:r>
              <w:rPr>
                <w:rFonts w:ascii="Arial" w:hAnsi="Arial" w:cs="Arial"/>
                <w:color w:val="006100"/>
                <w:sz w:val="16"/>
                <w:szCs w:val="16"/>
              </w:rPr>
              <w:t xml:space="preserve"> </w:t>
            </w:r>
            <w:r w:rsidRPr="00065395">
              <w:rPr>
                <w:rFonts w:ascii="Arial" w:hAnsi="Arial" w:cs="Arial"/>
                <w:color w:val="006100"/>
                <w:sz w:val="16"/>
                <w:szCs w:val="16"/>
              </w:rPr>
              <w:t xml:space="preserve">The carbon dioxide emissions of all coal- or lignite-fired power plants shall have been reduced in 2022 by at least 1 555 000 tonnes </w:t>
            </w:r>
            <w:r w:rsidRPr="00065395">
              <w:rPr>
                <w:rFonts w:ascii="Arial" w:hAnsi="Arial" w:cs="Arial"/>
                <w:color w:val="006100"/>
                <w:sz w:val="16"/>
                <w:szCs w:val="16"/>
              </w:rPr>
              <w:lastRenderedPageBreak/>
              <w:t>compared to 2019 levels. The reduction shall be calculated by using the annual verified carbon dioxide emissions for electricity generation from coal and lignite as recorded in the Union Emissions Registry (EU ETS) operated by the European Commission. The reduction shall be measured by the difference between the sum of all verified carbon dioxide emissions from coal- or lignite-fired power sources for 2022 and the sum of all verified carbon dioxide emissions for electricity generation for 2019 from coal and lignite.</w:t>
            </w:r>
            <w:r>
              <w:rPr>
                <w:rFonts w:ascii="Arial" w:hAnsi="Arial" w:cs="Arial"/>
                <w:color w:val="006100"/>
                <w:sz w:val="16"/>
                <w:szCs w:val="16"/>
              </w:rPr>
              <w:t xml:space="preserve"> </w:t>
            </w:r>
            <w:r w:rsidRPr="00E80B72">
              <w:rPr>
                <w:rFonts w:ascii="Arial" w:hAnsi="Arial" w:cs="Arial"/>
                <w:color w:val="006100"/>
                <w:sz w:val="16"/>
                <w:szCs w:val="16"/>
              </w:rPr>
              <w:t>[provide references to the above in the summary document]</w:t>
            </w:r>
          </w:p>
          <w:p w14:paraId="079E0A43" w14:textId="77777777" w:rsidR="0046499F" w:rsidRPr="009F2F58" w:rsidRDefault="0046499F" w:rsidP="0046499F">
            <w:pPr>
              <w:spacing w:after="0"/>
              <w:rPr>
                <w:rFonts w:ascii="Arial" w:hAnsi="Arial" w:cs="Arial"/>
                <w:color w:val="006100"/>
                <w:sz w:val="16"/>
                <w:szCs w:val="16"/>
              </w:rPr>
            </w:pPr>
          </w:p>
          <w:p w14:paraId="54881B33" w14:textId="7A90ED3A" w:rsidR="0046499F" w:rsidRPr="004F3D4C" w:rsidRDefault="0046499F" w:rsidP="0046499F">
            <w:pPr>
              <w:spacing w:after="0"/>
              <w:rPr>
                <w:rFonts w:ascii="Arial" w:hAnsi="Arial" w:cs="Arial"/>
                <w:color w:val="006100"/>
                <w:sz w:val="16"/>
                <w:szCs w:val="16"/>
              </w:rPr>
            </w:pPr>
            <w:r w:rsidRPr="009F2F58">
              <w:rPr>
                <w:rFonts w:ascii="Arial" w:hAnsi="Arial" w:cs="Arial"/>
                <w:color w:val="006100"/>
                <w:sz w:val="16"/>
                <w:szCs w:val="16"/>
              </w:rPr>
              <w:t>When</w:t>
            </w:r>
            <w:r>
              <w:rPr>
                <w:rFonts w:ascii="Arial" w:hAnsi="Arial" w:cs="Arial"/>
                <w:color w:val="006100"/>
                <w:sz w:val="16"/>
                <w:szCs w:val="16"/>
              </w:rPr>
              <w:t xml:space="preserve">: reduction of </w:t>
            </w:r>
            <w:r w:rsidRPr="004F3D4C">
              <w:rPr>
                <w:rFonts w:ascii="Arial" w:hAnsi="Arial" w:cs="Arial"/>
                <w:color w:val="006100"/>
                <w:sz w:val="16"/>
                <w:szCs w:val="16"/>
              </w:rPr>
              <w:t>carbon dioxide emissions</w:t>
            </w:r>
            <w:r>
              <w:rPr>
                <w:rFonts w:ascii="Arial" w:hAnsi="Arial" w:cs="Arial"/>
                <w:color w:val="006100"/>
                <w:sz w:val="16"/>
                <w:szCs w:val="16"/>
              </w:rPr>
              <w:t xml:space="preserve"> between 2019 and </w:t>
            </w:r>
            <w:r w:rsidRPr="004A3F9B">
              <w:rPr>
                <w:rFonts w:ascii="Arial" w:hAnsi="Arial" w:cs="Arial"/>
                <w:color w:val="006100"/>
                <w:sz w:val="16"/>
                <w:szCs w:val="16"/>
              </w:rPr>
              <w:t>2022 (to be monitored annually)</w:t>
            </w:r>
          </w:p>
        </w:tc>
        <w:tc>
          <w:tcPr>
            <w:tcW w:w="2268" w:type="dxa"/>
            <w:shd w:val="clear" w:color="auto" w:fill="D6E3C6"/>
          </w:tcPr>
          <w:p w14:paraId="45F873F9" w14:textId="4B940959"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36" w:type="dxa"/>
            <w:gridSpan w:val="2"/>
            <w:shd w:val="clear" w:color="auto" w:fill="D6E3C6"/>
          </w:tcPr>
          <w:p w14:paraId="3A1FA66E" w14:textId="021935F8"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 xml:space="preserve">Lack of annual progress on the annual tonnes of carbon dioxide emissions </w:t>
            </w:r>
          </w:p>
        </w:tc>
        <w:tc>
          <w:tcPr>
            <w:tcW w:w="1090" w:type="dxa"/>
            <w:gridSpan w:val="2"/>
            <w:shd w:val="clear" w:color="auto" w:fill="D6E3C6"/>
          </w:tcPr>
          <w:p w14:paraId="6972F0B1" w14:textId="3EC45AB3"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73CFD57B" w14:textId="2D3DDECF"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Indicator 2</w:t>
            </w:r>
          </w:p>
        </w:tc>
        <w:tc>
          <w:tcPr>
            <w:tcW w:w="1418" w:type="dxa"/>
            <w:gridSpan w:val="2"/>
            <w:shd w:val="clear" w:color="auto" w:fill="D6E3C6"/>
          </w:tcPr>
          <w:p w14:paraId="4AAF4346" w14:textId="4BD7812A" w:rsidR="0046499F" w:rsidRPr="004F3D4C" w:rsidRDefault="00BC5D15"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3567B740" w14:textId="6345C422" w:rsidTr="00596EEA">
        <w:trPr>
          <w:trHeight w:val="309"/>
        </w:trPr>
        <w:tc>
          <w:tcPr>
            <w:tcW w:w="454" w:type="dxa"/>
            <w:shd w:val="clear" w:color="auto" w:fill="D6E3C6"/>
            <w:noWrap/>
          </w:tcPr>
          <w:p w14:paraId="1217EDC2" w14:textId="150E03A7"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118</w:t>
            </w:r>
          </w:p>
        </w:tc>
        <w:tc>
          <w:tcPr>
            <w:tcW w:w="1215" w:type="dxa"/>
            <w:shd w:val="clear" w:color="auto" w:fill="D6E3C6"/>
            <w:noWrap/>
          </w:tcPr>
          <w:p w14:paraId="3B08D91C" w14:textId="1D61E3B6"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C4.R10: Decarbonisation of the energy sector</w:t>
            </w:r>
          </w:p>
        </w:tc>
        <w:tc>
          <w:tcPr>
            <w:tcW w:w="956" w:type="dxa"/>
            <w:shd w:val="clear" w:color="auto" w:fill="D6E3C6"/>
            <w:noWrap/>
          </w:tcPr>
          <w:p w14:paraId="5D7DD266" w14:textId="4F697F94"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3EFD7AFB" w14:textId="1D502F07"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Reducing carbon dioxide emissions from the power sector (II)</w:t>
            </w:r>
          </w:p>
        </w:tc>
        <w:tc>
          <w:tcPr>
            <w:tcW w:w="1322" w:type="dxa"/>
            <w:shd w:val="clear" w:color="auto" w:fill="D6E3C6"/>
            <w:noWrap/>
          </w:tcPr>
          <w:p w14:paraId="1D63C68D"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17C4E11F" w14:textId="2828E65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Tonnes of CO2</w:t>
            </w:r>
          </w:p>
        </w:tc>
        <w:tc>
          <w:tcPr>
            <w:tcW w:w="614" w:type="dxa"/>
            <w:shd w:val="clear" w:color="auto" w:fill="D6E3C6"/>
            <w:noWrap/>
          </w:tcPr>
          <w:p w14:paraId="76FD2A31" w14:textId="4419D71F"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19 438 000</w:t>
            </w:r>
          </w:p>
        </w:tc>
        <w:tc>
          <w:tcPr>
            <w:tcW w:w="731" w:type="dxa"/>
            <w:shd w:val="clear" w:color="auto" w:fill="D6E3C6"/>
            <w:noWrap/>
          </w:tcPr>
          <w:p w14:paraId="69488206" w14:textId="2E5EA49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15 939 000</w:t>
            </w:r>
          </w:p>
        </w:tc>
        <w:tc>
          <w:tcPr>
            <w:tcW w:w="756" w:type="dxa"/>
            <w:gridSpan w:val="2"/>
            <w:shd w:val="clear" w:color="auto" w:fill="D6E3C6"/>
            <w:noWrap/>
          </w:tcPr>
          <w:p w14:paraId="1DB1137F" w14:textId="7FDD1702"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2D45B785" w14:textId="5FC8A5F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2024</w:t>
            </w:r>
          </w:p>
        </w:tc>
        <w:tc>
          <w:tcPr>
            <w:tcW w:w="872" w:type="dxa"/>
            <w:gridSpan w:val="2"/>
            <w:shd w:val="clear" w:color="auto" w:fill="D6E3C6"/>
          </w:tcPr>
          <w:p w14:paraId="669E2EA0" w14:textId="4861876C"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Council of Ministers, Ministry of Energy, Ministry of Environment and Water</w:t>
            </w:r>
          </w:p>
        </w:tc>
        <w:tc>
          <w:tcPr>
            <w:tcW w:w="851" w:type="dxa"/>
            <w:gridSpan w:val="2"/>
            <w:shd w:val="clear" w:color="auto" w:fill="D6E3C6"/>
          </w:tcPr>
          <w:p w14:paraId="5D6F8AA3"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508DB41D" w14:textId="4645B91B" w:rsidR="0046499F" w:rsidRPr="009D2B2E" w:rsidRDefault="0046499F" w:rsidP="0046499F">
            <w:pPr>
              <w:pStyle w:val="ListParagraph"/>
              <w:numPr>
                <w:ilvl w:val="0"/>
                <w:numId w:val="66"/>
              </w:numPr>
              <w:ind w:left="391" w:hanging="357"/>
              <w:rPr>
                <w:rFonts w:ascii="Arial" w:hAnsi="Arial" w:cs="Arial"/>
                <w:color w:val="006100"/>
                <w:sz w:val="16"/>
                <w:szCs w:val="16"/>
                <w:lang w:eastAsia="en-GB"/>
              </w:rPr>
            </w:pPr>
            <w:r w:rsidRPr="004F3D4C">
              <w:rPr>
                <w:rFonts w:ascii="Arial" w:hAnsi="Arial" w:cs="Arial"/>
                <w:color w:val="006100"/>
                <w:sz w:val="16"/>
                <w:szCs w:val="16"/>
                <w:lang w:eastAsia="en-GB"/>
              </w:rPr>
              <w:t>A list of all coal- or lignite-fired power plants with all their verified carbon dioxide emissions for 2023 and for 2019 as verified and recorded in the Union Emissions Registry (EU ETS)</w:t>
            </w:r>
          </w:p>
        </w:tc>
        <w:tc>
          <w:tcPr>
            <w:tcW w:w="3402" w:type="dxa"/>
            <w:shd w:val="clear" w:color="auto" w:fill="D6E3C6"/>
          </w:tcPr>
          <w:p w14:paraId="66E0B508" w14:textId="0CE98D42"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Council of Ministers, Ministry of Energy, Ministry of Environment and Water</w:t>
            </w:r>
          </w:p>
          <w:p w14:paraId="558DE0B3" w14:textId="77777777" w:rsidR="0046499F" w:rsidRPr="009D2B2E" w:rsidRDefault="0046499F" w:rsidP="0046499F">
            <w:pPr>
              <w:spacing w:after="0"/>
              <w:rPr>
                <w:rFonts w:ascii="Arial" w:hAnsi="Arial" w:cs="Arial"/>
                <w:color w:val="006100"/>
                <w:sz w:val="16"/>
                <w:szCs w:val="16"/>
              </w:rPr>
            </w:pPr>
          </w:p>
          <w:p w14:paraId="3EF22957" w14:textId="666A0DB7"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What: </w:t>
            </w:r>
            <w:r w:rsidRPr="004F3D4C">
              <w:rPr>
                <w:rFonts w:ascii="Arial" w:hAnsi="Arial" w:cs="Arial"/>
                <w:color w:val="006100"/>
                <w:sz w:val="16"/>
                <w:szCs w:val="16"/>
              </w:rPr>
              <w:t>Reducing carbon dioxide emissions from the power sector (II)</w:t>
            </w:r>
          </w:p>
          <w:p w14:paraId="6B28C12D" w14:textId="77777777" w:rsidR="0046499F" w:rsidRPr="009D2B2E" w:rsidRDefault="0046499F" w:rsidP="0046499F">
            <w:pPr>
              <w:spacing w:after="0"/>
              <w:rPr>
                <w:rFonts w:ascii="Arial" w:hAnsi="Arial" w:cs="Arial"/>
                <w:color w:val="006100"/>
                <w:sz w:val="16"/>
                <w:szCs w:val="16"/>
              </w:rPr>
            </w:pPr>
          </w:p>
          <w:p w14:paraId="1587BBA2" w14:textId="532FFED9"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How: reporting (a)</w:t>
            </w:r>
          </w:p>
          <w:p w14:paraId="1335F911" w14:textId="77777777" w:rsidR="0046499F" w:rsidRPr="009D2B2E" w:rsidRDefault="0046499F" w:rsidP="0046499F">
            <w:pPr>
              <w:spacing w:after="0"/>
              <w:rPr>
                <w:rFonts w:ascii="Arial" w:hAnsi="Arial" w:cs="Arial"/>
                <w:color w:val="006100"/>
                <w:sz w:val="16"/>
                <w:szCs w:val="16"/>
              </w:rPr>
            </w:pPr>
          </w:p>
          <w:p w14:paraId="18A0B208" w14:textId="55C3023A"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Why:</w:t>
            </w:r>
            <w:r>
              <w:rPr>
                <w:rFonts w:ascii="Arial" w:hAnsi="Arial" w:cs="Arial"/>
                <w:color w:val="006100"/>
                <w:sz w:val="16"/>
                <w:szCs w:val="16"/>
              </w:rPr>
              <w:t xml:space="preserve"> </w:t>
            </w:r>
            <w:r w:rsidRPr="00A966D4">
              <w:rPr>
                <w:rFonts w:ascii="Arial" w:hAnsi="Arial" w:cs="Arial"/>
                <w:color w:val="006100"/>
                <w:sz w:val="16"/>
                <w:szCs w:val="16"/>
              </w:rPr>
              <w:t>The carbon dioxide emissions of all coal- or lignite-fired power plants shall have been reduced in 2023 by at least 3 499 000 tonnes compared to 2019 levels. The reduction shall be calculated by using the annual verified carbon dioxide emissions for electricity generation from coal and lignite as recorded in the Union Emissions Registry (EU ETS) operated by the European Commission. The reduction shall be measured by the difference between the sum of all verified carbon dioxide emissions from coal- or lignite-fired power sources for 2023 and the sum of all verified carbon dioxide emissions for electricity generation for 2019 from coal and lignite.</w:t>
            </w:r>
            <w:r w:rsidRPr="009D2B2E">
              <w:rPr>
                <w:rFonts w:ascii="Arial" w:hAnsi="Arial" w:cs="Arial"/>
                <w:color w:val="006100"/>
                <w:sz w:val="16"/>
                <w:szCs w:val="16"/>
              </w:rPr>
              <w:t xml:space="preserve"> [provide references to the above in the summary document]</w:t>
            </w:r>
          </w:p>
          <w:p w14:paraId="67DAA0DD" w14:textId="77777777" w:rsidR="0046499F" w:rsidRPr="009D2B2E" w:rsidRDefault="0046499F" w:rsidP="0046499F">
            <w:pPr>
              <w:spacing w:after="0"/>
              <w:rPr>
                <w:rFonts w:ascii="Arial" w:hAnsi="Arial" w:cs="Arial"/>
                <w:color w:val="006100"/>
                <w:sz w:val="16"/>
                <w:szCs w:val="16"/>
              </w:rPr>
            </w:pPr>
          </w:p>
          <w:p w14:paraId="4DA84938" w14:textId="7068F813" w:rsidR="0046499F" w:rsidRPr="004F3D4C" w:rsidRDefault="0046499F" w:rsidP="0046499F">
            <w:pPr>
              <w:spacing w:after="0"/>
              <w:rPr>
                <w:rFonts w:ascii="Arial" w:hAnsi="Arial" w:cs="Arial"/>
                <w:color w:val="006100"/>
                <w:sz w:val="16"/>
                <w:szCs w:val="16"/>
              </w:rPr>
            </w:pPr>
            <w:r w:rsidRPr="009D2B2E">
              <w:rPr>
                <w:rFonts w:ascii="Arial" w:hAnsi="Arial" w:cs="Arial"/>
                <w:color w:val="006100"/>
                <w:sz w:val="16"/>
                <w:szCs w:val="16"/>
              </w:rPr>
              <w:t>When: reduction of carbon dioxide emissions between 2019 and 202</w:t>
            </w:r>
            <w:r>
              <w:rPr>
                <w:rFonts w:ascii="Arial" w:hAnsi="Arial" w:cs="Arial"/>
                <w:color w:val="006100"/>
                <w:sz w:val="16"/>
                <w:szCs w:val="16"/>
              </w:rPr>
              <w:t>3</w:t>
            </w:r>
            <w:r w:rsidRPr="009D2B2E">
              <w:rPr>
                <w:rFonts w:ascii="Arial" w:hAnsi="Arial" w:cs="Arial"/>
                <w:color w:val="006100"/>
                <w:sz w:val="16"/>
                <w:szCs w:val="16"/>
              </w:rPr>
              <w:t xml:space="preserve"> </w:t>
            </w:r>
            <w:r w:rsidRPr="004A3F9B">
              <w:rPr>
                <w:rFonts w:ascii="Arial" w:hAnsi="Arial" w:cs="Arial"/>
                <w:color w:val="006100"/>
                <w:sz w:val="16"/>
                <w:szCs w:val="16"/>
              </w:rPr>
              <w:t>(to be monitored annually)</w:t>
            </w:r>
          </w:p>
        </w:tc>
        <w:tc>
          <w:tcPr>
            <w:tcW w:w="2268" w:type="dxa"/>
            <w:shd w:val="clear" w:color="auto" w:fill="D6E3C6"/>
          </w:tcPr>
          <w:p w14:paraId="1FA9B5AE" w14:textId="09A0652E"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5A46ABA7" w14:textId="75F3473E"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90" w:type="dxa"/>
            <w:gridSpan w:val="2"/>
            <w:shd w:val="clear" w:color="auto" w:fill="D6E3C6"/>
          </w:tcPr>
          <w:p w14:paraId="4371B0BA" w14:textId="6BD40698"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7FB9CF8C" w14:textId="6B86C9E2"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Indicator 2</w:t>
            </w:r>
          </w:p>
        </w:tc>
        <w:tc>
          <w:tcPr>
            <w:tcW w:w="1418" w:type="dxa"/>
            <w:gridSpan w:val="2"/>
            <w:shd w:val="clear" w:color="auto" w:fill="D6E3C6"/>
          </w:tcPr>
          <w:p w14:paraId="06824211" w14:textId="25831116" w:rsidR="0046499F" w:rsidRPr="004F3D4C" w:rsidRDefault="00BC5D15"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25612A6E" w14:textId="35D5CDFD" w:rsidTr="00596EEA">
        <w:trPr>
          <w:trHeight w:val="309"/>
        </w:trPr>
        <w:tc>
          <w:tcPr>
            <w:tcW w:w="454" w:type="dxa"/>
            <w:shd w:val="clear" w:color="auto" w:fill="D6E3C6"/>
            <w:noWrap/>
          </w:tcPr>
          <w:p w14:paraId="66EDE4AB" w14:textId="72D44EB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119</w:t>
            </w:r>
          </w:p>
        </w:tc>
        <w:tc>
          <w:tcPr>
            <w:tcW w:w="1215" w:type="dxa"/>
            <w:shd w:val="clear" w:color="auto" w:fill="D6E3C6"/>
            <w:noWrap/>
          </w:tcPr>
          <w:p w14:paraId="4F6A6CD4" w14:textId="21FAB7DF"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C4.R10: Decarbonisation of the energy sector</w:t>
            </w:r>
          </w:p>
        </w:tc>
        <w:tc>
          <w:tcPr>
            <w:tcW w:w="956" w:type="dxa"/>
            <w:shd w:val="clear" w:color="auto" w:fill="D6E3C6"/>
            <w:noWrap/>
          </w:tcPr>
          <w:p w14:paraId="40DDF2C2" w14:textId="2A6C9AB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1DB6CBFA" w14:textId="23772004"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Reducing carbon dioxide emissions from the power sector (III)</w:t>
            </w:r>
          </w:p>
        </w:tc>
        <w:tc>
          <w:tcPr>
            <w:tcW w:w="1322" w:type="dxa"/>
            <w:shd w:val="clear" w:color="auto" w:fill="D6E3C6"/>
            <w:noWrap/>
          </w:tcPr>
          <w:p w14:paraId="08BC04F3"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30168A90" w14:textId="2C13F74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Tonnes of CO2</w:t>
            </w:r>
          </w:p>
        </w:tc>
        <w:tc>
          <w:tcPr>
            <w:tcW w:w="614" w:type="dxa"/>
            <w:shd w:val="clear" w:color="auto" w:fill="D6E3C6"/>
            <w:noWrap/>
          </w:tcPr>
          <w:p w14:paraId="6BCE7733" w14:textId="1501E64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19 438 000</w:t>
            </w:r>
          </w:p>
        </w:tc>
        <w:tc>
          <w:tcPr>
            <w:tcW w:w="731" w:type="dxa"/>
            <w:shd w:val="clear" w:color="auto" w:fill="D6E3C6"/>
            <w:noWrap/>
          </w:tcPr>
          <w:p w14:paraId="6ABFC4E7" w14:textId="04EC5EA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13 607 000</w:t>
            </w:r>
          </w:p>
        </w:tc>
        <w:tc>
          <w:tcPr>
            <w:tcW w:w="756" w:type="dxa"/>
            <w:gridSpan w:val="2"/>
            <w:shd w:val="clear" w:color="auto" w:fill="D6E3C6"/>
            <w:noWrap/>
          </w:tcPr>
          <w:p w14:paraId="59F1C8FA" w14:textId="7AF8083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2BB810B6" w14:textId="186097ED"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2025</w:t>
            </w:r>
          </w:p>
        </w:tc>
        <w:tc>
          <w:tcPr>
            <w:tcW w:w="872" w:type="dxa"/>
            <w:gridSpan w:val="2"/>
            <w:shd w:val="clear" w:color="auto" w:fill="D6E3C6"/>
          </w:tcPr>
          <w:p w14:paraId="4F65F38D" w14:textId="68C50AD2"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Council of Ministers, Ministry of Energy, Ministry of Environment and Water</w:t>
            </w:r>
          </w:p>
        </w:tc>
        <w:tc>
          <w:tcPr>
            <w:tcW w:w="851" w:type="dxa"/>
            <w:gridSpan w:val="2"/>
            <w:shd w:val="clear" w:color="auto" w:fill="D6E3C6"/>
          </w:tcPr>
          <w:p w14:paraId="153D5579"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7A74B06A" w14:textId="2A74B6BC" w:rsidR="0046499F" w:rsidRPr="00A741DD" w:rsidRDefault="0046499F" w:rsidP="0046499F">
            <w:pPr>
              <w:pStyle w:val="ListParagraph"/>
              <w:numPr>
                <w:ilvl w:val="0"/>
                <w:numId w:val="67"/>
              </w:numPr>
              <w:spacing w:after="0"/>
              <w:ind w:left="391" w:hanging="357"/>
              <w:rPr>
                <w:rFonts w:ascii="Arial" w:hAnsi="Arial" w:cs="Arial"/>
                <w:color w:val="006100"/>
                <w:sz w:val="16"/>
                <w:szCs w:val="16"/>
              </w:rPr>
            </w:pPr>
            <w:r>
              <w:rPr>
                <w:rFonts w:ascii="Arial" w:hAnsi="Arial" w:cs="Arial"/>
                <w:color w:val="006100"/>
                <w:sz w:val="16"/>
                <w:szCs w:val="16"/>
                <w:lang w:eastAsia="en-GB"/>
              </w:rPr>
              <w:t>L</w:t>
            </w:r>
            <w:r w:rsidRPr="004F3D4C">
              <w:rPr>
                <w:rFonts w:ascii="Arial" w:hAnsi="Arial" w:cs="Arial"/>
                <w:color w:val="006100"/>
                <w:sz w:val="16"/>
                <w:szCs w:val="16"/>
                <w:lang w:eastAsia="en-GB"/>
              </w:rPr>
              <w:t xml:space="preserve">ist of all coal- or lignite-fired power plants with all their verified carbon dioxide emissions for 2024 and for 2019 as </w:t>
            </w:r>
            <w:r w:rsidRPr="004F3D4C">
              <w:rPr>
                <w:rFonts w:ascii="Arial" w:hAnsi="Arial" w:cs="Arial"/>
                <w:color w:val="006100"/>
                <w:sz w:val="16"/>
                <w:szCs w:val="16"/>
              </w:rPr>
              <w:t>verified and recorded in the Union Emissions Registry (EU ETS)</w:t>
            </w:r>
          </w:p>
        </w:tc>
        <w:tc>
          <w:tcPr>
            <w:tcW w:w="3402" w:type="dxa"/>
            <w:shd w:val="clear" w:color="auto" w:fill="D6E3C6"/>
          </w:tcPr>
          <w:p w14:paraId="4BE8DF75" w14:textId="7AC5FE0D"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Council of Ministers, Ministry of Energy, Ministry of Environment and Water</w:t>
            </w:r>
          </w:p>
          <w:p w14:paraId="3FD172E8" w14:textId="77777777" w:rsidR="0046499F" w:rsidRPr="009D2B2E" w:rsidRDefault="0046499F" w:rsidP="0046499F">
            <w:pPr>
              <w:spacing w:after="0"/>
              <w:rPr>
                <w:rFonts w:ascii="Arial" w:hAnsi="Arial" w:cs="Arial"/>
                <w:color w:val="006100"/>
                <w:sz w:val="16"/>
                <w:szCs w:val="16"/>
              </w:rPr>
            </w:pPr>
          </w:p>
          <w:p w14:paraId="6131FB3B" w14:textId="0E130106"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What: </w:t>
            </w:r>
            <w:r w:rsidRPr="004F3D4C">
              <w:rPr>
                <w:rFonts w:ascii="Arial" w:hAnsi="Arial" w:cs="Arial"/>
                <w:color w:val="006100"/>
                <w:sz w:val="16"/>
                <w:szCs w:val="16"/>
              </w:rPr>
              <w:t>Reducing carbon dioxide emissions from the power sector (III)</w:t>
            </w:r>
          </w:p>
          <w:p w14:paraId="557FF52D" w14:textId="77777777" w:rsidR="0046499F" w:rsidRPr="009D2B2E" w:rsidRDefault="0046499F" w:rsidP="0046499F">
            <w:pPr>
              <w:spacing w:after="0"/>
              <w:rPr>
                <w:rFonts w:ascii="Arial" w:hAnsi="Arial" w:cs="Arial"/>
                <w:color w:val="006100"/>
                <w:sz w:val="16"/>
                <w:szCs w:val="16"/>
              </w:rPr>
            </w:pPr>
          </w:p>
          <w:p w14:paraId="28EDAB05" w14:textId="0A413A74"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How: reporting (a)</w:t>
            </w:r>
          </w:p>
          <w:p w14:paraId="40C6B954" w14:textId="77777777" w:rsidR="0046499F" w:rsidRPr="009D2B2E" w:rsidRDefault="0046499F" w:rsidP="0046499F">
            <w:pPr>
              <w:spacing w:after="0"/>
              <w:rPr>
                <w:rFonts w:ascii="Arial" w:hAnsi="Arial" w:cs="Arial"/>
                <w:color w:val="006100"/>
                <w:sz w:val="16"/>
                <w:szCs w:val="16"/>
              </w:rPr>
            </w:pPr>
          </w:p>
          <w:p w14:paraId="22C0B58B" w14:textId="53CBA460"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Why:</w:t>
            </w:r>
            <w:r>
              <w:rPr>
                <w:rFonts w:ascii="Arial" w:hAnsi="Arial" w:cs="Arial"/>
                <w:color w:val="006100"/>
                <w:sz w:val="16"/>
                <w:szCs w:val="16"/>
              </w:rPr>
              <w:t xml:space="preserve"> </w:t>
            </w:r>
            <w:r w:rsidRPr="00A741DD">
              <w:rPr>
                <w:rFonts w:ascii="Arial" w:hAnsi="Arial" w:cs="Arial"/>
                <w:color w:val="006100"/>
                <w:sz w:val="16"/>
                <w:szCs w:val="16"/>
              </w:rPr>
              <w:t xml:space="preserve">The carbon dioxide emissions of all coal- or lignite-fired power plants shall have been reduced in 2024 by at least 5 831 000 tonnes compared to 2019 levels. The reduction shall be calculated by using the annual verified carbon dioxide emissions for electricity </w:t>
            </w:r>
            <w:r w:rsidRPr="00A741DD">
              <w:rPr>
                <w:rFonts w:ascii="Arial" w:hAnsi="Arial" w:cs="Arial"/>
                <w:color w:val="006100"/>
                <w:sz w:val="16"/>
                <w:szCs w:val="16"/>
              </w:rPr>
              <w:lastRenderedPageBreak/>
              <w:t>generation from coal and lignite as recorded in the Union Emissions Registry (EU ETS) operated by the European Commission. The reduction shall be measured by the difference between the sum of all verified carbon dioxide emissions from coal- or lignite-fired power sources for 2024 and the sum of all verified carbon dioxide emissions for electricity generation for 2019 from coal and lignite.</w:t>
            </w:r>
            <w:r>
              <w:rPr>
                <w:rFonts w:ascii="Arial" w:hAnsi="Arial" w:cs="Arial"/>
                <w:color w:val="006100"/>
                <w:sz w:val="16"/>
                <w:szCs w:val="16"/>
              </w:rPr>
              <w:t xml:space="preserve"> </w:t>
            </w:r>
            <w:r w:rsidRPr="009D2B2E">
              <w:rPr>
                <w:rFonts w:ascii="Arial" w:hAnsi="Arial" w:cs="Arial"/>
                <w:color w:val="006100"/>
                <w:sz w:val="16"/>
                <w:szCs w:val="16"/>
              </w:rPr>
              <w:t>[provide references to the above in the summary document]</w:t>
            </w:r>
          </w:p>
          <w:p w14:paraId="560149CC" w14:textId="77777777" w:rsidR="0046499F" w:rsidRPr="009D2B2E" w:rsidRDefault="0046499F" w:rsidP="0046499F">
            <w:pPr>
              <w:spacing w:after="0"/>
              <w:rPr>
                <w:rFonts w:ascii="Arial" w:hAnsi="Arial" w:cs="Arial"/>
                <w:color w:val="006100"/>
                <w:sz w:val="16"/>
                <w:szCs w:val="16"/>
              </w:rPr>
            </w:pPr>
          </w:p>
          <w:p w14:paraId="67365F18" w14:textId="2ED3EEF7" w:rsidR="0046499F" w:rsidRPr="004F3D4C" w:rsidRDefault="0046499F" w:rsidP="0046499F">
            <w:pPr>
              <w:spacing w:after="0"/>
              <w:rPr>
                <w:rFonts w:ascii="Arial" w:hAnsi="Arial" w:cs="Arial"/>
                <w:color w:val="006100"/>
                <w:sz w:val="16"/>
                <w:szCs w:val="16"/>
              </w:rPr>
            </w:pPr>
            <w:r w:rsidRPr="009D2B2E">
              <w:rPr>
                <w:rFonts w:ascii="Arial" w:hAnsi="Arial" w:cs="Arial"/>
                <w:color w:val="006100"/>
                <w:sz w:val="16"/>
                <w:szCs w:val="16"/>
              </w:rPr>
              <w:t>When: reduction of carbon dioxide emissions between 2019 and 202</w:t>
            </w:r>
            <w:r>
              <w:rPr>
                <w:rFonts w:ascii="Arial" w:hAnsi="Arial" w:cs="Arial"/>
                <w:color w:val="006100"/>
                <w:sz w:val="16"/>
                <w:szCs w:val="16"/>
              </w:rPr>
              <w:t>4</w:t>
            </w:r>
            <w:r w:rsidRPr="009D2B2E">
              <w:rPr>
                <w:rFonts w:ascii="Arial" w:hAnsi="Arial" w:cs="Arial"/>
                <w:color w:val="006100"/>
                <w:sz w:val="16"/>
                <w:szCs w:val="16"/>
              </w:rPr>
              <w:t xml:space="preserve"> </w:t>
            </w:r>
            <w:r w:rsidRPr="004A3F9B">
              <w:rPr>
                <w:rFonts w:ascii="Arial" w:hAnsi="Arial" w:cs="Arial"/>
                <w:color w:val="006100"/>
                <w:sz w:val="16"/>
                <w:szCs w:val="16"/>
              </w:rPr>
              <w:t>(to be monitored annually)</w:t>
            </w:r>
          </w:p>
        </w:tc>
        <w:tc>
          <w:tcPr>
            <w:tcW w:w="2268" w:type="dxa"/>
            <w:shd w:val="clear" w:color="auto" w:fill="D6E3C6"/>
          </w:tcPr>
          <w:p w14:paraId="48FA7EA1" w14:textId="21F509D6"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36" w:type="dxa"/>
            <w:gridSpan w:val="2"/>
            <w:shd w:val="clear" w:color="auto" w:fill="D6E3C6"/>
          </w:tcPr>
          <w:p w14:paraId="7EFB665F" w14:textId="39679345"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90" w:type="dxa"/>
            <w:gridSpan w:val="2"/>
            <w:shd w:val="clear" w:color="auto" w:fill="D6E3C6"/>
          </w:tcPr>
          <w:p w14:paraId="602C6C58" w14:textId="066BAA17"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01F2127D" w14:textId="34809854"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Indicator 2</w:t>
            </w:r>
          </w:p>
        </w:tc>
        <w:tc>
          <w:tcPr>
            <w:tcW w:w="1418" w:type="dxa"/>
            <w:gridSpan w:val="2"/>
            <w:shd w:val="clear" w:color="auto" w:fill="D6E3C6"/>
          </w:tcPr>
          <w:p w14:paraId="664C28F7" w14:textId="231A1C9A" w:rsidR="0046499F" w:rsidRPr="004F3D4C" w:rsidRDefault="00C156EE"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725C78B2" w14:textId="10ADB5D3" w:rsidTr="00596EEA">
        <w:trPr>
          <w:trHeight w:val="309"/>
        </w:trPr>
        <w:tc>
          <w:tcPr>
            <w:tcW w:w="454" w:type="dxa"/>
            <w:shd w:val="clear" w:color="auto" w:fill="D6E3C6"/>
            <w:noWrap/>
          </w:tcPr>
          <w:p w14:paraId="1BA59255" w14:textId="05834056"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120</w:t>
            </w:r>
          </w:p>
        </w:tc>
        <w:tc>
          <w:tcPr>
            <w:tcW w:w="1215" w:type="dxa"/>
            <w:shd w:val="clear" w:color="auto" w:fill="D6E3C6"/>
            <w:noWrap/>
          </w:tcPr>
          <w:p w14:paraId="39EB8E96" w14:textId="1769B036"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C4.R10: Decarbonisation of the energy sector</w:t>
            </w:r>
          </w:p>
        </w:tc>
        <w:tc>
          <w:tcPr>
            <w:tcW w:w="956" w:type="dxa"/>
            <w:shd w:val="clear" w:color="auto" w:fill="D6E3C6"/>
            <w:noWrap/>
          </w:tcPr>
          <w:p w14:paraId="1CC9E3D1" w14:textId="4C99C66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08357BCE" w14:textId="425D65DD"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Reducing carbon dioxide emissions from the power sector (IV)</w:t>
            </w:r>
          </w:p>
        </w:tc>
        <w:tc>
          <w:tcPr>
            <w:tcW w:w="1322" w:type="dxa"/>
            <w:shd w:val="clear" w:color="auto" w:fill="D6E3C6"/>
            <w:noWrap/>
          </w:tcPr>
          <w:p w14:paraId="06DB4E21"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2650F59F" w14:textId="1419A036"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Tonnes of CO2</w:t>
            </w:r>
          </w:p>
        </w:tc>
        <w:tc>
          <w:tcPr>
            <w:tcW w:w="614" w:type="dxa"/>
            <w:shd w:val="clear" w:color="auto" w:fill="D6E3C6"/>
            <w:noWrap/>
          </w:tcPr>
          <w:p w14:paraId="0AEB9FFE" w14:textId="3623F1B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19 438 000</w:t>
            </w:r>
          </w:p>
        </w:tc>
        <w:tc>
          <w:tcPr>
            <w:tcW w:w="731" w:type="dxa"/>
            <w:shd w:val="clear" w:color="auto" w:fill="D6E3C6"/>
            <w:noWrap/>
          </w:tcPr>
          <w:p w14:paraId="0C6594D7" w14:textId="1BFBBE03"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10 983 000</w:t>
            </w:r>
          </w:p>
        </w:tc>
        <w:tc>
          <w:tcPr>
            <w:tcW w:w="756" w:type="dxa"/>
            <w:gridSpan w:val="2"/>
            <w:shd w:val="clear" w:color="auto" w:fill="D6E3C6"/>
            <w:noWrap/>
          </w:tcPr>
          <w:p w14:paraId="300BAD1C" w14:textId="23B54119"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4AFCDD11" w14:textId="7B8F24E9"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2026</w:t>
            </w:r>
          </w:p>
        </w:tc>
        <w:tc>
          <w:tcPr>
            <w:tcW w:w="872" w:type="dxa"/>
            <w:gridSpan w:val="2"/>
            <w:shd w:val="clear" w:color="auto" w:fill="D6E3C6"/>
          </w:tcPr>
          <w:p w14:paraId="61B9C378" w14:textId="6522D3F0"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Council of Ministers, Ministry of Energy, Ministry of Environment and Water</w:t>
            </w:r>
          </w:p>
        </w:tc>
        <w:tc>
          <w:tcPr>
            <w:tcW w:w="851" w:type="dxa"/>
            <w:gridSpan w:val="2"/>
            <w:shd w:val="clear" w:color="auto" w:fill="D6E3C6"/>
          </w:tcPr>
          <w:p w14:paraId="2E8CBAD2"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5CFB3706" w14:textId="3110FCD8" w:rsidR="0046499F" w:rsidRPr="00482044" w:rsidRDefault="0046499F" w:rsidP="0046499F">
            <w:pPr>
              <w:pStyle w:val="ListParagraph"/>
              <w:numPr>
                <w:ilvl w:val="0"/>
                <w:numId w:val="68"/>
              </w:numPr>
              <w:spacing w:after="0"/>
              <w:ind w:left="391" w:hanging="357"/>
              <w:rPr>
                <w:rFonts w:ascii="Arial" w:hAnsi="Arial" w:cs="Arial"/>
                <w:color w:val="006100"/>
                <w:sz w:val="16"/>
                <w:szCs w:val="16"/>
              </w:rPr>
            </w:pPr>
            <w:r>
              <w:rPr>
                <w:rFonts w:ascii="Arial" w:hAnsi="Arial" w:cs="Arial"/>
                <w:color w:val="006100"/>
                <w:sz w:val="16"/>
                <w:szCs w:val="16"/>
                <w:lang w:eastAsia="en-GB"/>
              </w:rPr>
              <w:t>L</w:t>
            </w:r>
            <w:r w:rsidRPr="004F3D4C">
              <w:rPr>
                <w:rFonts w:ascii="Arial" w:hAnsi="Arial" w:cs="Arial"/>
                <w:color w:val="006100"/>
                <w:sz w:val="16"/>
                <w:szCs w:val="16"/>
                <w:lang w:eastAsia="en-GB"/>
              </w:rPr>
              <w:t xml:space="preserve">ist of all coal- or lignite-fired power plants with all their verified carbon dioxide emissions for 2025 and for 2019 as </w:t>
            </w:r>
            <w:r w:rsidRPr="004F3D4C">
              <w:rPr>
                <w:rFonts w:ascii="Arial" w:hAnsi="Arial" w:cs="Arial"/>
                <w:color w:val="006100"/>
                <w:sz w:val="16"/>
                <w:szCs w:val="16"/>
              </w:rPr>
              <w:t>verified and recorded in the Union Emissions Registry (EU ETS)</w:t>
            </w:r>
          </w:p>
        </w:tc>
        <w:tc>
          <w:tcPr>
            <w:tcW w:w="3402" w:type="dxa"/>
            <w:shd w:val="clear" w:color="auto" w:fill="D6E3C6"/>
          </w:tcPr>
          <w:p w14:paraId="481184ED" w14:textId="77777777"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Council of Ministers, Ministry of Energy, Ministry of Environment and Water</w:t>
            </w:r>
          </w:p>
          <w:p w14:paraId="63256245" w14:textId="77777777" w:rsidR="0046499F" w:rsidRPr="009D2B2E" w:rsidRDefault="0046499F" w:rsidP="0046499F">
            <w:pPr>
              <w:spacing w:after="0"/>
              <w:rPr>
                <w:rFonts w:ascii="Arial" w:hAnsi="Arial" w:cs="Arial"/>
                <w:color w:val="006100"/>
                <w:sz w:val="16"/>
                <w:szCs w:val="16"/>
              </w:rPr>
            </w:pPr>
          </w:p>
          <w:p w14:paraId="2C37D9AB" w14:textId="6C612994"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What: </w:t>
            </w:r>
            <w:r w:rsidRPr="008B46FD">
              <w:rPr>
                <w:rFonts w:ascii="Arial" w:hAnsi="Arial" w:cs="Arial"/>
                <w:color w:val="006100"/>
                <w:sz w:val="16"/>
                <w:szCs w:val="16"/>
              </w:rPr>
              <w:t>Reducing carbon dioxide emissions from the power sector (IV)</w:t>
            </w:r>
          </w:p>
          <w:p w14:paraId="75A63E79" w14:textId="77777777" w:rsidR="0046499F" w:rsidRPr="009D2B2E" w:rsidRDefault="0046499F" w:rsidP="0046499F">
            <w:pPr>
              <w:spacing w:after="0"/>
              <w:rPr>
                <w:rFonts w:ascii="Arial" w:hAnsi="Arial" w:cs="Arial"/>
                <w:color w:val="006100"/>
                <w:sz w:val="16"/>
                <w:szCs w:val="16"/>
              </w:rPr>
            </w:pPr>
          </w:p>
          <w:p w14:paraId="05B7A17F" w14:textId="48E0C24D"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How: reporting (a)</w:t>
            </w:r>
          </w:p>
          <w:p w14:paraId="70BB2A39" w14:textId="77777777" w:rsidR="0046499F" w:rsidRPr="009D2B2E" w:rsidRDefault="0046499F" w:rsidP="0046499F">
            <w:pPr>
              <w:spacing w:after="0"/>
              <w:rPr>
                <w:rFonts w:ascii="Arial" w:hAnsi="Arial" w:cs="Arial"/>
                <w:color w:val="006100"/>
                <w:sz w:val="16"/>
                <w:szCs w:val="16"/>
              </w:rPr>
            </w:pPr>
          </w:p>
          <w:p w14:paraId="574FC989" w14:textId="416CC9D8"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Why:</w:t>
            </w:r>
            <w:r>
              <w:rPr>
                <w:rFonts w:ascii="Arial" w:hAnsi="Arial" w:cs="Arial"/>
                <w:color w:val="006100"/>
                <w:sz w:val="16"/>
                <w:szCs w:val="16"/>
              </w:rPr>
              <w:t xml:space="preserve"> </w:t>
            </w:r>
            <w:r w:rsidRPr="00482044">
              <w:rPr>
                <w:rFonts w:ascii="Arial" w:hAnsi="Arial" w:cs="Arial"/>
                <w:color w:val="006100"/>
                <w:sz w:val="16"/>
                <w:szCs w:val="16"/>
              </w:rPr>
              <w:t xml:space="preserve">The carbon dioxide emissions of all coal- or lignite-fired power plants shall have been reduced in 2025 by at least 8 455 000 tonnes compared to 2019 levels. The reduction shall be calculated by using the annual verified carbon dioxide emissions for electricity generation from coal and lignite as recorded in the Union Emissions Registry (EU ETS) operated by the European Commission. The reduction shall be measured by the difference between the sum of all verified carbon dioxide emissions from coal- or lignite-fired power sources for 2025 and the sum of all verified carbon dioxide emissions for electricity generation for 2019 from coal and lignite. </w:t>
            </w:r>
            <w:r w:rsidRPr="009D2B2E">
              <w:rPr>
                <w:rFonts w:ascii="Arial" w:hAnsi="Arial" w:cs="Arial"/>
                <w:color w:val="006100"/>
                <w:sz w:val="16"/>
                <w:szCs w:val="16"/>
              </w:rPr>
              <w:t>[provide references to the above in the summary document]</w:t>
            </w:r>
          </w:p>
          <w:p w14:paraId="2AF37E4A" w14:textId="77777777" w:rsidR="0046499F" w:rsidRPr="009D2B2E" w:rsidRDefault="0046499F" w:rsidP="0046499F">
            <w:pPr>
              <w:spacing w:after="0"/>
              <w:rPr>
                <w:rFonts w:ascii="Arial" w:hAnsi="Arial" w:cs="Arial"/>
                <w:color w:val="006100"/>
                <w:sz w:val="16"/>
                <w:szCs w:val="16"/>
              </w:rPr>
            </w:pPr>
          </w:p>
          <w:p w14:paraId="55208EE1" w14:textId="5426AE15" w:rsidR="0046499F" w:rsidRPr="004F3D4C"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When: reduction of carbon dioxide emissions between 2019 and </w:t>
            </w:r>
            <w:r w:rsidRPr="004A3F9B">
              <w:rPr>
                <w:rFonts w:ascii="Arial" w:hAnsi="Arial" w:cs="Arial"/>
                <w:color w:val="006100"/>
                <w:sz w:val="16"/>
                <w:szCs w:val="16"/>
              </w:rPr>
              <w:t>2025 (to be monitored annually)</w:t>
            </w:r>
          </w:p>
        </w:tc>
        <w:tc>
          <w:tcPr>
            <w:tcW w:w="2268" w:type="dxa"/>
            <w:shd w:val="clear" w:color="auto" w:fill="D6E3C6"/>
          </w:tcPr>
          <w:p w14:paraId="10A426B2" w14:textId="3DD9C207"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2BD1A9BD" w14:textId="64C19411"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90" w:type="dxa"/>
            <w:gridSpan w:val="2"/>
            <w:shd w:val="clear" w:color="auto" w:fill="D6E3C6"/>
          </w:tcPr>
          <w:p w14:paraId="513A1665" w14:textId="314DEDA9"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None</w:t>
            </w:r>
          </w:p>
        </w:tc>
        <w:tc>
          <w:tcPr>
            <w:tcW w:w="992" w:type="dxa"/>
            <w:gridSpan w:val="2"/>
            <w:shd w:val="clear" w:color="auto" w:fill="D6E3C6"/>
          </w:tcPr>
          <w:p w14:paraId="4AABA9EF" w14:textId="4762C989"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Indicator 2</w:t>
            </w:r>
          </w:p>
        </w:tc>
        <w:tc>
          <w:tcPr>
            <w:tcW w:w="1418" w:type="dxa"/>
            <w:gridSpan w:val="2"/>
            <w:shd w:val="clear" w:color="auto" w:fill="D6E3C6"/>
          </w:tcPr>
          <w:p w14:paraId="73250E08" w14:textId="3BC80BC6" w:rsidR="0046499F" w:rsidRPr="004F3D4C" w:rsidRDefault="00C156EE" w:rsidP="0046499F">
            <w:pPr>
              <w:spacing w:after="0"/>
              <w:rPr>
                <w:rFonts w:ascii="Arial" w:hAnsi="Arial" w:cs="Arial"/>
                <w:color w:val="006100"/>
                <w:sz w:val="16"/>
                <w:szCs w:val="16"/>
              </w:rPr>
            </w:pPr>
            <w:r>
              <w:rPr>
                <w:rFonts w:ascii="Arial" w:hAnsi="Arial" w:cs="Arial"/>
                <w:color w:val="006100"/>
                <w:sz w:val="16"/>
                <w:szCs w:val="16"/>
              </w:rPr>
              <w:t>-</w:t>
            </w:r>
          </w:p>
        </w:tc>
      </w:tr>
      <w:tr w:rsidR="0046499F" w:rsidRPr="004F3D4C" w14:paraId="2F02C83C" w14:textId="7CCBD545" w:rsidTr="00596EEA">
        <w:trPr>
          <w:trHeight w:val="309"/>
        </w:trPr>
        <w:tc>
          <w:tcPr>
            <w:tcW w:w="454" w:type="dxa"/>
            <w:shd w:val="clear" w:color="auto" w:fill="D6E3C6"/>
            <w:noWrap/>
          </w:tcPr>
          <w:p w14:paraId="608F452A" w14:textId="338E9DE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121</w:t>
            </w:r>
          </w:p>
        </w:tc>
        <w:tc>
          <w:tcPr>
            <w:tcW w:w="1215" w:type="dxa"/>
            <w:shd w:val="clear" w:color="auto" w:fill="D6E3C6"/>
            <w:noWrap/>
          </w:tcPr>
          <w:p w14:paraId="735D49E0" w14:textId="36F56B0E"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C4.R10: Decarbonisation of the energy sector</w:t>
            </w:r>
          </w:p>
        </w:tc>
        <w:tc>
          <w:tcPr>
            <w:tcW w:w="956" w:type="dxa"/>
            <w:shd w:val="clear" w:color="auto" w:fill="D6E3C6"/>
            <w:noWrap/>
          </w:tcPr>
          <w:p w14:paraId="5CE80C9C" w14:textId="0018B98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4D38AECA" w14:textId="4F912CEE"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Entry into force of decision by the Regulator imposing annual carbon emission limits for individual installations</w:t>
            </w:r>
          </w:p>
        </w:tc>
        <w:tc>
          <w:tcPr>
            <w:tcW w:w="1322" w:type="dxa"/>
            <w:shd w:val="clear" w:color="auto" w:fill="D6E3C6"/>
            <w:noWrap/>
          </w:tcPr>
          <w:p w14:paraId="1296475D" w14:textId="0F75809B"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Provision in the decision indicating the entry into force</w:t>
            </w:r>
          </w:p>
        </w:tc>
        <w:tc>
          <w:tcPr>
            <w:tcW w:w="709" w:type="dxa"/>
            <w:shd w:val="clear" w:color="auto" w:fill="D6E3C6"/>
            <w:noWrap/>
          </w:tcPr>
          <w:p w14:paraId="2A3C754E"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6C6D05DA"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2D867834"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1ABE2E0C" w14:textId="29D368C4"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0CF93CF5" w14:textId="2E66F25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2025</w:t>
            </w:r>
          </w:p>
        </w:tc>
        <w:tc>
          <w:tcPr>
            <w:tcW w:w="872" w:type="dxa"/>
            <w:gridSpan w:val="2"/>
            <w:shd w:val="clear" w:color="auto" w:fill="D6E3C6"/>
          </w:tcPr>
          <w:p w14:paraId="50A43821" w14:textId="6E525235"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Council of Ministers, Ministry of Energy, Ministry of Environment and Water</w:t>
            </w:r>
          </w:p>
        </w:tc>
        <w:tc>
          <w:tcPr>
            <w:tcW w:w="851" w:type="dxa"/>
            <w:gridSpan w:val="2"/>
            <w:shd w:val="clear" w:color="auto" w:fill="D6E3C6"/>
          </w:tcPr>
          <w:p w14:paraId="470A1B83" w14:textId="47C11B78"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The decision shall be addressed to all coal and lignite fired plants still in operation on 1 January 2025 and take effect on 1 January 2026.</w:t>
            </w:r>
          </w:p>
        </w:tc>
        <w:tc>
          <w:tcPr>
            <w:tcW w:w="1751" w:type="dxa"/>
            <w:gridSpan w:val="2"/>
            <w:shd w:val="clear" w:color="auto" w:fill="D6E3C6"/>
          </w:tcPr>
          <w:p w14:paraId="0A0528BF" w14:textId="77777777" w:rsidR="0046499F" w:rsidRPr="00915E26" w:rsidRDefault="0046499F" w:rsidP="0046499F">
            <w:pPr>
              <w:pStyle w:val="ListParagraph"/>
              <w:numPr>
                <w:ilvl w:val="0"/>
                <w:numId w:val="69"/>
              </w:numPr>
              <w:spacing w:after="0"/>
              <w:ind w:left="391" w:hanging="357"/>
              <w:rPr>
                <w:rFonts w:ascii="Arial" w:hAnsi="Arial" w:cs="Arial"/>
                <w:color w:val="006100"/>
                <w:sz w:val="16"/>
                <w:szCs w:val="16"/>
              </w:rPr>
            </w:pPr>
            <w:r w:rsidRPr="004F3D4C">
              <w:rPr>
                <w:rFonts w:ascii="Arial" w:hAnsi="Arial" w:cs="Arial"/>
                <w:color w:val="006100"/>
                <w:sz w:val="16"/>
                <w:szCs w:val="16"/>
                <w:lang w:eastAsia="en-GB"/>
              </w:rPr>
              <w:t xml:space="preserve">Copy of the </w:t>
            </w:r>
            <w:r w:rsidRPr="004F3D4C">
              <w:rPr>
                <w:rFonts w:ascii="Arial" w:hAnsi="Arial" w:cs="Arial"/>
                <w:color w:val="006100"/>
                <w:sz w:val="16"/>
                <w:szCs w:val="16"/>
                <w:lang w:val="en-US" w:eastAsia="en-GB"/>
              </w:rPr>
              <w:t>decision</w:t>
            </w:r>
          </w:p>
          <w:p w14:paraId="571C6F40" w14:textId="6D06E1B8" w:rsidR="0046499F" w:rsidRPr="008A7411" w:rsidRDefault="0046499F" w:rsidP="0046499F">
            <w:pPr>
              <w:pStyle w:val="ListParagraph"/>
              <w:numPr>
                <w:ilvl w:val="0"/>
                <w:numId w:val="69"/>
              </w:numPr>
              <w:spacing w:after="0"/>
              <w:ind w:left="391" w:hanging="357"/>
              <w:rPr>
                <w:rFonts w:ascii="Arial" w:hAnsi="Arial" w:cs="Arial"/>
                <w:color w:val="006100"/>
                <w:sz w:val="16"/>
                <w:szCs w:val="16"/>
              </w:rPr>
            </w:pPr>
            <w:r>
              <w:rPr>
                <w:rFonts w:ascii="Arial" w:hAnsi="Arial" w:cs="Arial"/>
                <w:color w:val="006100"/>
                <w:sz w:val="16"/>
                <w:szCs w:val="16"/>
                <w:lang w:eastAsia="en-GB"/>
              </w:rPr>
              <w:t>R</w:t>
            </w:r>
            <w:r w:rsidRPr="004F3D4C">
              <w:rPr>
                <w:rFonts w:ascii="Arial" w:hAnsi="Arial" w:cs="Arial"/>
                <w:color w:val="006100"/>
                <w:sz w:val="16"/>
                <w:szCs w:val="16"/>
                <w:lang w:eastAsia="en-GB"/>
              </w:rPr>
              <w:t xml:space="preserve">eference to the relevant provision(s) indicating the entry into force and to the provisions which fulfil the relevant elements of the milestone, as listed in the description of the milestone and of the corresponding measure in the </w:t>
            </w:r>
            <w:r w:rsidRPr="004F3D4C">
              <w:rPr>
                <w:rFonts w:ascii="Arial" w:hAnsi="Arial" w:cs="Arial"/>
                <w:color w:val="006100"/>
                <w:sz w:val="16"/>
                <w:szCs w:val="16"/>
                <w:lang w:eastAsia="en-GB"/>
              </w:rPr>
              <w:lastRenderedPageBreak/>
              <w:t>CID annex, with appropriate links to or copies of the document(s) mentioned in the summary document</w:t>
            </w:r>
          </w:p>
        </w:tc>
        <w:tc>
          <w:tcPr>
            <w:tcW w:w="3402" w:type="dxa"/>
            <w:shd w:val="clear" w:color="auto" w:fill="D6E3C6"/>
          </w:tcPr>
          <w:p w14:paraId="4CCC6C14" w14:textId="0139D3D2"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Council of Ministers, Ministry of Energy, Ministry of Environment and Water</w:t>
            </w:r>
          </w:p>
          <w:p w14:paraId="595B1793" w14:textId="77777777" w:rsidR="0046499F" w:rsidRPr="009D2B2E" w:rsidRDefault="0046499F" w:rsidP="0046499F">
            <w:pPr>
              <w:spacing w:after="0"/>
              <w:rPr>
                <w:rFonts w:ascii="Arial" w:hAnsi="Arial" w:cs="Arial"/>
                <w:color w:val="006100"/>
                <w:sz w:val="16"/>
                <w:szCs w:val="16"/>
              </w:rPr>
            </w:pPr>
          </w:p>
          <w:p w14:paraId="16A45A37" w14:textId="79CAC8E3"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What: </w:t>
            </w:r>
            <w:r w:rsidRPr="00915E26">
              <w:rPr>
                <w:rFonts w:ascii="Arial" w:hAnsi="Arial" w:cs="Arial"/>
                <w:color w:val="006100"/>
                <w:sz w:val="16"/>
                <w:szCs w:val="16"/>
              </w:rPr>
              <w:t>Entry into force of decision by the Regulator imposing annual carbon emission limits for individual installations</w:t>
            </w:r>
          </w:p>
          <w:p w14:paraId="3A25B477" w14:textId="77777777" w:rsidR="0046499F" w:rsidRPr="009D2B2E" w:rsidRDefault="0046499F" w:rsidP="0046499F">
            <w:pPr>
              <w:spacing w:after="0"/>
              <w:rPr>
                <w:rFonts w:ascii="Arial" w:hAnsi="Arial" w:cs="Arial"/>
                <w:color w:val="006100"/>
                <w:sz w:val="16"/>
                <w:szCs w:val="16"/>
              </w:rPr>
            </w:pPr>
          </w:p>
          <w:p w14:paraId="538913D1" w14:textId="1D81D723"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How: </w:t>
            </w:r>
            <w:r>
              <w:rPr>
                <w:rFonts w:ascii="Arial" w:hAnsi="Arial" w:cs="Arial"/>
                <w:color w:val="006100"/>
                <w:sz w:val="16"/>
                <w:szCs w:val="16"/>
              </w:rPr>
              <w:t>entry into force (evidence</w:t>
            </w:r>
            <w:r w:rsidR="00C156EE">
              <w:rPr>
                <w:rFonts w:ascii="Arial" w:hAnsi="Arial" w:cs="Arial"/>
                <w:color w:val="006100"/>
                <w:sz w:val="16"/>
                <w:szCs w:val="16"/>
              </w:rPr>
              <w:t>d</w:t>
            </w:r>
            <w:r>
              <w:rPr>
                <w:rFonts w:ascii="Arial" w:hAnsi="Arial" w:cs="Arial"/>
                <w:color w:val="006100"/>
                <w:sz w:val="16"/>
                <w:szCs w:val="16"/>
              </w:rPr>
              <w:t xml:space="preserve"> by a), reporting (b)</w:t>
            </w:r>
          </w:p>
          <w:p w14:paraId="4CCA29EB" w14:textId="77777777" w:rsidR="0046499F" w:rsidRPr="009D2B2E" w:rsidRDefault="0046499F" w:rsidP="0046499F">
            <w:pPr>
              <w:spacing w:after="0"/>
              <w:rPr>
                <w:rFonts w:ascii="Arial" w:hAnsi="Arial" w:cs="Arial"/>
                <w:color w:val="006100"/>
                <w:sz w:val="16"/>
                <w:szCs w:val="16"/>
              </w:rPr>
            </w:pPr>
          </w:p>
          <w:p w14:paraId="02B6F2EB" w14:textId="64474DFB"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Why:</w:t>
            </w:r>
            <w:r>
              <w:rPr>
                <w:rFonts w:ascii="Arial" w:hAnsi="Arial" w:cs="Arial"/>
                <w:color w:val="006100"/>
                <w:sz w:val="16"/>
                <w:szCs w:val="16"/>
              </w:rPr>
              <w:t xml:space="preserve"> </w:t>
            </w:r>
            <w:r w:rsidRPr="00915E26">
              <w:rPr>
                <w:rFonts w:ascii="Arial" w:hAnsi="Arial" w:cs="Arial"/>
                <w:color w:val="006100"/>
                <w:sz w:val="16"/>
                <w:szCs w:val="16"/>
              </w:rPr>
              <w:t>The Regulator shall calculate the Emissions Cap level for coal and lignite fired power plants still in operation and notify the operators.</w:t>
            </w:r>
            <w:r>
              <w:rPr>
                <w:rFonts w:ascii="Arial" w:hAnsi="Arial" w:cs="Arial"/>
                <w:color w:val="006100"/>
                <w:sz w:val="16"/>
                <w:szCs w:val="16"/>
              </w:rPr>
              <w:t xml:space="preserve"> </w:t>
            </w:r>
            <w:r w:rsidRPr="009D2B2E">
              <w:rPr>
                <w:rFonts w:ascii="Arial" w:hAnsi="Arial" w:cs="Arial"/>
                <w:color w:val="006100"/>
                <w:sz w:val="16"/>
                <w:szCs w:val="16"/>
              </w:rPr>
              <w:t>[provide references to the above in the summary document]</w:t>
            </w:r>
          </w:p>
          <w:p w14:paraId="3F91CCFB" w14:textId="77777777" w:rsidR="0046499F" w:rsidRPr="009D2B2E" w:rsidRDefault="0046499F" w:rsidP="0046499F">
            <w:pPr>
              <w:spacing w:after="0"/>
              <w:rPr>
                <w:rFonts w:ascii="Arial" w:hAnsi="Arial" w:cs="Arial"/>
                <w:color w:val="006100"/>
                <w:sz w:val="16"/>
                <w:szCs w:val="16"/>
              </w:rPr>
            </w:pPr>
          </w:p>
          <w:p w14:paraId="73C5A0A9" w14:textId="379E0FBB" w:rsidR="0046499F" w:rsidRPr="004F3D4C" w:rsidRDefault="0046499F" w:rsidP="0046499F">
            <w:pPr>
              <w:spacing w:after="0"/>
              <w:rPr>
                <w:rFonts w:ascii="Arial" w:hAnsi="Arial" w:cs="Arial"/>
                <w:color w:val="006100"/>
                <w:sz w:val="16"/>
                <w:szCs w:val="16"/>
              </w:rPr>
            </w:pPr>
            <w:r w:rsidRPr="009D2B2E">
              <w:rPr>
                <w:rFonts w:ascii="Arial" w:hAnsi="Arial" w:cs="Arial"/>
                <w:color w:val="006100"/>
                <w:sz w:val="16"/>
                <w:szCs w:val="16"/>
              </w:rPr>
              <w:lastRenderedPageBreak/>
              <w:t xml:space="preserve">When: </w:t>
            </w:r>
            <w:r>
              <w:rPr>
                <w:rFonts w:ascii="Arial" w:hAnsi="Arial" w:cs="Arial"/>
                <w:color w:val="006100"/>
                <w:sz w:val="16"/>
                <w:szCs w:val="16"/>
              </w:rPr>
              <w:t>specify the dates of development and entry into force</w:t>
            </w:r>
          </w:p>
        </w:tc>
        <w:tc>
          <w:tcPr>
            <w:tcW w:w="2268" w:type="dxa"/>
            <w:shd w:val="clear" w:color="auto" w:fill="D6E3C6"/>
          </w:tcPr>
          <w:p w14:paraId="22C06550" w14:textId="606DBEF9"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36" w:type="dxa"/>
            <w:gridSpan w:val="2"/>
            <w:shd w:val="clear" w:color="auto" w:fill="D6E3C6"/>
          </w:tcPr>
          <w:p w14:paraId="13D7751D" w14:textId="6FA25632"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090" w:type="dxa"/>
            <w:gridSpan w:val="2"/>
            <w:shd w:val="clear" w:color="auto" w:fill="D6E3C6"/>
          </w:tcPr>
          <w:p w14:paraId="0ABA25F0" w14:textId="7BA8BFEA"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4EF2EBC3" w14:textId="6D44493F"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32C1B233" w14:textId="68ACA3BE" w:rsidR="0046499F" w:rsidRPr="004F3D4C" w:rsidRDefault="00BC6EA5" w:rsidP="0046499F">
            <w:pPr>
              <w:spacing w:after="0"/>
              <w:rPr>
                <w:rFonts w:ascii="Arial" w:hAnsi="Arial" w:cs="Arial"/>
                <w:color w:val="006100"/>
                <w:sz w:val="16"/>
                <w:szCs w:val="16"/>
              </w:rPr>
            </w:pPr>
            <w:r>
              <w:rPr>
                <w:rFonts w:ascii="Arial" w:hAnsi="Arial" w:cs="Arial"/>
                <w:color w:val="006100"/>
                <w:sz w:val="16"/>
                <w:szCs w:val="16"/>
              </w:rPr>
              <w:t xml:space="preserve">A monitoring step: </w:t>
            </w:r>
            <w:r w:rsidRPr="00B36A06">
              <w:rPr>
                <w:rFonts w:ascii="Arial" w:hAnsi="Arial" w:cs="Arial"/>
                <w:color w:val="006100"/>
                <w:sz w:val="16"/>
                <w:szCs w:val="16"/>
              </w:rPr>
              <w:t>Preliminary consultation of the European Commission</w:t>
            </w:r>
            <w:r>
              <w:rPr>
                <w:rFonts w:ascii="Arial" w:hAnsi="Arial" w:cs="Arial"/>
                <w:color w:val="006100"/>
                <w:sz w:val="16"/>
                <w:szCs w:val="16"/>
              </w:rPr>
              <w:t xml:space="preserve"> (Q1 2025)</w:t>
            </w:r>
          </w:p>
        </w:tc>
      </w:tr>
      <w:tr w:rsidR="0046499F" w:rsidRPr="004F3D4C" w14:paraId="6202FD93" w14:textId="1A32304F" w:rsidTr="00596EEA">
        <w:trPr>
          <w:trHeight w:val="309"/>
        </w:trPr>
        <w:tc>
          <w:tcPr>
            <w:tcW w:w="454" w:type="dxa"/>
            <w:shd w:val="clear" w:color="auto" w:fill="D6E3C6"/>
            <w:noWrap/>
          </w:tcPr>
          <w:p w14:paraId="18C878D2" w14:textId="29E24BC7"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122</w:t>
            </w:r>
          </w:p>
        </w:tc>
        <w:tc>
          <w:tcPr>
            <w:tcW w:w="1215" w:type="dxa"/>
            <w:shd w:val="clear" w:color="auto" w:fill="D6E3C6"/>
            <w:noWrap/>
          </w:tcPr>
          <w:p w14:paraId="5DCFCDA7" w14:textId="10A47113"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C4.I8: National infrastructure for storage of electricity from RES (RESTORE)</w:t>
            </w:r>
          </w:p>
        </w:tc>
        <w:tc>
          <w:tcPr>
            <w:tcW w:w="956" w:type="dxa"/>
            <w:shd w:val="clear" w:color="auto" w:fill="D6E3C6"/>
            <w:noWrap/>
          </w:tcPr>
          <w:p w14:paraId="081176CF" w14:textId="0F92B15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Milestone</w:t>
            </w:r>
          </w:p>
        </w:tc>
        <w:tc>
          <w:tcPr>
            <w:tcW w:w="1691" w:type="dxa"/>
            <w:shd w:val="clear" w:color="auto" w:fill="D6E3C6"/>
            <w:noWrap/>
          </w:tcPr>
          <w:p w14:paraId="21078F56" w14:textId="09AAC688"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Signature of contract(s) for delivery, installation, connection and commissioning of grid-scale battery storage facilities with an energy capacity of at least 6000 MWh).</w:t>
            </w:r>
          </w:p>
        </w:tc>
        <w:tc>
          <w:tcPr>
            <w:tcW w:w="1322" w:type="dxa"/>
            <w:shd w:val="clear" w:color="auto" w:fill="D6E3C6"/>
            <w:noWrap/>
          </w:tcPr>
          <w:p w14:paraId="3A128932" w14:textId="778EF40B"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Signature of contracts</w:t>
            </w:r>
          </w:p>
        </w:tc>
        <w:tc>
          <w:tcPr>
            <w:tcW w:w="709" w:type="dxa"/>
            <w:shd w:val="clear" w:color="auto" w:fill="D6E3C6"/>
            <w:noWrap/>
          </w:tcPr>
          <w:p w14:paraId="74260A6B"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726AA11B"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31" w:type="dxa"/>
            <w:shd w:val="clear" w:color="auto" w:fill="D6E3C6"/>
            <w:noWrap/>
          </w:tcPr>
          <w:p w14:paraId="7FB37AEC" w14:textId="77777777" w:rsidR="0046499F" w:rsidRPr="004F3D4C" w:rsidRDefault="0046499F" w:rsidP="0046499F">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237FA227" w14:textId="4235436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Q2</w:t>
            </w:r>
          </w:p>
        </w:tc>
        <w:tc>
          <w:tcPr>
            <w:tcW w:w="520" w:type="dxa"/>
            <w:shd w:val="clear" w:color="auto" w:fill="D6E3C6"/>
            <w:noWrap/>
          </w:tcPr>
          <w:p w14:paraId="727C73BA" w14:textId="1066C3F9"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2023</w:t>
            </w:r>
          </w:p>
        </w:tc>
        <w:tc>
          <w:tcPr>
            <w:tcW w:w="872" w:type="dxa"/>
            <w:gridSpan w:val="2"/>
            <w:shd w:val="clear" w:color="auto" w:fill="D6E3C6"/>
          </w:tcPr>
          <w:p w14:paraId="2B70A44D" w14:textId="092A8676"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1B5BF006"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77C52882" w14:textId="77777777" w:rsidR="0046499F" w:rsidRDefault="0046499F" w:rsidP="0046499F">
            <w:pPr>
              <w:pStyle w:val="ListParagraph"/>
              <w:numPr>
                <w:ilvl w:val="0"/>
                <w:numId w:val="70"/>
              </w:numPr>
              <w:spacing w:after="0"/>
              <w:rPr>
                <w:rFonts w:ascii="Arial" w:hAnsi="Arial" w:cs="Arial"/>
                <w:color w:val="006100"/>
                <w:sz w:val="16"/>
                <w:szCs w:val="16"/>
              </w:rPr>
            </w:pPr>
            <w:r w:rsidRPr="004F3D4C">
              <w:rPr>
                <w:rFonts w:ascii="Arial" w:hAnsi="Arial" w:cs="Arial"/>
                <w:color w:val="006100"/>
                <w:sz w:val="16"/>
                <w:szCs w:val="16"/>
                <w:lang w:eastAsia="en-GB"/>
              </w:rPr>
              <w:t>Copy of contract(s) for delivery of grid-scale battery storage facilities</w:t>
            </w:r>
            <w:r w:rsidRPr="004F3D4C">
              <w:rPr>
                <w:rFonts w:ascii="Arial" w:hAnsi="Arial" w:cs="Arial"/>
                <w:color w:val="006100"/>
                <w:sz w:val="16"/>
                <w:szCs w:val="16"/>
              </w:rPr>
              <w:t xml:space="preserve"> </w:t>
            </w:r>
            <w:r w:rsidRPr="004F3D4C">
              <w:rPr>
                <w:rFonts w:ascii="Arial" w:hAnsi="Arial" w:cs="Arial"/>
                <w:color w:val="006100"/>
                <w:sz w:val="16"/>
                <w:szCs w:val="16"/>
                <w:lang w:eastAsia="en-GB"/>
              </w:rPr>
              <w:t>with an energy capacity of at least 6000 MWh</w:t>
            </w:r>
          </w:p>
          <w:p w14:paraId="4C04A199" w14:textId="32F0B09E" w:rsidR="0046499F" w:rsidRPr="00E112AB" w:rsidRDefault="0046499F" w:rsidP="0046499F">
            <w:pPr>
              <w:pStyle w:val="ListParagraph"/>
              <w:numPr>
                <w:ilvl w:val="0"/>
                <w:numId w:val="70"/>
              </w:numPr>
              <w:spacing w:after="0"/>
              <w:rPr>
                <w:rFonts w:ascii="Arial" w:hAnsi="Arial" w:cs="Arial"/>
                <w:color w:val="006100"/>
                <w:sz w:val="16"/>
                <w:szCs w:val="16"/>
              </w:rPr>
            </w:pPr>
            <w:r>
              <w:rPr>
                <w:rFonts w:ascii="Arial" w:hAnsi="Arial" w:cs="Arial"/>
                <w:color w:val="006100"/>
                <w:sz w:val="16"/>
                <w:szCs w:val="16"/>
                <w:lang w:eastAsia="en-GB"/>
              </w:rPr>
              <w:t>E</w:t>
            </w:r>
            <w:r w:rsidRPr="004F3D4C">
              <w:rPr>
                <w:rFonts w:ascii="Arial" w:hAnsi="Arial" w:cs="Arial"/>
                <w:color w:val="006100"/>
                <w:sz w:val="16"/>
                <w:szCs w:val="16"/>
                <w:lang w:eastAsia="en-GB"/>
              </w:rPr>
              <w:t xml:space="preserve">xtract of the official documents/copy of the tender documentation containing evidence that the selection criteria/technical specifications ensured: (i) </w:t>
            </w:r>
            <w:r w:rsidRPr="004F3D4C">
              <w:rPr>
                <w:rFonts w:ascii="Arial" w:hAnsi="Arial" w:cs="Arial"/>
                <w:color w:val="006100"/>
                <w:sz w:val="16"/>
                <w:szCs w:val="16"/>
              </w:rPr>
              <w:t xml:space="preserve">a competitive bidding process, which was open, non-discriminatory and provide for the participation of all interested undertakings; (ii) </w:t>
            </w:r>
            <w:r w:rsidRPr="004F3D4C">
              <w:rPr>
                <w:rFonts w:ascii="Arial" w:hAnsi="Arial" w:cs="Arial"/>
                <w:color w:val="006100"/>
                <w:sz w:val="16"/>
                <w:szCs w:val="16"/>
                <w:lang w:eastAsia="en-GB"/>
              </w:rPr>
              <w:t>compliance with the ‘Do no significant harm’ Technical Guidance (2021/C58/01), as specified in the CID annex.</w:t>
            </w:r>
          </w:p>
        </w:tc>
        <w:tc>
          <w:tcPr>
            <w:tcW w:w="3402" w:type="dxa"/>
            <w:shd w:val="clear" w:color="auto" w:fill="D6E3C6"/>
          </w:tcPr>
          <w:p w14:paraId="40D7ADE7" w14:textId="534A2D4A"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2D375A0D" w14:textId="77777777" w:rsidR="0046499F" w:rsidRPr="009D2B2E" w:rsidRDefault="0046499F" w:rsidP="0046499F">
            <w:pPr>
              <w:spacing w:after="0"/>
              <w:rPr>
                <w:rFonts w:ascii="Arial" w:hAnsi="Arial" w:cs="Arial"/>
                <w:color w:val="006100"/>
                <w:sz w:val="16"/>
                <w:szCs w:val="16"/>
              </w:rPr>
            </w:pPr>
          </w:p>
          <w:p w14:paraId="3F86641D" w14:textId="008E9B40"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What: </w:t>
            </w:r>
            <w:r w:rsidRPr="00E112AB">
              <w:rPr>
                <w:rFonts w:ascii="Arial" w:hAnsi="Arial" w:cs="Arial"/>
                <w:color w:val="006100"/>
                <w:sz w:val="16"/>
                <w:szCs w:val="16"/>
              </w:rPr>
              <w:t>Signature of contract(s) for delivery, installation, connection and commissioning of grid-scale battery storage facilities with an energy capacity of at least 6000 MWh).</w:t>
            </w:r>
          </w:p>
          <w:p w14:paraId="21BB79A3" w14:textId="77777777" w:rsidR="0046499F" w:rsidRPr="009D2B2E" w:rsidRDefault="0046499F" w:rsidP="0046499F">
            <w:pPr>
              <w:spacing w:after="0"/>
              <w:rPr>
                <w:rFonts w:ascii="Arial" w:hAnsi="Arial" w:cs="Arial"/>
                <w:color w:val="006100"/>
                <w:sz w:val="16"/>
                <w:szCs w:val="16"/>
              </w:rPr>
            </w:pPr>
          </w:p>
          <w:p w14:paraId="30363889" w14:textId="0248F68B"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How: </w:t>
            </w:r>
            <w:r>
              <w:rPr>
                <w:rFonts w:ascii="Arial" w:hAnsi="Arial" w:cs="Arial"/>
                <w:color w:val="006100"/>
                <w:sz w:val="16"/>
                <w:szCs w:val="16"/>
              </w:rPr>
              <w:t>contracting (a, b)</w:t>
            </w:r>
          </w:p>
          <w:p w14:paraId="2B239CD6" w14:textId="77777777" w:rsidR="0046499F" w:rsidRPr="009D2B2E" w:rsidRDefault="0046499F" w:rsidP="0046499F">
            <w:pPr>
              <w:spacing w:after="0"/>
              <w:rPr>
                <w:rFonts w:ascii="Arial" w:hAnsi="Arial" w:cs="Arial"/>
                <w:color w:val="006100"/>
                <w:sz w:val="16"/>
                <w:szCs w:val="16"/>
              </w:rPr>
            </w:pPr>
          </w:p>
          <w:p w14:paraId="10449902" w14:textId="26A77997"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Why:</w:t>
            </w:r>
            <w:r>
              <w:rPr>
                <w:rFonts w:ascii="Arial" w:hAnsi="Arial" w:cs="Arial"/>
                <w:color w:val="006100"/>
                <w:sz w:val="16"/>
                <w:szCs w:val="16"/>
              </w:rPr>
              <w:t xml:space="preserve"> </w:t>
            </w:r>
            <w:r w:rsidRPr="00E112AB">
              <w:rPr>
                <w:rFonts w:ascii="Arial" w:hAnsi="Arial" w:cs="Arial"/>
                <w:color w:val="006100"/>
                <w:sz w:val="16"/>
                <w:szCs w:val="16"/>
              </w:rPr>
              <w:t>Signature of contracts for the development of grid-scale battery storage systems of at least 6000MWh of energy capacity following a competitive bidding process. Such a bidding process shall be open, non-discriminatory and provide for the participation of all interested undertakings. The selection criteria shall ensure compliance with the “do no significant harm” Technical Guidance (2021/C58/01)</w:t>
            </w:r>
            <w:r>
              <w:rPr>
                <w:rFonts w:ascii="Arial" w:hAnsi="Arial" w:cs="Arial"/>
                <w:color w:val="006100"/>
                <w:sz w:val="16"/>
                <w:szCs w:val="16"/>
              </w:rPr>
              <w:t xml:space="preserve"> [</w:t>
            </w:r>
            <w:r w:rsidRPr="009D2B2E">
              <w:rPr>
                <w:rFonts w:ascii="Arial" w:hAnsi="Arial" w:cs="Arial"/>
                <w:color w:val="006100"/>
                <w:sz w:val="16"/>
                <w:szCs w:val="16"/>
              </w:rPr>
              <w:t>provide references to the above in the summary document]</w:t>
            </w:r>
          </w:p>
          <w:p w14:paraId="32AE9E58" w14:textId="77777777" w:rsidR="0046499F" w:rsidRPr="009D2B2E" w:rsidRDefault="0046499F" w:rsidP="0046499F">
            <w:pPr>
              <w:spacing w:after="0"/>
              <w:rPr>
                <w:rFonts w:ascii="Arial" w:hAnsi="Arial" w:cs="Arial"/>
                <w:color w:val="006100"/>
                <w:sz w:val="16"/>
                <w:szCs w:val="16"/>
              </w:rPr>
            </w:pPr>
          </w:p>
          <w:p w14:paraId="6C78A1E4" w14:textId="285B8400" w:rsidR="0046499F" w:rsidRPr="004F3D4C"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When: </w:t>
            </w:r>
            <w:r w:rsidRPr="00765960">
              <w:rPr>
                <w:rFonts w:ascii="Arial" w:hAnsi="Arial" w:cs="Arial"/>
                <w:color w:val="006100"/>
                <w:sz w:val="16"/>
                <w:szCs w:val="16"/>
              </w:rPr>
              <w:t>specify the dates of selection, award, and contracting</w:t>
            </w:r>
          </w:p>
        </w:tc>
        <w:tc>
          <w:tcPr>
            <w:tcW w:w="2268" w:type="dxa"/>
            <w:shd w:val="clear" w:color="auto" w:fill="D6E3C6"/>
          </w:tcPr>
          <w:p w14:paraId="783BC1CE" w14:textId="77777777" w:rsidR="0046499F" w:rsidRPr="00E112AB" w:rsidRDefault="0046499F" w:rsidP="0046499F">
            <w:pPr>
              <w:spacing w:after="0"/>
              <w:rPr>
                <w:rFonts w:ascii="Arial" w:hAnsi="Arial" w:cs="Arial"/>
                <w:color w:val="006100"/>
                <w:sz w:val="16"/>
                <w:szCs w:val="16"/>
              </w:rPr>
            </w:pPr>
            <w:r w:rsidRPr="00E112AB">
              <w:rPr>
                <w:rFonts w:ascii="Arial" w:hAnsi="Arial" w:cs="Arial"/>
                <w:color w:val="006100"/>
                <w:sz w:val="16"/>
                <w:szCs w:val="16"/>
              </w:rPr>
              <w:t xml:space="preserve">The objective of the investment is to enable a significant increase the share of renewable energy (wind and solar) in the energy mix and ensure the security, stability and readiness of the Bulgarian electricity system.  </w:t>
            </w:r>
          </w:p>
          <w:p w14:paraId="2786EB2E" w14:textId="77777777" w:rsidR="0046499F" w:rsidRPr="00E112AB" w:rsidRDefault="0046499F" w:rsidP="0046499F">
            <w:pPr>
              <w:spacing w:after="0"/>
              <w:rPr>
                <w:rFonts w:ascii="Arial" w:hAnsi="Arial" w:cs="Arial"/>
                <w:color w:val="006100"/>
                <w:sz w:val="16"/>
                <w:szCs w:val="16"/>
              </w:rPr>
            </w:pPr>
          </w:p>
          <w:p w14:paraId="101592F3" w14:textId="7DF91A8D" w:rsidR="0046499F" w:rsidRPr="004F3D4C" w:rsidRDefault="0046499F" w:rsidP="0046499F">
            <w:pPr>
              <w:spacing w:after="0"/>
              <w:rPr>
                <w:rFonts w:ascii="Arial" w:hAnsi="Arial" w:cs="Arial"/>
                <w:color w:val="006100"/>
                <w:sz w:val="16"/>
                <w:szCs w:val="16"/>
              </w:rPr>
            </w:pPr>
            <w:r w:rsidRPr="00E112AB">
              <w:rPr>
                <w:rFonts w:ascii="Arial" w:hAnsi="Arial" w:cs="Arial"/>
                <w:color w:val="006100"/>
                <w:sz w:val="16"/>
                <w:szCs w:val="16"/>
              </w:rPr>
              <w:t>The investment shall consist of support to install and commission a national infrastructure of grid-scale electricity storage facilities with 6000 MWh of usable energy capacity. The facilities (consisting of batteries, inverters, transformers, power electronics/intelligent electronic devices and control automation) will be distributed around the territory of Bulgaria and located near renewable generating capacity. The implementation shall be carried out through open and competitive bidding processes on the basis of clear, transparent and non-discriminatory criteria.  It will also contribute to the implementation of smart grids, ensuring a high degree of balancing and congestion management of the grids, which is necessary to integrate electricity generated from renewable energy.</w:t>
            </w:r>
          </w:p>
        </w:tc>
        <w:tc>
          <w:tcPr>
            <w:tcW w:w="1036" w:type="dxa"/>
            <w:gridSpan w:val="2"/>
            <w:shd w:val="clear" w:color="auto" w:fill="D6E3C6"/>
          </w:tcPr>
          <w:p w14:paraId="0792516B" w14:textId="2D4133F1"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Delays in the launching of the procedures</w:t>
            </w:r>
          </w:p>
        </w:tc>
        <w:tc>
          <w:tcPr>
            <w:tcW w:w="1090" w:type="dxa"/>
            <w:gridSpan w:val="2"/>
            <w:shd w:val="clear" w:color="auto" w:fill="D6E3C6"/>
          </w:tcPr>
          <w:p w14:paraId="66A12797" w14:textId="7288DCFA" w:rsidR="0046499F" w:rsidRPr="004F3D4C" w:rsidRDefault="0046499F" w:rsidP="0046499F">
            <w:pPr>
              <w:spacing w:after="0"/>
              <w:rPr>
                <w:rFonts w:ascii="Arial" w:hAnsi="Arial" w:cs="Arial"/>
                <w:color w:val="006100"/>
                <w:sz w:val="16"/>
                <w:szCs w:val="16"/>
              </w:rPr>
            </w:pPr>
            <w:r w:rsidRPr="004F3D4C">
              <w:rPr>
                <w:rFonts w:ascii="Arial" w:hAnsi="Arial" w:cs="Arial"/>
                <w:color w:val="006100"/>
                <w:sz w:val="16"/>
                <w:szCs w:val="16"/>
              </w:rPr>
              <w:t>None</w:t>
            </w:r>
          </w:p>
        </w:tc>
        <w:tc>
          <w:tcPr>
            <w:tcW w:w="992" w:type="dxa"/>
            <w:gridSpan w:val="2"/>
            <w:shd w:val="clear" w:color="auto" w:fill="D6E3C6"/>
          </w:tcPr>
          <w:p w14:paraId="03895D97" w14:textId="7F617017"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w:t>
            </w:r>
          </w:p>
        </w:tc>
        <w:tc>
          <w:tcPr>
            <w:tcW w:w="1418" w:type="dxa"/>
            <w:gridSpan w:val="2"/>
            <w:shd w:val="clear" w:color="auto" w:fill="D6E3C6"/>
          </w:tcPr>
          <w:p w14:paraId="1273FD8D" w14:textId="3DC6272A" w:rsidR="0046499F" w:rsidRPr="004F3D4C" w:rsidRDefault="00332A1A" w:rsidP="0046499F">
            <w:pPr>
              <w:spacing w:after="0"/>
              <w:rPr>
                <w:rFonts w:ascii="Arial" w:hAnsi="Arial" w:cs="Arial"/>
                <w:color w:val="006100"/>
                <w:sz w:val="16"/>
                <w:szCs w:val="16"/>
              </w:rPr>
            </w:pPr>
            <w:r>
              <w:rPr>
                <w:rFonts w:ascii="Arial" w:hAnsi="Arial" w:cs="Arial"/>
                <w:color w:val="006100"/>
                <w:sz w:val="16"/>
                <w:szCs w:val="16"/>
              </w:rPr>
              <w:t xml:space="preserve">A monitoring step: </w:t>
            </w:r>
            <w:r w:rsidR="00F54655" w:rsidRPr="00F54655">
              <w:rPr>
                <w:rFonts w:ascii="Arial" w:hAnsi="Arial" w:cs="Arial"/>
                <w:color w:val="006100"/>
                <w:sz w:val="16"/>
                <w:szCs w:val="16"/>
              </w:rPr>
              <w:t xml:space="preserve">Competitive tender launched </w:t>
            </w:r>
            <w:r w:rsidR="00B36A06">
              <w:rPr>
                <w:rFonts w:ascii="Arial" w:hAnsi="Arial" w:cs="Arial"/>
                <w:color w:val="006100"/>
                <w:sz w:val="16"/>
                <w:szCs w:val="16"/>
              </w:rPr>
              <w:t>(</w:t>
            </w:r>
            <w:r w:rsidR="00B1362A">
              <w:rPr>
                <w:rFonts w:ascii="Arial" w:hAnsi="Arial" w:cs="Arial"/>
                <w:color w:val="006100"/>
                <w:sz w:val="16"/>
                <w:szCs w:val="16"/>
              </w:rPr>
              <w:t>Q1 202</w:t>
            </w:r>
            <w:r w:rsidR="00233655">
              <w:rPr>
                <w:rFonts w:ascii="Arial" w:hAnsi="Arial" w:cs="Arial"/>
                <w:color w:val="006100"/>
                <w:sz w:val="16"/>
                <w:szCs w:val="16"/>
              </w:rPr>
              <w:t>3</w:t>
            </w:r>
            <w:r w:rsidR="00B36A06">
              <w:rPr>
                <w:rFonts w:ascii="Arial" w:hAnsi="Arial" w:cs="Arial"/>
                <w:color w:val="006100"/>
                <w:sz w:val="16"/>
                <w:szCs w:val="16"/>
              </w:rPr>
              <w:t>)</w:t>
            </w:r>
          </w:p>
        </w:tc>
      </w:tr>
      <w:tr w:rsidR="0046499F" w:rsidRPr="004F3D4C" w14:paraId="32D027B7" w14:textId="31655F9B" w:rsidTr="00596EEA">
        <w:trPr>
          <w:trHeight w:val="309"/>
        </w:trPr>
        <w:tc>
          <w:tcPr>
            <w:tcW w:w="454" w:type="dxa"/>
            <w:shd w:val="clear" w:color="auto" w:fill="D6E3C6"/>
            <w:noWrap/>
          </w:tcPr>
          <w:p w14:paraId="27C6D123" w14:textId="282BD3DF"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123</w:t>
            </w:r>
          </w:p>
        </w:tc>
        <w:tc>
          <w:tcPr>
            <w:tcW w:w="1215" w:type="dxa"/>
            <w:shd w:val="clear" w:color="auto" w:fill="D6E3C6"/>
            <w:noWrap/>
          </w:tcPr>
          <w:p w14:paraId="1151F24D" w14:textId="6B63D8C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C4.I8: National infrastructure for storage of electricity from RES (RESTORE)</w:t>
            </w:r>
          </w:p>
        </w:tc>
        <w:tc>
          <w:tcPr>
            <w:tcW w:w="956" w:type="dxa"/>
            <w:shd w:val="clear" w:color="auto" w:fill="D6E3C6"/>
            <w:noWrap/>
          </w:tcPr>
          <w:p w14:paraId="0FC92B7F" w14:textId="707F51B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33967177" w14:textId="5F6F693E"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Electricity storage (I)</w:t>
            </w:r>
          </w:p>
        </w:tc>
        <w:tc>
          <w:tcPr>
            <w:tcW w:w="1322" w:type="dxa"/>
            <w:shd w:val="clear" w:color="auto" w:fill="D6E3C6"/>
            <w:noWrap/>
          </w:tcPr>
          <w:p w14:paraId="2D8BC344"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65CEC3CB" w14:textId="5025688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Megawatt-hours (MWh)</w:t>
            </w:r>
          </w:p>
        </w:tc>
        <w:tc>
          <w:tcPr>
            <w:tcW w:w="614" w:type="dxa"/>
            <w:shd w:val="clear" w:color="auto" w:fill="D6E3C6"/>
            <w:noWrap/>
          </w:tcPr>
          <w:p w14:paraId="483A3683" w14:textId="462810A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0</w:t>
            </w:r>
          </w:p>
        </w:tc>
        <w:tc>
          <w:tcPr>
            <w:tcW w:w="731" w:type="dxa"/>
            <w:shd w:val="clear" w:color="auto" w:fill="D6E3C6"/>
            <w:noWrap/>
          </w:tcPr>
          <w:p w14:paraId="7C4A0B6A" w14:textId="0A13E26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2000</w:t>
            </w:r>
          </w:p>
        </w:tc>
        <w:tc>
          <w:tcPr>
            <w:tcW w:w="756" w:type="dxa"/>
            <w:gridSpan w:val="2"/>
            <w:shd w:val="clear" w:color="auto" w:fill="D6E3C6"/>
            <w:noWrap/>
          </w:tcPr>
          <w:p w14:paraId="3FA4DAD1" w14:textId="37E1A6C5"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Q1</w:t>
            </w:r>
          </w:p>
        </w:tc>
        <w:tc>
          <w:tcPr>
            <w:tcW w:w="520" w:type="dxa"/>
            <w:shd w:val="clear" w:color="auto" w:fill="D6E3C6"/>
            <w:noWrap/>
          </w:tcPr>
          <w:p w14:paraId="326B60C3" w14:textId="66C7982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2024</w:t>
            </w:r>
          </w:p>
        </w:tc>
        <w:tc>
          <w:tcPr>
            <w:tcW w:w="872" w:type="dxa"/>
            <w:gridSpan w:val="2"/>
            <w:shd w:val="clear" w:color="auto" w:fill="D6E3C6"/>
          </w:tcPr>
          <w:p w14:paraId="5C6BF4B3" w14:textId="700319CD"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34976B64"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74451F33" w14:textId="77777777" w:rsidR="0046499F" w:rsidRDefault="0046499F" w:rsidP="0046499F">
            <w:pPr>
              <w:pStyle w:val="ListParagraph"/>
              <w:numPr>
                <w:ilvl w:val="0"/>
                <w:numId w:val="71"/>
              </w:numPr>
              <w:spacing w:after="0"/>
              <w:rPr>
                <w:rFonts w:ascii="Arial" w:hAnsi="Arial" w:cs="Arial"/>
                <w:color w:val="006100"/>
                <w:sz w:val="16"/>
                <w:szCs w:val="16"/>
              </w:rPr>
            </w:pPr>
            <w:r>
              <w:rPr>
                <w:rFonts w:ascii="Arial" w:hAnsi="Arial" w:cs="Arial"/>
                <w:color w:val="006100"/>
                <w:sz w:val="16"/>
                <w:szCs w:val="16"/>
                <w:lang w:eastAsia="en-GB"/>
              </w:rPr>
              <w:t>C</w:t>
            </w:r>
            <w:r w:rsidRPr="004F3D4C">
              <w:rPr>
                <w:rFonts w:ascii="Arial" w:hAnsi="Arial" w:cs="Arial"/>
                <w:color w:val="006100"/>
                <w:sz w:val="16"/>
                <w:szCs w:val="16"/>
                <w:lang w:eastAsia="en-GB"/>
              </w:rPr>
              <w:t>ertificates of completion signed by the contractors and the competent authority</w:t>
            </w:r>
          </w:p>
          <w:p w14:paraId="7B497F2C" w14:textId="25A0D8D1" w:rsidR="0046499F" w:rsidRPr="004F3D4C" w:rsidRDefault="0046499F" w:rsidP="0046499F">
            <w:pPr>
              <w:pStyle w:val="ListParagraph"/>
              <w:numPr>
                <w:ilvl w:val="0"/>
                <w:numId w:val="71"/>
              </w:numPr>
              <w:rPr>
                <w:rFonts w:ascii="Arial" w:hAnsi="Arial" w:cs="Arial"/>
                <w:color w:val="006100"/>
                <w:sz w:val="16"/>
                <w:szCs w:val="16"/>
                <w:lang w:eastAsia="en-GB"/>
              </w:rPr>
            </w:pPr>
            <w:r>
              <w:rPr>
                <w:rFonts w:ascii="Arial" w:hAnsi="Arial" w:cs="Arial"/>
                <w:color w:val="006100"/>
                <w:sz w:val="16"/>
                <w:szCs w:val="16"/>
                <w:lang w:eastAsia="en-GB"/>
              </w:rPr>
              <w:t>D</w:t>
            </w:r>
            <w:r w:rsidRPr="004F3D4C">
              <w:rPr>
                <w:rFonts w:ascii="Arial" w:hAnsi="Arial" w:cs="Arial"/>
                <w:color w:val="006100"/>
                <w:sz w:val="16"/>
                <w:szCs w:val="16"/>
                <w:lang w:eastAsia="en-GB"/>
              </w:rPr>
              <w:t>ocuments that prove the entry into operation of the electricity storage facilities</w:t>
            </w:r>
          </w:p>
          <w:p w14:paraId="44B64274" w14:textId="77777777" w:rsidR="0046499F" w:rsidRDefault="0046499F" w:rsidP="0046499F">
            <w:pPr>
              <w:pStyle w:val="ListParagraph"/>
              <w:numPr>
                <w:ilvl w:val="0"/>
                <w:numId w:val="71"/>
              </w:numPr>
              <w:spacing w:after="0"/>
              <w:rPr>
                <w:rFonts w:ascii="Arial" w:hAnsi="Arial" w:cs="Arial"/>
                <w:color w:val="006100"/>
                <w:sz w:val="16"/>
                <w:szCs w:val="16"/>
              </w:rPr>
            </w:pPr>
            <w:r>
              <w:rPr>
                <w:rFonts w:ascii="Arial" w:hAnsi="Arial" w:cs="Arial"/>
                <w:color w:val="006100"/>
                <w:sz w:val="16"/>
                <w:szCs w:val="16"/>
                <w:lang w:eastAsia="en-GB"/>
              </w:rPr>
              <w:t>L</w:t>
            </w:r>
            <w:r w:rsidRPr="004F3D4C">
              <w:rPr>
                <w:rFonts w:ascii="Arial" w:hAnsi="Arial" w:cs="Arial"/>
                <w:color w:val="006100"/>
                <w:sz w:val="16"/>
                <w:szCs w:val="16"/>
                <w:lang w:eastAsia="en-GB"/>
              </w:rPr>
              <w:t>ist and detailed description of the electricity storage facilities commissioned</w:t>
            </w:r>
          </w:p>
          <w:p w14:paraId="55F8A9A8" w14:textId="3195B1ED" w:rsidR="0046499F" w:rsidRPr="00F83098" w:rsidRDefault="0046499F" w:rsidP="0046499F">
            <w:pPr>
              <w:pStyle w:val="ListParagraph"/>
              <w:numPr>
                <w:ilvl w:val="0"/>
                <w:numId w:val="71"/>
              </w:numPr>
              <w:spacing w:after="0"/>
              <w:rPr>
                <w:rFonts w:ascii="Arial" w:hAnsi="Arial" w:cs="Arial"/>
                <w:color w:val="006100"/>
                <w:sz w:val="16"/>
                <w:szCs w:val="16"/>
              </w:rPr>
            </w:pPr>
            <w:r>
              <w:rPr>
                <w:rFonts w:ascii="Arial" w:hAnsi="Arial" w:cs="Arial"/>
                <w:color w:val="006100"/>
                <w:sz w:val="16"/>
                <w:szCs w:val="16"/>
                <w:lang w:eastAsia="en-GB"/>
              </w:rPr>
              <w:lastRenderedPageBreak/>
              <w:t>E</w:t>
            </w:r>
            <w:r w:rsidRPr="004F3D4C">
              <w:rPr>
                <w:rFonts w:ascii="Arial" w:hAnsi="Arial" w:cs="Arial"/>
                <w:color w:val="006100"/>
                <w:sz w:val="16"/>
                <w:szCs w:val="16"/>
                <w:lang w:eastAsia="en-GB"/>
              </w:rPr>
              <w:t>xtract of the official documents containing technical specifications that ensure compliance with the ‘Do no significant harm’ Technical Guidance (2021/C58/01), as specified in the CID annex</w:t>
            </w:r>
          </w:p>
        </w:tc>
        <w:tc>
          <w:tcPr>
            <w:tcW w:w="3402" w:type="dxa"/>
            <w:shd w:val="clear" w:color="auto" w:fill="D6E3C6"/>
          </w:tcPr>
          <w:p w14:paraId="5FDF16A3" w14:textId="77777777"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p>
          <w:p w14:paraId="0C745C6F" w14:textId="77777777" w:rsidR="0046499F" w:rsidRPr="009D2B2E" w:rsidRDefault="0046499F" w:rsidP="0046499F">
            <w:pPr>
              <w:spacing w:after="0"/>
              <w:rPr>
                <w:rFonts w:ascii="Arial" w:hAnsi="Arial" w:cs="Arial"/>
                <w:color w:val="006100"/>
                <w:sz w:val="16"/>
                <w:szCs w:val="16"/>
              </w:rPr>
            </w:pPr>
          </w:p>
          <w:p w14:paraId="670AD368" w14:textId="29FF8B21"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What: </w:t>
            </w:r>
            <w:r w:rsidRPr="00AA51E6">
              <w:rPr>
                <w:rFonts w:ascii="Arial" w:hAnsi="Arial" w:cs="Arial"/>
                <w:color w:val="006100"/>
                <w:sz w:val="16"/>
                <w:szCs w:val="16"/>
              </w:rPr>
              <w:t>Electricity storage (I)</w:t>
            </w:r>
          </w:p>
          <w:p w14:paraId="255D28C1" w14:textId="77777777" w:rsidR="0046499F" w:rsidRPr="009D2B2E" w:rsidRDefault="0046499F" w:rsidP="0046499F">
            <w:pPr>
              <w:spacing w:after="0"/>
              <w:rPr>
                <w:rFonts w:ascii="Arial" w:hAnsi="Arial" w:cs="Arial"/>
                <w:color w:val="006100"/>
                <w:sz w:val="16"/>
                <w:szCs w:val="16"/>
              </w:rPr>
            </w:pPr>
          </w:p>
          <w:p w14:paraId="01F14424" w14:textId="2048AC0A"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How:</w:t>
            </w:r>
            <w:r>
              <w:rPr>
                <w:rFonts w:ascii="Arial" w:hAnsi="Arial" w:cs="Arial"/>
                <w:color w:val="006100"/>
                <w:sz w:val="16"/>
                <w:szCs w:val="16"/>
              </w:rPr>
              <w:t xml:space="preserve"> contracting (a, b), reporting (c, d)</w:t>
            </w:r>
          </w:p>
          <w:p w14:paraId="1FCFCC42" w14:textId="77777777" w:rsidR="0046499F" w:rsidRPr="009D2B2E" w:rsidRDefault="0046499F" w:rsidP="0046499F">
            <w:pPr>
              <w:spacing w:after="0"/>
              <w:rPr>
                <w:rFonts w:ascii="Arial" w:hAnsi="Arial" w:cs="Arial"/>
                <w:color w:val="006100"/>
                <w:sz w:val="16"/>
                <w:szCs w:val="16"/>
              </w:rPr>
            </w:pPr>
          </w:p>
          <w:p w14:paraId="01DBB5C8" w14:textId="3DADB342"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Why:</w:t>
            </w:r>
            <w:r>
              <w:rPr>
                <w:rFonts w:ascii="Arial" w:hAnsi="Arial" w:cs="Arial"/>
                <w:color w:val="006100"/>
                <w:sz w:val="16"/>
                <w:szCs w:val="16"/>
              </w:rPr>
              <w:t xml:space="preserve"> </w:t>
            </w:r>
            <w:r w:rsidRPr="00AA51E6">
              <w:rPr>
                <w:rFonts w:ascii="Arial" w:hAnsi="Arial" w:cs="Arial"/>
                <w:color w:val="006100"/>
                <w:sz w:val="16"/>
                <w:szCs w:val="16"/>
              </w:rPr>
              <w:t>Commissioning of 2000MWh of energy capacity of electricity storage systems, in accordance with the Do No Significant Harm conditions set out in the “Do No Significant Harm” Technical Guidance (2021/C58/01)</w:t>
            </w:r>
            <w:r>
              <w:rPr>
                <w:rFonts w:ascii="Arial" w:hAnsi="Arial" w:cs="Arial"/>
                <w:color w:val="006100"/>
                <w:sz w:val="16"/>
                <w:szCs w:val="16"/>
              </w:rPr>
              <w:t xml:space="preserve"> </w:t>
            </w:r>
            <w:r w:rsidRPr="009D2B2E">
              <w:rPr>
                <w:rFonts w:ascii="Arial" w:hAnsi="Arial" w:cs="Arial"/>
                <w:color w:val="006100"/>
                <w:sz w:val="16"/>
                <w:szCs w:val="16"/>
              </w:rPr>
              <w:t>[provide references to the above in the summary document]</w:t>
            </w:r>
          </w:p>
          <w:p w14:paraId="64D96DCE" w14:textId="77777777" w:rsidR="0046499F" w:rsidRPr="009D2B2E" w:rsidRDefault="0046499F" w:rsidP="0046499F">
            <w:pPr>
              <w:spacing w:after="0"/>
              <w:rPr>
                <w:rFonts w:ascii="Arial" w:hAnsi="Arial" w:cs="Arial"/>
                <w:color w:val="006100"/>
                <w:sz w:val="16"/>
                <w:szCs w:val="16"/>
              </w:rPr>
            </w:pPr>
          </w:p>
          <w:p w14:paraId="140B2428" w14:textId="0509CAA3" w:rsidR="0046499F" w:rsidRPr="004F3D4C" w:rsidRDefault="0046499F" w:rsidP="0046499F">
            <w:pPr>
              <w:spacing w:after="0"/>
              <w:rPr>
                <w:rFonts w:ascii="Arial" w:hAnsi="Arial" w:cs="Arial"/>
                <w:color w:val="006100"/>
                <w:sz w:val="16"/>
                <w:szCs w:val="16"/>
              </w:rPr>
            </w:pPr>
            <w:r w:rsidRPr="009D2B2E">
              <w:rPr>
                <w:rFonts w:ascii="Arial" w:hAnsi="Arial" w:cs="Arial"/>
                <w:color w:val="006100"/>
                <w:sz w:val="16"/>
                <w:szCs w:val="16"/>
              </w:rPr>
              <w:lastRenderedPageBreak/>
              <w:t xml:space="preserve">When: </w:t>
            </w:r>
            <w:r>
              <w:rPr>
                <w:rFonts w:ascii="Arial" w:hAnsi="Arial" w:cs="Arial"/>
                <w:color w:val="006100"/>
                <w:sz w:val="16"/>
                <w:szCs w:val="16"/>
              </w:rPr>
              <w:t xml:space="preserve">after the </w:t>
            </w:r>
            <w:r w:rsidRPr="004F3D4C">
              <w:rPr>
                <w:rFonts w:ascii="Arial" w:hAnsi="Arial" w:cs="Arial"/>
                <w:color w:val="006100"/>
                <w:sz w:val="16"/>
                <w:szCs w:val="16"/>
              </w:rPr>
              <w:t>delivery, installation,</w:t>
            </w:r>
            <w:r>
              <w:rPr>
                <w:rFonts w:ascii="Arial" w:hAnsi="Arial" w:cs="Arial"/>
                <w:color w:val="006100"/>
                <w:sz w:val="16"/>
                <w:szCs w:val="16"/>
              </w:rPr>
              <w:t xml:space="preserve"> and</w:t>
            </w:r>
            <w:r w:rsidRPr="004F3D4C">
              <w:rPr>
                <w:rFonts w:ascii="Arial" w:hAnsi="Arial" w:cs="Arial"/>
                <w:color w:val="006100"/>
                <w:sz w:val="16"/>
                <w:szCs w:val="16"/>
              </w:rPr>
              <w:t xml:space="preserve"> connection of grid-scale battery storage facilities</w:t>
            </w:r>
          </w:p>
        </w:tc>
        <w:tc>
          <w:tcPr>
            <w:tcW w:w="2268" w:type="dxa"/>
            <w:shd w:val="clear" w:color="auto" w:fill="D6E3C6"/>
          </w:tcPr>
          <w:p w14:paraId="450C80A8" w14:textId="7DED9B8F"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036" w:type="dxa"/>
            <w:gridSpan w:val="2"/>
            <w:shd w:val="clear" w:color="auto" w:fill="D6E3C6"/>
          </w:tcPr>
          <w:p w14:paraId="12C8DCE3" w14:textId="3E5D3649"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Delays in the implementation of milestone 122</w:t>
            </w:r>
          </w:p>
        </w:tc>
        <w:tc>
          <w:tcPr>
            <w:tcW w:w="1090" w:type="dxa"/>
            <w:gridSpan w:val="2"/>
            <w:shd w:val="clear" w:color="auto" w:fill="D6E3C6"/>
          </w:tcPr>
          <w:p w14:paraId="60875A99" w14:textId="2E476D60" w:rsidR="0046499F" w:rsidRPr="00FC0806" w:rsidRDefault="0046499F" w:rsidP="0046499F">
            <w:pPr>
              <w:spacing w:after="0"/>
              <w:rPr>
                <w:rFonts w:ascii="Arial" w:hAnsi="Arial" w:cs="Arial"/>
                <w:color w:val="005D00"/>
                <w:sz w:val="16"/>
                <w:szCs w:val="16"/>
              </w:rPr>
            </w:pPr>
            <w:r>
              <w:rPr>
                <w:rFonts w:ascii="Arial" w:hAnsi="Arial" w:cs="Arial"/>
                <w:color w:val="005D00"/>
                <w:sz w:val="16"/>
                <w:szCs w:val="16"/>
              </w:rPr>
              <w:t>Yes, a</w:t>
            </w:r>
            <w:r w:rsidRPr="004F3D4C">
              <w:rPr>
                <w:rFonts w:ascii="Arial" w:hAnsi="Arial" w:cs="Arial"/>
                <w:color w:val="005D00"/>
                <w:sz w:val="16"/>
                <w:szCs w:val="16"/>
              </w:rPr>
              <w:t>t 1-2 sites after the receipt of documents for completion of the works / equipment installation (Q1 2024, or earlier if completed before that date)</w:t>
            </w:r>
          </w:p>
        </w:tc>
        <w:tc>
          <w:tcPr>
            <w:tcW w:w="992" w:type="dxa"/>
            <w:gridSpan w:val="2"/>
            <w:shd w:val="clear" w:color="auto" w:fill="D6E3C6"/>
          </w:tcPr>
          <w:p w14:paraId="5A9908D7" w14:textId="6052E43B"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Indicator 2</w:t>
            </w:r>
          </w:p>
        </w:tc>
        <w:tc>
          <w:tcPr>
            <w:tcW w:w="1418" w:type="dxa"/>
            <w:gridSpan w:val="2"/>
            <w:shd w:val="clear" w:color="auto" w:fill="D6E3C6"/>
          </w:tcPr>
          <w:p w14:paraId="1911840B" w14:textId="64AD8A47" w:rsidR="0046499F" w:rsidRPr="004F3D4C" w:rsidRDefault="00654177" w:rsidP="0046499F">
            <w:pPr>
              <w:spacing w:after="0"/>
              <w:rPr>
                <w:rFonts w:ascii="Arial" w:hAnsi="Arial" w:cs="Arial"/>
                <w:color w:val="005D00"/>
                <w:sz w:val="16"/>
                <w:szCs w:val="16"/>
              </w:rPr>
            </w:pPr>
            <w:r>
              <w:rPr>
                <w:rFonts w:ascii="Arial" w:hAnsi="Arial" w:cs="Arial"/>
                <w:color w:val="006100"/>
                <w:sz w:val="16"/>
                <w:szCs w:val="16"/>
              </w:rPr>
              <w:t xml:space="preserve">A monitoring step: </w:t>
            </w:r>
            <w:r w:rsidR="00BC672C">
              <w:rPr>
                <w:rFonts w:ascii="Arial" w:hAnsi="Arial" w:cs="Arial"/>
                <w:color w:val="006100"/>
                <w:sz w:val="16"/>
                <w:szCs w:val="16"/>
              </w:rPr>
              <w:t>Project status report</w:t>
            </w:r>
            <w:r w:rsidRPr="00F54655">
              <w:rPr>
                <w:rFonts w:ascii="Arial" w:hAnsi="Arial" w:cs="Arial"/>
                <w:color w:val="006100"/>
                <w:sz w:val="16"/>
                <w:szCs w:val="16"/>
              </w:rPr>
              <w:t xml:space="preserve"> </w:t>
            </w:r>
            <w:r>
              <w:rPr>
                <w:rFonts w:ascii="Arial" w:hAnsi="Arial" w:cs="Arial"/>
                <w:color w:val="006100"/>
                <w:sz w:val="16"/>
                <w:szCs w:val="16"/>
              </w:rPr>
              <w:t>(2023)</w:t>
            </w:r>
          </w:p>
        </w:tc>
      </w:tr>
      <w:tr w:rsidR="0046499F" w:rsidRPr="004F3D4C" w14:paraId="11463E2B" w14:textId="24E8FBA4" w:rsidTr="00596EEA">
        <w:trPr>
          <w:trHeight w:val="309"/>
        </w:trPr>
        <w:tc>
          <w:tcPr>
            <w:tcW w:w="454" w:type="dxa"/>
            <w:shd w:val="clear" w:color="auto" w:fill="D6E3C6"/>
            <w:noWrap/>
          </w:tcPr>
          <w:p w14:paraId="76907690" w14:textId="2AFA1C32"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124</w:t>
            </w:r>
          </w:p>
        </w:tc>
        <w:tc>
          <w:tcPr>
            <w:tcW w:w="1215" w:type="dxa"/>
            <w:shd w:val="clear" w:color="auto" w:fill="D6E3C6"/>
            <w:noWrap/>
          </w:tcPr>
          <w:p w14:paraId="1F216DCC" w14:textId="7B9BE50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C4.I8: National infrastructure for storage of electricity from RES (RESTORE)</w:t>
            </w:r>
          </w:p>
        </w:tc>
        <w:tc>
          <w:tcPr>
            <w:tcW w:w="956" w:type="dxa"/>
            <w:shd w:val="clear" w:color="auto" w:fill="D6E3C6"/>
            <w:noWrap/>
          </w:tcPr>
          <w:p w14:paraId="607DEBC5" w14:textId="26AECBD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59CADB67" w14:textId="1ACDA4EF"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Electricity storage (II)</w:t>
            </w:r>
          </w:p>
        </w:tc>
        <w:tc>
          <w:tcPr>
            <w:tcW w:w="1322" w:type="dxa"/>
            <w:shd w:val="clear" w:color="auto" w:fill="D6E3C6"/>
            <w:noWrap/>
          </w:tcPr>
          <w:p w14:paraId="564FDB67"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50A0E837" w14:textId="5E3D2B6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Megawatt-hours (MWh)</w:t>
            </w:r>
          </w:p>
        </w:tc>
        <w:tc>
          <w:tcPr>
            <w:tcW w:w="614" w:type="dxa"/>
            <w:shd w:val="clear" w:color="auto" w:fill="D6E3C6"/>
            <w:noWrap/>
          </w:tcPr>
          <w:p w14:paraId="47F9721A" w14:textId="6BB712AA"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2000</w:t>
            </w:r>
          </w:p>
        </w:tc>
        <w:tc>
          <w:tcPr>
            <w:tcW w:w="731" w:type="dxa"/>
            <w:shd w:val="clear" w:color="auto" w:fill="D6E3C6"/>
            <w:noWrap/>
          </w:tcPr>
          <w:p w14:paraId="479B2D68" w14:textId="6953F473"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4000</w:t>
            </w:r>
          </w:p>
        </w:tc>
        <w:tc>
          <w:tcPr>
            <w:tcW w:w="756" w:type="dxa"/>
            <w:gridSpan w:val="2"/>
            <w:shd w:val="clear" w:color="auto" w:fill="D6E3C6"/>
            <w:noWrap/>
          </w:tcPr>
          <w:p w14:paraId="2729C015" w14:textId="54D5C0CF"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Q1</w:t>
            </w:r>
          </w:p>
        </w:tc>
        <w:tc>
          <w:tcPr>
            <w:tcW w:w="520" w:type="dxa"/>
            <w:shd w:val="clear" w:color="auto" w:fill="D6E3C6"/>
            <w:noWrap/>
          </w:tcPr>
          <w:p w14:paraId="07BA9C2E" w14:textId="2752A7A8"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2025</w:t>
            </w:r>
          </w:p>
        </w:tc>
        <w:tc>
          <w:tcPr>
            <w:tcW w:w="872" w:type="dxa"/>
            <w:gridSpan w:val="2"/>
            <w:shd w:val="clear" w:color="auto" w:fill="D6E3C6"/>
          </w:tcPr>
          <w:p w14:paraId="1D064D2E" w14:textId="7E7856C2"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15CBA798"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082E24DC" w14:textId="77777777" w:rsidR="0046499F" w:rsidRDefault="0046499F" w:rsidP="0046499F">
            <w:pPr>
              <w:pStyle w:val="ListParagraph"/>
              <w:numPr>
                <w:ilvl w:val="0"/>
                <w:numId w:val="72"/>
              </w:numPr>
              <w:spacing w:after="0"/>
              <w:rPr>
                <w:rFonts w:ascii="Arial" w:hAnsi="Arial" w:cs="Arial"/>
                <w:color w:val="006100"/>
                <w:sz w:val="16"/>
                <w:szCs w:val="16"/>
              </w:rPr>
            </w:pPr>
            <w:r w:rsidRPr="004F3D4C">
              <w:rPr>
                <w:rFonts w:ascii="Arial" w:hAnsi="Arial" w:cs="Arial"/>
                <w:color w:val="006100"/>
                <w:sz w:val="16"/>
                <w:szCs w:val="16"/>
                <w:lang w:eastAsia="en-GB"/>
              </w:rPr>
              <w:t>Certificates of completion signed by the contractors and the competent authority</w:t>
            </w:r>
          </w:p>
          <w:p w14:paraId="08ACBFBC" w14:textId="4F57E85B" w:rsidR="0046499F" w:rsidRDefault="0046499F" w:rsidP="0046499F">
            <w:pPr>
              <w:pStyle w:val="ListParagraph"/>
              <w:numPr>
                <w:ilvl w:val="0"/>
                <w:numId w:val="72"/>
              </w:numPr>
              <w:spacing w:after="0"/>
              <w:rPr>
                <w:rFonts w:ascii="Arial" w:hAnsi="Arial" w:cs="Arial"/>
                <w:color w:val="006100"/>
                <w:sz w:val="16"/>
                <w:szCs w:val="16"/>
              </w:rPr>
            </w:pPr>
            <w:r>
              <w:rPr>
                <w:rFonts w:ascii="Arial" w:hAnsi="Arial" w:cs="Arial"/>
                <w:color w:val="006100"/>
                <w:sz w:val="16"/>
                <w:szCs w:val="16"/>
                <w:lang w:eastAsia="en-GB"/>
              </w:rPr>
              <w:t>D</w:t>
            </w:r>
            <w:r w:rsidRPr="004F3D4C">
              <w:rPr>
                <w:rFonts w:ascii="Arial" w:hAnsi="Arial" w:cs="Arial"/>
                <w:color w:val="006100"/>
                <w:sz w:val="16"/>
                <w:szCs w:val="16"/>
                <w:lang w:eastAsia="en-GB"/>
              </w:rPr>
              <w:t>ocuments that prove the entry into operation of the electricity storage facilities</w:t>
            </w:r>
          </w:p>
          <w:p w14:paraId="07BF5E5F" w14:textId="450E5166" w:rsidR="0046499F" w:rsidRPr="007E1174" w:rsidRDefault="0046499F" w:rsidP="0046499F">
            <w:pPr>
              <w:pStyle w:val="ListParagraph"/>
              <w:numPr>
                <w:ilvl w:val="0"/>
                <w:numId w:val="72"/>
              </w:numPr>
              <w:spacing w:after="0"/>
              <w:rPr>
                <w:rFonts w:ascii="Arial" w:hAnsi="Arial" w:cs="Arial"/>
                <w:color w:val="006100"/>
                <w:sz w:val="16"/>
                <w:szCs w:val="16"/>
              </w:rPr>
            </w:pPr>
            <w:r>
              <w:rPr>
                <w:rFonts w:ascii="Arial" w:hAnsi="Arial" w:cs="Arial"/>
                <w:color w:val="006100"/>
                <w:sz w:val="16"/>
                <w:szCs w:val="16"/>
                <w:lang w:eastAsia="en-GB"/>
              </w:rPr>
              <w:t>L</w:t>
            </w:r>
            <w:r w:rsidRPr="004F3D4C">
              <w:rPr>
                <w:rFonts w:ascii="Arial" w:hAnsi="Arial" w:cs="Arial"/>
                <w:color w:val="006100"/>
                <w:sz w:val="16"/>
                <w:szCs w:val="16"/>
                <w:lang w:eastAsia="en-GB"/>
              </w:rPr>
              <w:t>ist and detailed description of the electricity storage facilities commissioned and extract of the official documents containing technical specifications that ensure compliance with the ‘Do no significant harm’ Technical Guidance</w:t>
            </w:r>
            <w:r>
              <w:rPr>
                <w:rFonts w:ascii="Arial" w:hAnsi="Arial" w:cs="Arial"/>
                <w:color w:val="006100"/>
                <w:sz w:val="16"/>
                <w:szCs w:val="16"/>
                <w:lang w:eastAsia="en-GB"/>
              </w:rPr>
              <w:t xml:space="preserve"> </w:t>
            </w:r>
            <w:r w:rsidRPr="004F3D4C">
              <w:rPr>
                <w:rFonts w:ascii="Arial" w:hAnsi="Arial" w:cs="Arial"/>
                <w:color w:val="006100"/>
                <w:sz w:val="16"/>
                <w:szCs w:val="16"/>
                <w:lang w:eastAsia="en-GB"/>
              </w:rPr>
              <w:t>(2021/C58/01), as specified in the CID annex</w:t>
            </w:r>
          </w:p>
        </w:tc>
        <w:tc>
          <w:tcPr>
            <w:tcW w:w="3402" w:type="dxa"/>
            <w:shd w:val="clear" w:color="auto" w:fill="D6E3C6"/>
          </w:tcPr>
          <w:p w14:paraId="581C548B" w14:textId="77777777"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Institution/s: </w:t>
            </w:r>
            <w:r w:rsidRPr="004F3D4C">
              <w:rPr>
                <w:rFonts w:ascii="Arial" w:eastAsia="Times New Roman" w:hAnsi="Arial" w:cs="Arial"/>
                <w:color w:val="006100"/>
                <w:sz w:val="16"/>
                <w:szCs w:val="16"/>
                <w:lang w:eastAsia="en-GB"/>
              </w:rPr>
              <w:t>Ministry of Energy</w:t>
            </w:r>
          </w:p>
          <w:p w14:paraId="51E4333C" w14:textId="77777777" w:rsidR="0046499F" w:rsidRPr="009D2B2E" w:rsidRDefault="0046499F" w:rsidP="0046499F">
            <w:pPr>
              <w:spacing w:after="0"/>
              <w:rPr>
                <w:rFonts w:ascii="Arial" w:hAnsi="Arial" w:cs="Arial"/>
                <w:color w:val="006100"/>
                <w:sz w:val="16"/>
                <w:szCs w:val="16"/>
              </w:rPr>
            </w:pPr>
          </w:p>
          <w:p w14:paraId="3A8E5D5D" w14:textId="15E8B878"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What: </w:t>
            </w:r>
            <w:r w:rsidRPr="00AA51E6">
              <w:rPr>
                <w:rFonts w:ascii="Arial" w:hAnsi="Arial" w:cs="Arial"/>
                <w:color w:val="006100"/>
                <w:sz w:val="16"/>
                <w:szCs w:val="16"/>
              </w:rPr>
              <w:t>Electricity storage (I</w:t>
            </w:r>
            <w:r>
              <w:rPr>
                <w:rFonts w:ascii="Arial" w:hAnsi="Arial" w:cs="Arial"/>
                <w:color w:val="006100"/>
                <w:sz w:val="16"/>
                <w:szCs w:val="16"/>
              </w:rPr>
              <w:t>I</w:t>
            </w:r>
            <w:r w:rsidRPr="00AA51E6">
              <w:rPr>
                <w:rFonts w:ascii="Arial" w:hAnsi="Arial" w:cs="Arial"/>
                <w:color w:val="006100"/>
                <w:sz w:val="16"/>
                <w:szCs w:val="16"/>
              </w:rPr>
              <w:t>)</w:t>
            </w:r>
          </w:p>
          <w:p w14:paraId="02A08717" w14:textId="77777777" w:rsidR="0046499F" w:rsidRPr="009D2B2E" w:rsidRDefault="0046499F" w:rsidP="0046499F">
            <w:pPr>
              <w:spacing w:after="0"/>
              <w:rPr>
                <w:rFonts w:ascii="Arial" w:hAnsi="Arial" w:cs="Arial"/>
                <w:color w:val="006100"/>
                <w:sz w:val="16"/>
                <w:szCs w:val="16"/>
              </w:rPr>
            </w:pPr>
          </w:p>
          <w:p w14:paraId="636B29B6" w14:textId="52576420"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How:</w:t>
            </w:r>
            <w:r>
              <w:rPr>
                <w:rFonts w:ascii="Arial" w:hAnsi="Arial" w:cs="Arial"/>
                <w:color w:val="006100"/>
                <w:sz w:val="16"/>
                <w:szCs w:val="16"/>
              </w:rPr>
              <w:t xml:space="preserve"> contracting (a, b), reporting (c)</w:t>
            </w:r>
          </w:p>
          <w:p w14:paraId="212C1957" w14:textId="77777777" w:rsidR="0046499F" w:rsidRPr="009D2B2E" w:rsidRDefault="0046499F" w:rsidP="0046499F">
            <w:pPr>
              <w:spacing w:after="0"/>
              <w:rPr>
                <w:rFonts w:ascii="Arial" w:hAnsi="Arial" w:cs="Arial"/>
                <w:color w:val="006100"/>
                <w:sz w:val="16"/>
                <w:szCs w:val="16"/>
              </w:rPr>
            </w:pPr>
          </w:p>
          <w:p w14:paraId="33D4F081" w14:textId="3DE8BECF"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Why:</w:t>
            </w:r>
            <w:r>
              <w:rPr>
                <w:rFonts w:ascii="Arial" w:hAnsi="Arial" w:cs="Arial"/>
                <w:color w:val="006100"/>
                <w:sz w:val="16"/>
                <w:szCs w:val="16"/>
              </w:rPr>
              <w:t xml:space="preserve"> </w:t>
            </w:r>
            <w:r w:rsidRPr="00B132D8">
              <w:rPr>
                <w:rFonts w:ascii="Arial" w:hAnsi="Arial" w:cs="Arial"/>
                <w:color w:val="006100"/>
                <w:sz w:val="16"/>
                <w:szCs w:val="16"/>
              </w:rPr>
              <w:t xml:space="preserve">Commissioning of 4000MWh of usable energy capacity of electricity storage systems, in accordance with the Do No Significant Harm conditions set out in the “Do No Significant Harm” Technical Guidance (2021/C58/01) </w:t>
            </w:r>
            <w:r w:rsidRPr="009D2B2E">
              <w:rPr>
                <w:rFonts w:ascii="Arial" w:hAnsi="Arial" w:cs="Arial"/>
                <w:color w:val="006100"/>
                <w:sz w:val="16"/>
                <w:szCs w:val="16"/>
              </w:rPr>
              <w:t>[provide references to the above in the summary document]</w:t>
            </w:r>
          </w:p>
          <w:p w14:paraId="0B1B4CCC" w14:textId="77777777" w:rsidR="0046499F" w:rsidRPr="009D2B2E" w:rsidRDefault="0046499F" w:rsidP="0046499F">
            <w:pPr>
              <w:spacing w:after="0"/>
              <w:rPr>
                <w:rFonts w:ascii="Arial" w:hAnsi="Arial" w:cs="Arial"/>
                <w:color w:val="006100"/>
                <w:sz w:val="16"/>
                <w:szCs w:val="16"/>
              </w:rPr>
            </w:pPr>
          </w:p>
          <w:p w14:paraId="61614537" w14:textId="315DEFF9" w:rsidR="0046499F" w:rsidRPr="004F3D4C"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When: </w:t>
            </w:r>
            <w:r>
              <w:rPr>
                <w:rFonts w:ascii="Arial" w:hAnsi="Arial" w:cs="Arial"/>
                <w:color w:val="006100"/>
                <w:sz w:val="16"/>
                <w:szCs w:val="16"/>
              </w:rPr>
              <w:t xml:space="preserve">after the </w:t>
            </w:r>
            <w:r w:rsidRPr="004F3D4C">
              <w:rPr>
                <w:rFonts w:ascii="Arial" w:hAnsi="Arial" w:cs="Arial"/>
                <w:color w:val="006100"/>
                <w:sz w:val="16"/>
                <w:szCs w:val="16"/>
              </w:rPr>
              <w:t>delivery, installation,</w:t>
            </w:r>
            <w:r>
              <w:rPr>
                <w:rFonts w:ascii="Arial" w:hAnsi="Arial" w:cs="Arial"/>
                <w:color w:val="006100"/>
                <w:sz w:val="16"/>
                <w:szCs w:val="16"/>
              </w:rPr>
              <w:t xml:space="preserve"> and</w:t>
            </w:r>
            <w:r w:rsidRPr="004F3D4C">
              <w:rPr>
                <w:rFonts w:ascii="Arial" w:hAnsi="Arial" w:cs="Arial"/>
                <w:color w:val="006100"/>
                <w:sz w:val="16"/>
                <w:szCs w:val="16"/>
              </w:rPr>
              <w:t xml:space="preserve"> connection of grid-scale battery storage facilities</w:t>
            </w:r>
          </w:p>
        </w:tc>
        <w:tc>
          <w:tcPr>
            <w:tcW w:w="2268" w:type="dxa"/>
            <w:shd w:val="clear" w:color="auto" w:fill="D6E3C6"/>
          </w:tcPr>
          <w:p w14:paraId="304CEFDB" w14:textId="3C2DCDBB"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7E7728B4" w14:textId="5EF24847"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As above</w:t>
            </w:r>
          </w:p>
        </w:tc>
        <w:tc>
          <w:tcPr>
            <w:tcW w:w="1090" w:type="dxa"/>
            <w:gridSpan w:val="2"/>
            <w:shd w:val="clear" w:color="auto" w:fill="D6E3C6"/>
          </w:tcPr>
          <w:p w14:paraId="46A33F57" w14:textId="367F3E8F"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Yes, a</w:t>
            </w:r>
            <w:r w:rsidRPr="004F3D4C">
              <w:rPr>
                <w:rFonts w:ascii="Arial" w:hAnsi="Arial" w:cs="Arial"/>
                <w:color w:val="005D00"/>
                <w:sz w:val="16"/>
                <w:szCs w:val="16"/>
              </w:rPr>
              <w:t>t 1-2 sites after the receipt of documents for completion of the works / equipment installation (Q1 2025, or earlier if completed before that date)</w:t>
            </w:r>
          </w:p>
          <w:p w14:paraId="02B12679" w14:textId="34D35771" w:rsidR="0046499F" w:rsidRPr="004F3D4C" w:rsidRDefault="0046499F" w:rsidP="0046499F">
            <w:pPr>
              <w:spacing w:after="0"/>
              <w:rPr>
                <w:rFonts w:ascii="Arial" w:hAnsi="Arial" w:cs="Arial"/>
                <w:color w:val="006100"/>
                <w:sz w:val="16"/>
                <w:szCs w:val="16"/>
              </w:rPr>
            </w:pPr>
          </w:p>
        </w:tc>
        <w:tc>
          <w:tcPr>
            <w:tcW w:w="992" w:type="dxa"/>
            <w:gridSpan w:val="2"/>
            <w:shd w:val="clear" w:color="auto" w:fill="D6E3C6"/>
          </w:tcPr>
          <w:p w14:paraId="0980819B" w14:textId="46B41C88"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Indicator 2</w:t>
            </w:r>
          </w:p>
        </w:tc>
        <w:tc>
          <w:tcPr>
            <w:tcW w:w="1418" w:type="dxa"/>
            <w:gridSpan w:val="2"/>
            <w:shd w:val="clear" w:color="auto" w:fill="D6E3C6"/>
          </w:tcPr>
          <w:p w14:paraId="190A77A1" w14:textId="2B51D365" w:rsidR="0046499F" w:rsidRPr="004F3D4C" w:rsidRDefault="00303FA5" w:rsidP="0046499F">
            <w:pPr>
              <w:spacing w:after="0"/>
              <w:rPr>
                <w:rFonts w:ascii="Arial" w:hAnsi="Arial" w:cs="Arial"/>
                <w:color w:val="005D00"/>
                <w:sz w:val="16"/>
                <w:szCs w:val="16"/>
              </w:rPr>
            </w:pPr>
            <w:r>
              <w:rPr>
                <w:rFonts w:ascii="Arial" w:hAnsi="Arial" w:cs="Arial"/>
                <w:color w:val="006100"/>
                <w:sz w:val="16"/>
                <w:szCs w:val="16"/>
              </w:rPr>
              <w:t>A monitoring step: Project status report</w:t>
            </w:r>
            <w:r w:rsidRPr="00F54655">
              <w:rPr>
                <w:rFonts w:ascii="Arial" w:hAnsi="Arial" w:cs="Arial"/>
                <w:color w:val="006100"/>
                <w:sz w:val="16"/>
                <w:szCs w:val="16"/>
              </w:rPr>
              <w:t xml:space="preserve"> </w:t>
            </w:r>
            <w:r>
              <w:rPr>
                <w:rFonts w:ascii="Arial" w:hAnsi="Arial" w:cs="Arial"/>
                <w:color w:val="006100"/>
                <w:sz w:val="16"/>
                <w:szCs w:val="16"/>
              </w:rPr>
              <w:t>(</w:t>
            </w:r>
            <w:r w:rsidR="00113A99">
              <w:rPr>
                <w:rFonts w:ascii="Arial" w:hAnsi="Arial" w:cs="Arial"/>
                <w:color w:val="006100"/>
                <w:sz w:val="16"/>
                <w:szCs w:val="16"/>
              </w:rPr>
              <w:t xml:space="preserve">Q1 </w:t>
            </w:r>
            <w:r>
              <w:rPr>
                <w:rFonts w:ascii="Arial" w:hAnsi="Arial" w:cs="Arial"/>
                <w:color w:val="006100"/>
                <w:sz w:val="16"/>
                <w:szCs w:val="16"/>
              </w:rPr>
              <w:t>202</w:t>
            </w:r>
            <w:r w:rsidR="00113A99">
              <w:rPr>
                <w:rFonts w:ascii="Arial" w:hAnsi="Arial" w:cs="Arial"/>
                <w:color w:val="006100"/>
                <w:sz w:val="16"/>
                <w:szCs w:val="16"/>
              </w:rPr>
              <w:t>4</w:t>
            </w:r>
            <w:r>
              <w:rPr>
                <w:rFonts w:ascii="Arial" w:hAnsi="Arial" w:cs="Arial"/>
                <w:color w:val="006100"/>
                <w:sz w:val="16"/>
                <w:szCs w:val="16"/>
              </w:rPr>
              <w:t>)</w:t>
            </w:r>
          </w:p>
        </w:tc>
      </w:tr>
      <w:tr w:rsidR="0046499F" w:rsidRPr="004F3D4C" w14:paraId="263B44C1" w14:textId="3A690E22" w:rsidTr="00596EEA">
        <w:trPr>
          <w:trHeight w:val="309"/>
        </w:trPr>
        <w:tc>
          <w:tcPr>
            <w:tcW w:w="454" w:type="dxa"/>
            <w:shd w:val="clear" w:color="auto" w:fill="D6E3C6"/>
            <w:noWrap/>
          </w:tcPr>
          <w:p w14:paraId="4ECBB237" w14:textId="1665CE80"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125</w:t>
            </w:r>
          </w:p>
        </w:tc>
        <w:tc>
          <w:tcPr>
            <w:tcW w:w="1215" w:type="dxa"/>
            <w:shd w:val="clear" w:color="auto" w:fill="D6E3C6"/>
            <w:noWrap/>
          </w:tcPr>
          <w:p w14:paraId="7780C377" w14:textId="2F902E1D"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C4.I8: National infrastructure for storage of electricity from RES (RESTORE)</w:t>
            </w:r>
          </w:p>
        </w:tc>
        <w:tc>
          <w:tcPr>
            <w:tcW w:w="956" w:type="dxa"/>
            <w:shd w:val="clear" w:color="auto" w:fill="D6E3C6"/>
            <w:noWrap/>
          </w:tcPr>
          <w:p w14:paraId="21D7A41E" w14:textId="4945EB4C"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Target</w:t>
            </w:r>
          </w:p>
        </w:tc>
        <w:tc>
          <w:tcPr>
            <w:tcW w:w="1691" w:type="dxa"/>
            <w:shd w:val="clear" w:color="auto" w:fill="D6E3C6"/>
            <w:noWrap/>
          </w:tcPr>
          <w:p w14:paraId="68BFDE59" w14:textId="1A609781"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hAnsi="Arial" w:cs="Arial"/>
                <w:color w:val="006100"/>
                <w:sz w:val="16"/>
                <w:szCs w:val="16"/>
              </w:rPr>
              <w:t>Electricity storage (III)</w:t>
            </w:r>
          </w:p>
        </w:tc>
        <w:tc>
          <w:tcPr>
            <w:tcW w:w="1322" w:type="dxa"/>
            <w:shd w:val="clear" w:color="auto" w:fill="D6E3C6"/>
            <w:noWrap/>
          </w:tcPr>
          <w:p w14:paraId="23C1F92A" w14:textId="77777777" w:rsidR="0046499F" w:rsidRPr="004F3D4C" w:rsidRDefault="0046499F" w:rsidP="0046499F">
            <w:pPr>
              <w:spacing w:after="0"/>
              <w:rPr>
                <w:rFonts w:ascii="Arial" w:eastAsia="Times New Roman" w:hAnsi="Arial" w:cs="Arial"/>
                <w:color w:val="006100"/>
                <w:sz w:val="16"/>
                <w:szCs w:val="16"/>
                <w:lang w:eastAsia="en-GB"/>
              </w:rPr>
            </w:pPr>
          </w:p>
        </w:tc>
        <w:tc>
          <w:tcPr>
            <w:tcW w:w="709" w:type="dxa"/>
            <w:shd w:val="clear" w:color="auto" w:fill="D6E3C6"/>
            <w:noWrap/>
          </w:tcPr>
          <w:p w14:paraId="63808B42" w14:textId="06A101FD"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Megawatt-hours (MWh)</w:t>
            </w:r>
          </w:p>
        </w:tc>
        <w:tc>
          <w:tcPr>
            <w:tcW w:w="614" w:type="dxa"/>
            <w:shd w:val="clear" w:color="auto" w:fill="D6E3C6"/>
            <w:noWrap/>
          </w:tcPr>
          <w:p w14:paraId="556B5C5C" w14:textId="69D5FD61"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4000</w:t>
            </w:r>
          </w:p>
        </w:tc>
        <w:tc>
          <w:tcPr>
            <w:tcW w:w="731" w:type="dxa"/>
            <w:shd w:val="clear" w:color="auto" w:fill="D6E3C6"/>
            <w:noWrap/>
          </w:tcPr>
          <w:p w14:paraId="12C31928" w14:textId="51667477"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6000</w:t>
            </w:r>
          </w:p>
        </w:tc>
        <w:tc>
          <w:tcPr>
            <w:tcW w:w="756" w:type="dxa"/>
            <w:gridSpan w:val="2"/>
            <w:shd w:val="clear" w:color="auto" w:fill="D6E3C6"/>
            <w:noWrap/>
          </w:tcPr>
          <w:p w14:paraId="61A8BDF0" w14:textId="628EC73B"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Q1</w:t>
            </w:r>
          </w:p>
        </w:tc>
        <w:tc>
          <w:tcPr>
            <w:tcW w:w="520" w:type="dxa"/>
            <w:shd w:val="clear" w:color="auto" w:fill="D6E3C6"/>
            <w:noWrap/>
          </w:tcPr>
          <w:p w14:paraId="218B990D" w14:textId="1A7DFFA6" w:rsidR="0046499F" w:rsidRPr="004F3D4C" w:rsidRDefault="0046499F" w:rsidP="0046499F">
            <w:pPr>
              <w:spacing w:after="0"/>
              <w:jc w:val="center"/>
              <w:rPr>
                <w:rFonts w:ascii="Arial" w:eastAsia="Times New Roman" w:hAnsi="Arial" w:cs="Arial"/>
                <w:color w:val="006100"/>
                <w:sz w:val="16"/>
                <w:szCs w:val="16"/>
                <w:lang w:eastAsia="en-GB"/>
              </w:rPr>
            </w:pPr>
            <w:r w:rsidRPr="004F3D4C">
              <w:rPr>
                <w:rFonts w:ascii="Arial" w:hAnsi="Arial" w:cs="Arial"/>
                <w:color w:val="006100"/>
                <w:sz w:val="16"/>
                <w:szCs w:val="16"/>
              </w:rPr>
              <w:t>2026</w:t>
            </w:r>
          </w:p>
        </w:tc>
        <w:tc>
          <w:tcPr>
            <w:tcW w:w="872" w:type="dxa"/>
            <w:gridSpan w:val="2"/>
            <w:shd w:val="clear" w:color="auto" w:fill="D6E3C6"/>
          </w:tcPr>
          <w:p w14:paraId="037B3AAE" w14:textId="4FC42FC3" w:rsidR="0046499F" w:rsidRPr="004F3D4C" w:rsidRDefault="0046499F" w:rsidP="0046499F">
            <w:pPr>
              <w:spacing w:after="0"/>
              <w:rPr>
                <w:rFonts w:ascii="Arial" w:eastAsia="Times New Roman" w:hAnsi="Arial" w:cs="Arial"/>
                <w:color w:val="006100"/>
                <w:sz w:val="16"/>
                <w:szCs w:val="16"/>
                <w:lang w:eastAsia="en-GB"/>
              </w:rPr>
            </w:pPr>
            <w:r w:rsidRPr="004F3D4C">
              <w:rPr>
                <w:rFonts w:ascii="Arial" w:eastAsia="Times New Roman" w:hAnsi="Arial" w:cs="Arial"/>
                <w:color w:val="006100"/>
                <w:sz w:val="16"/>
                <w:szCs w:val="16"/>
                <w:lang w:eastAsia="en-GB"/>
              </w:rPr>
              <w:t>Ministry of Energy</w:t>
            </w:r>
          </w:p>
        </w:tc>
        <w:tc>
          <w:tcPr>
            <w:tcW w:w="851" w:type="dxa"/>
            <w:gridSpan w:val="2"/>
            <w:shd w:val="clear" w:color="auto" w:fill="D6E3C6"/>
          </w:tcPr>
          <w:p w14:paraId="2986C61B" w14:textId="77777777" w:rsidR="0046499F" w:rsidRPr="004F3D4C" w:rsidRDefault="0046499F" w:rsidP="0046499F">
            <w:pPr>
              <w:spacing w:after="0"/>
              <w:rPr>
                <w:rFonts w:ascii="Arial" w:eastAsia="Times New Roman" w:hAnsi="Arial" w:cs="Arial"/>
                <w:color w:val="006100"/>
                <w:sz w:val="16"/>
                <w:szCs w:val="16"/>
                <w:lang w:eastAsia="en-GB"/>
              </w:rPr>
            </w:pPr>
          </w:p>
        </w:tc>
        <w:tc>
          <w:tcPr>
            <w:tcW w:w="1751" w:type="dxa"/>
            <w:gridSpan w:val="2"/>
            <w:shd w:val="clear" w:color="auto" w:fill="D6E3C6"/>
          </w:tcPr>
          <w:p w14:paraId="2CC602EB" w14:textId="77777777" w:rsidR="0046499F" w:rsidRDefault="0046499F" w:rsidP="0046499F">
            <w:pPr>
              <w:pStyle w:val="ListParagraph"/>
              <w:numPr>
                <w:ilvl w:val="0"/>
                <w:numId w:val="73"/>
              </w:numPr>
              <w:spacing w:after="0"/>
              <w:rPr>
                <w:rFonts w:ascii="Arial" w:hAnsi="Arial" w:cs="Arial"/>
                <w:color w:val="006100"/>
                <w:sz w:val="16"/>
                <w:szCs w:val="16"/>
              </w:rPr>
            </w:pPr>
            <w:r w:rsidRPr="004F3D4C">
              <w:rPr>
                <w:rFonts w:ascii="Arial" w:hAnsi="Arial" w:cs="Arial"/>
                <w:color w:val="006100"/>
                <w:sz w:val="16"/>
                <w:szCs w:val="16"/>
                <w:lang w:eastAsia="en-GB"/>
              </w:rPr>
              <w:t>Certificates of completion signed by the contractors and the competent authority</w:t>
            </w:r>
          </w:p>
          <w:p w14:paraId="604F2DEE" w14:textId="04DF66E2" w:rsidR="0046499F" w:rsidRPr="00EF1B32" w:rsidRDefault="0046499F" w:rsidP="0046499F">
            <w:pPr>
              <w:pStyle w:val="ListParagraph"/>
              <w:numPr>
                <w:ilvl w:val="0"/>
                <w:numId w:val="73"/>
              </w:numPr>
              <w:spacing w:after="0"/>
              <w:rPr>
                <w:rFonts w:ascii="Arial" w:hAnsi="Arial" w:cs="Arial"/>
                <w:color w:val="006100"/>
                <w:sz w:val="16"/>
                <w:szCs w:val="16"/>
              </w:rPr>
            </w:pPr>
            <w:r>
              <w:rPr>
                <w:rFonts w:ascii="Arial" w:hAnsi="Arial" w:cs="Arial"/>
                <w:color w:val="006100"/>
                <w:sz w:val="16"/>
                <w:szCs w:val="16"/>
                <w:lang w:eastAsia="en-GB"/>
              </w:rPr>
              <w:t>L</w:t>
            </w:r>
            <w:r w:rsidRPr="004F3D4C">
              <w:rPr>
                <w:rFonts w:ascii="Arial" w:hAnsi="Arial" w:cs="Arial"/>
                <w:color w:val="006100"/>
                <w:sz w:val="16"/>
                <w:szCs w:val="16"/>
                <w:lang w:eastAsia="en-GB"/>
              </w:rPr>
              <w:t xml:space="preserve">ist and detailed description of the electricity storage facilities commissioned and extract of the official documents containing technical specifications that ensure compliance with the ‘Do no </w:t>
            </w:r>
            <w:r w:rsidRPr="004F3D4C">
              <w:rPr>
                <w:rFonts w:ascii="Arial" w:hAnsi="Arial" w:cs="Arial"/>
                <w:color w:val="006100"/>
                <w:sz w:val="16"/>
                <w:szCs w:val="16"/>
                <w:lang w:eastAsia="en-GB"/>
              </w:rPr>
              <w:lastRenderedPageBreak/>
              <w:t>significant harm’ Technical Guidance (2021/C58/01), as specified in the CID annex.</w:t>
            </w:r>
          </w:p>
        </w:tc>
        <w:tc>
          <w:tcPr>
            <w:tcW w:w="3402" w:type="dxa"/>
            <w:shd w:val="clear" w:color="auto" w:fill="D6E3C6"/>
          </w:tcPr>
          <w:p w14:paraId="42F16E63" w14:textId="77777777"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lastRenderedPageBreak/>
              <w:t xml:space="preserve">Institution/s: </w:t>
            </w:r>
            <w:r w:rsidRPr="004F3D4C">
              <w:rPr>
                <w:rFonts w:ascii="Arial" w:eastAsia="Times New Roman" w:hAnsi="Arial" w:cs="Arial"/>
                <w:color w:val="006100"/>
                <w:sz w:val="16"/>
                <w:szCs w:val="16"/>
                <w:lang w:eastAsia="en-GB"/>
              </w:rPr>
              <w:t>Ministry of Energy</w:t>
            </w:r>
          </w:p>
          <w:p w14:paraId="4324AAAD" w14:textId="77777777" w:rsidR="0046499F" w:rsidRPr="009D2B2E" w:rsidRDefault="0046499F" w:rsidP="0046499F">
            <w:pPr>
              <w:spacing w:after="0"/>
              <w:rPr>
                <w:rFonts w:ascii="Arial" w:hAnsi="Arial" w:cs="Arial"/>
                <w:color w:val="006100"/>
                <w:sz w:val="16"/>
                <w:szCs w:val="16"/>
              </w:rPr>
            </w:pPr>
          </w:p>
          <w:p w14:paraId="70B47919" w14:textId="77777777"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What: </w:t>
            </w:r>
            <w:r w:rsidRPr="00AA51E6">
              <w:rPr>
                <w:rFonts w:ascii="Arial" w:hAnsi="Arial" w:cs="Arial"/>
                <w:color w:val="006100"/>
                <w:sz w:val="16"/>
                <w:szCs w:val="16"/>
              </w:rPr>
              <w:t>Electricity storage (I</w:t>
            </w:r>
            <w:r>
              <w:rPr>
                <w:rFonts w:ascii="Arial" w:hAnsi="Arial" w:cs="Arial"/>
                <w:color w:val="006100"/>
                <w:sz w:val="16"/>
                <w:szCs w:val="16"/>
              </w:rPr>
              <w:t>I</w:t>
            </w:r>
            <w:r w:rsidRPr="00AA51E6">
              <w:rPr>
                <w:rFonts w:ascii="Arial" w:hAnsi="Arial" w:cs="Arial"/>
                <w:color w:val="006100"/>
                <w:sz w:val="16"/>
                <w:szCs w:val="16"/>
              </w:rPr>
              <w:t>)</w:t>
            </w:r>
          </w:p>
          <w:p w14:paraId="5696B482" w14:textId="77777777" w:rsidR="0046499F" w:rsidRPr="009D2B2E" w:rsidRDefault="0046499F" w:rsidP="0046499F">
            <w:pPr>
              <w:spacing w:after="0"/>
              <w:rPr>
                <w:rFonts w:ascii="Arial" w:hAnsi="Arial" w:cs="Arial"/>
                <w:color w:val="006100"/>
                <w:sz w:val="16"/>
                <w:szCs w:val="16"/>
              </w:rPr>
            </w:pPr>
          </w:p>
          <w:p w14:paraId="6E97C5F3" w14:textId="389C9E69"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How:</w:t>
            </w:r>
            <w:r>
              <w:rPr>
                <w:rFonts w:ascii="Arial" w:hAnsi="Arial" w:cs="Arial"/>
                <w:color w:val="006100"/>
                <w:sz w:val="16"/>
                <w:szCs w:val="16"/>
              </w:rPr>
              <w:t xml:space="preserve"> contracting (a), reporting (b)</w:t>
            </w:r>
          </w:p>
          <w:p w14:paraId="4F91FC9A" w14:textId="77777777" w:rsidR="0046499F" w:rsidRPr="009D2B2E" w:rsidRDefault="0046499F" w:rsidP="0046499F">
            <w:pPr>
              <w:spacing w:after="0"/>
              <w:rPr>
                <w:rFonts w:ascii="Arial" w:hAnsi="Arial" w:cs="Arial"/>
                <w:color w:val="006100"/>
                <w:sz w:val="16"/>
                <w:szCs w:val="16"/>
              </w:rPr>
            </w:pPr>
          </w:p>
          <w:p w14:paraId="2E948D91" w14:textId="724BFDAA" w:rsidR="0046499F" w:rsidRPr="009D2B2E" w:rsidRDefault="0046499F" w:rsidP="0046499F">
            <w:pPr>
              <w:spacing w:after="0"/>
              <w:rPr>
                <w:rFonts w:ascii="Arial" w:hAnsi="Arial" w:cs="Arial"/>
                <w:color w:val="006100"/>
                <w:sz w:val="16"/>
                <w:szCs w:val="16"/>
              </w:rPr>
            </w:pPr>
            <w:r w:rsidRPr="009D2B2E">
              <w:rPr>
                <w:rFonts w:ascii="Arial" w:hAnsi="Arial" w:cs="Arial"/>
                <w:color w:val="006100"/>
                <w:sz w:val="16"/>
                <w:szCs w:val="16"/>
              </w:rPr>
              <w:t>Why:</w:t>
            </w:r>
            <w:r>
              <w:rPr>
                <w:rFonts w:ascii="Arial" w:hAnsi="Arial" w:cs="Arial"/>
                <w:color w:val="006100"/>
                <w:sz w:val="16"/>
                <w:szCs w:val="16"/>
              </w:rPr>
              <w:t xml:space="preserve"> </w:t>
            </w:r>
            <w:r w:rsidRPr="001003D9">
              <w:rPr>
                <w:rFonts w:ascii="Arial" w:hAnsi="Arial" w:cs="Arial"/>
                <w:color w:val="006100"/>
                <w:sz w:val="16"/>
                <w:szCs w:val="16"/>
              </w:rPr>
              <w:t xml:space="preserve">Commissioning of 6000MWh of usable energy capacity of electricity storage systems, in accordance with the Do No Significant Harm conditions set out in the “Do No Significant Harm” Technical Guidance (2021/C58/01) </w:t>
            </w:r>
            <w:r w:rsidRPr="009D2B2E">
              <w:rPr>
                <w:rFonts w:ascii="Arial" w:hAnsi="Arial" w:cs="Arial"/>
                <w:color w:val="006100"/>
                <w:sz w:val="16"/>
                <w:szCs w:val="16"/>
              </w:rPr>
              <w:t>[provide references to the above in the summary document]</w:t>
            </w:r>
          </w:p>
          <w:p w14:paraId="1407C38D" w14:textId="77777777" w:rsidR="0046499F" w:rsidRPr="009D2B2E" w:rsidRDefault="0046499F" w:rsidP="0046499F">
            <w:pPr>
              <w:spacing w:after="0"/>
              <w:rPr>
                <w:rFonts w:ascii="Arial" w:hAnsi="Arial" w:cs="Arial"/>
                <w:color w:val="006100"/>
                <w:sz w:val="16"/>
                <w:szCs w:val="16"/>
              </w:rPr>
            </w:pPr>
          </w:p>
          <w:p w14:paraId="1022A6DB" w14:textId="08E5C3D4" w:rsidR="0046499F" w:rsidRPr="004F3D4C" w:rsidRDefault="0046499F" w:rsidP="0046499F">
            <w:pPr>
              <w:spacing w:after="0"/>
              <w:rPr>
                <w:rFonts w:ascii="Arial" w:hAnsi="Arial" w:cs="Arial"/>
                <w:color w:val="006100"/>
                <w:sz w:val="16"/>
                <w:szCs w:val="16"/>
              </w:rPr>
            </w:pPr>
            <w:r w:rsidRPr="009D2B2E">
              <w:rPr>
                <w:rFonts w:ascii="Arial" w:hAnsi="Arial" w:cs="Arial"/>
                <w:color w:val="006100"/>
                <w:sz w:val="16"/>
                <w:szCs w:val="16"/>
              </w:rPr>
              <w:t xml:space="preserve">When: </w:t>
            </w:r>
            <w:r>
              <w:rPr>
                <w:rFonts w:ascii="Arial" w:hAnsi="Arial" w:cs="Arial"/>
                <w:color w:val="006100"/>
                <w:sz w:val="16"/>
                <w:szCs w:val="16"/>
              </w:rPr>
              <w:t xml:space="preserve">after the </w:t>
            </w:r>
            <w:r w:rsidRPr="004F3D4C">
              <w:rPr>
                <w:rFonts w:ascii="Arial" w:hAnsi="Arial" w:cs="Arial"/>
                <w:color w:val="006100"/>
                <w:sz w:val="16"/>
                <w:szCs w:val="16"/>
              </w:rPr>
              <w:t>delivery, installation,</w:t>
            </w:r>
            <w:r>
              <w:rPr>
                <w:rFonts w:ascii="Arial" w:hAnsi="Arial" w:cs="Arial"/>
                <w:color w:val="006100"/>
                <w:sz w:val="16"/>
                <w:szCs w:val="16"/>
              </w:rPr>
              <w:t xml:space="preserve"> and</w:t>
            </w:r>
            <w:r w:rsidRPr="004F3D4C">
              <w:rPr>
                <w:rFonts w:ascii="Arial" w:hAnsi="Arial" w:cs="Arial"/>
                <w:color w:val="006100"/>
                <w:sz w:val="16"/>
                <w:szCs w:val="16"/>
              </w:rPr>
              <w:t xml:space="preserve"> connection of grid-scale battery storage facilities</w:t>
            </w:r>
          </w:p>
        </w:tc>
        <w:tc>
          <w:tcPr>
            <w:tcW w:w="2268" w:type="dxa"/>
            <w:shd w:val="clear" w:color="auto" w:fill="D6E3C6"/>
          </w:tcPr>
          <w:p w14:paraId="79DD6E14" w14:textId="586B1ABC" w:rsidR="0046499F" w:rsidRPr="004F3D4C" w:rsidRDefault="0046499F" w:rsidP="0046499F">
            <w:pPr>
              <w:spacing w:after="0"/>
              <w:rPr>
                <w:rFonts w:ascii="Arial" w:hAnsi="Arial" w:cs="Arial"/>
                <w:color w:val="006100"/>
                <w:sz w:val="16"/>
                <w:szCs w:val="16"/>
              </w:rPr>
            </w:pPr>
            <w:r>
              <w:rPr>
                <w:rFonts w:ascii="Arial" w:hAnsi="Arial" w:cs="Arial"/>
                <w:color w:val="006100"/>
                <w:sz w:val="16"/>
                <w:szCs w:val="16"/>
              </w:rPr>
              <w:t>As above</w:t>
            </w:r>
          </w:p>
        </w:tc>
        <w:tc>
          <w:tcPr>
            <w:tcW w:w="1036" w:type="dxa"/>
            <w:gridSpan w:val="2"/>
            <w:shd w:val="clear" w:color="auto" w:fill="D6E3C6"/>
          </w:tcPr>
          <w:p w14:paraId="28D8C69B" w14:textId="0DB9E84C"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As above</w:t>
            </w:r>
          </w:p>
        </w:tc>
        <w:tc>
          <w:tcPr>
            <w:tcW w:w="1090" w:type="dxa"/>
            <w:gridSpan w:val="2"/>
            <w:shd w:val="clear" w:color="auto" w:fill="D6E3C6"/>
          </w:tcPr>
          <w:p w14:paraId="0C90AC65" w14:textId="1392AB38"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Yes, a</w:t>
            </w:r>
            <w:r w:rsidRPr="004F3D4C">
              <w:rPr>
                <w:rFonts w:ascii="Arial" w:hAnsi="Arial" w:cs="Arial"/>
                <w:color w:val="005D00"/>
                <w:sz w:val="16"/>
                <w:szCs w:val="16"/>
              </w:rPr>
              <w:t>t 1-2 sites after the receipt of documents for completion of the works / equipment installation (Q1 2026, or earlier if completed before that date)</w:t>
            </w:r>
          </w:p>
          <w:p w14:paraId="58791D1A" w14:textId="75E568C9" w:rsidR="0046499F" w:rsidRPr="004F3D4C" w:rsidRDefault="0046499F" w:rsidP="0046499F">
            <w:pPr>
              <w:spacing w:after="0"/>
              <w:rPr>
                <w:rFonts w:ascii="Arial" w:hAnsi="Arial" w:cs="Arial"/>
                <w:color w:val="006100"/>
                <w:sz w:val="16"/>
                <w:szCs w:val="16"/>
              </w:rPr>
            </w:pPr>
          </w:p>
        </w:tc>
        <w:tc>
          <w:tcPr>
            <w:tcW w:w="992" w:type="dxa"/>
            <w:gridSpan w:val="2"/>
            <w:shd w:val="clear" w:color="auto" w:fill="D6E3C6"/>
          </w:tcPr>
          <w:p w14:paraId="6B49E891" w14:textId="51C03395" w:rsidR="0046499F" w:rsidRPr="004F3D4C" w:rsidRDefault="0046499F" w:rsidP="0046499F">
            <w:pPr>
              <w:spacing w:after="0"/>
              <w:rPr>
                <w:rFonts w:ascii="Arial" w:hAnsi="Arial" w:cs="Arial"/>
                <w:color w:val="005D00"/>
                <w:sz w:val="16"/>
                <w:szCs w:val="16"/>
              </w:rPr>
            </w:pPr>
            <w:r>
              <w:rPr>
                <w:rFonts w:ascii="Arial" w:hAnsi="Arial" w:cs="Arial"/>
                <w:color w:val="005D00"/>
                <w:sz w:val="16"/>
                <w:szCs w:val="16"/>
              </w:rPr>
              <w:t>Indicator 2</w:t>
            </w:r>
          </w:p>
        </w:tc>
        <w:tc>
          <w:tcPr>
            <w:tcW w:w="1418" w:type="dxa"/>
            <w:gridSpan w:val="2"/>
            <w:shd w:val="clear" w:color="auto" w:fill="D6E3C6"/>
          </w:tcPr>
          <w:p w14:paraId="6B4FFCE0" w14:textId="577AD586" w:rsidR="0046499F" w:rsidRPr="004F3D4C" w:rsidRDefault="00784941" w:rsidP="0046499F">
            <w:pPr>
              <w:spacing w:after="0"/>
              <w:rPr>
                <w:rFonts w:ascii="Arial" w:hAnsi="Arial" w:cs="Arial"/>
                <w:color w:val="005D00"/>
                <w:sz w:val="16"/>
                <w:szCs w:val="16"/>
              </w:rPr>
            </w:pPr>
            <w:r>
              <w:rPr>
                <w:rFonts w:ascii="Arial" w:hAnsi="Arial" w:cs="Arial"/>
                <w:color w:val="006100"/>
                <w:sz w:val="16"/>
                <w:szCs w:val="16"/>
              </w:rPr>
              <w:t>A monitoring step: Project status report</w:t>
            </w:r>
            <w:r w:rsidRPr="00F54655">
              <w:rPr>
                <w:rFonts w:ascii="Arial" w:hAnsi="Arial" w:cs="Arial"/>
                <w:color w:val="006100"/>
                <w:sz w:val="16"/>
                <w:szCs w:val="16"/>
              </w:rPr>
              <w:t xml:space="preserve"> </w:t>
            </w:r>
            <w:r>
              <w:rPr>
                <w:rFonts w:ascii="Arial" w:hAnsi="Arial" w:cs="Arial"/>
                <w:color w:val="006100"/>
                <w:sz w:val="16"/>
                <w:szCs w:val="16"/>
              </w:rPr>
              <w:t>(Q1 202</w:t>
            </w:r>
            <w:r w:rsidR="00C55607">
              <w:rPr>
                <w:rFonts w:ascii="Arial" w:hAnsi="Arial" w:cs="Arial"/>
                <w:color w:val="006100"/>
                <w:sz w:val="16"/>
                <w:szCs w:val="16"/>
              </w:rPr>
              <w:t>5</w:t>
            </w:r>
            <w:r>
              <w:rPr>
                <w:rFonts w:ascii="Arial" w:hAnsi="Arial" w:cs="Arial"/>
                <w:color w:val="006100"/>
                <w:sz w:val="16"/>
                <w:szCs w:val="16"/>
              </w:rPr>
              <w:t>)</w:t>
            </w:r>
          </w:p>
        </w:tc>
      </w:tr>
    </w:tbl>
    <w:p w14:paraId="2C5FAE3E" w14:textId="77777777" w:rsidR="00EA0C19" w:rsidRPr="004C6985" w:rsidRDefault="00EA0C19" w:rsidP="00EA621A">
      <w:pPr>
        <w:rPr>
          <w:rFonts w:ascii="Arial Narrow" w:hAnsi="Arial Narrow"/>
          <w:lang w:val="en-IE"/>
        </w:rPr>
      </w:pPr>
    </w:p>
    <w:sectPr w:rsidR="00EA0C19" w:rsidRPr="004C6985" w:rsidSect="00B532C3">
      <w:headerReference w:type="even" r:id="rId11"/>
      <w:headerReference w:type="default" r:id="rId12"/>
      <w:footerReference w:type="even" r:id="rId13"/>
      <w:footerReference w:type="default" r:id="rId14"/>
      <w:headerReference w:type="first" r:id="rId15"/>
      <w:footerReference w:type="first" r:id="rId16"/>
      <w:pgSz w:w="23808" w:h="16840" w:orient="landscape" w:code="8"/>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7DA84" w14:textId="77777777" w:rsidR="006643A5" w:rsidRDefault="006643A5" w:rsidP="004C1A65">
      <w:pPr>
        <w:spacing w:after="0" w:line="240" w:lineRule="auto"/>
      </w:pPr>
      <w:r>
        <w:separator/>
      </w:r>
    </w:p>
  </w:endnote>
  <w:endnote w:type="continuationSeparator" w:id="0">
    <w:p w14:paraId="3E24D90A" w14:textId="77777777" w:rsidR="006643A5" w:rsidRDefault="006643A5" w:rsidP="004C1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4FAA" w14:textId="77777777" w:rsidR="00B532C3" w:rsidRDefault="00B532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AEF61" w14:textId="77777777" w:rsidR="00B532C3" w:rsidRDefault="00B532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7CC0A" w14:textId="77777777" w:rsidR="00B532C3" w:rsidRDefault="00B532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828CB" w14:textId="77777777" w:rsidR="006643A5" w:rsidRDefault="006643A5" w:rsidP="004C1A65">
      <w:pPr>
        <w:spacing w:after="0" w:line="240" w:lineRule="auto"/>
      </w:pPr>
      <w:r>
        <w:separator/>
      </w:r>
    </w:p>
  </w:footnote>
  <w:footnote w:type="continuationSeparator" w:id="0">
    <w:p w14:paraId="301A29C0" w14:textId="77777777" w:rsidR="006643A5" w:rsidRDefault="006643A5" w:rsidP="004C1A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2083E" w14:textId="77777777" w:rsidR="00B532C3" w:rsidRDefault="00B532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095C2" w14:textId="77777777" w:rsidR="00B532C3" w:rsidRDefault="00B532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D436E" w14:textId="77777777" w:rsidR="00B532C3" w:rsidRDefault="00B53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87CEE"/>
    <w:multiLevelType w:val="hybridMultilevel"/>
    <w:tmpl w:val="28047A2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91B72D6"/>
    <w:multiLevelType w:val="hybridMultilevel"/>
    <w:tmpl w:val="BC86DEA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AC304CC"/>
    <w:multiLevelType w:val="hybridMultilevel"/>
    <w:tmpl w:val="51B06278"/>
    <w:lvl w:ilvl="0" w:tplc="FFFFFFFF">
      <w:start w:val="1"/>
      <w:numFmt w:val="lowerLetter"/>
      <w:lvlText w:val="%1)"/>
      <w:lvlJc w:val="left"/>
      <w:pPr>
        <w:ind w:left="325"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BBF589B"/>
    <w:multiLevelType w:val="hybridMultilevel"/>
    <w:tmpl w:val="12549FE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F2A707F"/>
    <w:multiLevelType w:val="hybridMultilevel"/>
    <w:tmpl w:val="141E29C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F9E61E5"/>
    <w:multiLevelType w:val="hybridMultilevel"/>
    <w:tmpl w:val="961E870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FD04209"/>
    <w:multiLevelType w:val="hybridMultilevel"/>
    <w:tmpl w:val="49EA0F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D0757E"/>
    <w:multiLevelType w:val="hybridMultilevel"/>
    <w:tmpl w:val="BC86DEA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38506FE"/>
    <w:multiLevelType w:val="hybridMultilevel"/>
    <w:tmpl w:val="C4B4CC56"/>
    <w:lvl w:ilvl="0" w:tplc="FFFFFFFF">
      <w:start w:val="1"/>
      <w:numFmt w:val="lowerLetter"/>
      <w:lvlText w:val="%1)"/>
      <w:lvlJc w:val="left"/>
      <w:pPr>
        <w:ind w:left="36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142F7F40"/>
    <w:multiLevelType w:val="hybridMultilevel"/>
    <w:tmpl w:val="28F0F59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14386C4B"/>
    <w:multiLevelType w:val="hybridMultilevel"/>
    <w:tmpl w:val="D9308EE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14F3632C"/>
    <w:multiLevelType w:val="hybridMultilevel"/>
    <w:tmpl w:val="8152A850"/>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5BE499E"/>
    <w:multiLevelType w:val="hybridMultilevel"/>
    <w:tmpl w:val="D9308EE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D0575E"/>
    <w:multiLevelType w:val="hybridMultilevel"/>
    <w:tmpl w:val="D39EE2E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17932750"/>
    <w:multiLevelType w:val="hybridMultilevel"/>
    <w:tmpl w:val="9804681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A48750C"/>
    <w:multiLevelType w:val="hybridMultilevel"/>
    <w:tmpl w:val="5C047D0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1B69337D"/>
    <w:multiLevelType w:val="hybridMultilevel"/>
    <w:tmpl w:val="E1202D4C"/>
    <w:lvl w:ilvl="0" w:tplc="54F0DA6A">
      <w:start w:val="1"/>
      <w:numFmt w:val="lowerLetter"/>
      <w:lvlText w:val="%1)"/>
      <w:lvlJc w:val="left"/>
      <w:pPr>
        <w:ind w:left="360" w:hanging="360"/>
      </w:pPr>
      <w:rPr>
        <w:rFonts w:hint="default"/>
        <w:color w:val="006100"/>
        <w:sz w:val="16"/>
        <w:szCs w:val="16"/>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24E8080E"/>
    <w:multiLevelType w:val="hybridMultilevel"/>
    <w:tmpl w:val="60980038"/>
    <w:lvl w:ilvl="0" w:tplc="B0D8F4CA">
      <w:start w:val="1"/>
      <w:numFmt w:val="lowerLetter"/>
      <w:lvlText w:val="%1)"/>
      <w:lvlJc w:val="left"/>
      <w:pPr>
        <w:ind w:left="360" w:hanging="360"/>
      </w:pPr>
      <w:rPr>
        <w:rFonts w:hint="default"/>
        <w:color w:val="006100"/>
        <w:sz w:val="16"/>
        <w:szCs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255E4C6D"/>
    <w:multiLevelType w:val="hybridMultilevel"/>
    <w:tmpl w:val="5D669A5A"/>
    <w:lvl w:ilvl="0" w:tplc="FFFFFFFF">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295A2845"/>
    <w:multiLevelType w:val="hybridMultilevel"/>
    <w:tmpl w:val="42C4D18C"/>
    <w:lvl w:ilvl="0" w:tplc="EE921B58">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2A75080A"/>
    <w:multiLevelType w:val="hybridMultilevel"/>
    <w:tmpl w:val="FC2856C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CA3316C"/>
    <w:multiLevelType w:val="hybridMultilevel"/>
    <w:tmpl w:val="9282F3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D2B180D"/>
    <w:multiLevelType w:val="hybridMultilevel"/>
    <w:tmpl w:val="DE2E149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319C6E2A"/>
    <w:multiLevelType w:val="hybridMultilevel"/>
    <w:tmpl w:val="1DA80322"/>
    <w:lvl w:ilvl="0" w:tplc="2D826002">
      <w:start w:val="1"/>
      <w:numFmt w:val="lowerLetter"/>
      <w:lvlText w:val="%1)"/>
      <w:lvlJc w:val="left"/>
      <w:pPr>
        <w:ind w:left="360" w:hanging="360"/>
      </w:pPr>
      <w:rPr>
        <w:rFonts w:hint="default"/>
        <w:color w:val="006100"/>
        <w:sz w:val="16"/>
        <w:szCs w:val="16"/>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32482078"/>
    <w:multiLevelType w:val="hybridMultilevel"/>
    <w:tmpl w:val="B382124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33311AD4"/>
    <w:multiLevelType w:val="hybridMultilevel"/>
    <w:tmpl w:val="B8E83F2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33822E8C"/>
    <w:multiLevelType w:val="hybridMultilevel"/>
    <w:tmpl w:val="4828731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3BB4C97"/>
    <w:multiLevelType w:val="hybridMultilevel"/>
    <w:tmpl w:val="F6EA3B90"/>
    <w:lvl w:ilvl="0" w:tplc="FFFFFFFF">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8" w15:restartNumberingAfterBreak="0">
    <w:nsid w:val="33FC0A14"/>
    <w:multiLevelType w:val="hybridMultilevel"/>
    <w:tmpl w:val="98DA4BE2"/>
    <w:lvl w:ilvl="0" w:tplc="FFFFFFFF">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34944B09"/>
    <w:multiLevelType w:val="hybridMultilevel"/>
    <w:tmpl w:val="AB2E882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0" w15:restartNumberingAfterBreak="0">
    <w:nsid w:val="35997E2A"/>
    <w:multiLevelType w:val="hybridMultilevel"/>
    <w:tmpl w:val="099CFBD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6A045E4"/>
    <w:multiLevelType w:val="hybridMultilevel"/>
    <w:tmpl w:val="E53E1512"/>
    <w:lvl w:ilvl="0" w:tplc="FFFFFFFF">
      <w:start w:val="1"/>
      <w:numFmt w:val="lowerLetter"/>
      <w:lvlText w:val="%1)"/>
      <w:lvlJc w:val="left"/>
      <w:pPr>
        <w:ind w:left="325" w:hanging="360"/>
      </w:pPr>
    </w:lvl>
    <w:lvl w:ilvl="1" w:tplc="FFFFFFFF" w:tentative="1">
      <w:start w:val="1"/>
      <w:numFmt w:val="lowerLetter"/>
      <w:lvlText w:val="%2."/>
      <w:lvlJc w:val="left"/>
      <w:pPr>
        <w:ind w:left="1045" w:hanging="360"/>
      </w:pPr>
    </w:lvl>
    <w:lvl w:ilvl="2" w:tplc="FFFFFFFF" w:tentative="1">
      <w:start w:val="1"/>
      <w:numFmt w:val="lowerRoman"/>
      <w:lvlText w:val="%3."/>
      <w:lvlJc w:val="right"/>
      <w:pPr>
        <w:ind w:left="1765" w:hanging="180"/>
      </w:pPr>
    </w:lvl>
    <w:lvl w:ilvl="3" w:tplc="FFFFFFFF" w:tentative="1">
      <w:start w:val="1"/>
      <w:numFmt w:val="decimal"/>
      <w:lvlText w:val="%4."/>
      <w:lvlJc w:val="left"/>
      <w:pPr>
        <w:ind w:left="2485" w:hanging="360"/>
      </w:pPr>
    </w:lvl>
    <w:lvl w:ilvl="4" w:tplc="FFFFFFFF" w:tentative="1">
      <w:start w:val="1"/>
      <w:numFmt w:val="lowerLetter"/>
      <w:lvlText w:val="%5."/>
      <w:lvlJc w:val="left"/>
      <w:pPr>
        <w:ind w:left="3205" w:hanging="360"/>
      </w:pPr>
    </w:lvl>
    <w:lvl w:ilvl="5" w:tplc="FFFFFFFF" w:tentative="1">
      <w:start w:val="1"/>
      <w:numFmt w:val="lowerRoman"/>
      <w:lvlText w:val="%6."/>
      <w:lvlJc w:val="right"/>
      <w:pPr>
        <w:ind w:left="3925" w:hanging="180"/>
      </w:pPr>
    </w:lvl>
    <w:lvl w:ilvl="6" w:tplc="FFFFFFFF" w:tentative="1">
      <w:start w:val="1"/>
      <w:numFmt w:val="decimal"/>
      <w:lvlText w:val="%7."/>
      <w:lvlJc w:val="left"/>
      <w:pPr>
        <w:ind w:left="4645" w:hanging="360"/>
      </w:pPr>
    </w:lvl>
    <w:lvl w:ilvl="7" w:tplc="FFFFFFFF" w:tentative="1">
      <w:start w:val="1"/>
      <w:numFmt w:val="lowerLetter"/>
      <w:lvlText w:val="%8."/>
      <w:lvlJc w:val="left"/>
      <w:pPr>
        <w:ind w:left="5365" w:hanging="360"/>
      </w:pPr>
    </w:lvl>
    <w:lvl w:ilvl="8" w:tplc="FFFFFFFF" w:tentative="1">
      <w:start w:val="1"/>
      <w:numFmt w:val="lowerRoman"/>
      <w:lvlText w:val="%9."/>
      <w:lvlJc w:val="right"/>
      <w:pPr>
        <w:ind w:left="6085" w:hanging="180"/>
      </w:pPr>
    </w:lvl>
  </w:abstractNum>
  <w:abstractNum w:abstractNumId="32" w15:restartNumberingAfterBreak="0">
    <w:nsid w:val="3AF638AC"/>
    <w:multiLevelType w:val="hybridMultilevel"/>
    <w:tmpl w:val="EF1CB49E"/>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3BFF6D55"/>
    <w:multiLevelType w:val="hybridMultilevel"/>
    <w:tmpl w:val="6B46D55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4" w15:restartNumberingAfterBreak="0">
    <w:nsid w:val="3DB47182"/>
    <w:multiLevelType w:val="hybridMultilevel"/>
    <w:tmpl w:val="E3BC36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EF32D7D"/>
    <w:multiLevelType w:val="hybridMultilevel"/>
    <w:tmpl w:val="AF249FA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3F136DB2"/>
    <w:multiLevelType w:val="hybridMultilevel"/>
    <w:tmpl w:val="6AEA02C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03315CD"/>
    <w:multiLevelType w:val="hybridMultilevel"/>
    <w:tmpl w:val="2C04F548"/>
    <w:lvl w:ilvl="0" w:tplc="54F0DA6A">
      <w:start w:val="1"/>
      <w:numFmt w:val="lowerLetter"/>
      <w:lvlText w:val="%1)"/>
      <w:lvlJc w:val="left"/>
      <w:pPr>
        <w:ind w:left="360" w:hanging="360"/>
      </w:pPr>
      <w:rPr>
        <w:rFonts w:hint="default"/>
        <w:color w:val="006100"/>
        <w:sz w:val="16"/>
        <w:szCs w:val="16"/>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8" w15:restartNumberingAfterBreak="0">
    <w:nsid w:val="41506117"/>
    <w:multiLevelType w:val="hybridMultilevel"/>
    <w:tmpl w:val="DDF8F2F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9" w15:restartNumberingAfterBreak="0">
    <w:nsid w:val="426673C4"/>
    <w:multiLevelType w:val="hybridMultilevel"/>
    <w:tmpl w:val="EAF67E7E"/>
    <w:lvl w:ilvl="0" w:tplc="FFFFFFFF">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0" w15:restartNumberingAfterBreak="0">
    <w:nsid w:val="42D825D1"/>
    <w:multiLevelType w:val="hybridMultilevel"/>
    <w:tmpl w:val="F818611E"/>
    <w:lvl w:ilvl="0" w:tplc="FFFFFFFF">
      <w:start w:val="1"/>
      <w:numFmt w:val="lowerLetter"/>
      <w:lvlText w:val="%1)"/>
      <w:lvlJc w:val="left"/>
      <w:pPr>
        <w:ind w:left="36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1" w15:restartNumberingAfterBreak="0">
    <w:nsid w:val="453419AA"/>
    <w:multiLevelType w:val="hybridMultilevel"/>
    <w:tmpl w:val="03D8C54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7D868CC"/>
    <w:multiLevelType w:val="hybridMultilevel"/>
    <w:tmpl w:val="A74459C2"/>
    <w:lvl w:ilvl="0" w:tplc="59707350">
      <w:start w:val="100"/>
      <w:numFmt w:val="bullet"/>
      <w:lvlText w:val="-"/>
      <w:lvlJc w:val="left"/>
      <w:pPr>
        <w:ind w:left="720" w:hanging="360"/>
      </w:pPr>
      <w:rPr>
        <w:rFonts w:ascii="Calibri" w:eastAsiaTheme="minorHAnsi" w:hAnsi="Calibri" w:cs="Calibri" w:hint="default"/>
        <w:color w:val="006100"/>
        <w:sz w:val="16"/>
      </w:rPr>
    </w:lvl>
    <w:lvl w:ilvl="1" w:tplc="04090017">
      <w:start w:val="1"/>
      <w:numFmt w:val="lowerLetter"/>
      <w:lvlText w:val="%2)"/>
      <w:lvlJc w:val="left"/>
      <w:pPr>
        <w:ind w:left="1440" w:hanging="360"/>
      </w:pPr>
      <w:rPr>
        <w:rFonts w:hint="default"/>
      </w:rPr>
    </w:lvl>
    <w:lvl w:ilvl="2" w:tplc="03D07A48">
      <w:start w:val="1"/>
      <w:numFmt w:val="upperLetter"/>
      <w:lvlText w:val="%3)"/>
      <w:lvlJc w:val="left"/>
      <w:pPr>
        <w:ind w:left="2160" w:hanging="360"/>
      </w:pPr>
      <w:rPr>
        <w:rFont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489F2F59"/>
    <w:multiLevelType w:val="hybridMultilevel"/>
    <w:tmpl w:val="545E355E"/>
    <w:lvl w:ilvl="0" w:tplc="9BC43218">
      <w:start w:val="1"/>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4" w15:restartNumberingAfterBreak="0">
    <w:nsid w:val="4EC22B70"/>
    <w:multiLevelType w:val="hybridMultilevel"/>
    <w:tmpl w:val="9282F3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F6D40FA"/>
    <w:multiLevelType w:val="hybridMultilevel"/>
    <w:tmpl w:val="DE28531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4F9957C5"/>
    <w:multiLevelType w:val="hybridMultilevel"/>
    <w:tmpl w:val="19D0B494"/>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7" w15:restartNumberingAfterBreak="0">
    <w:nsid w:val="505F0C2D"/>
    <w:multiLevelType w:val="hybridMultilevel"/>
    <w:tmpl w:val="92986E00"/>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8" w15:restartNumberingAfterBreak="0">
    <w:nsid w:val="515A20CC"/>
    <w:multiLevelType w:val="hybridMultilevel"/>
    <w:tmpl w:val="2D0C891A"/>
    <w:lvl w:ilvl="0" w:tplc="2D826002">
      <w:start w:val="1"/>
      <w:numFmt w:val="lowerLetter"/>
      <w:lvlText w:val="%1)"/>
      <w:lvlJc w:val="left"/>
      <w:pPr>
        <w:ind w:left="360" w:hanging="360"/>
      </w:pPr>
      <w:rPr>
        <w:rFonts w:hint="default"/>
        <w:color w:val="006100"/>
        <w:sz w:val="16"/>
        <w:szCs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51CB1642"/>
    <w:multiLevelType w:val="hybridMultilevel"/>
    <w:tmpl w:val="1CA6939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53A951DC"/>
    <w:multiLevelType w:val="hybridMultilevel"/>
    <w:tmpl w:val="F084BED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62E6194"/>
    <w:multiLevelType w:val="hybridMultilevel"/>
    <w:tmpl w:val="7E0287E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78D07FB"/>
    <w:multiLevelType w:val="hybridMultilevel"/>
    <w:tmpl w:val="5ED6B98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57E82B80"/>
    <w:multiLevelType w:val="hybridMultilevel"/>
    <w:tmpl w:val="EF1CB49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F3C51DC"/>
    <w:multiLevelType w:val="hybridMultilevel"/>
    <w:tmpl w:val="AD1A6F4A"/>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5" w15:restartNumberingAfterBreak="0">
    <w:nsid w:val="605A31BB"/>
    <w:multiLevelType w:val="hybridMultilevel"/>
    <w:tmpl w:val="E9E4686E"/>
    <w:lvl w:ilvl="0" w:tplc="FFFFFFFF">
      <w:start w:val="1"/>
      <w:numFmt w:val="lowerLetter"/>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56" w15:restartNumberingAfterBreak="0">
    <w:nsid w:val="618C1401"/>
    <w:multiLevelType w:val="hybridMultilevel"/>
    <w:tmpl w:val="222EA0B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6647064B"/>
    <w:multiLevelType w:val="hybridMultilevel"/>
    <w:tmpl w:val="A1DAA31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6A51F51"/>
    <w:multiLevelType w:val="hybridMultilevel"/>
    <w:tmpl w:val="463A79F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787681F"/>
    <w:multiLevelType w:val="hybridMultilevel"/>
    <w:tmpl w:val="BE788AB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6BBC624F"/>
    <w:multiLevelType w:val="hybridMultilevel"/>
    <w:tmpl w:val="A1DAA31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6C804390"/>
    <w:multiLevelType w:val="hybridMultilevel"/>
    <w:tmpl w:val="D25A43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D57022C"/>
    <w:multiLevelType w:val="hybridMultilevel"/>
    <w:tmpl w:val="8110C580"/>
    <w:lvl w:ilvl="0" w:tplc="54F0DA6A">
      <w:start w:val="1"/>
      <w:numFmt w:val="lowerLetter"/>
      <w:lvlText w:val="%1)"/>
      <w:lvlJc w:val="left"/>
      <w:pPr>
        <w:ind w:left="360" w:hanging="360"/>
      </w:pPr>
      <w:rPr>
        <w:rFonts w:hint="default"/>
        <w:color w:val="006100"/>
        <w:sz w:val="16"/>
        <w:szCs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6E8823C4"/>
    <w:multiLevelType w:val="hybridMultilevel"/>
    <w:tmpl w:val="8D50C540"/>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5" w15:restartNumberingAfterBreak="0">
    <w:nsid w:val="70FA6707"/>
    <w:multiLevelType w:val="hybridMultilevel"/>
    <w:tmpl w:val="03D8C54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34729AB"/>
    <w:multiLevelType w:val="hybridMultilevel"/>
    <w:tmpl w:val="F084BED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7" w15:restartNumberingAfterBreak="0">
    <w:nsid w:val="752E322E"/>
    <w:multiLevelType w:val="hybridMultilevel"/>
    <w:tmpl w:val="49EA0FEA"/>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8" w15:restartNumberingAfterBreak="0">
    <w:nsid w:val="76235CF6"/>
    <w:multiLevelType w:val="hybridMultilevel"/>
    <w:tmpl w:val="4D04FF30"/>
    <w:lvl w:ilvl="0" w:tplc="FFFFFFFF">
      <w:start w:val="1"/>
      <w:numFmt w:val="lowerLetter"/>
      <w:lvlText w:val="%1)"/>
      <w:lvlJc w:val="left"/>
      <w:pPr>
        <w:ind w:left="36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9" w15:restartNumberingAfterBreak="0">
    <w:nsid w:val="771C3CC0"/>
    <w:multiLevelType w:val="hybridMultilevel"/>
    <w:tmpl w:val="C61476E0"/>
    <w:lvl w:ilvl="0" w:tplc="54F0DA6A">
      <w:start w:val="1"/>
      <w:numFmt w:val="lowerLetter"/>
      <w:lvlText w:val="%1)"/>
      <w:lvlJc w:val="left"/>
      <w:pPr>
        <w:ind w:left="360" w:hanging="360"/>
      </w:pPr>
      <w:rPr>
        <w:rFonts w:hint="default"/>
        <w:color w:val="006100"/>
        <w:sz w:val="16"/>
        <w:szCs w:val="16"/>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0" w15:restartNumberingAfterBreak="0">
    <w:nsid w:val="773F6E35"/>
    <w:multiLevelType w:val="hybridMultilevel"/>
    <w:tmpl w:val="463A79F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7D740CBD"/>
    <w:multiLevelType w:val="hybridMultilevel"/>
    <w:tmpl w:val="A9B4CD4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2" w15:restartNumberingAfterBreak="0">
    <w:nsid w:val="7F245667"/>
    <w:multiLevelType w:val="hybridMultilevel"/>
    <w:tmpl w:val="D5245F1C"/>
    <w:lvl w:ilvl="0" w:tplc="54F0DA6A">
      <w:start w:val="1"/>
      <w:numFmt w:val="lowerLetter"/>
      <w:lvlText w:val="%1)"/>
      <w:lvlJc w:val="left"/>
      <w:pPr>
        <w:ind w:left="360" w:hanging="360"/>
      </w:pPr>
      <w:rPr>
        <w:rFonts w:hint="default"/>
        <w:color w:val="006100"/>
        <w:sz w:val="16"/>
        <w:szCs w:val="16"/>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467094751">
    <w:abstractNumId w:val="57"/>
  </w:num>
  <w:num w:numId="2" w16cid:durableId="1716192610">
    <w:abstractNumId w:val="58"/>
  </w:num>
  <w:num w:numId="3" w16cid:durableId="1122649363">
    <w:abstractNumId w:val="42"/>
  </w:num>
  <w:num w:numId="4" w16cid:durableId="109981338">
    <w:abstractNumId w:val="67"/>
  </w:num>
  <w:num w:numId="5" w16cid:durableId="1730611029">
    <w:abstractNumId w:val="32"/>
  </w:num>
  <w:num w:numId="6" w16cid:durableId="1036850003">
    <w:abstractNumId w:val="59"/>
  </w:num>
  <w:num w:numId="7" w16cid:durableId="1565795190">
    <w:abstractNumId w:val="66"/>
  </w:num>
  <w:num w:numId="8" w16cid:durableId="887834823">
    <w:abstractNumId w:val="65"/>
  </w:num>
  <w:num w:numId="9" w16cid:durableId="437406617">
    <w:abstractNumId w:val="7"/>
  </w:num>
  <w:num w:numId="10" w16cid:durableId="518279117">
    <w:abstractNumId w:val="29"/>
  </w:num>
  <w:num w:numId="11" w16cid:durableId="524757842">
    <w:abstractNumId w:val="24"/>
  </w:num>
  <w:num w:numId="12" w16cid:durableId="843278687">
    <w:abstractNumId w:val="33"/>
  </w:num>
  <w:num w:numId="13" w16cid:durableId="1923224444">
    <w:abstractNumId w:val="25"/>
  </w:num>
  <w:num w:numId="14" w16cid:durableId="1746879293">
    <w:abstractNumId w:val="35"/>
  </w:num>
  <w:num w:numId="15" w16cid:durableId="1397586843">
    <w:abstractNumId w:val="38"/>
  </w:num>
  <w:num w:numId="16" w16cid:durableId="349726572">
    <w:abstractNumId w:val="64"/>
  </w:num>
  <w:num w:numId="17" w16cid:durableId="1558198261">
    <w:abstractNumId w:val="19"/>
  </w:num>
  <w:num w:numId="18" w16cid:durableId="59866277">
    <w:abstractNumId w:val="4"/>
  </w:num>
  <w:num w:numId="19" w16cid:durableId="1981379093">
    <w:abstractNumId w:val="43"/>
  </w:num>
  <w:num w:numId="20" w16cid:durableId="790824546">
    <w:abstractNumId w:val="5"/>
  </w:num>
  <w:num w:numId="21" w16cid:durableId="900404969">
    <w:abstractNumId w:val="3"/>
  </w:num>
  <w:num w:numId="22" w16cid:durableId="1685279903">
    <w:abstractNumId w:val="22"/>
  </w:num>
  <w:num w:numId="23" w16cid:durableId="1388412164">
    <w:abstractNumId w:val="14"/>
  </w:num>
  <w:num w:numId="24" w16cid:durableId="517430787">
    <w:abstractNumId w:val="54"/>
  </w:num>
  <w:num w:numId="25" w16cid:durableId="113377420">
    <w:abstractNumId w:val="31"/>
  </w:num>
  <w:num w:numId="26" w16cid:durableId="945502415">
    <w:abstractNumId w:val="2"/>
  </w:num>
  <w:num w:numId="27" w16cid:durableId="1618953426">
    <w:abstractNumId w:val="71"/>
  </w:num>
  <w:num w:numId="28" w16cid:durableId="650596212">
    <w:abstractNumId w:val="46"/>
  </w:num>
  <w:num w:numId="29" w16cid:durableId="2130737550">
    <w:abstractNumId w:val="15"/>
  </w:num>
  <w:num w:numId="30" w16cid:durableId="194465203">
    <w:abstractNumId w:val="0"/>
  </w:num>
  <w:num w:numId="31" w16cid:durableId="236130445">
    <w:abstractNumId w:val="9"/>
  </w:num>
  <w:num w:numId="32" w16cid:durableId="1627732744">
    <w:abstractNumId w:val="47"/>
  </w:num>
  <w:num w:numId="33" w16cid:durableId="278293955">
    <w:abstractNumId w:val="36"/>
  </w:num>
  <w:num w:numId="34" w16cid:durableId="142702922">
    <w:abstractNumId w:val="55"/>
  </w:num>
  <w:num w:numId="35" w16cid:durableId="1817142583">
    <w:abstractNumId w:val="11"/>
  </w:num>
  <w:num w:numId="36" w16cid:durableId="1459105742">
    <w:abstractNumId w:val="52"/>
  </w:num>
  <w:num w:numId="37" w16cid:durableId="1114979661">
    <w:abstractNumId w:val="60"/>
  </w:num>
  <w:num w:numId="38" w16cid:durableId="872575028">
    <w:abstractNumId w:val="40"/>
  </w:num>
  <w:num w:numId="39" w16cid:durableId="1070926114">
    <w:abstractNumId w:val="8"/>
  </w:num>
  <w:num w:numId="40" w16cid:durableId="1883981414">
    <w:abstractNumId w:val="30"/>
  </w:num>
  <w:num w:numId="41" w16cid:durableId="2042634106">
    <w:abstractNumId w:val="45"/>
  </w:num>
  <w:num w:numId="42" w16cid:durableId="34283027">
    <w:abstractNumId w:val="68"/>
  </w:num>
  <w:num w:numId="43" w16cid:durableId="749470129">
    <w:abstractNumId w:val="10"/>
  </w:num>
  <w:num w:numId="44" w16cid:durableId="2082099147">
    <w:abstractNumId w:val="12"/>
  </w:num>
  <w:num w:numId="45" w16cid:durableId="1360668158">
    <w:abstractNumId w:val="27"/>
  </w:num>
  <w:num w:numId="46" w16cid:durableId="1185286245">
    <w:abstractNumId w:val="39"/>
  </w:num>
  <w:num w:numId="47" w16cid:durableId="1490630416">
    <w:abstractNumId w:val="18"/>
  </w:num>
  <w:num w:numId="48" w16cid:durableId="1560172921">
    <w:abstractNumId w:val="34"/>
  </w:num>
  <w:num w:numId="49" w16cid:durableId="743457611">
    <w:abstractNumId w:val="62"/>
  </w:num>
  <w:num w:numId="50" w16cid:durableId="1694069675">
    <w:abstractNumId w:val="26"/>
  </w:num>
  <w:num w:numId="51" w16cid:durableId="1756441620">
    <w:abstractNumId w:val="28"/>
  </w:num>
  <w:num w:numId="52" w16cid:durableId="987518250">
    <w:abstractNumId w:val="21"/>
  </w:num>
  <w:num w:numId="53" w16cid:durableId="816728933">
    <w:abstractNumId w:val="44"/>
  </w:num>
  <w:num w:numId="54" w16cid:durableId="404568917">
    <w:abstractNumId w:val="56"/>
  </w:num>
  <w:num w:numId="55" w16cid:durableId="727265254">
    <w:abstractNumId w:val="20"/>
  </w:num>
  <w:num w:numId="56" w16cid:durableId="1666468317">
    <w:abstractNumId w:val="48"/>
  </w:num>
  <w:num w:numId="57" w16cid:durableId="243732288">
    <w:abstractNumId w:val="23"/>
  </w:num>
  <w:num w:numId="58" w16cid:durableId="309216325">
    <w:abstractNumId w:val="49"/>
  </w:num>
  <w:num w:numId="59" w16cid:durableId="816917142">
    <w:abstractNumId w:val="17"/>
  </w:num>
  <w:num w:numId="60" w16cid:durableId="79185635">
    <w:abstractNumId w:val="63"/>
  </w:num>
  <w:num w:numId="61" w16cid:durableId="179129936">
    <w:abstractNumId w:val="16"/>
  </w:num>
  <w:num w:numId="62" w16cid:durableId="435102618">
    <w:abstractNumId w:val="69"/>
  </w:num>
  <w:num w:numId="63" w16cid:durableId="591283239">
    <w:abstractNumId w:val="37"/>
  </w:num>
  <w:num w:numId="64" w16cid:durableId="527837065">
    <w:abstractNumId w:val="72"/>
  </w:num>
  <w:num w:numId="65" w16cid:durableId="951671088">
    <w:abstractNumId w:val="51"/>
  </w:num>
  <w:num w:numId="66" w16cid:durableId="952060331">
    <w:abstractNumId w:val="50"/>
  </w:num>
  <w:num w:numId="67" w16cid:durableId="178928211">
    <w:abstractNumId w:val="6"/>
  </w:num>
  <w:num w:numId="68" w16cid:durableId="2049984600">
    <w:abstractNumId w:val="53"/>
  </w:num>
  <w:num w:numId="69" w16cid:durableId="53043490">
    <w:abstractNumId w:val="13"/>
  </w:num>
  <w:num w:numId="70" w16cid:durableId="1158614817">
    <w:abstractNumId w:val="70"/>
  </w:num>
  <w:num w:numId="71" w16cid:durableId="1315917866">
    <w:abstractNumId w:val="61"/>
  </w:num>
  <w:num w:numId="72" w16cid:durableId="1308970268">
    <w:abstractNumId w:val="41"/>
  </w:num>
  <w:num w:numId="73" w16cid:durableId="1407192183">
    <w:abstractNumId w:val="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GB" w:vendorID="64" w:dllVersion="6" w:nlCheck="1" w:checkStyle="0"/>
  <w:activeWritingStyle w:appName="MSWord" w:lang="fr-BE" w:vendorID="64" w:dllVersion="6" w:nlCheck="1" w:checkStyle="0"/>
  <w:activeWritingStyle w:appName="MSWord" w:lang="en-I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zMLA0NjU3M7YwMzNW0lEKTi0uzszPAykwqgUAGVWMQSwAAAA="/>
    <w:docVar w:name="LW_DocType" w:val="NORMAL"/>
  </w:docVars>
  <w:rsids>
    <w:rsidRoot w:val="00EA0C19"/>
    <w:rsid w:val="000007E1"/>
    <w:rsid w:val="0000533E"/>
    <w:rsid w:val="000126AC"/>
    <w:rsid w:val="00012AB4"/>
    <w:rsid w:val="0001401B"/>
    <w:rsid w:val="00015639"/>
    <w:rsid w:val="00016B5E"/>
    <w:rsid w:val="000170E7"/>
    <w:rsid w:val="00033150"/>
    <w:rsid w:val="000331ED"/>
    <w:rsid w:val="00033D8E"/>
    <w:rsid w:val="00034136"/>
    <w:rsid w:val="00035787"/>
    <w:rsid w:val="00035B9F"/>
    <w:rsid w:val="000405AD"/>
    <w:rsid w:val="00042179"/>
    <w:rsid w:val="0004308E"/>
    <w:rsid w:val="00043095"/>
    <w:rsid w:val="0004426B"/>
    <w:rsid w:val="00046344"/>
    <w:rsid w:val="00053525"/>
    <w:rsid w:val="00055D94"/>
    <w:rsid w:val="0005678A"/>
    <w:rsid w:val="0006023D"/>
    <w:rsid w:val="000619E6"/>
    <w:rsid w:val="00062B36"/>
    <w:rsid w:val="00065395"/>
    <w:rsid w:val="000658CE"/>
    <w:rsid w:val="00071207"/>
    <w:rsid w:val="00073250"/>
    <w:rsid w:val="00074431"/>
    <w:rsid w:val="00075233"/>
    <w:rsid w:val="00077065"/>
    <w:rsid w:val="00077372"/>
    <w:rsid w:val="000801FE"/>
    <w:rsid w:val="0008254D"/>
    <w:rsid w:val="0008325F"/>
    <w:rsid w:val="0008624A"/>
    <w:rsid w:val="000916A7"/>
    <w:rsid w:val="00091B78"/>
    <w:rsid w:val="00091C94"/>
    <w:rsid w:val="00095BFE"/>
    <w:rsid w:val="000A2231"/>
    <w:rsid w:val="000A2CA4"/>
    <w:rsid w:val="000A35CE"/>
    <w:rsid w:val="000B4CF0"/>
    <w:rsid w:val="000B4D45"/>
    <w:rsid w:val="000B53B9"/>
    <w:rsid w:val="000C18D2"/>
    <w:rsid w:val="000C247F"/>
    <w:rsid w:val="000D0BCB"/>
    <w:rsid w:val="000D6F3A"/>
    <w:rsid w:val="000E2CAE"/>
    <w:rsid w:val="000E2EC8"/>
    <w:rsid w:val="000E5BB7"/>
    <w:rsid w:val="000E61F2"/>
    <w:rsid w:val="000E7E64"/>
    <w:rsid w:val="000F1176"/>
    <w:rsid w:val="000F35F4"/>
    <w:rsid w:val="000F4587"/>
    <w:rsid w:val="000F4CAF"/>
    <w:rsid w:val="000F581A"/>
    <w:rsid w:val="001003D9"/>
    <w:rsid w:val="00101BB2"/>
    <w:rsid w:val="00102C7D"/>
    <w:rsid w:val="00103AF5"/>
    <w:rsid w:val="00104074"/>
    <w:rsid w:val="00104B6B"/>
    <w:rsid w:val="001058AE"/>
    <w:rsid w:val="0010D2A8"/>
    <w:rsid w:val="00110411"/>
    <w:rsid w:val="00110AE9"/>
    <w:rsid w:val="00111528"/>
    <w:rsid w:val="00111D2D"/>
    <w:rsid w:val="0011252C"/>
    <w:rsid w:val="00113A99"/>
    <w:rsid w:val="00114AB2"/>
    <w:rsid w:val="001220D5"/>
    <w:rsid w:val="001234C9"/>
    <w:rsid w:val="00123594"/>
    <w:rsid w:val="0012402B"/>
    <w:rsid w:val="00126A71"/>
    <w:rsid w:val="001276BA"/>
    <w:rsid w:val="00127F1E"/>
    <w:rsid w:val="00131331"/>
    <w:rsid w:val="00131388"/>
    <w:rsid w:val="0013310D"/>
    <w:rsid w:val="00134AC7"/>
    <w:rsid w:val="00135863"/>
    <w:rsid w:val="001367B9"/>
    <w:rsid w:val="00136A47"/>
    <w:rsid w:val="00137A6B"/>
    <w:rsid w:val="001437E5"/>
    <w:rsid w:val="00144C13"/>
    <w:rsid w:val="00145985"/>
    <w:rsid w:val="0014728B"/>
    <w:rsid w:val="00150440"/>
    <w:rsid w:val="00154ADA"/>
    <w:rsid w:val="00156C26"/>
    <w:rsid w:val="001605C4"/>
    <w:rsid w:val="00164BD0"/>
    <w:rsid w:val="001665F4"/>
    <w:rsid w:val="001719FF"/>
    <w:rsid w:val="001732C4"/>
    <w:rsid w:val="00173EFB"/>
    <w:rsid w:val="00173FFC"/>
    <w:rsid w:val="001746B1"/>
    <w:rsid w:val="0017607F"/>
    <w:rsid w:val="00177E7D"/>
    <w:rsid w:val="00181307"/>
    <w:rsid w:val="00181AEB"/>
    <w:rsid w:val="00182618"/>
    <w:rsid w:val="001856CC"/>
    <w:rsid w:val="00187FF7"/>
    <w:rsid w:val="00192E0F"/>
    <w:rsid w:val="001941F6"/>
    <w:rsid w:val="001949F4"/>
    <w:rsid w:val="00195A1E"/>
    <w:rsid w:val="0019790D"/>
    <w:rsid w:val="001B6175"/>
    <w:rsid w:val="001B703E"/>
    <w:rsid w:val="001B7300"/>
    <w:rsid w:val="001B7FE2"/>
    <w:rsid w:val="001C2A0F"/>
    <w:rsid w:val="001C32E5"/>
    <w:rsid w:val="001C41DA"/>
    <w:rsid w:val="001C7D87"/>
    <w:rsid w:val="001D0033"/>
    <w:rsid w:val="001D20C9"/>
    <w:rsid w:val="001D23ED"/>
    <w:rsid w:val="001D3FF1"/>
    <w:rsid w:val="001D43FB"/>
    <w:rsid w:val="001D4705"/>
    <w:rsid w:val="001D49AA"/>
    <w:rsid w:val="001D7A74"/>
    <w:rsid w:val="001D7E0F"/>
    <w:rsid w:val="001E02E1"/>
    <w:rsid w:val="001E1289"/>
    <w:rsid w:val="001E4002"/>
    <w:rsid w:val="001E43C7"/>
    <w:rsid w:val="001E4956"/>
    <w:rsid w:val="001E5723"/>
    <w:rsid w:val="001E6DAC"/>
    <w:rsid w:val="001E755C"/>
    <w:rsid w:val="001F0B95"/>
    <w:rsid w:val="001F1D75"/>
    <w:rsid w:val="001F3F13"/>
    <w:rsid w:val="001F466A"/>
    <w:rsid w:val="001F63FD"/>
    <w:rsid w:val="00204C61"/>
    <w:rsid w:val="00205535"/>
    <w:rsid w:val="00211BE8"/>
    <w:rsid w:val="00214CA9"/>
    <w:rsid w:val="00214ED3"/>
    <w:rsid w:val="00215E35"/>
    <w:rsid w:val="00216623"/>
    <w:rsid w:val="002214F3"/>
    <w:rsid w:val="002241F9"/>
    <w:rsid w:val="002243B5"/>
    <w:rsid w:val="00225303"/>
    <w:rsid w:val="00226F25"/>
    <w:rsid w:val="002307B8"/>
    <w:rsid w:val="00232845"/>
    <w:rsid w:val="00232EEE"/>
    <w:rsid w:val="00233655"/>
    <w:rsid w:val="0023517A"/>
    <w:rsid w:val="00242069"/>
    <w:rsid w:val="00245F87"/>
    <w:rsid w:val="0025040E"/>
    <w:rsid w:val="0025409B"/>
    <w:rsid w:val="00255245"/>
    <w:rsid w:val="002564FB"/>
    <w:rsid w:val="00257105"/>
    <w:rsid w:val="002575AA"/>
    <w:rsid w:val="0026404F"/>
    <w:rsid w:val="00265D6C"/>
    <w:rsid w:val="00266096"/>
    <w:rsid w:val="00266462"/>
    <w:rsid w:val="002701D6"/>
    <w:rsid w:val="00273DB8"/>
    <w:rsid w:val="00276500"/>
    <w:rsid w:val="002814A4"/>
    <w:rsid w:val="00284B00"/>
    <w:rsid w:val="00285165"/>
    <w:rsid w:val="002875F1"/>
    <w:rsid w:val="002906E9"/>
    <w:rsid w:val="00292401"/>
    <w:rsid w:val="00295AC1"/>
    <w:rsid w:val="002A11CF"/>
    <w:rsid w:val="002A2260"/>
    <w:rsid w:val="002A381A"/>
    <w:rsid w:val="002A5778"/>
    <w:rsid w:val="002B0CCD"/>
    <w:rsid w:val="002B267D"/>
    <w:rsid w:val="002B709A"/>
    <w:rsid w:val="002B78E7"/>
    <w:rsid w:val="002C1473"/>
    <w:rsid w:val="002C503A"/>
    <w:rsid w:val="002D462F"/>
    <w:rsid w:val="002D5F75"/>
    <w:rsid w:val="002D6A98"/>
    <w:rsid w:val="002E01DE"/>
    <w:rsid w:val="002E09A1"/>
    <w:rsid w:val="002E2FE7"/>
    <w:rsid w:val="002E43B2"/>
    <w:rsid w:val="002E4AD8"/>
    <w:rsid w:val="002E594C"/>
    <w:rsid w:val="002E6409"/>
    <w:rsid w:val="002F51F5"/>
    <w:rsid w:val="002F6438"/>
    <w:rsid w:val="00300542"/>
    <w:rsid w:val="00300D69"/>
    <w:rsid w:val="00303FA5"/>
    <w:rsid w:val="00304336"/>
    <w:rsid w:val="00304D83"/>
    <w:rsid w:val="003055CF"/>
    <w:rsid w:val="003065A4"/>
    <w:rsid w:val="00306A96"/>
    <w:rsid w:val="00312141"/>
    <w:rsid w:val="003217B6"/>
    <w:rsid w:val="00322256"/>
    <w:rsid w:val="00322655"/>
    <w:rsid w:val="00323978"/>
    <w:rsid w:val="0032518D"/>
    <w:rsid w:val="0032698C"/>
    <w:rsid w:val="003317B1"/>
    <w:rsid w:val="00332A1A"/>
    <w:rsid w:val="00332D05"/>
    <w:rsid w:val="0033575E"/>
    <w:rsid w:val="00340C05"/>
    <w:rsid w:val="00342C57"/>
    <w:rsid w:val="0034359D"/>
    <w:rsid w:val="0034474B"/>
    <w:rsid w:val="0034518F"/>
    <w:rsid w:val="00353D7C"/>
    <w:rsid w:val="003544C0"/>
    <w:rsid w:val="003558AF"/>
    <w:rsid w:val="00357CBF"/>
    <w:rsid w:val="00360361"/>
    <w:rsid w:val="00360CC3"/>
    <w:rsid w:val="00362141"/>
    <w:rsid w:val="003621BC"/>
    <w:rsid w:val="00362388"/>
    <w:rsid w:val="003672A8"/>
    <w:rsid w:val="00370DC4"/>
    <w:rsid w:val="00371E03"/>
    <w:rsid w:val="00372B77"/>
    <w:rsid w:val="0037647B"/>
    <w:rsid w:val="00383124"/>
    <w:rsid w:val="003834A4"/>
    <w:rsid w:val="00383525"/>
    <w:rsid w:val="0038736E"/>
    <w:rsid w:val="003904F5"/>
    <w:rsid w:val="003911EE"/>
    <w:rsid w:val="003934C7"/>
    <w:rsid w:val="0039376C"/>
    <w:rsid w:val="00394EA3"/>
    <w:rsid w:val="00394F02"/>
    <w:rsid w:val="003952C9"/>
    <w:rsid w:val="00396DB0"/>
    <w:rsid w:val="0039733D"/>
    <w:rsid w:val="003A2B45"/>
    <w:rsid w:val="003A323D"/>
    <w:rsid w:val="003A3CF0"/>
    <w:rsid w:val="003B0613"/>
    <w:rsid w:val="003B0EBE"/>
    <w:rsid w:val="003B203D"/>
    <w:rsid w:val="003B27CA"/>
    <w:rsid w:val="003B5C49"/>
    <w:rsid w:val="003C0AC6"/>
    <w:rsid w:val="003C2D3B"/>
    <w:rsid w:val="003C5730"/>
    <w:rsid w:val="003D4233"/>
    <w:rsid w:val="003D4383"/>
    <w:rsid w:val="003D5D37"/>
    <w:rsid w:val="003D5D63"/>
    <w:rsid w:val="003D621D"/>
    <w:rsid w:val="003D6A81"/>
    <w:rsid w:val="003E0482"/>
    <w:rsid w:val="003E5087"/>
    <w:rsid w:val="003E73FC"/>
    <w:rsid w:val="003F096A"/>
    <w:rsid w:val="003F24B4"/>
    <w:rsid w:val="003F2C56"/>
    <w:rsid w:val="00400015"/>
    <w:rsid w:val="00405E44"/>
    <w:rsid w:val="00406418"/>
    <w:rsid w:val="00410AB6"/>
    <w:rsid w:val="00411530"/>
    <w:rsid w:val="00413793"/>
    <w:rsid w:val="00415557"/>
    <w:rsid w:val="00416838"/>
    <w:rsid w:val="0041731B"/>
    <w:rsid w:val="00417564"/>
    <w:rsid w:val="00423C1C"/>
    <w:rsid w:val="00425E27"/>
    <w:rsid w:val="00430A9A"/>
    <w:rsid w:val="00432E46"/>
    <w:rsid w:val="00432F8B"/>
    <w:rsid w:val="00435136"/>
    <w:rsid w:val="00435831"/>
    <w:rsid w:val="0043584F"/>
    <w:rsid w:val="004419C4"/>
    <w:rsid w:val="004422A6"/>
    <w:rsid w:val="0044346C"/>
    <w:rsid w:val="00443A71"/>
    <w:rsid w:val="00443E26"/>
    <w:rsid w:val="0045057E"/>
    <w:rsid w:val="00454BC2"/>
    <w:rsid w:val="00456EC3"/>
    <w:rsid w:val="004602AF"/>
    <w:rsid w:val="00464558"/>
    <w:rsid w:val="0046499F"/>
    <w:rsid w:val="0046D176"/>
    <w:rsid w:val="004708D7"/>
    <w:rsid w:val="00470A26"/>
    <w:rsid w:val="0047720B"/>
    <w:rsid w:val="00482044"/>
    <w:rsid w:val="00482EE3"/>
    <w:rsid w:val="0049006A"/>
    <w:rsid w:val="004918A0"/>
    <w:rsid w:val="004948DD"/>
    <w:rsid w:val="00497FDF"/>
    <w:rsid w:val="004A0F3E"/>
    <w:rsid w:val="004A33DC"/>
    <w:rsid w:val="004A3F9B"/>
    <w:rsid w:val="004A6A5C"/>
    <w:rsid w:val="004B4128"/>
    <w:rsid w:val="004B44DD"/>
    <w:rsid w:val="004B5A9B"/>
    <w:rsid w:val="004B7EE5"/>
    <w:rsid w:val="004C0B97"/>
    <w:rsid w:val="004C1A65"/>
    <w:rsid w:val="004C4ADE"/>
    <w:rsid w:val="004C644E"/>
    <w:rsid w:val="004C6985"/>
    <w:rsid w:val="004C7C67"/>
    <w:rsid w:val="004D0C66"/>
    <w:rsid w:val="004D1749"/>
    <w:rsid w:val="004D1B46"/>
    <w:rsid w:val="004D2BD1"/>
    <w:rsid w:val="004D2BF9"/>
    <w:rsid w:val="004D49DA"/>
    <w:rsid w:val="004D5036"/>
    <w:rsid w:val="004D5998"/>
    <w:rsid w:val="004E1549"/>
    <w:rsid w:val="004E580E"/>
    <w:rsid w:val="004E6155"/>
    <w:rsid w:val="004F2C49"/>
    <w:rsid w:val="004F338E"/>
    <w:rsid w:val="004F345E"/>
    <w:rsid w:val="004F3D4C"/>
    <w:rsid w:val="004F6FF4"/>
    <w:rsid w:val="004F7D4E"/>
    <w:rsid w:val="0050233F"/>
    <w:rsid w:val="0050274A"/>
    <w:rsid w:val="00502941"/>
    <w:rsid w:val="00507118"/>
    <w:rsid w:val="00507F3C"/>
    <w:rsid w:val="005107FF"/>
    <w:rsid w:val="005125DF"/>
    <w:rsid w:val="0051498B"/>
    <w:rsid w:val="00516A47"/>
    <w:rsid w:val="005214EA"/>
    <w:rsid w:val="00524BD1"/>
    <w:rsid w:val="0052521D"/>
    <w:rsid w:val="00534744"/>
    <w:rsid w:val="00535904"/>
    <w:rsid w:val="00535A5D"/>
    <w:rsid w:val="0054398F"/>
    <w:rsid w:val="00544592"/>
    <w:rsid w:val="005446BF"/>
    <w:rsid w:val="0054489F"/>
    <w:rsid w:val="00545D2B"/>
    <w:rsid w:val="00547FB4"/>
    <w:rsid w:val="00550E52"/>
    <w:rsid w:val="00551607"/>
    <w:rsid w:val="005525D7"/>
    <w:rsid w:val="005532B1"/>
    <w:rsid w:val="00553D7F"/>
    <w:rsid w:val="00554B86"/>
    <w:rsid w:val="00557A45"/>
    <w:rsid w:val="00564900"/>
    <w:rsid w:val="00564EAA"/>
    <w:rsid w:val="005673E3"/>
    <w:rsid w:val="00572C1D"/>
    <w:rsid w:val="00573B5B"/>
    <w:rsid w:val="005752B1"/>
    <w:rsid w:val="00576507"/>
    <w:rsid w:val="005767D3"/>
    <w:rsid w:val="00576CB3"/>
    <w:rsid w:val="005828D8"/>
    <w:rsid w:val="00585564"/>
    <w:rsid w:val="00586604"/>
    <w:rsid w:val="00590680"/>
    <w:rsid w:val="00592C35"/>
    <w:rsid w:val="00593B90"/>
    <w:rsid w:val="00594C51"/>
    <w:rsid w:val="00595D76"/>
    <w:rsid w:val="00596563"/>
    <w:rsid w:val="00596EEA"/>
    <w:rsid w:val="005979F0"/>
    <w:rsid w:val="00597FC2"/>
    <w:rsid w:val="005A00A1"/>
    <w:rsid w:val="005A1BBC"/>
    <w:rsid w:val="005A2B3A"/>
    <w:rsid w:val="005A363D"/>
    <w:rsid w:val="005A61DD"/>
    <w:rsid w:val="005B07FE"/>
    <w:rsid w:val="005B110D"/>
    <w:rsid w:val="005B1D98"/>
    <w:rsid w:val="005B7EEA"/>
    <w:rsid w:val="005C0BA8"/>
    <w:rsid w:val="005C1833"/>
    <w:rsid w:val="005C23E5"/>
    <w:rsid w:val="005C43EC"/>
    <w:rsid w:val="005C4CAB"/>
    <w:rsid w:val="005D0DE7"/>
    <w:rsid w:val="005D2A81"/>
    <w:rsid w:val="005D3BBB"/>
    <w:rsid w:val="005D6169"/>
    <w:rsid w:val="005D7F4C"/>
    <w:rsid w:val="005E16C8"/>
    <w:rsid w:val="005E3307"/>
    <w:rsid w:val="005E33E7"/>
    <w:rsid w:val="005E4198"/>
    <w:rsid w:val="005F4393"/>
    <w:rsid w:val="005F5B6D"/>
    <w:rsid w:val="005F713C"/>
    <w:rsid w:val="0060047F"/>
    <w:rsid w:val="00600A59"/>
    <w:rsid w:val="00601DDF"/>
    <w:rsid w:val="0060218B"/>
    <w:rsid w:val="006026AD"/>
    <w:rsid w:val="00602FE1"/>
    <w:rsid w:val="00603181"/>
    <w:rsid w:val="00603185"/>
    <w:rsid w:val="00603237"/>
    <w:rsid w:val="0060391E"/>
    <w:rsid w:val="0060439D"/>
    <w:rsid w:val="006061FD"/>
    <w:rsid w:val="00606504"/>
    <w:rsid w:val="00607528"/>
    <w:rsid w:val="00612767"/>
    <w:rsid w:val="00616ECD"/>
    <w:rsid w:val="00617826"/>
    <w:rsid w:val="00627E65"/>
    <w:rsid w:val="00631E9B"/>
    <w:rsid w:val="006328B9"/>
    <w:rsid w:val="006330B4"/>
    <w:rsid w:val="0063368F"/>
    <w:rsid w:val="0063508F"/>
    <w:rsid w:val="0063573B"/>
    <w:rsid w:val="00635878"/>
    <w:rsid w:val="0063789F"/>
    <w:rsid w:val="00637F5F"/>
    <w:rsid w:val="00641A21"/>
    <w:rsid w:val="00643838"/>
    <w:rsid w:val="006439D7"/>
    <w:rsid w:val="00646027"/>
    <w:rsid w:val="006468F7"/>
    <w:rsid w:val="006508B8"/>
    <w:rsid w:val="00652396"/>
    <w:rsid w:val="00652AA2"/>
    <w:rsid w:val="00654177"/>
    <w:rsid w:val="006553BC"/>
    <w:rsid w:val="00662602"/>
    <w:rsid w:val="006643A5"/>
    <w:rsid w:val="00666B4E"/>
    <w:rsid w:val="00671E57"/>
    <w:rsid w:val="00671E9B"/>
    <w:rsid w:val="006740BE"/>
    <w:rsid w:val="00681003"/>
    <w:rsid w:val="006835B1"/>
    <w:rsid w:val="00686718"/>
    <w:rsid w:val="006924B0"/>
    <w:rsid w:val="0069467E"/>
    <w:rsid w:val="00694844"/>
    <w:rsid w:val="00695C4E"/>
    <w:rsid w:val="006A0824"/>
    <w:rsid w:val="006A1A29"/>
    <w:rsid w:val="006A3168"/>
    <w:rsid w:val="006A4588"/>
    <w:rsid w:val="006A646C"/>
    <w:rsid w:val="006A6992"/>
    <w:rsid w:val="006A6B01"/>
    <w:rsid w:val="006A6F79"/>
    <w:rsid w:val="006B3F4C"/>
    <w:rsid w:val="006B41FB"/>
    <w:rsid w:val="006C5CB2"/>
    <w:rsid w:val="006C7B25"/>
    <w:rsid w:val="006D0FE7"/>
    <w:rsid w:val="006D2358"/>
    <w:rsid w:val="006E1781"/>
    <w:rsid w:val="006E1CE1"/>
    <w:rsid w:val="006E4AB2"/>
    <w:rsid w:val="006E5129"/>
    <w:rsid w:val="006E662A"/>
    <w:rsid w:val="006F1A9E"/>
    <w:rsid w:val="006F34C8"/>
    <w:rsid w:val="006F378F"/>
    <w:rsid w:val="006F4186"/>
    <w:rsid w:val="00704962"/>
    <w:rsid w:val="00705470"/>
    <w:rsid w:val="0070690D"/>
    <w:rsid w:val="007138A1"/>
    <w:rsid w:val="007176FA"/>
    <w:rsid w:val="00722C68"/>
    <w:rsid w:val="00724046"/>
    <w:rsid w:val="0072540A"/>
    <w:rsid w:val="00726587"/>
    <w:rsid w:val="0072792C"/>
    <w:rsid w:val="00730C9F"/>
    <w:rsid w:val="0073371A"/>
    <w:rsid w:val="00737DB5"/>
    <w:rsid w:val="00740C28"/>
    <w:rsid w:val="00741391"/>
    <w:rsid w:val="0074169F"/>
    <w:rsid w:val="00741F3A"/>
    <w:rsid w:val="00744CFB"/>
    <w:rsid w:val="00747989"/>
    <w:rsid w:val="007509A1"/>
    <w:rsid w:val="00752065"/>
    <w:rsid w:val="00754226"/>
    <w:rsid w:val="00760EE1"/>
    <w:rsid w:val="0076110A"/>
    <w:rsid w:val="0076311F"/>
    <w:rsid w:val="007638FB"/>
    <w:rsid w:val="007643B8"/>
    <w:rsid w:val="007647A9"/>
    <w:rsid w:val="00764A74"/>
    <w:rsid w:val="00765960"/>
    <w:rsid w:val="00767036"/>
    <w:rsid w:val="00783FFB"/>
    <w:rsid w:val="00784941"/>
    <w:rsid w:val="00784F61"/>
    <w:rsid w:val="00786225"/>
    <w:rsid w:val="00794AC5"/>
    <w:rsid w:val="007A4640"/>
    <w:rsid w:val="007B0A9B"/>
    <w:rsid w:val="007B2A95"/>
    <w:rsid w:val="007B303C"/>
    <w:rsid w:val="007B4299"/>
    <w:rsid w:val="007B5C5E"/>
    <w:rsid w:val="007B5D88"/>
    <w:rsid w:val="007B6B7C"/>
    <w:rsid w:val="007B6EB6"/>
    <w:rsid w:val="007C6864"/>
    <w:rsid w:val="007D0CCD"/>
    <w:rsid w:val="007D177F"/>
    <w:rsid w:val="007D17C3"/>
    <w:rsid w:val="007D2A17"/>
    <w:rsid w:val="007D2B85"/>
    <w:rsid w:val="007D50D3"/>
    <w:rsid w:val="007D56D3"/>
    <w:rsid w:val="007E1174"/>
    <w:rsid w:val="007E1A33"/>
    <w:rsid w:val="007E384D"/>
    <w:rsid w:val="007E4838"/>
    <w:rsid w:val="007E5B04"/>
    <w:rsid w:val="007E6661"/>
    <w:rsid w:val="007F610C"/>
    <w:rsid w:val="007F7B23"/>
    <w:rsid w:val="00800080"/>
    <w:rsid w:val="0080595A"/>
    <w:rsid w:val="0080705F"/>
    <w:rsid w:val="0081193C"/>
    <w:rsid w:val="0081259B"/>
    <w:rsid w:val="00812BD0"/>
    <w:rsid w:val="008147AE"/>
    <w:rsid w:val="0081569E"/>
    <w:rsid w:val="0081582C"/>
    <w:rsid w:val="00816B32"/>
    <w:rsid w:val="00825E2D"/>
    <w:rsid w:val="00825FEA"/>
    <w:rsid w:val="00826142"/>
    <w:rsid w:val="008300FF"/>
    <w:rsid w:val="00835088"/>
    <w:rsid w:val="00840591"/>
    <w:rsid w:val="0084587C"/>
    <w:rsid w:val="00847DF5"/>
    <w:rsid w:val="0085109F"/>
    <w:rsid w:val="008532F4"/>
    <w:rsid w:val="008540AC"/>
    <w:rsid w:val="008570E8"/>
    <w:rsid w:val="00870D6F"/>
    <w:rsid w:val="008715A6"/>
    <w:rsid w:val="00876F26"/>
    <w:rsid w:val="008829EB"/>
    <w:rsid w:val="008852DD"/>
    <w:rsid w:val="0088531F"/>
    <w:rsid w:val="0088549A"/>
    <w:rsid w:val="00890DD4"/>
    <w:rsid w:val="00891220"/>
    <w:rsid w:val="008A4137"/>
    <w:rsid w:val="008A5220"/>
    <w:rsid w:val="008A574B"/>
    <w:rsid w:val="008A7393"/>
    <w:rsid w:val="008A7411"/>
    <w:rsid w:val="008A76FE"/>
    <w:rsid w:val="008B46F9"/>
    <w:rsid w:val="008B46FD"/>
    <w:rsid w:val="008B5D8C"/>
    <w:rsid w:val="008B727D"/>
    <w:rsid w:val="008C6F7B"/>
    <w:rsid w:val="008C7900"/>
    <w:rsid w:val="008C7F9B"/>
    <w:rsid w:val="008D0CA4"/>
    <w:rsid w:val="008D2506"/>
    <w:rsid w:val="008D3C8A"/>
    <w:rsid w:val="008D3F0C"/>
    <w:rsid w:val="008D7A27"/>
    <w:rsid w:val="008E31A0"/>
    <w:rsid w:val="008E323E"/>
    <w:rsid w:val="008E7162"/>
    <w:rsid w:val="008E7D79"/>
    <w:rsid w:val="008F0922"/>
    <w:rsid w:val="008F18B2"/>
    <w:rsid w:val="0090532E"/>
    <w:rsid w:val="00910AB8"/>
    <w:rsid w:val="00911ECF"/>
    <w:rsid w:val="00915E26"/>
    <w:rsid w:val="0091774B"/>
    <w:rsid w:val="0092076C"/>
    <w:rsid w:val="00920B69"/>
    <w:rsid w:val="00923726"/>
    <w:rsid w:val="00923E5C"/>
    <w:rsid w:val="00924246"/>
    <w:rsid w:val="00926573"/>
    <w:rsid w:val="009300B6"/>
    <w:rsid w:val="00931095"/>
    <w:rsid w:val="00932368"/>
    <w:rsid w:val="00937016"/>
    <w:rsid w:val="00937DE6"/>
    <w:rsid w:val="00941088"/>
    <w:rsid w:val="00941B0D"/>
    <w:rsid w:val="00942299"/>
    <w:rsid w:val="009429F7"/>
    <w:rsid w:val="00942EBE"/>
    <w:rsid w:val="00947CFD"/>
    <w:rsid w:val="009502E1"/>
    <w:rsid w:val="00955642"/>
    <w:rsid w:val="00955D57"/>
    <w:rsid w:val="0095638A"/>
    <w:rsid w:val="0096126E"/>
    <w:rsid w:val="0096402D"/>
    <w:rsid w:val="00967570"/>
    <w:rsid w:val="009721AF"/>
    <w:rsid w:val="009736DE"/>
    <w:rsid w:val="0097476C"/>
    <w:rsid w:val="0097568A"/>
    <w:rsid w:val="00976387"/>
    <w:rsid w:val="00976AD5"/>
    <w:rsid w:val="009807A8"/>
    <w:rsid w:val="00982C19"/>
    <w:rsid w:val="00982EBA"/>
    <w:rsid w:val="00983BB7"/>
    <w:rsid w:val="009861A6"/>
    <w:rsid w:val="0098669C"/>
    <w:rsid w:val="0098745F"/>
    <w:rsid w:val="009878C6"/>
    <w:rsid w:val="00990D23"/>
    <w:rsid w:val="009975BB"/>
    <w:rsid w:val="009A0801"/>
    <w:rsid w:val="009A1F0E"/>
    <w:rsid w:val="009A49EB"/>
    <w:rsid w:val="009A4B40"/>
    <w:rsid w:val="009A5EEF"/>
    <w:rsid w:val="009B0806"/>
    <w:rsid w:val="009B2E4A"/>
    <w:rsid w:val="009B353F"/>
    <w:rsid w:val="009C2918"/>
    <w:rsid w:val="009C6B47"/>
    <w:rsid w:val="009C6EE7"/>
    <w:rsid w:val="009D129B"/>
    <w:rsid w:val="009D25C7"/>
    <w:rsid w:val="009D2B1E"/>
    <w:rsid w:val="009D2B2E"/>
    <w:rsid w:val="009D3EDA"/>
    <w:rsid w:val="009D45E8"/>
    <w:rsid w:val="009D4EDC"/>
    <w:rsid w:val="009D5918"/>
    <w:rsid w:val="009E117A"/>
    <w:rsid w:val="009E1AE0"/>
    <w:rsid w:val="009E208B"/>
    <w:rsid w:val="009E335D"/>
    <w:rsid w:val="009E3935"/>
    <w:rsid w:val="009E50A7"/>
    <w:rsid w:val="009F2F58"/>
    <w:rsid w:val="009F3197"/>
    <w:rsid w:val="009F4647"/>
    <w:rsid w:val="00A048A6"/>
    <w:rsid w:val="00A05DE0"/>
    <w:rsid w:val="00A06A88"/>
    <w:rsid w:val="00A2245D"/>
    <w:rsid w:val="00A3080C"/>
    <w:rsid w:val="00A33440"/>
    <w:rsid w:val="00A41ADF"/>
    <w:rsid w:val="00A43FB1"/>
    <w:rsid w:val="00A44B0E"/>
    <w:rsid w:val="00A47558"/>
    <w:rsid w:val="00A51A06"/>
    <w:rsid w:val="00A54F32"/>
    <w:rsid w:val="00A5737B"/>
    <w:rsid w:val="00A57AE7"/>
    <w:rsid w:val="00A6405D"/>
    <w:rsid w:val="00A64479"/>
    <w:rsid w:val="00A668EA"/>
    <w:rsid w:val="00A670BB"/>
    <w:rsid w:val="00A741DD"/>
    <w:rsid w:val="00A75D26"/>
    <w:rsid w:val="00A764F0"/>
    <w:rsid w:val="00A765A8"/>
    <w:rsid w:val="00A80BB0"/>
    <w:rsid w:val="00A80DE0"/>
    <w:rsid w:val="00A84B61"/>
    <w:rsid w:val="00A84FD9"/>
    <w:rsid w:val="00A8566E"/>
    <w:rsid w:val="00A966D4"/>
    <w:rsid w:val="00AA0BBF"/>
    <w:rsid w:val="00AA0BE7"/>
    <w:rsid w:val="00AA140F"/>
    <w:rsid w:val="00AA4CA1"/>
    <w:rsid w:val="00AA51E6"/>
    <w:rsid w:val="00AB0513"/>
    <w:rsid w:val="00AB0674"/>
    <w:rsid w:val="00AB148E"/>
    <w:rsid w:val="00AB264D"/>
    <w:rsid w:val="00AB32E8"/>
    <w:rsid w:val="00AB4F85"/>
    <w:rsid w:val="00AB66EF"/>
    <w:rsid w:val="00AB71DB"/>
    <w:rsid w:val="00AC4B0B"/>
    <w:rsid w:val="00AC6387"/>
    <w:rsid w:val="00AD1E9D"/>
    <w:rsid w:val="00AD2AAA"/>
    <w:rsid w:val="00AD3453"/>
    <w:rsid w:val="00AD380F"/>
    <w:rsid w:val="00AD3CE9"/>
    <w:rsid w:val="00AD4F81"/>
    <w:rsid w:val="00AD5769"/>
    <w:rsid w:val="00AD589E"/>
    <w:rsid w:val="00AD60B6"/>
    <w:rsid w:val="00AD7403"/>
    <w:rsid w:val="00AE0E88"/>
    <w:rsid w:val="00AE27D6"/>
    <w:rsid w:val="00AE7DAE"/>
    <w:rsid w:val="00AF07D3"/>
    <w:rsid w:val="00AF0D88"/>
    <w:rsid w:val="00AF2A28"/>
    <w:rsid w:val="00AF3F6B"/>
    <w:rsid w:val="00AF63BA"/>
    <w:rsid w:val="00AF76B7"/>
    <w:rsid w:val="00B012EE"/>
    <w:rsid w:val="00B016AD"/>
    <w:rsid w:val="00B035E5"/>
    <w:rsid w:val="00B04427"/>
    <w:rsid w:val="00B10FEB"/>
    <w:rsid w:val="00B11D7C"/>
    <w:rsid w:val="00B132D8"/>
    <w:rsid w:val="00B1362A"/>
    <w:rsid w:val="00B15FEA"/>
    <w:rsid w:val="00B2776D"/>
    <w:rsid w:val="00B33679"/>
    <w:rsid w:val="00B34FCB"/>
    <w:rsid w:val="00B35BB7"/>
    <w:rsid w:val="00B36A06"/>
    <w:rsid w:val="00B36E9D"/>
    <w:rsid w:val="00B3770A"/>
    <w:rsid w:val="00B4080E"/>
    <w:rsid w:val="00B40843"/>
    <w:rsid w:val="00B41581"/>
    <w:rsid w:val="00B44562"/>
    <w:rsid w:val="00B4603C"/>
    <w:rsid w:val="00B52857"/>
    <w:rsid w:val="00B532C3"/>
    <w:rsid w:val="00B53C08"/>
    <w:rsid w:val="00B54373"/>
    <w:rsid w:val="00B55F27"/>
    <w:rsid w:val="00B57743"/>
    <w:rsid w:val="00B60A58"/>
    <w:rsid w:val="00B64B79"/>
    <w:rsid w:val="00B71770"/>
    <w:rsid w:val="00B72616"/>
    <w:rsid w:val="00B72F4A"/>
    <w:rsid w:val="00B8008F"/>
    <w:rsid w:val="00B8215F"/>
    <w:rsid w:val="00B84417"/>
    <w:rsid w:val="00B84C84"/>
    <w:rsid w:val="00B90915"/>
    <w:rsid w:val="00B909FF"/>
    <w:rsid w:val="00B92552"/>
    <w:rsid w:val="00B935BA"/>
    <w:rsid w:val="00B938BC"/>
    <w:rsid w:val="00B93AC7"/>
    <w:rsid w:val="00BA09F2"/>
    <w:rsid w:val="00BA23DD"/>
    <w:rsid w:val="00BA5AE3"/>
    <w:rsid w:val="00BA6915"/>
    <w:rsid w:val="00BA6FE1"/>
    <w:rsid w:val="00BC0744"/>
    <w:rsid w:val="00BC3B56"/>
    <w:rsid w:val="00BC3BAC"/>
    <w:rsid w:val="00BC4B4D"/>
    <w:rsid w:val="00BC52F8"/>
    <w:rsid w:val="00BC58D6"/>
    <w:rsid w:val="00BC5D15"/>
    <w:rsid w:val="00BC672C"/>
    <w:rsid w:val="00BC6EA5"/>
    <w:rsid w:val="00BD0075"/>
    <w:rsid w:val="00BD0FDB"/>
    <w:rsid w:val="00BD2B01"/>
    <w:rsid w:val="00BE0487"/>
    <w:rsid w:val="00BE2025"/>
    <w:rsid w:val="00BE301E"/>
    <w:rsid w:val="00BE51B3"/>
    <w:rsid w:val="00BE5E55"/>
    <w:rsid w:val="00BF16C6"/>
    <w:rsid w:val="00BF6387"/>
    <w:rsid w:val="00BF7F9C"/>
    <w:rsid w:val="00C00370"/>
    <w:rsid w:val="00C01AEA"/>
    <w:rsid w:val="00C03B4A"/>
    <w:rsid w:val="00C05006"/>
    <w:rsid w:val="00C13F53"/>
    <w:rsid w:val="00C156EE"/>
    <w:rsid w:val="00C16458"/>
    <w:rsid w:val="00C166D3"/>
    <w:rsid w:val="00C20575"/>
    <w:rsid w:val="00C22083"/>
    <w:rsid w:val="00C23A8B"/>
    <w:rsid w:val="00C23B5E"/>
    <w:rsid w:val="00C31026"/>
    <w:rsid w:val="00C31C91"/>
    <w:rsid w:val="00C32110"/>
    <w:rsid w:val="00C335D1"/>
    <w:rsid w:val="00C36999"/>
    <w:rsid w:val="00C42E3F"/>
    <w:rsid w:val="00C45695"/>
    <w:rsid w:val="00C5218A"/>
    <w:rsid w:val="00C525C6"/>
    <w:rsid w:val="00C53FBF"/>
    <w:rsid w:val="00C55607"/>
    <w:rsid w:val="00C57401"/>
    <w:rsid w:val="00C6466A"/>
    <w:rsid w:val="00C651C1"/>
    <w:rsid w:val="00C662E4"/>
    <w:rsid w:val="00C6733E"/>
    <w:rsid w:val="00C7179E"/>
    <w:rsid w:val="00C72D1A"/>
    <w:rsid w:val="00C7587C"/>
    <w:rsid w:val="00C7646D"/>
    <w:rsid w:val="00C810D0"/>
    <w:rsid w:val="00C84110"/>
    <w:rsid w:val="00C85215"/>
    <w:rsid w:val="00C87D63"/>
    <w:rsid w:val="00C90639"/>
    <w:rsid w:val="00C93425"/>
    <w:rsid w:val="00C93497"/>
    <w:rsid w:val="00C94616"/>
    <w:rsid w:val="00C947AF"/>
    <w:rsid w:val="00CA007E"/>
    <w:rsid w:val="00CA1888"/>
    <w:rsid w:val="00CA265B"/>
    <w:rsid w:val="00CA5331"/>
    <w:rsid w:val="00CA5A17"/>
    <w:rsid w:val="00CA6D79"/>
    <w:rsid w:val="00CB0F24"/>
    <w:rsid w:val="00CB3D67"/>
    <w:rsid w:val="00CB5155"/>
    <w:rsid w:val="00CB5360"/>
    <w:rsid w:val="00CB5D3B"/>
    <w:rsid w:val="00CB669A"/>
    <w:rsid w:val="00CB7119"/>
    <w:rsid w:val="00CB7451"/>
    <w:rsid w:val="00CC0810"/>
    <w:rsid w:val="00CC134A"/>
    <w:rsid w:val="00CC23FF"/>
    <w:rsid w:val="00CC5FB2"/>
    <w:rsid w:val="00CC6F4B"/>
    <w:rsid w:val="00CC74B4"/>
    <w:rsid w:val="00CD1BAF"/>
    <w:rsid w:val="00CD246B"/>
    <w:rsid w:val="00CD2BBA"/>
    <w:rsid w:val="00CD63AF"/>
    <w:rsid w:val="00CE0140"/>
    <w:rsid w:val="00CE01F1"/>
    <w:rsid w:val="00CE058E"/>
    <w:rsid w:val="00CE2989"/>
    <w:rsid w:val="00CE50FF"/>
    <w:rsid w:val="00CF2B40"/>
    <w:rsid w:val="00CF44DB"/>
    <w:rsid w:val="00CF56BB"/>
    <w:rsid w:val="00D03CC9"/>
    <w:rsid w:val="00D0656E"/>
    <w:rsid w:val="00D07000"/>
    <w:rsid w:val="00D11862"/>
    <w:rsid w:val="00D12B83"/>
    <w:rsid w:val="00D16D2A"/>
    <w:rsid w:val="00D21BCF"/>
    <w:rsid w:val="00D22FE4"/>
    <w:rsid w:val="00D26888"/>
    <w:rsid w:val="00D270A2"/>
    <w:rsid w:val="00D27EAA"/>
    <w:rsid w:val="00D30482"/>
    <w:rsid w:val="00D342AD"/>
    <w:rsid w:val="00D35B13"/>
    <w:rsid w:val="00D35DE8"/>
    <w:rsid w:val="00D365C4"/>
    <w:rsid w:val="00D4471B"/>
    <w:rsid w:val="00D454C7"/>
    <w:rsid w:val="00D471E2"/>
    <w:rsid w:val="00D50E21"/>
    <w:rsid w:val="00D51BCA"/>
    <w:rsid w:val="00D527C1"/>
    <w:rsid w:val="00D52EC4"/>
    <w:rsid w:val="00D54B60"/>
    <w:rsid w:val="00D55934"/>
    <w:rsid w:val="00D55FC5"/>
    <w:rsid w:val="00D6140D"/>
    <w:rsid w:val="00D635CC"/>
    <w:rsid w:val="00D67EF4"/>
    <w:rsid w:val="00D70BA5"/>
    <w:rsid w:val="00D71A64"/>
    <w:rsid w:val="00D735B2"/>
    <w:rsid w:val="00D739BD"/>
    <w:rsid w:val="00D7428D"/>
    <w:rsid w:val="00D746C0"/>
    <w:rsid w:val="00D749E7"/>
    <w:rsid w:val="00D75906"/>
    <w:rsid w:val="00D775E7"/>
    <w:rsid w:val="00D814A7"/>
    <w:rsid w:val="00D81B5E"/>
    <w:rsid w:val="00D82B73"/>
    <w:rsid w:val="00D879F6"/>
    <w:rsid w:val="00D90D83"/>
    <w:rsid w:val="00D9495A"/>
    <w:rsid w:val="00D9580D"/>
    <w:rsid w:val="00DA0752"/>
    <w:rsid w:val="00DA1378"/>
    <w:rsid w:val="00DA2602"/>
    <w:rsid w:val="00DA3840"/>
    <w:rsid w:val="00DB2E06"/>
    <w:rsid w:val="00DB56D4"/>
    <w:rsid w:val="00DB68BB"/>
    <w:rsid w:val="00DC23F3"/>
    <w:rsid w:val="00DC48CC"/>
    <w:rsid w:val="00DC6046"/>
    <w:rsid w:val="00DC6049"/>
    <w:rsid w:val="00DD2E65"/>
    <w:rsid w:val="00DD4A49"/>
    <w:rsid w:val="00DD4D01"/>
    <w:rsid w:val="00DD504A"/>
    <w:rsid w:val="00DD656E"/>
    <w:rsid w:val="00DE09EC"/>
    <w:rsid w:val="00DE2C9B"/>
    <w:rsid w:val="00DE328F"/>
    <w:rsid w:val="00DE72C0"/>
    <w:rsid w:val="00DE742C"/>
    <w:rsid w:val="00DE7D2E"/>
    <w:rsid w:val="00DF08D1"/>
    <w:rsid w:val="00DF1DDC"/>
    <w:rsid w:val="00DF2177"/>
    <w:rsid w:val="00DF4118"/>
    <w:rsid w:val="00DF6549"/>
    <w:rsid w:val="00E00545"/>
    <w:rsid w:val="00E00ACF"/>
    <w:rsid w:val="00E077B4"/>
    <w:rsid w:val="00E112AB"/>
    <w:rsid w:val="00E13748"/>
    <w:rsid w:val="00E154DC"/>
    <w:rsid w:val="00E15818"/>
    <w:rsid w:val="00E20CD2"/>
    <w:rsid w:val="00E21896"/>
    <w:rsid w:val="00E24221"/>
    <w:rsid w:val="00E248D5"/>
    <w:rsid w:val="00E263F7"/>
    <w:rsid w:val="00E302F2"/>
    <w:rsid w:val="00E33AAF"/>
    <w:rsid w:val="00E33AE8"/>
    <w:rsid w:val="00E37713"/>
    <w:rsid w:val="00E37937"/>
    <w:rsid w:val="00E43658"/>
    <w:rsid w:val="00E43B8A"/>
    <w:rsid w:val="00E50FB8"/>
    <w:rsid w:val="00E556E6"/>
    <w:rsid w:val="00E63F3F"/>
    <w:rsid w:val="00E656CA"/>
    <w:rsid w:val="00E66FE5"/>
    <w:rsid w:val="00E70EA7"/>
    <w:rsid w:val="00E729C9"/>
    <w:rsid w:val="00E73161"/>
    <w:rsid w:val="00E74480"/>
    <w:rsid w:val="00E80460"/>
    <w:rsid w:val="00E80B72"/>
    <w:rsid w:val="00E82145"/>
    <w:rsid w:val="00E8318C"/>
    <w:rsid w:val="00E842B1"/>
    <w:rsid w:val="00E851D3"/>
    <w:rsid w:val="00E85569"/>
    <w:rsid w:val="00E864AA"/>
    <w:rsid w:val="00E86623"/>
    <w:rsid w:val="00E87CF9"/>
    <w:rsid w:val="00E92C9C"/>
    <w:rsid w:val="00E94A54"/>
    <w:rsid w:val="00EA0C19"/>
    <w:rsid w:val="00EA15F7"/>
    <w:rsid w:val="00EA2095"/>
    <w:rsid w:val="00EA3A78"/>
    <w:rsid w:val="00EA6054"/>
    <w:rsid w:val="00EA621A"/>
    <w:rsid w:val="00EA7488"/>
    <w:rsid w:val="00EA767A"/>
    <w:rsid w:val="00EA7817"/>
    <w:rsid w:val="00EC3CB8"/>
    <w:rsid w:val="00EC5553"/>
    <w:rsid w:val="00EC5927"/>
    <w:rsid w:val="00EC5C06"/>
    <w:rsid w:val="00EC7997"/>
    <w:rsid w:val="00EC79AC"/>
    <w:rsid w:val="00ED0945"/>
    <w:rsid w:val="00ED0A5C"/>
    <w:rsid w:val="00ED32BF"/>
    <w:rsid w:val="00ED394E"/>
    <w:rsid w:val="00ED4330"/>
    <w:rsid w:val="00EE2D77"/>
    <w:rsid w:val="00EE6458"/>
    <w:rsid w:val="00EE6EC1"/>
    <w:rsid w:val="00EF1231"/>
    <w:rsid w:val="00EF1B32"/>
    <w:rsid w:val="00F01D1C"/>
    <w:rsid w:val="00F02C9D"/>
    <w:rsid w:val="00F10073"/>
    <w:rsid w:val="00F14AC7"/>
    <w:rsid w:val="00F14B1B"/>
    <w:rsid w:val="00F16058"/>
    <w:rsid w:val="00F20D7C"/>
    <w:rsid w:val="00F223B3"/>
    <w:rsid w:val="00F25A80"/>
    <w:rsid w:val="00F26F17"/>
    <w:rsid w:val="00F27248"/>
    <w:rsid w:val="00F367DB"/>
    <w:rsid w:val="00F37B95"/>
    <w:rsid w:val="00F40C8D"/>
    <w:rsid w:val="00F4107B"/>
    <w:rsid w:val="00F41DD1"/>
    <w:rsid w:val="00F447F0"/>
    <w:rsid w:val="00F46CCB"/>
    <w:rsid w:val="00F477BE"/>
    <w:rsid w:val="00F501AD"/>
    <w:rsid w:val="00F50F06"/>
    <w:rsid w:val="00F54655"/>
    <w:rsid w:val="00F6000C"/>
    <w:rsid w:val="00F6033E"/>
    <w:rsid w:val="00F610A3"/>
    <w:rsid w:val="00F62112"/>
    <w:rsid w:val="00F63A4D"/>
    <w:rsid w:val="00F63E39"/>
    <w:rsid w:val="00F658F7"/>
    <w:rsid w:val="00F65E1F"/>
    <w:rsid w:val="00F67BCE"/>
    <w:rsid w:val="00F67CB2"/>
    <w:rsid w:val="00F67FC0"/>
    <w:rsid w:val="00F714E0"/>
    <w:rsid w:val="00F749E1"/>
    <w:rsid w:val="00F7627A"/>
    <w:rsid w:val="00F80371"/>
    <w:rsid w:val="00F82ECE"/>
    <w:rsid w:val="00F83098"/>
    <w:rsid w:val="00F85429"/>
    <w:rsid w:val="00F87F3E"/>
    <w:rsid w:val="00F87F5C"/>
    <w:rsid w:val="00F922FF"/>
    <w:rsid w:val="00F965D8"/>
    <w:rsid w:val="00F9728C"/>
    <w:rsid w:val="00FA0749"/>
    <w:rsid w:val="00FA0BC5"/>
    <w:rsid w:val="00FA13C0"/>
    <w:rsid w:val="00FA5796"/>
    <w:rsid w:val="00FB11C6"/>
    <w:rsid w:val="00FB1ED8"/>
    <w:rsid w:val="00FB3CE6"/>
    <w:rsid w:val="00FB582B"/>
    <w:rsid w:val="00FC0806"/>
    <w:rsid w:val="00FC1795"/>
    <w:rsid w:val="00FC1944"/>
    <w:rsid w:val="00FC269A"/>
    <w:rsid w:val="00FC322B"/>
    <w:rsid w:val="00FC4088"/>
    <w:rsid w:val="00FC52C0"/>
    <w:rsid w:val="00FC72B0"/>
    <w:rsid w:val="00FD03C9"/>
    <w:rsid w:val="00FD040D"/>
    <w:rsid w:val="00FD059A"/>
    <w:rsid w:val="00FD16E2"/>
    <w:rsid w:val="00FD35EB"/>
    <w:rsid w:val="00FD411E"/>
    <w:rsid w:val="00FD4AE6"/>
    <w:rsid w:val="00FD56C8"/>
    <w:rsid w:val="00FD66E9"/>
    <w:rsid w:val="00FD6F4F"/>
    <w:rsid w:val="00FE052A"/>
    <w:rsid w:val="00FE15DE"/>
    <w:rsid w:val="00FE47C6"/>
    <w:rsid w:val="00FE4923"/>
    <w:rsid w:val="00FE5632"/>
    <w:rsid w:val="00FF174F"/>
    <w:rsid w:val="00FF502B"/>
    <w:rsid w:val="00FF6F9B"/>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CA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F79"/>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cs="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A0C19"/>
    <w:rPr>
      <w:sz w:val="16"/>
      <w:szCs w:val="16"/>
    </w:rPr>
  </w:style>
  <w:style w:type="paragraph" w:styleId="NoSpacing">
    <w:name w:val="No Spacing"/>
    <w:uiPriority w:val="1"/>
    <w:qFormat/>
    <w:rsid w:val="00EA0C19"/>
    <w:pPr>
      <w:spacing w:after="0" w:line="240" w:lineRule="auto"/>
      <w:jc w:val="both"/>
    </w:pPr>
    <w:rPr>
      <w:rFonts w:ascii="Times New Roman" w:hAnsi="Times New Roman" w:cs="Times New Roman"/>
      <w:sz w:val="24"/>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46B"/>
    <w:rPr>
      <w:rFonts w:ascii="Segoe UI" w:hAnsi="Segoe UI" w:cs="Segoe UI"/>
      <w:sz w:val="18"/>
      <w:szCs w:val="18"/>
    </w:rPr>
  </w:style>
  <w:style w:type="character" w:customStyle="1" w:styleId="Heading1Char">
    <w:name w:val="Heading 1 Char"/>
    <w:basedOn w:val="DefaultParagraphFont"/>
    <w:link w:val="Heading1"/>
    <w:uiPriority w:val="9"/>
    <w:rsid w:val="00CD246B"/>
    <w:rPr>
      <w:rFonts w:ascii="Times New Roman" w:eastAsia="Times New Roman" w:hAnsi="Times New Roman" w:cs="Times New Roman"/>
      <w:b/>
      <w:bCs/>
      <w:smallCaps/>
      <w:sz w:val="24"/>
      <w:szCs w:val="28"/>
    </w:rPr>
  </w:style>
  <w:style w:type="character" w:customStyle="1" w:styleId="Heading2Char">
    <w:name w:val="Heading 2 Char"/>
    <w:basedOn w:val="DefaultParagraphFont"/>
    <w:link w:val="Heading2"/>
    <w:uiPriority w:val="9"/>
    <w:rsid w:val="00CD246B"/>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CD246B"/>
    <w:rPr>
      <w:rFonts w:ascii="Times New Roman" w:eastAsia="Times New Roman" w:hAnsi="Times New Roman" w:cs="Times New Roman"/>
      <w:bCs/>
      <w:i/>
      <w:sz w:val="24"/>
    </w:rPr>
  </w:style>
  <w:style w:type="character" w:customStyle="1" w:styleId="Heading4Char">
    <w:name w:val="Heading 4 Char"/>
    <w:basedOn w:val="DefaultParagraphFont"/>
    <w:link w:val="Heading4"/>
    <w:uiPriority w:val="9"/>
    <w:rsid w:val="00CD246B"/>
    <w:rPr>
      <w:rFonts w:ascii="Times New Roman" w:eastAsia="Times New Roman" w:hAnsi="Times New Roman" w:cs="Times New Roman"/>
      <w:bCs/>
      <w:iCs/>
      <w:sz w:val="24"/>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131331"/>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basedOn w:val="CommentTextChar"/>
    <w:link w:val="CommentSubject"/>
    <w:uiPriority w:val="99"/>
    <w:semiHidden/>
    <w:rsid w:val="005B1D98"/>
    <w:rPr>
      <w:b/>
      <w:bCs/>
      <w:sz w:val="20"/>
      <w:szCs w:val="20"/>
    </w:rPr>
  </w:style>
  <w:style w:type="paragraph" w:styleId="Revision">
    <w:name w:val="Revision"/>
    <w:hidden/>
    <w:uiPriority w:val="99"/>
    <w:semiHidden/>
    <w:rsid w:val="00982C19"/>
    <w:pPr>
      <w:spacing w:after="0" w:line="240" w:lineRule="auto"/>
    </w:pPr>
  </w:style>
  <w:style w:type="character" w:customStyle="1" w:styleId="Mention1">
    <w:name w:val="Mention1"/>
    <w:basedOn w:val="DefaultParagraphFont"/>
    <w:uiPriority w:val="99"/>
    <w:unhideWhenUsed/>
    <w:rsid w:val="0033575E"/>
    <w:rPr>
      <w:color w:val="2B579A"/>
      <w:shd w:val="clear" w:color="auto" w:fill="E6E6E6"/>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63508F"/>
  </w:style>
  <w:style w:type="paragraph" w:customStyle="1" w:styleId="Default">
    <w:name w:val="Default"/>
    <w:rsid w:val="005A363D"/>
    <w:pPr>
      <w:autoSpaceDE w:val="0"/>
      <w:autoSpaceDN w:val="0"/>
      <w:adjustRightInd w:val="0"/>
      <w:spacing w:after="0" w:line="240" w:lineRule="auto"/>
    </w:pPr>
    <w:rPr>
      <w:rFonts w:ascii="Arial" w:hAnsi="Arial" w:cs="Arial"/>
      <w:color w:val="000000"/>
      <w:sz w:val="24"/>
      <w:szCs w:val="24"/>
      <w:lang w:val="fr-BE"/>
    </w:rPr>
  </w:style>
  <w:style w:type="character" w:styleId="Hyperlink">
    <w:name w:val="Hyperlink"/>
    <w:basedOn w:val="DefaultParagraphFont"/>
    <w:uiPriority w:val="99"/>
    <w:semiHidden/>
    <w:unhideWhenUsed/>
    <w:rsid w:val="00D55934"/>
    <w:rPr>
      <w:color w:val="0000FF"/>
      <w:u w:val="single"/>
    </w:rPr>
  </w:style>
  <w:style w:type="paragraph" w:styleId="Header">
    <w:name w:val="header"/>
    <w:basedOn w:val="Normal"/>
    <w:link w:val="HeaderChar"/>
    <w:uiPriority w:val="99"/>
    <w:unhideWhenUsed/>
    <w:rsid w:val="004C1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A65"/>
  </w:style>
  <w:style w:type="paragraph" w:styleId="Footer">
    <w:name w:val="footer"/>
    <w:basedOn w:val="Normal"/>
    <w:link w:val="FooterChar"/>
    <w:uiPriority w:val="99"/>
    <w:unhideWhenUsed/>
    <w:rsid w:val="004C1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A65"/>
  </w:style>
  <w:style w:type="character" w:styleId="Mention">
    <w:name w:val="Mention"/>
    <w:basedOn w:val="DefaultParagraphFont"/>
    <w:uiPriority w:val="99"/>
    <w:unhideWhenUsed/>
    <w:rsid w:val="000331E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87336F-D937-4814-AB9B-514956FB9D4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9792086-543c-4482-843a-4431bb57c163"/>
    <ds:schemaRef ds:uri="http://purl.org/dc/elements/1.1/"/>
    <ds:schemaRef ds:uri="http://schemas.microsoft.com/office/2006/metadata/properties"/>
    <ds:schemaRef ds:uri="12f0dea6-8091-45fa-bed6-1366d8e8fecc"/>
    <ds:schemaRef ds:uri="http://www.w3.org/XML/1998/namespace"/>
    <ds:schemaRef ds:uri="http://purl.org/dc/dcmitype/"/>
  </ds:schemaRefs>
</ds:datastoreItem>
</file>

<file path=customXml/itemProps2.xml><?xml version="1.0" encoding="utf-8"?>
<ds:datastoreItem xmlns:ds="http://schemas.openxmlformats.org/officeDocument/2006/customXml" ds:itemID="{968458DD-68BB-4BF3-A917-A6225D13F9AA}">
  <ds:schemaRefs>
    <ds:schemaRef ds:uri="http://schemas.openxmlformats.org/officeDocument/2006/bibliography"/>
  </ds:schemaRefs>
</ds:datastoreItem>
</file>

<file path=customXml/itemProps3.xml><?xml version="1.0" encoding="utf-8"?>
<ds:datastoreItem xmlns:ds="http://schemas.openxmlformats.org/officeDocument/2006/customXml" ds:itemID="{DADC3FE0-DEB9-4A2C-AED5-E5007D049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0C0707-3A6C-400B-AAC7-9C18409F79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18775</Words>
  <Characters>107023</Characters>
  <Application>Microsoft Office Word</Application>
  <DocSecurity>0</DocSecurity>
  <Lines>891</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2022-08-08T06:44:00Z</dcterms:created>
  <dcterms:modified xsi:type="dcterms:W3CDTF">2022-08-08T06:47:00Z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ies>
</file>