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33F7E" w14:textId="6C2CB83F" w:rsidR="00C572A6" w:rsidRPr="004C6985" w:rsidRDefault="00C572A6" w:rsidP="00C572A6">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1C57C20E" w14:textId="77777777" w:rsidR="00C572A6" w:rsidRPr="004C6985" w:rsidRDefault="00C572A6" w:rsidP="00C572A6">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5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8"/>
        <w:gridCol w:w="1101"/>
        <w:gridCol w:w="883"/>
        <w:gridCol w:w="1276"/>
        <w:gridCol w:w="1418"/>
        <w:gridCol w:w="558"/>
        <w:gridCol w:w="564"/>
        <w:gridCol w:w="570"/>
        <w:gridCol w:w="434"/>
        <w:gridCol w:w="575"/>
        <w:gridCol w:w="6"/>
        <w:gridCol w:w="919"/>
        <w:gridCol w:w="6"/>
        <w:gridCol w:w="903"/>
        <w:gridCol w:w="2185"/>
        <w:gridCol w:w="4619"/>
        <w:gridCol w:w="2409"/>
        <w:gridCol w:w="20"/>
        <w:gridCol w:w="831"/>
        <w:gridCol w:w="8"/>
        <w:gridCol w:w="701"/>
        <w:gridCol w:w="8"/>
        <w:gridCol w:w="843"/>
        <w:gridCol w:w="1134"/>
      </w:tblGrid>
      <w:tr w:rsidR="00E97053" w:rsidRPr="00312B39" w14:paraId="4D06FD7F" w14:textId="5C2C38ED" w:rsidTr="004A20D4">
        <w:trPr>
          <w:tblHeader/>
        </w:trPr>
        <w:tc>
          <w:tcPr>
            <w:tcW w:w="568" w:type="dxa"/>
            <w:vMerge w:val="restart"/>
            <w:shd w:val="clear" w:color="auto" w:fill="BDD7EE"/>
            <w:noWrap/>
            <w:vAlign w:val="center"/>
          </w:tcPr>
          <w:p w14:paraId="2F23A1B5"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w:t>
            </w:r>
          </w:p>
        </w:tc>
        <w:tc>
          <w:tcPr>
            <w:tcW w:w="1101" w:type="dxa"/>
            <w:vMerge w:val="restart"/>
            <w:shd w:val="clear" w:color="auto" w:fill="BDD7EE"/>
            <w:noWrap/>
            <w:vAlign w:val="center"/>
          </w:tcPr>
          <w:p w14:paraId="04FF6A89"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Related measure (reform or investment)</w:t>
            </w:r>
          </w:p>
        </w:tc>
        <w:tc>
          <w:tcPr>
            <w:tcW w:w="883" w:type="dxa"/>
            <w:vMerge w:val="restart"/>
            <w:shd w:val="clear" w:color="auto" w:fill="BDD7EE"/>
            <w:noWrap/>
            <w:vAlign w:val="center"/>
          </w:tcPr>
          <w:p w14:paraId="55A6ABB6"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M/T</w:t>
            </w:r>
          </w:p>
        </w:tc>
        <w:tc>
          <w:tcPr>
            <w:tcW w:w="1276" w:type="dxa"/>
            <w:vMerge w:val="restart"/>
            <w:shd w:val="clear" w:color="auto" w:fill="BDD7EE"/>
            <w:noWrap/>
            <w:vAlign w:val="center"/>
          </w:tcPr>
          <w:p w14:paraId="761649D1"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Name</w:t>
            </w:r>
          </w:p>
        </w:tc>
        <w:tc>
          <w:tcPr>
            <w:tcW w:w="1418" w:type="dxa"/>
            <w:vMerge w:val="restart"/>
            <w:shd w:val="clear" w:color="auto" w:fill="BDD7EE"/>
            <w:noWrap/>
            <w:vAlign w:val="center"/>
          </w:tcPr>
          <w:p w14:paraId="501ADBEC"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Qualitative indicators (for milestones)</w:t>
            </w:r>
          </w:p>
        </w:tc>
        <w:tc>
          <w:tcPr>
            <w:tcW w:w="1692" w:type="dxa"/>
            <w:gridSpan w:val="3"/>
            <w:shd w:val="clear" w:color="auto" w:fill="BDD7EE"/>
            <w:noWrap/>
            <w:vAlign w:val="center"/>
          </w:tcPr>
          <w:p w14:paraId="3173D676"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Quantitative indicators (for targets)</w:t>
            </w:r>
          </w:p>
        </w:tc>
        <w:tc>
          <w:tcPr>
            <w:tcW w:w="1015" w:type="dxa"/>
            <w:gridSpan w:val="3"/>
            <w:shd w:val="clear" w:color="auto" w:fill="BDD7EE"/>
            <w:noWrap/>
            <w:vAlign w:val="center"/>
          </w:tcPr>
          <w:p w14:paraId="43F72BA8"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Date for completion</w:t>
            </w:r>
          </w:p>
        </w:tc>
        <w:tc>
          <w:tcPr>
            <w:tcW w:w="925" w:type="dxa"/>
            <w:gridSpan w:val="2"/>
            <w:shd w:val="clear" w:color="auto" w:fill="BDD7EE"/>
            <w:vAlign w:val="center"/>
          </w:tcPr>
          <w:p w14:paraId="7C52AE1C"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Responsibility for reporting and implementation</w:t>
            </w:r>
          </w:p>
        </w:tc>
        <w:tc>
          <w:tcPr>
            <w:tcW w:w="903" w:type="dxa"/>
            <w:shd w:val="clear" w:color="auto" w:fill="BDD7EE"/>
            <w:vAlign w:val="center"/>
          </w:tcPr>
          <w:p w14:paraId="0AEE5F76" w14:textId="77777777"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Further specification (if necessary)</w:t>
            </w:r>
          </w:p>
        </w:tc>
        <w:tc>
          <w:tcPr>
            <w:tcW w:w="9233" w:type="dxa"/>
            <w:gridSpan w:val="4"/>
            <w:shd w:val="clear" w:color="auto" w:fill="BDD7EE"/>
            <w:vAlign w:val="center"/>
          </w:tcPr>
          <w:p w14:paraId="1B86A47D" w14:textId="44D91ABE"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839" w:type="dxa"/>
            <w:gridSpan w:val="2"/>
            <w:shd w:val="clear" w:color="auto" w:fill="BDD7EE"/>
          </w:tcPr>
          <w:p w14:paraId="63CAA904" w14:textId="37CFB42B"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Possible early warning indicators</w:t>
            </w:r>
          </w:p>
        </w:tc>
        <w:tc>
          <w:tcPr>
            <w:tcW w:w="709" w:type="dxa"/>
            <w:gridSpan w:val="2"/>
            <w:shd w:val="clear" w:color="auto" w:fill="BDD7EE"/>
          </w:tcPr>
          <w:p w14:paraId="65A46E4C" w14:textId="363FB5C1"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On-the-spot check</w:t>
            </w:r>
          </w:p>
        </w:tc>
        <w:tc>
          <w:tcPr>
            <w:tcW w:w="843" w:type="dxa"/>
            <w:shd w:val="clear" w:color="auto" w:fill="BDD7EE"/>
          </w:tcPr>
          <w:p w14:paraId="795987DA" w14:textId="452C88AD"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Relevant common indicators</w:t>
            </w:r>
          </w:p>
        </w:tc>
        <w:tc>
          <w:tcPr>
            <w:tcW w:w="1134" w:type="dxa"/>
            <w:shd w:val="clear" w:color="auto" w:fill="BDD7EE"/>
          </w:tcPr>
          <w:p w14:paraId="2790CC6B" w14:textId="58842D56" w:rsidR="00E97053" w:rsidRPr="00312B39" w:rsidRDefault="00E97053" w:rsidP="00A63E1A">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Comment</w:t>
            </w:r>
          </w:p>
        </w:tc>
      </w:tr>
      <w:tr w:rsidR="00E97053" w:rsidRPr="00312B39" w14:paraId="667D8910" w14:textId="3C624631" w:rsidTr="004A20D4">
        <w:trPr>
          <w:tblHeader/>
        </w:trPr>
        <w:tc>
          <w:tcPr>
            <w:tcW w:w="568" w:type="dxa"/>
            <w:vMerge/>
            <w:noWrap/>
          </w:tcPr>
          <w:p w14:paraId="2037C7FB"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1101" w:type="dxa"/>
            <w:vMerge/>
            <w:noWrap/>
          </w:tcPr>
          <w:p w14:paraId="16FFAFAB"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883" w:type="dxa"/>
            <w:vMerge/>
            <w:noWrap/>
          </w:tcPr>
          <w:p w14:paraId="6A02F189"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1276" w:type="dxa"/>
            <w:vMerge/>
            <w:noWrap/>
          </w:tcPr>
          <w:p w14:paraId="0DF8FA60" w14:textId="77777777" w:rsidR="00E97053" w:rsidRPr="00312B39" w:rsidRDefault="00E97053" w:rsidP="00581D4F">
            <w:pPr>
              <w:spacing w:after="0"/>
              <w:rPr>
                <w:rFonts w:ascii="Arial" w:eastAsia="Times New Roman" w:hAnsi="Arial" w:cs="Arial"/>
                <w:color w:val="006100"/>
                <w:sz w:val="16"/>
                <w:szCs w:val="16"/>
                <w:lang w:eastAsia="en-GB"/>
              </w:rPr>
            </w:pPr>
          </w:p>
        </w:tc>
        <w:tc>
          <w:tcPr>
            <w:tcW w:w="1418" w:type="dxa"/>
            <w:vMerge/>
            <w:noWrap/>
          </w:tcPr>
          <w:p w14:paraId="23A9F40B" w14:textId="77777777" w:rsidR="00E97053" w:rsidRPr="00312B39" w:rsidRDefault="00E97053" w:rsidP="00581D4F">
            <w:pPr>
              <w:spacing w:after="0"/>
              <w:rPr>
                <w:rFonts w:ascii="Arial" w:eastAsia="Times New Roman" w:hAnsi="Arial" w:cs="Arial"/>
                <w:color w:val="006100"/>
                <w:sz w:val="16"/>
                <w:szCs w:val="16"/>
                <w:lang w:eastAsia="en-GB"/>
              </w:rPr>
            </w:pPr>
          </w:p>
        </w:tc>
        <w:tc>
          <w:tcPr>
            <w:tcW w:w="558" w:type="dxa"/>
            <w:shd w:val="clear" w:color="auto" w:fill="BDD7EE"/>
            <w:noWrap/>
          </w:tcPr>
          <w:p w14:paraId="4A040231" w14:textId="77777777" w:rsidR="00E97053" w:rsidRPr="00312B39" w:rsidRDefault="00E97053" w:rsidP="00581D4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Unit</w:t>
            </w:r>
          </w:p>
        </w:tc>
        <w:tc>
          <w:tcPr>
            <w:tcW w:w="564" w:type="dxa"/>
            <w:shd w:val="clear" w:color="auto" w:fill="BDD7EE"/>
            <w:noWrap/>
          </w:tcPr>
          <w:p w14:paraId="16D4F47C" w14:textId="77777777" w:rsidR="00E97053" w:rsidRPr="00312B39" w:rsidRDefault="00E97053" w:rsidP="00581D4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Base-line</w:t>
            </w:r>
          </w:p>
        </w:tc>
        <w:tc>
          <w:tcPr>
            <w:tcW w:w="570" w:type="dxa"/>
            <w:shd w:val="clear" w:color="auto" w:fill="BDD7EE"/>
            <w:noWrap/>
          </w:tcPr>
          <w:p w14:paraId="02B3F4FE" w14:textId="77777777" w:rsidR="00E97053" w:rsidRPr="00312B39" w:rsidRDefault="00E97053" w:rsidP="00581D4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Goal</w:t>
            </w:r>
          </w:p>
        </w:tc>
        <w:tc>
          <w:tcPr>
            <w:tcW w:w="434" w:type="dxa"/>
            <w:shd w:val="clear" w:color="auto" w:fill="BDD7EE"/>
            <w:noWrap/>
          </w:tcPr>
          <w:p w14:paraId="4CCA73BD" w14:textId="77777777" w:rsidR="00E97053" w:rsidRPr="00312B39" w:rsidRDefault="00E97053" w:rsidP="00581D4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Q</w:t>
            </w:r>
          </w:p>
        </w:tc>
        <w:tc>
          <w:tcPr>
            <w:tcW w:w="575" w:type="dxa"/>
            <w:shd w:val="clear" w:color="auto" w:fill="BDD7EE"/>
            <w:noWrap/>
          </w:tcPr>
          <w:p w14:paraId="0DC6EDBC" w14:textId="77777777" w:rsidR="00E97053" w:rsidRPr="00312B39" w:rsidRDefault="00E97053" w:rsidP="00581D4F">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Year</w:t>
            </w:r>
          </w:p>
        </w:tc>
        <w:tc>
          <w:tcPr>
            <w:tcW w:w="925" w:type="dxa"/>
            <w:gridSpan w:val="2"/>
          </w:tcPr>
          <w:p w14:paraId="239B0823"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c>
          <w:tcPr>
            <w:tcW w:w="909" w:type="dxa"/>
            <w:gridSpan w:val="2"/>
          </w:tcPr>
          <w:p w14:paraId="0D93DB18"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c>
          <w:tcPr>
            <w:tcW w:w="2185" w:type="dxa"/>
          </w:tcPr>
          <w:p w14:paraId="362565C0" w14:textId="3E3168B4" w:rsidR="00E97053" w:rsidRPr="00312B39" w:rsidDel="0030144A" w:rsidRDefault="00E97053" w:rsidP="00581D4F">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4619" w:type="dxa"/>
          </w:tcPr>
          <w:p w14:paraId="22AAE648" w14:textId="088AA7D2" w:rsidR="00E97053" w:rsidRPr="00312B39" w:rsidDel="0030144A" w:rsidRDefault="00E97053" w:rsidP="00581D4F">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409" w:type="dxa"/>
          </w:tcPr>
          <w:p w14:paraId="545E9D34" w14:textId="4A54E261" w:rsidR="00E97053" w:rsidRPr="00312B39" w:rsidDel="0030144A" w:rsidRDefault="00E97053" w:rsidP="00581D4F">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851" w:type="dxa"/>
            <w:gridSpan w:val="2"/>
          </w:tcPr>
          <w:p w14:paraId="3EDFF817"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c>
          <w:tcPr>
            <w:tcW w:w="709" w:type="dxa"/>
            <w:gridSpan w:val="2"/>
          </w:tcPr>
          <w:p w14:paraId="11C67146"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c>
          <w:tcPr>
            <w:tcW w:w="851" w:type="dxa"/>
            <w:gridSpan w:val="2"/>
          </w:tcPr>
          <w:p w14:paraId="5EFDA86C"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c>
          <w:tcPr>
            <w:tcW w:w="1134" w:type="dxa"/>
          </w:tcPr>
          <w:p w14:paraId="212BAA35" w14:textId="77777777" w:rsidR="00E97053" w:rsidRPr="00312B39" w:rsidDel="0030144A" w:rsidRDefault="00E97053" w:rsidP="00581D4F">
            <w:pPr>
              <w:spacing w:after="0"/>
              <w:rPr>
                <w:rFonts w:ascii="Arial" w:eastAsia="Times New Roman" w:hAnsi="Arial" w:cs="Arial"/>
                <w:color w:val="006100"/>
                <w:sz w:val="16"/>
                <w:szCs w:val="16"/>
                <w:highlight w:val="cyan"/>
                <w:lang w:eastAsia="en-GB"/>
              </w:rPr>
            </w:pPr>
          </w:p>
        </w:tc>
      </w:tr>
      <w:tr w:rsidR="00E97053" w:rsidRPr="00312B39" w14:paraId="4B4458E5" w14:textId="25F3A665" w:rsidTr="004A20D4">
        <w:tc>
          <w:tcPr>
            <w:tcW w:w="568" w:type="dxa"/>
            <w:shd w:val="clear" w:color="auto" w:fill="D6E3C6"/>
            <w:noWrap/>
          </w:tcPr>
          <w:p w14:paraId="79001FFF" w14:textId="36A00D21" w:rsidR="00E97053" w:rsidRPr="00312B39" w:rsidRDefault="00E97053" w:rsidP="00581D4F">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207</w:t>
            </w:r>
          </w:p>
        </w:tc>
        <w:tc>
          <w:tcPr>
            <w:tcW w:w="1101" w:type="dxa"/>
            <w:shd w:val="clear" w:color="auto" w:fill="D6E3C6"/>
            <w:noWrap/>
          </w:tcPr>
          <w:p w14:paraId="14D87D24" w14:textId="5464B20F" w:rsidR="00E97053" w:rsidRPr="00312B39" w:rsidRDefault="00E97053" w:rsidP="00581D4F">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C9.R1: A new regional approach with the direct involvement of local communities in the management of European funds and instruments</w:t>
            </w:r>
          </w:p>
        </w:tc>
        <w:tc>
          <w:tcPr>
            <w:tcW w:w="883" w:type="dxa"/>
            <w:shd w:val="clear" w:color="auto" w:fill="D6E3C6"/>
            <w:noWrap/>
          </w:tcPr>
          <w:p w14:paraId="50457929" w14:textId="16679830" w:rsidR="00E97053" w:rsidRPr="00312B39" w:rsidRDefault="00E97053" w:rsidP="00581D4F">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Milestone</w:t>
            </w:r>
          </w:p>
        </w:tc>
        <w:tc>
          <w:tcPr>
            <w:tcW w:w="1276" w:type="dxa"/>
            <w:shd w:val="clear" w:color="auto" w:fill="D6E3C6"/>
            <w:noWrap/>
          </w:tcPr>
          <w:p w14:paraId="144604BF" w14:textId="12D57826" w:rsidR="00E97053" w:rsidRPr="00312B39" w:rsidRDefault="00E97053" w:rsidP="00581D4F">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Amendments to the regulatory framework regarding management of EU funding</w:t>
            </w:r>
          </w:p>
        </w:tc>
        <w:tc>
          <w:tcPr>
            <w:tcW w:w="1418" w:type="dxa"/>
            <w:shd w:val="clear" w:color="auto" w:fill="D6E3C6"/>
            <w:noWrap/>
          </w:tcPr>
          <w:p w14:paraId="5D30C79C" w14:textId="171A0347" w:rsidR="00E97053" w:rsidRPr="00312B39" w:rsidRDefault="00E97053" w:rsidP="00581D4F">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Entry into force of the amendments to the Financial Resources Management of the European Structural and Investment Funds Act</w:t>
            </w:r>
          </w:p>
        </w:tc>
        <w:tc>
          <w:tcPr>
            <w:tcW w:w="558" w:type="dxa"/>
            <w:shd w:val="clear" w:color="auto" w:fill="D6E3C6"/>
            <w:noWrap/>
          </w:tcPr>
          <w:p w14:paraId="33669CAA"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564" w:type="dxa"/>
            <w:shd w:val="clear" w:color="auto" w:fill="D6E3C6"/>
            <w:noWrap/>
          </w:tcPr>
          <w:p w14:paraId="0294FC4E"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570" w:type="dxa"/>
            <w:shd w:val="clear" w:color="auto" w:fill="D6E3C6"/>
            <w:noWrap/>
          </w:tcPr>
          <w:p w14:paraId="289FE7F2" w14:textId="77777777" w:rsidR="00E97053" w:rsidRPr="00312B39" w:rsidRDefault="00E97053" w:rsidP="00581D4F">
            <w:pPr>
              <w:spacing w:after="0"/>
              <w:jc w:val="center"/>
              <w:rPr>
                <w:rFonts w:ascii="Arial" w:eastAsia="Times New Roman" w:hAnsi="Arial" w:cs="Arial"/>
                <w:color w:val="006100"/>
                <w:sz w:val="16"/>
                <w:szCs w:val="16"/>
                <w:lang w:eastAsia="en-GB"/>
              </w:rPr>
            </w:pPr>
          </w:p>
        </w:tc>
        <w:tc>
          <w:tcPr>
            <w:tcW w:w="434" w:type="dxa"/>
            <w:shd w:val="clear" w:color="auto" w:fill="D6E3C6"/>
            <w:noWrap/>
          </w:tcPr>
          <w:p w14:paraId="1991FDD2" w14:textId="02243072" w:rsidR="00E97053" w:rsidRPr="00312B39" w:rsidRDefault="00E97053" w:rsidP="00581D4F">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Q2</w:t>
            </w:r>
          </w:p>
        </w:tc>
        <w:tc>
          <w:tcPr>
            <w:tcW w:w="575" w:type="dxa"/>
            <w:shd w:val="clear" w:color="auto" w:fill="D6E3C6"/>
            <w:noWrap/>
          </w:tcPr>
          <w:p w14:paraId="10C30FAC" w14:textId="13D8738B" w:rsidR="00E97053" w:rsidRPr="00312B39" w:rsidRDefault="00E97053" w:rsidP="00581D4F">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2022</w:t>
            </w:r>
          </w:p>
        </w:tc>
        <w:tc>
          <w:tcPr>
            <w:tcW w:w="925" w:type="dxa"/>
            <w:gridSpan w:val="2"/>
            <w:shd w:val="clear" w:color="auto" w:fill="D6E3C6"/>
          </w:tcPr>
          <w:p w14:paraId="263CFDAC" w14:textId="48F536F7" w:rsidR="00E97053" w:rsidRPr="002F4FA0" w:rsidRDefault="00E97053" w:rsidP="00581D4F">
            <w:pPr>
              <w:spacing w:after="0"/>
              <w:rPr>
                <w:rFonts w:ascii="Arial" w:eastAsia="Times New Roman" w:hAnsi="Arial" w:cs="Arial"/>
                <w:color w:val="006100"/>
                <w:sz w:val="16"/>
                <w:szCs w:val="16"/>
                <w:lang w:eastAsia="en-GB"/>
              </w:rPr>
            </w:pPr>
            <w:r w:rsidRPr="002F4FA0">
              <w:rPr>
                <w:rFonts w:ascii="Arial" w:eastAsia="Times New Roman" w:hAnsi="Arial" w:cs="Arial"/>
                <w:color w:val="006100"/>
                <w:sz w:val="16"/>
                <w:szCs w:val="16"/>
                <w:lang w:eastAsia="en-GB"/>
              </w:rPr>
              <w:t>Ministry of Finances</w:t>
            </w:r>
          </w:p>
        </w:tc>
        <w:tc>
          <w:tcPr>
            <w:tcW w:w="909" w:type="dxa"/>
            <w:gridSpan w:val="2"/>
            <w:shd w:val="clear" w:color="auto" w:fill="D6E3C6"/>
          </w:tcPr>
          <w:p w14:paraId="0CDC6E34" w14:textId="77777777" w:rsidR="00E97053" w:rsidRPr="002F4FA0" w:rsidRDefault="00E97053" w:rsidP="00581D4F">
            <w:pPr>
              <w:spacing w:after="0"/>
              <w:rPr>
                <w:rFonts w:ascii="Arial" w:eastAsia="Times New Roman" w:hAnsi="Arial" w:cs="Arial"/>
                <w:color w:val="006100"/>
                <w:sz w:val="16"/>
                <w:szCs w:val="16"/>
                <w:lang w:eastAsia="en-GB"/>
              </w:rPr>
            </w:pPr>
          </w:p>
        </w:tc>
        <w:tc>
          <w:tcPr>
            <w:tcW w:w="2185" w:type="dxa"/>
            <w:shd w:val="clear" w:color="auto" w:fill="D6E3C6"/>
          </w:tcPr>
          <w:p w14:paraId="6F050FC4" w14:textId="4A1990DC" w:rsidR="00E97053" w:rsidRPr="00312B39" w:rsidRDefault="00E97053" w:rsidP="00312B39">
            <w:pPr>
              <w:pStyle w:val="ListParagraph"/>
              <w:numPr>
                <w:ilvl w:val="0"/>
                <w:numId w:val="13"/>
              </w:numPr>
              <w:ind w:left="552"/>
              <w:rPr>
                <w:rFonts w:ascii="Arial" w:hAnsi="Arial" w:cs="Arial"/>
                <w:color w:val="006100"/>
                <w:sz w:val="16"/>
                <w:szCs w:val="16"/>
                <w:lang w:val="en-IE" w:eastAsia="en-GB"/>
              </w:rPr>
            </w:pPr>
            <w:r w:rsidRPr="00312B39">
              <w:rPr>
                <w:rFonts w:ascii="Arial" w:hAnsi="Arial" w:cs="Arial"/>
                <w:color w:val="006100"/>
                <w:sz w:val="16"/>
                <w:szCs w:val="16"/>
                <w:lang w:val="en-IE" w:eastAsia="en-GB"/>
              </w:rPr>
              <w:t xml:space="preserve">Copy of the publication in the State Gazette for primary legislation and the secondary legislation that is critical for achieving the </w:t>
            </w:r>
            <w:r w:rsidRPr="002F4FA0">
              <w:rPr>
                <w:rFonts w:ascii="Arial" w:hAnsi="Arial" w:cs="Arial"/>
                <w:color w:val="006100"/>
                <w:sz w:val="16"/>
                <w:szCs w:val="16"/>
                <w:lang w:val="en-IE" w:eastAsia="en-GB"/>
              </w:rPr>
              <w:t>objectives</w:t>
            </w:r>
            <w:r w:rsidRPr="00312B39">
              <w:rPr>
                <w:rFonts w:ascii="Arial" w:hAnsi="Arial" w:cs="Arial"/>
                <w:color w:val="006100"/>
                <w:sz w:val="16"/>
                <w:szCs w:val="16"/>
                <w:lang w:val="en-IE" w:eastAsia="en-GB"/>
              </w:rPr>
              <w:t xml:space="preserve"> described in the milestone </w:t>
            </w:r>
          </w:p>
          <w:p w14:paraId="6A5258C2" w14:textId="3C25C259" w:rsidR="00E97053" w:rsidRPr="00312B39" w:rsidRDefault="00E97053" w:rsidP="00312B39">
            <w:pPr>
              <w:pStyle w:val="ListParagraph"/>
              <w:numPr>
                <w:ilvl w:val="0"/>
                <w:numId w:val="13"/>
              </w:numPr>
              <w:ind w:left="552"/>
              <w:rPr>
                <w:rFonts w:ascii="Arial" w:hAnsi="Arial" w:cs="Arial"/>
                <w:color w:val="006100"/>
                <w:sz w:val="16"/>
                <w:szCs w:val="16"/>
                <w:lang w:val="en-US" w:eastAsia="en-GB"/>
              </w:rPr>
            </w:pPr>
            <w:r w:rsidRPr="00312B39">
              <w:rPr>
                <w:rFonts w:ascii="Arial" w:hAnsi="Arial" w:cs="Arial"/>
                <w:color w:val="006100"/>
                <w:sz w:val="16"/>
                <w:szCs w:val="16"/>
                <w:lang w:val="en-IE" w:eastAsia="en-GB"/>
              </w:rPr>
              <w:t>Reference to the relevant provisions indicating the entry into force, accompanied by a document duly justifying how the milestone (including all the constitutive elements) was satisfactorily fulfilled.</w:t>
            </w:r>
            <w:r w:rsidRPr="00312B39">
              <w:rPr>
                <w:rFonts w:ascii="Arial" w:hAnsi="Arial" w:cs="Arial"/>
                <w:color w:val="006100"/>
                <w:sz w:val="16"/>
                <w:szCs w:val="16"/>
                <w:lang w:val="en-US" w:eastAsia="en-GB"/>
              </w:rPr>
              <w:t> </w:t>
            </w:r>
          </w:p>
          <w:p w14:paraId="3B8E5513" w14:textId="77777777" w:rsidR="00E97053" w:rsidRPr="00312B39" w:rsidRDefault="00E97053" w:rsidP="00581D4F">
            <w:pPr>
              <w:spacing w:after="0"/>
              <w:rPr>
                <w:rFonts w:ascii="Arial" w:hAnsi="Arial" w:cs="Arial"/>
                <w:color w:val="006100"/>
                <w:sz w:val="16"/>
                <w:szCs w:val="16"/>
              </w:rPr>
            </w:pPr>
          </w:p>
        </w:tc>
        <w:tc>
          <w:tcPr>
            <w:tcW w:w="4619" w:type="dxa"/>
            <w:shd w:val="clear" w:color="auto" w:fill="D6E3C6"/>
          </w:tcPr>
          <w:p w14:paraId="1864DFCC" w14:textId="507956C5" w:rsidR="00E97053" w:rsidRPr="00312B39" w:rsidRDefault="00E97053" w:rsidP="001A7A6D">
            <w:pPr>
              <w:spacing w:after="0"/>
              <w:rPr>
                <w:rFonts w:ascii="Arial" w:hAnsi="Arial" w:cs="Arial"/>
                <w:color w:val="006100"/>
                <w:sz w:val="16"/>
                <w:szCs w:val="16"/>
              </w:rPr>
            </w:pPr>
            <w:r w:rsidRPr="00312B39">
              <w:rPr>
                <w:rFonts w:ascii="Arial" w:hAnsi="Arial" w:cs="Arial"/>
                <w:color w:val="006100"/>
                <w:sz w:val="16"/>
                <w:szCs w:val="16"/>
              </w:rPr>
              <w:t xml:space="preserve">Institution/s: </w:t>
            </w:r>
            <w:r>
              <w:rPr>
                <w:rFonts w:ascii="Arial" w:hAnsi="Arial" w:cs="Arial"/>
                <w:color w:val="006100"/>
                <w:sz w:val="16"/>
                <w:szCs w:val="16"/>
              </w:rPr>
              <w:t>MF</w:t>
            </w:r>
          </w:p>
          <w:p w14:paraId="70EA61AF" w14:textId="77777777" w:rsidR="00E97053" w:rsidRPr="00312B39" w:rsidRDefault="00E97053" w:rsidP="001A7A6D">
            <w:pPr>
              <w:spacing w:after="0"/>
              <w:rPr>
                <w:rFonts w:ascii="Arial" w:hAnsi="Arial" w:cs="Arial"/>
                <w:color w:val="006100"/>
                <w:sz w:val="16"/>
                <w:szCs w:val="16"/>
              </w:rPr>
            </w:pPr>
          </w:p>
          <w:p w14:paraId="6AB268D6" w14:textId="6AA3701E" w:rsidR="00E97053" w:rsidRPr="00312B39" w:rsidRDefault="00E97053" w:rsidP="001A7A6D">
            <w:pPr>
              <w:spacing w:after="0"/>
              <w:rPr>
                <w:rFonts w:ascii="Arial" w:hAnsi="Arial" w:cs="Arial"/>
                <w:color w:val="006100"/>
                <w:sz w:val="16"/>
                <w:szCs w:val="16"/>
              </w:rPr>
            </w:pPr>
            <w:r w:rsidRPr="00312B39">
              <w:rPr>
                <w:rFonts w:ascii="Arial" w:hAnsi="Arial" w:cs="Arial"/>
                <w:color w:val="006100"/>
                <w:sz w:val="16"/>
                <w:szCs w:val="16"/>
              </w:rPr>
              <w:t>What: Entry into force of the amendments to the Financial Resources Management of the European Structural and Investment Funds Act (evidenced by its copy – a</w:t>
            </w:r>
            <w:r>
              <w:rPr>
                <w:rFonts w:ascii="Arial" w:hAnsi="Arial" w:cs="Arial"/>
                <w:color w:val="006100"/>
                <w:sz w:val="16"/>
                <w:szCs w:val="16"/>
              </w:rPr>
              <w:t xml:space="preserve"> and the references in b</w:t>
            </w:r>
            <w:r w:rsidRPr="00312B39">
              <w:rPr>
                <w:rFonts w:ascii="Arial" w:hAnsi="Arial" w:cs="Arial"/>
                <w:color w:val="006100"/>
                <w:sz w:val="16"/>
                <w:szCs w:val="16"/>
              </w:rPr>
              <w:t>)</w:t>
            </w:r>
          </w:p>
          <w:p w14:paraId="596CDA18" w14:textId="77777777" w:rsidR="00E97053" w:rsidRPr="00312B39" w:rsidRDefault="00E97053" w:rsidP="001A7A6D">
            <w:pPr>
              <w:spacing w:after="0"/>
              <w:rPr>
                <w:rFonts w:ascii="Arial" w:hAnsi="Arial" w:cs="Arial"/>
                <w:color w:val="006100"/>
                <w:sz w:val="16"/>
                <w:szCs w:val="16"/>
              </w:rPr>
            </w:pPr>
          </w:p>
          <w:p w14:paraId="3FF7AA54" w14:textId="505BEFC1" w:rsidR="00E97053" w:rsidRPr="00312B39" w:rsidRDefault="00E97053" w:rsidP="001A7A6D">
            <w:pPr>
              <w:spacing w:after="0"/>
              <w:rPr>
                <w:rFonts w:ascii="Arial" w:hAnsi="Arial" w:cs="Arial"/>
                <w:color w:val="006100"/>
                <w:sz w:val="16"/>
                <w:szCs w:val="16"/>
              </w:rPr>
            </w:pPr>
            <w:r w:rsidRPr="00312B39">
              <w:rPr>
                <w:rFonts w:ascii="Arial" w:hAnsi="Arial" w:cs="Arial"/>
                <w:color w:val="006100"/>
                <w:sz w:val="16"/>
                <w:szCs w:val="16"/>
              </w:rPr>
              <w:t xml:space="preserve">How: entry into force (evidenced by </w:t>
            </w:r>
            <w:r>
              <w:rPr>
                <w:rFonts w:ascii="Arial" w:hAnsi="Arial" w:cs="Arial"/>
                <w:color w:val="006100"/>
                <w:sz w:val="16"/>
                <w:szCs w:val="16"/>
              </w:rPr>
              <w:t>a</w:t>
            </w:r>
            <w:r w:rsidRPr="00312B39">
              <w:rPr>
                <w:rFonts w:ascii="Arial" w:hAnsi="Arial" w:cs="Arial"/>
                <w:color w:val="006100"/>
                <w:sz w:val="16"/>
                <w:szCs w:val="16"/>
              </w:rPr>
              <w:t xml:space="preserve"> and </w:t>
            </w:r>
            <w:r>
              <w:rPr>
                <w:rFonts w:ascii="Arial" w:hAnsi="Arial" w:cs="Arial"/>
                <w:color w:val="006100"/>
                <w:sz w:val="16"/>
                <w:szCs w:val="16"/>
              </w:rPr>
              <w:t>b</w:t>
            </w:r>
            <w:r w:rsidRPr="00312B39">
              <w:rPr>
                <w:rFonts w:ascii="Arial" w:hAnsi="Arial" w:cs="Arial"/>
                <w:color w:val="006100"/>
                <w:sz w:val="16"/>
                <w:szCs w:val="16"/>
              </w:rPr>
              <w:t>)</w:t>
            </w:r>
          </w:p>
          <w:p w14:paraId="1B4E29AA" w14:textId="77777777" w:rsidR="00E97053" w:rsidRPr="00312B39" w:rsidRDefault="00E97053" w:rsidP="001A7A6D">
            <w:pPr>
              <w:spacing w:after="0"/>
              <w:rPr>
                <w:rFonts w:ascii="Arial" w:hAnsi="Arial" w:cs="Arial"/>
                <w:color w:val="006100"/>
                <w:sz w:val="16"/>
                <w:szCs w:val="16"/>
              </w:rPr>
            </w:pPr>
          </w:p>
          <w:p w14:paraId="20A12DBC" w14:textId="3C865CD5" w:rsidR="00E97053" w:rsidRPr="00312B39" w:rsidRDefault="00E97053" w:rsidP="001A7A6D">
            <w:pPr>
              <w:spacing w:after="0"/>
              <w:rPr>
                <w:rFonts w:ascii="Arial" w:hAnsi="Arial" w:cs="Arial"/>
                <w:color w:val="006100"/>
                <w:sz w:val="16"/>
                <w:szCs w:val="16"/>
              </w:rPr>
            </w:pPr>
            <w:r w:rsidRPr="00312B39">
              <w:rPr>
                <w:rFonts w:ascii="Arial" w:hAnsi="Arial" w:cs="Arial"/>
                <w:color w:val="006100"/>
                <w:sz w:val="16"/>
                <w:szCs w:val="16"/>
              </w:rPr>
              <w:t xml:space="preserve">Why: The amendments to the Financial Resources Management of the European Structural and Investment Funds Act shall enhance the direct involvement of the regional and local level in the management of EU funds by strengthening their role in the design and implementation of integrated territorial strategies and projects. Under this revised legal framework, the Regional Development Councils (which include representatives of the regional and local authorities) shall function as territorial bodies responsible for the implementation of strategic documents at regional planning level and for the preselection of projects to be financed with EU funds at local level on the basis of integrated territorial development strategies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2644A01" w14:textId="77777777" w:rsidR="00E97053" w:rsidRPr="00312B39" w:rsidRDefault="00E97053" w:rsidP="001A7A6D">
            <w:pPr>
              <w:spacing w:after="0"/>
              <w:rPr>
                <w:rFonts w:ascii="Arial" w:hAnsi="Arial" w:cs="Arial"/>
                <w:color w:val="006100"/>
                <w:sz w:val="16"/>
                <w:szCs w:val="16"/>
              </w:rPr>
            </w:pPr>
          </w:p>
          <w:p w14:paraId="52FC1F1D" w14:textId="4A1A938B" w:rsidR="00E97053" w:rsidRPr="00312B39" w:rsidRDefault="00E97053" w:rsidP="00581D4F">
            <w:pPr>
              <w:spacing w:after="0"/>
              <w:rPr>
                <w:rFonts w:ascii="Arial" w:hAnsi="Arial" w:cs="Arial"/>
                <w:color w:val="006100"/>
                <w:sz w:val="16"/>
                <w:szCs w:val="16"/>
              </w:rPr>
            </w:pPr>
            <w:r w:rsidRPr="00312B39">
              <w:rPr>
                <w:rFonts w:ascii="Arial" w:hAnsi="Arial" w:cs="Arial"/>
                <w:color w:val="006100"/>
                <w:sz w:val="16"/>
                <w:szCs w:val="16"/>
              </w:rPr>
              <w:t>When: specify the dates of development and entry into force</w:t>
            </w:r>
          </w:p>
        </w:tc>
        <w:tc>
          <w:tcPr>
            <w:tcW w:w="2409" w:type="dxa"/>
            <w:shd w:val="clear" w:color="auto" w:fill="D6E3C6"/>
          </w:tcPr>
          <w:p w14:paraId="5B3F2F21" w14:textId="77777777" w:rsidR="00E97053" w:rsidRPr="00806FA9" w:rsidRDefault="00E97053" w:rsidP="00806FA9">
            <w:pPr>
              <w:spacing w:after="0"/>
              <w:rPr>
                <w:rFonts w:ascii="Arial" w:hAnsi="Arial" w:cs="Arial"/>
                <w:color w:val="006100"/>
                <w:sz w:val="16"/>
                <w:szCs w:val="16"/>
              </w:rPr>
            </w:pPr>
            <w:r w:rsidRPr="00806FA9">
              <w:rPr>
                <w:rFonts w:ascii="Arial" w:hAnsi="Arial" w:cs="Arial"/>
                <w:color w:val="006100"/>
                <w:sz w:val="16"/>
                <w:szCs w:val="16"/>
              </w:rPr>
              <w:t>The objective of the measure is to promote the direct involvement of local communities in each region of the country in the management of EU funds. This is expected to boost the sense of ownership at local level and to increase policy effectiveness by addressing locally identified needs in a more targeted way.</w:t>
            </w:r>
          </w:p>
          <w:p w14:paraId="425A2523" w14:textId="21FFF0AA" w:rsidR="00E97053" w:rsidRDefault="00E97053" w:rsidP="00806FA9">
            <w:pPr>
              <w:spacing w:after="0"/>
              <w:rPr>
                <w:rFonts w:ascii="Arial" w:hAnsi="Arial" w:cs="Arial"/>
                <w:color w:val="006100"/>
                <w:sz w:val="16"/>
                <w:szCs w:val="16"/>
              </w:rPr>
            </w:pPr>
            <w:r w:rsidRPr="00806FA9">
              <w:rPr>
                <w:rFonts w:ascii="Arial" w:hAnsi="Arial" w:cs="Arial"/>
                <w:color w:val="006100"/>
                <w:sz w:val="16"/>
                <w:szCs w:val="16"/>
              </w:rPr>
              <w:t>The measure consists of legislative changes strengthening the role of regional and local authorities in the preparation and implementation of integrated territorial strategies and projects financed with EU funds.</w:t>
            </w:r>
          </w:p>
          <w:p w14:paraId="3CE346CB" w14:textId="4A949D0F" w:rsidR="00E97053" w:rsidRPr="00312B39" w:rsidRDefault="00E97053" w:rsidP="00581D4F">
            <w:pPr>
              <w:spacing w:after="0"/>
              <w:rPr>
                <w:rFonts w:ascii="Arial" w:hAnsi="Arial" w:cs="Arial"/>
                <w:color w:val="006100"/>
                <w:sz w:val="16"/>
                <w:szCs w:val="16"/>
              </w:rPr>
            </w:pPr>
          </w:p>
        </w:tc>
        <w:tc>
          <w:tcPr>
            <w:tcW w:w="851" w:type="dxa"/>
            <w:gridSpan w:val="2"/>
            <w:shd w:val="clear" w:color="auto" w:fill="D6E3C6"/>
          </w:tcPr>
          <w:p w14:paraId="3F1A61C6" w14:textId="08041541" w:rsidR="00E97053" w:rsidRPr="00312B39" w:rsidRDefault="00E97053" w:rsidP="00581D4F">
            <w:pPr>
              <w:spacing w:after="0"/>
              <w:rPr>
                <w:rFonts w:ascii="Arial" w:hAnsi="Arial" w:cs="Arial"/>
                <w:color w:val="006100"/>
                <w:sz w:val="16"/>
                <w:szCs w:val="16"/>
              </w:rPr>
            </w:pPr>
            <w:r w:rsidRPr="00312B39">
              <w:rPr>
                <w:rFonts w:ascii="Arial" w:hAnsi="Arial" w:cs="Arial"/>
                <w:color w:val="006100"/>
                <w:sz w:val="16"/>
                <w:szCs w:val="16"/>
              </w:rPr>
              <w:t>None</w:t>
            </w:r>
          </w:p>
        </w:tc>
        <w:tc>
          <w:tcPr>
            <w:tcW w:w="709" w:type="dxa"/>
            <w:gridSpan w:val="2"/>
            <w:shd w:val="clear" w:color="auto" w:fill="D6E3C6"/>
          </w:tcPr>
          <w:p w14:paraId="79DC2DEC" w14:textId="441CB28D" w:rsidR="00E97053" w:rsidRPr="00312B39" w:rsidRDefault="00E97053" w:rsidP="00581D4F">
            <w:pPr>
              <w:spacing w:after="0"/>
              <w:rPr>
                <w:rFonts w:ascii="Arial" w:hAnsi="Arial" w:cs="Arial"/>
                <w:color w:val="006100"/>
                <w:sz w:val="16"/>
                <w:szCs w:val="16"/>
              </w:rPr>
            </w:pPr>
            <w:r w:rsidRPr="00312B39">
              <w:rPr>
                <w:rFonts w:ascii="Arial" w:hAnsi="Arial" w:cs="Arial"/>
                <w:color w:val="006100"/>
                <w:sz w:val="16"/>
                <w:szCs w:val="16"/>
              </w:rPr>
              <w:t>None</w:t>
            </w:r>
          </w:p>
        </w:tc>
        <w:tc>
          <w:tcPr>
            <w:tcW w:w="851" w:type="dxa"/>
            <w:gridSpan w:val="2"/>
            <w:shd w:val="clear" w:color="auto" w:fill="D6E3C6"/>
          </w:tcPr>
          <w:p w14:paraId="6244BEE8" w14:textId="67808BA9" w:rsidR="00E97053" w:rsidRPr="00312B39" w:rsidRDefault="00E97053" w:rsidP="00581D4F">
            <w:pPr>
              <w:spacing w:after="0"/>
              <w:rPr>
                <w:rFonts w:ascii="Arial" w:hAnsi="Arial" w:cs="Arial"/>
                <w:color w:val="006100"/>
                <w:sz w:val="16"/>
                <w:szCs w:val="16"/>
              </w:rPr>
            </w:pPr>
            <w:r w:rsidRPr="00312B39">
              <w:rPr>
                <w:rFonts w:ascii="Arial" w:hAnsi="Arial" w:cs="Arial"/>
                <w:color w:val="006100"/>
                <w:sz w:val="16"/>
                <w:szCs w:val="16"/>
              </w:rPr>
              <w:t>None</w:t>
            </w:r>
          </w:p>
        </w:tc>
        <w:tc>
          <w:tcPr>
            <w:tcW w:w="1134" w:type="dxa"/>
            <w:shd w:val="clear" w:color="auto" w:fill="D6E3C6"/>
          </w:tcPr>
          <w:p w14:paraId="0F433E9F" w14:textId="6449FE5D" w:rsidR="00E97053" w:rsidRPr="00312B39" w:rsidRDefault="00E97053" w:rsidP="00581D4F">
            <w:pPr>
              <w:spacing w:after="0"/>
              <w:rPr>
                <w:rFonts w:ascii="Arial" w:hAnsi="Arial" w:cs="Arial"/>
                <w:color w:val="006100"/>
                <w:sz w:val="16"/>
                <w:szCs w:val="16"/>
              </w:rPr>
            </w:pPr>
            <w:r w:rsidRPr="00312B39">
              <w:rPr>
                <w:rFonts w:ascii="Arial" w:hAnsi="Arial" w:cs="Arial"/>
                <w:color w:val="006100"/>
                <w:sz w:val="16"/>
                <w:szCs w:val="16"/>
              </w:rPr>
              <w:t>Already achieved?</w:t>
            </w:r>
          </w:p>
        </w:tc>
      </w:tr>
      <w:tr w:rsidR="00E97053" w:rsidRPr="00312B39" w14:paraId="45540304" w14:textId="766A2003" w:rsidTr="004A20D4">
        <w:tc>
          <w:tcPr>
            <w:tcW w:w="568" w:type="dxa"/>
            <w:shd w:val="clear" w:color="auto" w:fill="D6E3C6"/>
            <w:noWrap/>
          </w:tcPr>
          <w:p w14:paraId="181324C2" w14:textId="4FC179B4" w:rsidR="00E97053" w:rsidRPr="00312B39" w:rsidRDefault="00E97053" w:rsidP="00986930">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208</w:t>
            </w:r>
          </w:p>
        </w:tc>
        <w:tc>
          <w:tcPr>
            <w:tcW w:w="1101" w:type="dxa"/>
            <w:shd w:val="clear" w:color="auto" w:fill="D6E3C6"/>
            <w:noWrap/>
          </w:tcPr>
          <w:p w14:paraId="3175D89B" w14:textId="21668B37" w:rsidR="00E97053" w:rsidRPr="00312B39" w:rsidRDefault="00E97053" w:rsidP="00986930">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C9.R2: Continuation of the water sector reform</w:t>
            </w:r>
          </w:p>
        </w:tc>
        <w:tc>
          <w:tcPr>
            <w:tcW w:w="883" w:type="dxa"/>
            <w:shd w:val="clear" w:color="auto" w:fill="D6E3C6"/>
            <w:noWrap/>
          </w:tcPr>
          <w:p w14:paraId="110379A5" w14:textId="3396082A" w:rsidR="00E97053" w:rsidRPr="00312B39" w:rsidRDefault="00E97053" w:rsidP="00986930">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Milestone</w:t>
            </w:r>
          </w:p>
        </w:tc>
        <w:tc>
          <w:tcPr>
            <w:tcW w:w="1276" w:type="dxa"/>
            <w:shd w:val="clear" w:color="auto" w:fill="D6E3C6"/>
            <w:noWrap/>
          </w:tcPr>
          <w:p w14:paraId="4D5E5F6B" w14:textId="03B61B16" w:rsidR="00E97053" w:rsidRPr="00312B39" w:rsidRDefault="00E97053" w:rsidP="00986930">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Entry into force of the new Water and Sewerage Act</w:t>
            </w:r>
          </w:p>
        </w:tc>
        <w:tc>
          <w:tcPr>
            <w:tcW w:w="1418" w:type="dxa"/>
            <w:shd w:val="clear" w:color="auto" w:fill="D6E3C6"/>
            <w:noWrap/>
          </w:tcPr>
          <w:p w14:paraId="387F79B7" w14:textId="7E50E342" w:rsidR="00E97053" w:rsidRPr="00312B39" w:rsidRDefault="00E97053" w:rsidP="00986930">
            <w:pPr>
              <w:spacing w:after="0"/>
              <w:rPr>
                <w:rFonts w:ascii="Arial" w:eastAsia="Times New Roman" w:hAnsi="Arial" w:cs="Arial"/>
                <w:color w:val="006100"/>
                <w:sz w:val="16"/>
                <w:szCs w:val="16"/>
                <w:lang w:eastAsia="en-GB"/>
              </w:rPr>
            </w:pPr>
          </w:p>
        </w:tc>
        <w:tc>
          <w:tcPr>
            <w:tcW w:w="558" w:type="dxa"/>
            <w:shd w:val="clear" w:color="auto" w:fill="D6E3C6"/>
            <w:noWrap/>
          </w:tcPr>
          <w:p w14:paraId="0D6D4643" w14:textId="3672705E" w:rsidR="00E97053" w:rsidRPr="002F4FA0" w:rsidRDefault="00E97053" w:rsidP="00986930">
            <w:pPr>
              <w:spacing w:after="0"/>
              <w:jc w:val="center"/>
              <w:rPr>
                <w:rFonts w:ascii="Arial" w:eastAsia="Times New Roman" w:hAnsi="Arial" w:cs="Arial"/>
                <w:color w:val="006100"/>
                <w:sz w:val="16"/>
                <w:szCs w:val="16"/>
                <w:lang w:eastAsia="en-GB"/>
              </w:rPr>
            </w:pPr>
          </w:p>
        </w:tc>
        <w:tc>
          <w:tcPr>
            <w:tcW w:w="564" w:type="dxa"/>
            <w:shd w:val="clear" w:color="auto" w:fill="D6E3C6"/>
            <w:noWrap/>
          </w:tcPr>
          <w:p w14:paraId="342D3795" w14:textId="3EFE2230" w:rsidR="00E97053" w:rsidRPr="002F4FA0" w:rsidRDefault="00E97053" w:rsidP="00986930">
            <w:pPr>
              <w:spacing w:after="0"/>
              <w:jc w:val="center"/>
              <w:rPr>
                <w:rFonts w:ascii="Arial" w:eastAsia="Times New Roman" w:hAnsi="Arial" w:cs="Arial"/>
                <w:color w:val="006100"/>
                <w:sz w:val="16"/>
                <w:szCs w:val="16"/>
                <w:lang w:eastAsia="en-GB"/>
              </w:rPr>
            </w:pPr>
          </w:p>
        </w:tc>
        <w:tc>
          <w:tcPr>
            <w:tcW w:w="570" w:type="dxa"/>
            <w:shd w:val="clear" w:color="auto" w:fill="D6E3C6"/>
            <w:noWrap/>
          </w:tcPr>
          <w:p w14:paraId="45BA0E4B" w14:textId="6FB2F216" w:rsidR="00E97053" w:rsidRPr="002F4FA0" w:rsidRDefault="00E97053" w:rsidP="00986930">
            <w:pPr>
              <w:spacing w:after="0"/>
              <w:jc w:val="center"/>
              <w:rPr>
                <w:rFonts w:ascii="Arial" w:eastAsia="Times New Roman" w:hAnsi="Arial" w:cs="Arial"/>
                <w:color w:val="006100"/>
                <w:sz w:val="16"/>
                <w:szCs w:val="16"/>
                <w:lang w:eastAsia="en-GB"/>
              </w:rPr>
            </w:pPr>
          </w:p>
        </w:tc>
        <w:tc>
          <w:tcPr>
            <w:tcW w:w="434" w:type="dxa"/>
            <w:shd w:val="clear" w:color="auto" w:fill="D6E3C6"/>
            <w:noWrap/>
          </w:tcPr>
          <w:p w14:paraId="0DC331CF" w14:textId="3FF72B6E" w:rsidR="00E97053" w:rsidRPr="00312B39" w:rsidRDefault="00E97053" w:rsidP="00986930">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Q1</w:t>
            </w:r>
          </w:p>
        </w:tc>
        <w:tc>
          <w:tcPr>
            <w:tcW w:w="575" w:type="dxa"/>
            <w:shd w:val="clear" w:color="auto" w:fill="D6E3C6"/>
            <w:noWrap/>
          </w:tcPr>
          <w:p w14:paraId="145A8E85" w14:textId="14F4142B" w:rsidR="00E97053" w:rsidRPr="00312B39" w:rsidRDefault="00E97053" w:rsidP="00986930">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2023</w:t>
            </w:r>
          </w:p>
        </w:tc>
        <w:tc>
          <w:tcPr>
            <w:tcW w:w="925" w:type="dxa"/>
            <w:gridSpan w:val="2"/>
            <w:shd w:val="clear" w:color="auto" w:fill="D6E3C6"/>
          </w:tcPr>
          <w:p w14:paraId="711A4042" w14:textId="72C039FD" w:rsidR="00E97053" w:rsidRPr="002F4FA0" w:rsidRDefault="00E97053" w:rsidP="00986930">
            <w:pPr>
              <w:spacing w:after="0"/>
              <w:rPr>
                <w:rFonts w:ascii="Arial" w:eastAsia="Times New Roman" w:hAnsi="Arial" w:cs="Arial"/>
                <w:color w:val="006100"/>
                <w:sz w:val="16"/>
                <w:szCs w:val="16"/>
                <w:lang w:eastAsia="en-GB"/>
              </w:rPr>
            </w:pPr>
            <w:r w:rsidRPr="002F4FA0">
              <w:rPr>
                <w:rFonts w:ascii="Arial" w:eastAsia="Times New Roman" w:hAnsi="Arial" w:cs="Arial"/>
                <w:color w:val="006100"/>
                <w:sz w:val="16"/>
                <w:szCs w:val="16"/>
                <w:lang w:eastAsia="en-GB"/>
              </w:rPr>
              <w:t xml:space="preserve">Ministry of Regional Development and Public Works &amp; </w:t>
            </w:r>
            <w:r w:rsidRPr="002F4FA0">
              <w:rPr>
                <w:rFonts w:ascii="Arial" w:hAnsi="Arial" w:cs="Arial"/>
                <w:color w:val="006100"/>
                <w:sz w:val="16"/>
                <w:szCs w:val="16"/>
              </w:rPr>
              <w:t>Bulgarian Water Supply and Sewerage Holding</w:t>
            </w:r>
          </w:p>
        </w:tc>
        <w:tc>
          <w:tcPr>
            <w:tcW w:w="909" w:type="dxa"/>
            <w:gridSpan w:val="2"/>
            <w:shd w:val="clear" w:color="auto" w:fill="D6E3C6"/>
          </w:tcPr>
          <w:p w14:paraId="172009CF" w14:textId="77777777" w:rsidR="00E97053" w:rsidRPr="002F4FA0" w:rsidRDefault="00E97053" w:rsidP="00986930">
            <w:pPr>
              <w:spacing w:after="0"/>
              <w:rPr>
                <w:rFonts w:ascii="Arial" w:eastAsia="Times New Roman" w:hAnsi="Arial" w:cs="Arial"/>
                <w:color w:val="006100"/>
                <w:sz w:val="16"/>
                <w:szCs w:val="16"/>
                <w:lang w:eastAsia="en-GB"/>
              </w:rPr>
            </w:pPr>
          </w:p>
        </w:tc>
        <w:tc>
          <w:tcPr>
            <w:tcW w:w="2185" w:type="dxa"/>
            <w:shd w:val="clear" w:color="auto" w:fill="D6E3C6"/>
          </w:tcPr>
          <w:p w14:paraId="1F1EFC71" w14:textId="77777777" w:rsidR="00E97053" w:rsidRPr="00986930" w:rsidRDefault="00E97053" w:rsidP="00986930">
            <w:pPr>
              <w:pStyle w:val="ListParagraph"/>
              <w:numPr>
                <w:ilvl w:val="0"/>
                <w:numId w:val="15"/>
              </w:numPr>
              <w:ind w:left="450"/>
              <w:rPr>
                <w:rFonts w:ascii="Arial" w:hAnsi="Arial" w:cs="Arial"/>
                <w:color w:val="006100"/>
                <w:sz w:val="16"/>
                <w:szCs w:val="16"/>
                <w:lang w:val="bg-BG" w:eastAsia="en-GB"/>
              </w:rPr>
            </w:pPr>
            <w:r w:rsidRPr="00986930">
              <w:rPr>
                <w:rFonts w:ascii="Arial" w:hAnsi="Arial" w:cs="Arial"/>
                <w:color w:val="006100"/>
                <w:sz w:val="16"/>
                <w:szCs w:val="16"/>
                <w:lang w:val="en-US" w:eastAsia="en-GB"/>
              </w:rPr>
              <w:t xml:space="preserve">copy of the publication and/or a link to the website of the </w:t>
            </w:r>
            <w:r w:rsidRPr="00986930">
              <w:rPr>
                <w:rFonts w:ascii="Arial" w:hAnsi="Arial" w:cs="Arial"/>
                <w:color w:val="006100"/>
                <w:sz w:val="16"/>
                <w:szCs w:val="16"/>
                <w:lang w:eastAsia="en-GB"/>
              </w:rPr>
              <w:t>State Gazette where the new act has been published;</w:t>
            </w:r>
          </w:p>
          <w:p w14:paraId="13E5918F" w14:textId="76885E47" w:rsidR="00E97053" w:rsidRPr="00986930" w:rsidRDefault="00E97053" w:rsidP="00986930">
            <w:pPr>
              <w:pStyle w:val="ListParagraph"/>
              <w:numPr>
                <w:ilvl w:val="0"/>
                <w:numId w:val="15"/>
              </w:numPr>
              <w:spacing w:after="0"/>
              <w:ind w:left="450"/>
              <w:rPr>
                <w:rFonts w:ascii="Arial" w:hAnsi="Arial" w:cs="Arial"/>
                <w:color w:val="006100"/>
                <w:sz w:val="16"/>
                <w:szCs w:val="16"/>
              </w:rPr>
            </w:pPr>
            <w:r w:rsidRPr="00986930">
              <w:rPr>
                <w:rFonts w:ascii="Arial" w:hAnsi="Arial" w:cs="Arial"/>
                <w:color w:val="006100"/>
                <w:sz w:val="16"/>
                <w:szCs w:val="16"/>
                <w:lang w:eastAsia="en-GB"/>
              </w:rPr>
              <w:t>a reference to the relevant provisions in the act indicating the entry into force of the provisions which fulfil the relevant elements of the milestone, as listed in the description of the milestone.</w:t>
            </w:r>
          </w:p>
        </w:tc>
        <w:tc>
          <w:tcPr>
            <w:tcW w:w="4619" w:type="dxa"/>
            <w:shd w:val="clear" w:color="auto" w:fill="D6E3C6"/>
          </w:tcPr>
          <w:p w14:paraId="6796FC83" w14:textId="2B1C0A8B"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 xml:space="preserve">Institution/s: </w:t>
            </w:r>
            <w:r>
              <w:rPr>
                <w:rFonts w:ascii="Arial" w:hAnsi="Arial" w:cs="Arial"/>
                <w:color w:val="006100"/>
                <w:sz w:val="16"/>
                <w:szCs w:val="16"/>
              </w:rPr>
              <w:t xml:space="preserve">MRDPW and </w:t>
            </w:r>
            <w:r w:rsidRPr="00986930">
              <w:rPr>
                <w:rFonts w:ascii="Arial" w:hAnsi="Arial" w:cs="Arial"/>
                <w:color w:val="006100"/>
                <w:sz w:val="16"/>
                <w:szCs w:val="16"/>
              </w:rPr>
              <w:t>Bulgarian Water Supply and Sewerage Holding</w:t>
            </w:r>
          </w:p>
          <w:p w14:paraId="2662154B" w14:textId="77777777" w:rsidR="00E97053" w:rsidRPr="00312B39" w:rsidRDefault="00E97053" w:rsidP="00986930">
            <w:pPr>
              <w:spacing w:after="0"/>
              <w:rPr>
                <w:rFonts w:ascii="Arial" w:hAnsi="Arial" w:cs="Arial"/>
                <w:color w:val="006100"/>
                <w:sz w:val="16"/>
                <w:szCs w:val="16"/>
              </w:rPr>
            </w:pPr>
          </w:p>
          <w:p w14:paraId="1BD7A0B6" w14:textId="19905ACF"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What: Entry into force of the new Water and Sewerage Act (evidenced by its copy – a</w:t>
            </w:r>
            <w:r>
              <w:rPr>
                <w:rFonts w:ascii="Arial" w:hAnsi="Arial" w:cs="Arial"/>
                <w:color w:val="006100"/>
                <w:sz w:val="16"/>
                <w:szCs w:val="16"/>
              </w:rPr>
              <w:t xml:space="preserve"> and the references in b</w:t>
            </w:r>
            <w:r w:rsidRPr="00312B39">
              <w:rPr>
                <w:rFonts w:ascii="Arial" w:hAnsi="Arial" w:cs="Arial"/>
                <w:color w:val="006100"/>
                <w:sz w:val="16"/>
                <w:szCs w:val="16"/>
              </w:rPr>
              <w:t>)</w:t>
            </w:r>
          </w:p>
          <w:p w14:paraId="3A3D1E04" w14:textId="77777777" w:rsidR="00E97053" w:rsidRPr="00312B39" w:rsidRDefault="00E97053" w:rsidP="00986930">
            <w:pPr>
              <w:spacing w:after="0"/>
              <w:rPr>
                <w:rFonts w:ascii="Arial" w:hAnsi="Arial" w:cs="Arial"/>
                <w:color w:val="006100"/>
                <w:sz w:val="16"/>
                <w:szCs w:val="16"/>
              </w:rPr>
            </w:pPr>
          </w:p>
          <w:p w14:paraId="55B54642" w14:textId="77777777"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 xml:space="preserve">How: entry into force (evidenced by </w:t>
            </w:r>
            <w:r>
              <w:rPr>
                <w:rFonts w:ascii="Arial" w:hAnsi="Arial" w:cs="Arial"/>
                <w:color w:val="006100"/>
                <w:sz w:val="16"/>
                <w:szCs w:val="16"/>
              </w:rPr>
              <w:t>a</w:t>
            </w:r>
            <w:r w:rsidRPr="00312B39">
              <w:rPr>
                <w:rFonts w:ascii="Arial" w:hAnsi="Arial" w:cs="Arial"/>
                <w:color w:val="006100"/>
                <w:sz w:val="16"/>
                <w:szCs w:val="16"/>
              </w:rPr>
              <w:t xml:space="preserve"> and </w:t>
            </w:r>
            <w:r>
              <w:rPr>
                <w:rFonts w:ascii="Arial" w:hAnsi="Arial" w:cs="Arial"/>
                <w:color w:val="006100"/>
                <w:sz w:val="16"/>
                <w:szCs w:val="16"/>
              </w:rPr>
              <w:t>b</w:t>
            </w:r>
            <w:r w:rsidRPr="00312B39">
              <w:rPr>
                <w:rFonts w:ascii="Arial" w:hAnsi="Arial" w:cs="Arial"/>
                <w:color w:val="006100"/>
                <w:sz w:val="16"/>
                <w:szCs w:val="16"/>
              </w:rPr>
              <w:t>)</w:t>
            </w:r>
          </w:p>
          <w:p w14:paraId="265544C5" w14:textId="77777777" w:rsidR="00E97053" w:rsidRPr="00312B39" w:rsidRDefault="00E97053" w:rsidP="00986930">
            <w:pPr>
              <w:spacing w:after="0"/>
              <w:rPr>
                <w:rFonts w:ascii="Arial" w:hAnsi="Arial" w:cs="Arial"/>
                <w:color w:val="006100"/>
                <w:sz w:val="16"/>
                <w:szCs w:val="16"/>
              </w:rPr>
            </w:pPr>
          </w:p>
          <w:p w14:paraId="303BF789" w14:textId="347503DA"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 xml:space="preserve">Why: The Water and Sewerage Act shall refine the tariff setting mechanisms, ensuring cost-based pricing for the use of the systems and the consumed services while also ensuring financial sustainability of the operators. The law shall provide the conditions for consolidation in the provision of water supply and sewerage services. The law shall introduce identical conditions throughout the country for service quality and efficiency criteria, which shall be met by the water supply and sewerage operators within timelines defined in the law. The quality of water supply and sewerage services shall be monitored by an independent regulator with roles and responsibilities defined in the law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0793FE91" w14:textId="77777777" w:rsidR="00E97053" w:rsidRPr="00312B39" w:rsidRDefault="00E97053" w:rsidP="00986930">
            <w:pPr>
              <w:spacing w:after="0"/>
              <w:rPr>
                <w:rFonts w:ascii="Arial" w:hAnsi="Arial" w:cs="Arial"/>
                <w:color w:val="006100"/>
                <w:sz w:val="16"/>
                <w:szCs w:val="16"/>
              </w:rPr>
            </w:pPr>
          </w:p>
          <w:p w14:paraId="7189A7AC" w14:textId="5399B234"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When: specify the dates of development and entry into force</w:t>
            </w:r>
          </w:p>
        </w:tc>
        <w:tc>
          <w:tcPr>
            <w:tcW w:w="2409" w:type="dxa"/>
            <w:shd w:val="clear" w:color="auto" w:fill="D6E3C6"/>
          </w:tcPr>
          <w:p w14:paraId="0AEF37FB" w14:textId="77777777" w:rsidR="00E97053" w:rsidRPr="00D452DA" w:rsidRDefault="00E97053" w:rsidP="00D452DA">
            <w:pPr>
              <w:spacing w:after="0"/>
              <w:rPr>
                <w:rFonts w:ascii="Arial" w:hAnsi="Arial" w:cs="Arial"/>
                <w:color w:val="006100"/>
                <w:sz w:val="16"/>
                <w:szCs w:val="16"/>
              </w:rPr>
            </w:pPr>
            <w:r w:rsidRPr="00D452DA">
              <w:rPr>
                <w:rFonts w:ascii="Arial" w:hAnsi="Arial" w:cs="Arial"/>
                <w:color w:val="006100"/>
                <w:sz w:val="16"/>
                <w:szCs w:val="16"/>
              </w:rPr>
              <w:t xml:space="preserve">The objective of the measure is to optimise the regulatory framework for water supply and sewerage services. </w:t>
            </w:r>
          </w:p>
          <w:p w14:paraId="12C98773" w14:textId="16434B5D" w:rsidR="00E97053" w:rsidRPr="00312B39" w:rsidRDefault="00E97053" w:rsidP="00D452DA">
            <w:pPr>
              <w:spacing w:after="0"/>
              <w:rPr>
                <w:rFonts w:ascii="Arial" w:hAnsi="Arial" w:cs="Arial"/>
                <w:color w:val="006100"/>
                <w:sz w:val="16"/>
                <w:szCs w:val="16"/>
              </w:rPr>
            </w:pPr>
            <w:r w:rsidRPr="00D452DA">
              <w:rPr>
                <w:rFonts w:ascii="Arial" w:hAnsi="Arial" w:cs="Arial"/>
                <w:color w:val="006100"/>
                <w:sz w:val="16"/>
                <w:szCs w:val="16"/>
              </w:rPr>
              <w:t>The measure consists of the adoption of a new law, the Water Supply and Sewerage Act, which shall provide the conditions for consolidation in the provision of water supply and sewerage services and introduce uniform conditions for service quality and efficiency criteria to be met by the water supply and sewerage operators. The legislation shall refine the tariff setting mechanisms, ensuring cost-based pricing for the use of the systems and the consumed services while also ensuring financial sustainability of the operators.</w:t>
            </w:r>
          </w:p>
        </w:tc>
        <w:tc>
          <w:tcPr>
            <w:tcW w:w="851" w:type="dxa"/>
            <w:gridSpan w:val="2"/>
            <w:shd w:val="clear" w:color="auto" w:fill="D6E3C6"/>
          </w:tcPr>
          <w:p w14:paraId="096F63FF" w14:textId="11479D12"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 xml:space="preserve">Delays in the </w:t>
            </w:r>
            <w:proofErr w:type="gramStart"/>
            <w:r w:rsidRPr="00312B39">
              <w:rPr>
                <w:rFonts w:ascii="Arial" w:hAnsi="Arial" w:cs="Arial"/>
                <w:color w:val="006100"/>
                <w:sz w:val="16"/>
                <w:szCs w:val="16"/>
              </w:rPr>
              <w:t>preparation  of</w:t>
            </w:r>
            <w:proofErr w:type="gramEnd"/>
            <w:r w:rsidRPr="00312B39">
              <w:rPr>
                <w:rFonts w:ascii="Arial" w:hAnsi="Arial" w:cs="Arial"/>
                <w:color w:val="006100"/>
                <w:sz w:val="16"/>
                <w:szCs w:val="16"/>
              </w:rPr>
              <w:t xml:space="preserve"> the Bill</w:t>
            </w:r>
          </w:p>
        </w:tc>
        <w:tc>
          <w:tcPr>
            <w:tcW w:w="709" w:type="dxa"/>
            <w:gridSpan w:val="2"/>
            <w:shd w:val="clear" w:color="auto" w:fill="D6E3C6"/>
          </w:tcPr>
          <w:p w14:paraId="54A4CEF6" w14:textId="75EADE62"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None</w:t>
            </w:r>
          </w:p>
        </w:tc>
        <w:tc>
          <w:tcPr>
            <w:tcW w:w="851" w:type="dxa"/>
            <w:gridSpan w:val="2"/>
            <w:shd w:val="clear" w:color="auto" w:fill="D6E3C6"/>
          </w:tcPr>
          <w:p w14:paraId="2676992F" w14:textId="292D42B5"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None</w:t>
            </w:r>
          </w:p>
        </w:tc>
        <w:tc>
          <w:tcPr>
            <w:tcW w:w="1134" w:type="dxa"/>
            <w:shd w:val="clear" w:color="auto" w:fill="D6E3C6"/>
          </w:tcPr>
          <w:p w14:paraId="605B1C0F" w14:textId="3EA47C68" w:rsidR="00E97053" w:rsidRPr="00312B39" w:rsidRDefault="00E97053" w:rsidP="00986930">
            <w:pPr>
              <w:spacing w:after="0"/>
              <w:rPr>
                <w:rFonts w:ascii="Arial" w:hAnsi="Arial" w:cs="Arial"/>
                <w:color w:val="006100"/>
                <w:sz w:val="16"/>
                <w:szCs w:val="16"/>
              </w:rPr>
            </w:pPr>
            <w:r w:rsidRPr="00312B39">
              <w:rPr>
                <w:rFonts w:ascii="Arial" w:hAnsi="Arial" w:cs="Arial"/>
                <w:color w:val="006100"/>
                <w:sz w:val="16"/>
                <w:szCs w:val="16"/>
              </w:rPr>
              <w:t>No need for the ‘Target’ to be filled in (number)</w:t>
            </w:r>
          </w:p>
        </w:tc>
      </w:tr>
      <w:tr w:rsidR="00E97053" w:rsidRPr="00312B39" w14:paraId="1AE5268C" w14:textId="4BB8DBCA" w:rsidTr="004A20D4">
        <w:tc>
          <w:tcPr>
            <w:tcW w:w="568" w:type="dxa"/>
            <w:shd w:val="clear" w:color="auto" w:fill="D6E3C6"/>
            <w:noWrap/>
          </w:tcPr>
          <w:p w14:paraId="430488A5" w14:textId="0BF17788" w:rsidR="00E97053" w:rsidRPr="00312B39" w:rsidRDefault="00E97053" w:rsidP="006C03AD">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209</w:t>
            </w:r>
          </w:p>
        </w:tc>
        <w:tc>
          <w:tcPr>
            <w:tcW w:w="1101" w:type="dxa"/>
            <w:shd w:val="clear" w:color="auto" w:fill="D6E3C6"/>
            <w:noWrap/>
          </w:tcPr>
          <w:p w14:paraId="1FFAF3C4" w14:textId="643E128C" w:rsidR="00E97053" w:rsidRPr="00312B39" w:rsidRDefault="00E97053" w:rsidP="006C03AD">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 xml:space="preserve">C9.I1: Programme for the construction/completion/reconstruction of water supply and sewerage systems, </w:t>
            </w:r>
            <w:r w:rsidRPr="00312B39">
              <w:rPr>
                <w:rFonts w:ascii="Arial" w:hAnsi="Arial" w:cs="Arial"/>
                <w:color w:val="006100"/>
                <w:sz w:val="16"/>
                <w:szCs w:val="16"/>
              </w:rPr>
              <w:lastRenderedPageBreak/>
              <w:t>including waste water treatment plants for agglomerations between 5 000 and 10 000 population equivalent</w:t>
            </w:r>
          </w:p>
        </w:tc>
        <w:tc>
          <w:tcPr>
            <w:tcW w:w="883" w:type="dxa"/>
            <w:shd w:val="clear" w:color="auto" w:fill="D6E3C6"/>
            <w:noWrap/>
          </w:tcPr>
          <w:p w14:paraId="7966672A" w14:textId="74E6A88E" w:rsidR="00E97053" w:rsidRPr="00312B39" w:rsidRDefault="00E97053" w:rsidP="006C03AD">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lastRenderedPageBreak/>
              <w:t>Milestone</w:t>
            </w:r>
          </w:p>
        </w:tc>
        <w:tc>
          <w:tcPr>
            <w:tcW w:w="1276" w:type="dxa"/>
            <w:shd w:val="clear" w:color="auto" w:fill="D6E3C6"/>
            <w:noWrap/>
          </w:tcPr>
          <w:p w14:paraId="6890A29A" w14:textId="0FF69D20" w:rsidR="00E97053" w:rsidRPr="00312B39" w:rsidRDefault="00E97053" w:rsidP="006C03AD">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 xml:space="preserve">Award of contracts for the design and construction of the wastewater treatment plants and the water supply and </w:t>
            </w:r>
            <w:r w:rsidRPr="00312B39">
              <w:rPr>
                <w:rFonts w:ascii="Arial" w:hAnsi="Arial" w:cs="Arial"/>
                <w:color w:val="006100"/>
                <w:sz w:val="16"/>
                <w:szCs w:val="16"/>
              </w:rPr>
              <w:lastRenderedPageBreak/>
              <w:t>sewerage network</w:t>
            </w:r>
          </w:p>
        </w:tc>
        <w:tc>
          <w:tcPr>
            <w:tcW w:w="1418" w:type="dxa"/>
            <w:shd w:val="clear" w:color="auto" w:fill="D6E3C6"/>
            <w:noWrap/>
          </w:tcPr>
          <w:p w14:paraId="0FBAE0F7" w14:textId="1BF71F09" w:rsidR="00E97053" w:rsidRPr="00312B39" w:rsidRDefault="00E97053" w:rsidP="006C03AD">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lastRenderedPageBreak/>
              <w:t>Communication of awards by the Bulgarian Water Supply and Sewerage Holding</w:t>
            </w:r>
          </w:p>
        </w:tc>
        <w:tc>
          <w:tcPr>
            <w:tcW w:w="558" w:type="dxa"/>
            <w:shd w:val="clear" w:color="auto" w:fill="D6E3C6"/>
            <w:noWrap/>
          </w:tcPr>
          <w:p w14:paraId="0F55103E" w14:textId="6D955739" w:rsidR="00E97053" w:rsidRPr="00312B39" w:rsidRDefault="00E97053" w:rsidP="006C03AD">
            <w:pPr>
              <w:spacing w:after="0"/>
              <w:jc w:val="center"/>
              <w:rPr>
                <w:rFonts w:ascii="Arial" w:eastAsia="Times New Roman" w:hAnsi="Arial" w:cs="Arial"/>
                <w:color w:val="006100"/>
                <w:sz w:val="16"/>
                <w:szCs w:val="16"/>
                <w:lang w:eastAsia="en-GB"/>
              </w:rPr>
            </w:pPr>
          </w:p>
        </w:tc>
        <w:tc>
          <w:tcPr>
            <w:tcW w:w="564" w:type="dxa"/>
            <w:shd w:val="clear" w:color="auto" w:fill="D6E3C6"/>
            <w:noWrap/>
          </w:tcPr>
          <w:p w14:paraId="4D5CC9F4" w14:textId="571062E6" w:rsidR="00E97053" w:rsidRPr="00312B39" w:rsidRDefault="00E97053" w:rsidP="006C03AD">
            <w:pPr>
              <w:spacing w:after="0"/>
              <w:jc w:val="center"/>
              <w:rPr>
                <w:rFonts w:ascii="Arial" w:eastAsia="Times New Roman" w:hAnsi="Arial" w:cs="Arial"/>
                <w:color w:val="006100"/>
                <w:sz w:val="16"/>
                <w:szCs w:val="16"/>
                <w:lang w:eastAsia="en-GB"/>
              </w:rPr>
            </w:pPr>
          </w:p>
        </w:tc>
        <w:tc>
          <w:tcPr>
            <w:tcW w:w="570" w:type="dxa"/>
            <w:shd w:val="clear" w:color="auto" w:fill="D6E3C6"/>
            <w:noWrap/>
          </w:tcPr>
          <w:p w14:paraId="7BBC6EA7" w14:textId="4A3B4E1E" w:rsidR="00E97053" w:rsidRPr="00312B39" w:rsidRDefault="00E97053" w:rsidP="006C03AD">
            <w:pPr>
              <w:spacing w:after="0"/>
              <w:jc w:val="center"/>
              <w:rPr>
                <w:rFonts w:ascii="Arial" w:eastAsia="Times New Roman" w:hAnsi="Arial" w:cs="Arial"/>
                <w:color w:val="006100"/>
                <w:sz w:val="16"/>
                <w:szCs w:val="16"/>
                <w:lang w:eastAsia="en-GB"/>
              </w:rPr>
            </w:pPr>
          </w:p>
        </w:tc>
        <w:tc>
          <w:tcPr>
            <w:tcW w:w="434" w:type="dxa"/>
            <w:shd w:val="clear" w:color="auto" w:fill="D6E3C6"/>
            <w:noWrap/>
          </w:tcPr>
          <w:p w14:paraId="06EDF4C8" w14:textId="2435AF89" w:rsidR="00E97053" w:rsidRPr="00312B39" w:rsidRDefault="00E97053" w:rsidP="006C03AD">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Q4</w:t>
            </w:r>
          </w:p>
        </w:tc>
        <w:tc>
          <w:tcPr>
            <w:tcW w:w="575" w:type="dxa"/>
            <w:shd w:val="clear" w:color="auto" w:fill="D6E3C6"/>
            <w:noWrap/>
          </w:tcPr>
          <w:p w14:paraId="71D456B9" w14:textId="0B547E3C" w:rsidR="00E97053" w:rsidRPr="00312B39" w:rsidRDefault="00E97053" w:rsidP="006C03AD">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2023</w:t>
            </w:r>
          </w:p>
        </w:tc>
        <w:tc>
          <w:tcPr>
            <w:tcW w:w="925" w:type="dxa"/>
            <w:gridSpan w:val="2"/>
            <w:shd w:val="clear" w:color="auto" w:fill="D6E3C6"/>
          </w:tcPr>
          <w:p w14:paraId="7A0FEEA4" w14:textId="0ED96703" w:rsidR="00E97053" w:rsidRPr="00312B39" w:rsidRDefault="00E97053" w:rsidP="006C03AD">
            <w:pPr>
              <w:spacing w:after="0"/>
              <w:rPr>
                <w:rFonts w:ascii="Arial" w:eastAsia="Times New Roman" w:hAnsi="Arial" w:cs="Arial"/>
                <w:color w:val="006100"/>
                <w:sz w:val="16"/>
                <w:szCs w:val="16"/>
                <w:lang w:eastAsia="en-GB"/>
              </w:rPr>
            </w:pPr>
            <w:r w:rsidRPr="002F4FA0">
              <w:rPr>
                <w:rFonts w:ascii="Arial" w:hAnsi="Arial" w:cs="Arial"/>
                <w:color w:val="006100"/>
                <w:sz w:val="16"/>
                <w:szCs w:val="16"/>
              </w:rPr>
              <w:t>Bulgarian Water Supply and Sewerage Holding</w:t>
            </w:r>
          </w:p>
        </w:tc>
        <w:tc>
          <w:tcPr>
            <w:tcW w:w="909" w:type="dxa"/>
            <w:gridSpan w:val="2"/>
            <w:shd w:val="clear" w:color="auto" w:fill="D6E3C6"/>
          </w:tcPr>
          <w:p w14:paraId="5042F819" w14:textId="77777777" w:rsidR="00E97053" w:rsidRPr="00312B39" w:rsidRDefault="00E97053" w:rsidP="006C03AD">
            <w:pPr>
              <w:spacing w:after="0"/>
              <w:rPr>
                <w:rFonts w:ascii="Arial" w:eastAsia="Times New Roman" w:hAnsi="Arial" w:cs="Arial"/>
                <w:color w:val="006100"/>
                <w:sz w:val="16"/>
                <w:szCs w:val="16"/>
                <w:lang w:eastAsia="en-GB"/>
              </w:rPr>
            </w:pPr>
          </w:p>
        </w:tc>
        <w:tc>
          <w:tcPr>
            <w:tcW w:w="2185" w:type="dxa"/>
            <w:shd w:val="clear" w:color="auto" w:fill="D6E3C6"/>
          </w:tcPr>
          <w:p w14:paraId="6022F649" w14:textId="6DD6C610" w:rsidR="00E97053" w:rsidRPr="00312B39" w:rsidRDefault="00E97053" w:rsidP="006C03AD">
            <w:pPr>
              <w:pStyle w:val="ListParagraph"/>
              <w:numPr>
                <w:ilvl w:val="0"/>
                <w:numId w:val="16"/>
              </w:numPr>
              <w:spacing w:after="0"/>
              <w:ind w:left="450"/>
              <w:rPr>
                <w:rFonts w:ascii="Arial" w:hAnsi="Arial" w:cs="Arial"/>
                <w:color w:val="006100"/>
                <w:sz w:val="16"/>
                <w:szCs w:val="16"/>
                <w:lang w:val="en-US" w:eastAsia="en-GB"/>
              </w:rPr>
            </w:pPr>
            <w:r w:rsidRPr="00312B39">
              <w:rPr>
                <w:rFonts w:ascii="Arial" w:hAnsi="Arial" w:cs="Arial"/>
                <w:color w:val="006100"/>
                <w:sz w:val="16"/>
                <w:szCs w:val="16"/>
                <w:lang w:val="en-IE" w:eastAsia="en-GB"/>
              </w:rPr>
              <w:t xml:space="preserve">copy of the signed contracts </w:t>
            </w:r>
          </w:p>
          <w:p w14:paraId="384F3FD0" w14:textId="77777777" w:rsidR="00E97053" w:rsidRPr="00312B39" w:rsidRDefault="00E97053" w:rsidP="006C03AD">
            <w:pPr>
              <w:numPr>
                <w:ilvl w:val="0"/>
                <w:numId w:val="16"/>
              </w:numPr>
              <w:spacing w:after="0"/>
              <w:ind w:left="450"/>
              <w:rPr>
                <w:rFonts w:ascii="Arial" w:hAnsi="Arial" w:cs="Arial"/>
                <w:color w:val="006100"/>
                <w:sz w:val="16"/>
                <w:szCs w:val="16"/>
                <w:lang w:val="en-US" w:eastAsia="en-GB"/>
              </w:rPr>
            </w:pPr>
            <w:r w:rsidRPr="00312B39">
              <w:rPr>
                <w:rFonts w:ascii="Arial" w:hAnsi="Arial" w:cs="Arial"/>
                <w:color w:val="006100"/>
                <w:sz w:val="16"/>
                <w:szCs w:val="16"/>
                <w:lang w:val="en-IE" w:eastAsia="en-GB"/>
              </w:rPr>
              <w:t xml:space="preserve">reference to the relevant parts of the technical specifications of the contractual agreements proving alignment with the </w:t>
            </w:r>
            <w:r w:rsidRPr="00312B39">
              <w:rPr>
                <w:rFonts w:ascii="Arial" w:hAnsi="Arial" w:cs="Arial"/>
                <w:color w:val="006100"/>
                <w:sz w:val="16"/>
                <w:szCs w:val="16"/>
                <w:lang w:val="en-IE" w:eastAsia="en-GB"/>
              </w:rPr>
              <w:lastRenderedPageBreak/>
              <w:t xml:space="preserve">description of the milestone </w:t>
            </w:r>
          </w:p>
          <w:p w14:paraId="534FDA9D" w14:textId="77777777" w:rsidR="00E97053" w:rsidRPr="00312B39" w:rsidRDefault="00E97053" w:rsidP="006C03AD">
            <w:pPr>
              <w:numPr>
                <w:ilvl w:val="0"/>
                <w:numId w:val="16"/>
              </w:numPr>
              <w:spacing w:after="0"/>
              <w:ind w:left="450"/>
              <w:rPr>
                <w:rFonts w:ascii="Arial" w:hAnsi="Arial" w:cs="Arial"/>
                <w:color w:val="006100"/>
                <w:sz w:val="16"/>
                <w:szCs w:val="16"/>
                <w:lang w:val="en-US" w:eastAsia="en-GB"/>
              </w:rPr>
            </w:pPr>
            <w:r w:rsidRPr="00312B39">
              <w:rPr>
                <w:rFonts w:ascii="Arial" w:hAnsi="Arial" w:cs="Arial"/>
                <w:color w:val="006100"/>
                <w:sz w:val="16"/>
                <w:szCs w:val="16"/>
                <w:lang w:val="en-IE" w:eastAsia="en-GB"/>
              </w:rPr>
              <w:t xml:space="preserve">the list of contractual counterparts;  </w:t>
            </w:r>
          </w:p>
          <w:p w14:paraId="0198BCC4" w14:textId="77777777" w:rsidR="00E97053" w:rsidRPr="00312B39" w:rsidRDefault="00E97053" w:rsidP="006C03AD">
            <w:pPr>
              <w:spacing w:after="0"/>
              <w:rPr>
                <w:rFonts w:ascii="Arial" w:hAnsi="Arial" w:cs="Arial"/>
                <w:color w:val="006100"/>
                <w:sz w:val="16"/>
                <w:szCs w:val="16"/>
              </w:rPr>
            </w:pPr>
          </w:p>
        </w:tc>
        <w:tc>
          <w:tcPr>
            <w:tcW w:w="4619" w:type="dxa"/>
            <w:shd w:val="clear" w:color="auto" w:fill="D6E3C6"/>
          </w:tcPr>
          <w:p w14:paraId="7DE232C8" w14:textId="694652F1"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6C03AD">
              <w:rPr>
                <w:rFonts w:ascii="Arial" w:hAnsi="Arial" w:cs="Arial"/>
                <w:color w:val="006100"/>
                <w:sz w:val="16"/>
                <w:szCs w:val="16"/>
              </w:rPr>
              <w:t>Bulgarian Water Supply and Sewerage Holding</w:t>
            </w:r>
          </w:p>
          <w:p w14:paraId="69C3245B" w14:textId="77777777" w:rsidR="00E97053" w:rsidRPr="00312B39" w:rsidRDefault="00E97053" w:rsidP="006C03AD">
            <w:pPr>
              <w:spacing w:after="0"/>
              <w:rPr>
                <w:rFonts w:ascii="Arial" w:hAnsi="Arial" w:cs="Arial"/>
                <w:color w:val="006100"/>
                <w:sz w:val="16"/>
                <w:szCs w:val="16"/>
              </w:rPr>
            </w:pPr>
          </w:p>
          <w:p w14:paraId="7E56A114" w14:textId="79A61418"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 xml:space="preserve">What: </w:t>
            </w:r>
            <w:r w:rsidRPr="00163758">
              <w:rPr>
                <w:rFonts w:ascii="Arial" w:hAnsi="Arial" w:cs="Arial"/>
                <w:color w:val="006100"/>
                <w:sz w:val="16"/>
                <w:szCs w:val="16"/>
              </w:rPr>
              <w:t>Award of contracts for the design and construction of the wastewater treatment plants and the water supply and sewerage network</w:t>
            </w:r>
            <w:r w:rsidRPr="00312B39">
              <w:rPr>
                <w:rFonts w:ascii="Arial" w:hAnsi="Arial" w:cs="Arial"/>
                <w:color w:val="006100"/>
                <w:sz w:val="16"/>
                <w:szCs w:val="16"/>
              </w:rPr>
              <w:t xml:space="preserve"> (evidenced by a</w:t>
            </w:r>
            <w:r>
              <w:rPr>
                <w:rFonts w:ascii="Arial" w:hAnsi="Arial" w:cs="Arial"/>
                <w:color w:val="006100"/>
                <w:sz w:val="16"/>
                <w:szCs w:val="16"/>
              </w:rPr>
              <w:t xml:space="preserve"> and c</w:t>
            </w:r>
            <w:r w:rsidRPr="00312B39">
              <w:rPr>
                <w:rFonts w:ascii="Arial" w:hAnsi="Arial" w:cs="Arial"/>
                <w:color w:val="006100"/>
                <w:sz w:val="16"/>
                <w:szCs w:val="16"/>
              </w:rPr>
              <w:t>)</w:t>
            </w:r>
          </w:p>
          <w:p w14:paraId="5C6E7D4A" w14:textId="77777777" w:rsidR="00E97053" w:rsidRPr="00312B39" w:rsidRDefault="00E97053" w:rsidP="006C03AD">
            <w:pPr>
              <w:spacing w:after="0"/>
              <w:rPr>
                <w:rFonts w:ascii="Arial" w:hAnsi="Arial" w:cs="Arial"/>
                <w:color w:val="006100"/>
                <w:sz w:val="16"/>
                <w:szCs w:val="16"/>
              </w:rPr>
            </w:pPr>
          </w:p>
          <w:p w14:paraId="15C977FF" w14:textId="754B4503"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(provide key dates),</w:t>
            </w:r>
            <w:r w:rsidRPr="00312B39">
              <w:rPr>
                <w:rFonts w:ascii="Arial" w:hAnsi="Arial" w:cs="Arial"/>
                <w:color w:val="006100"/>
                <w:sz w:val="16"/>
                <w:szCs w:val="16"/>
              </w:rPr>
              <w:t xml:space="preserve"> </w:t>
            </w:r>
            <w:r>
              <w:rPr>
                <w:rFonts w:ascii="Arial" w:hAnsi="Arial" w:cs="Arial"/>
                <w:color w:val="006100"/>
                <w:sz w:val="16"/>
                <w:szCs w:val="16"/>
              </w:rPr>
              <w:t>contracting (a and c) and reporting (b)</w:t>
            </w:r>
          </w:p>
          <w:p w14:paraId="6D0D2BA1" w14:textId="77777777" w:rsidR="00E97053" w:rsidRPr="00312B39" w:rsidRDefault="00E97053" w:rsidP="006C03AD">
            <w:pPr>
              <w:spacing w:after="0"/>
              <w:rPr>
                <w:rFonts w:ascii="Arial" w:hAnsi="Arial" w:cs="Arial"/>
                <w:color w:val="006100"/>
                <w:sz w:val="16"/>
                <w:szCs w:val="16"/>
              </w:rPr>
            </w:pPr>
          </w:p>
          <w:p w14:paraId="2D4FAFF5" w14:textId="7EC79678"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lastRenderedPageBreak/>
              <w:t xml:space="preserve">Why: </w:t>
            </w:r>
            <w:r>
              <w:rPr>
                <w:rFonts w:ascii="Arial" w:hAnsi="Arial" w:cs="Arial"/>
                <w:color w:val="006100"/>
                <w:sz w:val="16"/>
                <w:szCs w:val="16"/>
              </w:rPr>
              <w:t>To a</w:t>
            </w:r>
            <w:r w:rsidRPr="009F43E2">
              <w:rPr>
                <w:rFonts w:ascii="Arial" w:hAnsi="Arial" w:cs="Arial"/>
                <w:color w:val="006100"/>
                <w:sz w:val="16"/>
                <w:szCs w:val="16"/>
              </w:rPr>
              <w:t>ward contracts following successful public procurement procedures for the design and construction of wastewater treatment plants and the water supply and sewerage network in 13 agglomerations (</w:t>
            </w:r>
            <w:proofErr w:type="spellStart"/>
            <w:r w:rsidRPr="009F43E2">
              <w:rPr>
                <w:rFonts w:ascii="Arial" w:hAnsi="Arial" w:cs="Arial"/>
                <w:color w:val="006100"/>
                <w:sz w:val="16"/>
                <w:szCs w:val="16"/>
              </w:rPr>
              <w:t>Devnya</w:t>
            </w:r>
            <w:proofErr w:type="spellEnd"/>
            <w:r w:rsidRPr="009F43E2">
              <w:rPr>
                <w:rFonts w:ascii="Arial" w:hAnsi="Arial" w:cs="Arial"/>
                <w:color w:val="006100"/>
                <w:sz w:val="16"/>
                <w:szCs w:val="16"/>
              </w:rPr>
              <w:t xml:space="preserve">, General </w:t>
            </w:r>
            <w:proofErr w:type="spellStart"/>
            <w:r w:rsidRPr="009F43E2">
              <w:rPr>
                <w:rFonts w:ascii="Arial" w:hAnsi="Arial" w:cs="Arial"/>
                <w:color w:val="006100"/>
                <w:sz w:val="16"/>
                <w:szCs w:val="16"/>
              </w:rPr>
              <w:t>Toshevo</w:t>
            </w:r>
            <w:proofErr w:type="spellEnd"/>
            <w:r w:rsidRPr="009F43E2">
              <w:rPr>
                <w:rFonts w:ascii="Arial" w:hAnsi="Arial" w:cs="Arial"/>
                <w:color w:val="006100"/>
                <w:sz w:val="16"/>
                <w:szCs w:val="16"/>
              </w:rPr>
              <w:t xml:space="preserve">, Pavel </w:t>
            </w:r>
            <w:proofErr w:type="spellStart"/>
            <w:r w:rsidRPr="009F43E2">
              <w:rPr>
                <w:rFonts w:ascii="Arial" w:hAnsi="Arial" w:cs="Arial"/>
                <w:color w:val="006100"/>
                <w:sz w:val="16"/>
                <w:szCs w:val="16"/>
              </w:rPr>
              <w:t>Banya</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Dulovo</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Ahtopol</w:t>
            </w:r>
            <w:proofErr w:type="spellEnd"/>
            <w:r w:rsidRPr="009F43E2">
              <w:rPr>
                <w:rFonts w:ascii="Arial" w:hAnsi="Arial" w:cs="Arial"/>
                <w:color w:val="006100"/>
                <w:sz w:val="16"/>
                <w:szCs w:val="16"/>
              </w:rPr>
              <w:t xml:space="preserve">, Krumovgrad, Devin, </w:t>
            </w:r>
            <w:proofErr w:type="spellStart"/>
            <w:r w:rsidRPr="009F43E2">
              <w:rPr>
                <w:rFonts w:ascii="Arial" w:hAnsi="Arial" w:cs="Arial"/>
                <w:color w:val="006100"/>
                <w:sz w:val="16"/>
                <w:szCs w:val="16"/>
              </w:rPr>
              <w:t>Galabovo</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Straldzha</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Dolni</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Chiflik</w:t>
            </w:r>
            <w:proofErr w:type="spellEnd"/>
            <w:r w:rsidRPr="009F43E2">
              <w:rPr>
                <w:rFonts w:ascii="Arial" w:hAnsi="Arial" w:cs="Arial"/>
                <w:color w:val="006100"/>
                <w:sz w:val="16"/>
                <w:szCs w:val="16"/>
              </w:rPr>
              <w:t xml:space="preserve">, </w:t>
            </w:r>
            <w:proofErr w:type="spellStart"/>
            <w:r w:rsidRPr="009F43E2">
              <w:rPr>
                <w:rFonts w:ascii="Arial" w:hAnsi="Arial" w:cs="Arial"/>
                <w:color w:val="006100"/>
                <w:sz w:val="16"/>
                <w:szCs w:val="16"/>
              </w:rPr>
              <w:t>Saedinenie</w:t>
            </w:r>
            <w:proofErr w:type="spellEnd"/>
            <w:r w:rsidRPr="009F43E2">
              <w:rPr>
                <w:rFonts w:ascii="Arial" w:hAnsi="Arial" w:cs="Arial"/>
                <w:color w:val="006100"/>
                <w:sz w:val="16"/>
                <w:szCs w:val="16"/>
              </w:rPr>
              <w:t xml:space="preserve">, Kotel, </w:t>
            </w:r>
            <w:proofErr w:type="spellStart"/>
            <w:r w:rsidRPr="009F43E2">
              <w:rPr>
                <w:rFonts w:ascii="Arial" w:hAnsi="Arial" w:cs="Arial"/>
                <w:color w:val="006100"/>
                <w:sz w:val="16"/>
                <w:szCs w:val="16"/>
              </w:rPr>
              <w:t>Rogosh-Skutare</w:t>
            </w:r>
            <w:proofErr w:type="spellEnd"/>
            <w:r w:rsidRPr="009F43E2">
              <w:rPr>
                <w:rFonts w:ascii="Arial" w:hAnsi="Arial" w:cs="Arial"/>
                <w:color w:val="006100"/>
                <w:sz w:val="16"/>
                <w:szCs w:val="16"/>
              </w:rPr>
              <w:t>). For each agglomeration, full compliance with the requirements of the EU environmental legislation (</w:t>
            </w:r>
            <w:proofErr w:type="gramStart"/>
            <w:r w:rsidRPr="009F43E2">
              <w:rPr>
                <w:rFonts w:ascii="Arial" w:hAnsi="Arial" w:cs="Arial"/>
                <w:color w:val="006100"/>
                <w:sz w:val="16"/>
                <w:szCs w:val="16"/>
              </w:rPr>
              <w:t>i.e.</w:t>
            </w:r>
            <w:proofErr w:type="gramEnd"/>
            <w:r w:rsidRPr="009F43E2">
              <w:rPr>
                <w:rFonts w:ascii="Arial" w:hAnsi="Arial" w:cs="Arial"/>
                <w:color w:val="006100"/>
                <w:sz w:val="16"/>
                <w:szCs w:val="16"/>
              </w:rPr>
              <w:t xml:space="preserve"> EIA Directive, Habitats Directive, Water Framework Directive, Urban Waste Water Treatment Directive and Drinking Water Directive) shall be specified in the contract as a requirement to be fulfilled by the contractor. In line with the water sector reform, the contracts for the 13 agglomerations shall cover territories serviced by consolidated regional water service operators and shall be based on regional feasibility studies prepared earlier for these territories.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51E1634" w14:textId="77777777" w:rsidR="00E97053" w:rsidRPr="00312B39" w:rsidRDefault="00E97053" w:rsidP="006C03AD">
            <w:pPr>
              <w:spacing w:after="0"/>
              <w:rPr>
                <w:rFonts w:ascii="Arial" w:hAnsi="Arial" w:cs="Arial"/>
                <w:color w:val="006100"/>
                <w:sz w:val="16"/>
                <w:szCs w:val="16"/>
              </w:rPr>
            </w:pPr>
          </w:p>
          <w:p w14:paraId="2CB6D8FD" w14:textId="7570F7E7"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procurement, awarding, contracting</w:t>
            </w:r>
          </w:p>
        </w:tc>
        <w:tc>
          <w:tcPr>
            <w:tcW w:w="2409" w:type="dxa"/>
            <w:shd w:val="clear" w:color="auto" w:fill="D6E3C6"/>
          </w:tcPr>
          <w:p w14:paraId="11D92F8D" w14:textId="77777777" w:rsidR="00E97053" w:rsidRPr="00D568CC" w:rsidRDefault="00E97053" w:rsidP="00D568CC">
            <w:pPr>
              <w:spacing w:after="0"/>
              <w:rPr>
                <w:rFonts w:ascii="Arial" w:hAnsi="Arial" w:cs="Arial"/>
                <w:color w:val="006100"/>
                <w:sz w:val="16"/>
                <w:szCs w:val="16"/>
              </w:rPr>
            </w:pPr>
            <w:r w:rsidRPr="00D568CC">
              <w:rPr>
                <w:rFonts w:ascii="Arial" w:hAnsi="Arial" w:cs="Arial"/>
                <w:color w:val="006100"/>
                <w:sz w:val="16"/>
                <w:szCs w:val="16"/>
              </w:rPr>
              <w:lastRenderedPageBreak/>
              <w:t xml:space="preserve">The objective of the measure is to ensure efficient and sustainable water use in compliance with the EU and national water legislation. </w:t>
            </w:r>
          </w:p>
          <w:p w14:paraId="5EB78F6C" w14:textId="5401E42D" w:rsidR="00E97053" w:rsidRPr="00312B39" w:rsidRDefault="00E97053" w:rsidP="00D568CC">
            <w:pPr>
              <w:spacing w:after="0"/>
              <w:rPr>
                <w:rFonts w:ascii="Arial" w:hAnsi="Arial" w:cs="Arial"/>
                <w:color w:val="006100"/>
                <w:sz w:val="16"/>
                <w:szCs w:val="16"/>
              </w:rPr>
            </w:pPr>
            <w:r w:rsidRPr="00D568CC">
              <w:rPr>
                <w:rFonts w:ascii="Arial" w:hAnsi="Arial" w:cs="Arial"/>
                <w:color w:val="006100"/>
                <w:sz w:val="16"/>
                <w:szCs w:val="16"/>
              </w:rPr>
              <w:t xml:space="preserve">The measure consists of the construction, reconstruction and modernisation of water supply and sewerage systems, and </w:t>
            </w:r>
            <w:r w:rsidRPr="00D568CC">
              <w:rPr>
                <w:rFonts w:ascii="Arial" w:hAnsi="Arial" w:cs="Arial"/>
                <w:color w:val="006100"/>
                <w:sz w:val="16"/>
                <w:szCs w:val="16"/>
              </w:rPr>
              <w:lastRenderedPageBreak/>
              <w:t xml:space="preserve">drinking and waste water treatment plants in 13 agglomerations and their included settlements of between 5 000 and 10 000 population </w:t>
            </w:r>
            <w:proofErr w:type="gramStart"/>
            <w:r w:rsidRPr="00D568CC">
              <w:rPr>
                <w:rFonts w:ascii="Arial" w:hAnsi="Arial" w:cs="Arial"/>
                <w:color w:val="006100"/>
                <w:sz w:val="16"/>
                <w:szCs w:val="16"/>
              </w:rPr>
              <w:t>equivalent</w:t>
            </w:r>
            <w:proofErr w:type="gramEnd"/>
            <w:r w:rsidRPr="00D568CC">
              <w:rPr>
                <w:rFonts w:ascii="Arial" w:hAnsi="Arial" w:cs="Arial"/>
                <w:color w:val="006100"/>
                <w:sz w:val="16"/>
                <w:szCs w:val="16"/>
              </w:rPr>
              <w:t>. In line with the water sector reform, the project shall only cover investments in agglomerations within the territory of a consolidated regional water operator for which regional feasibility studies have been prepared.</w:t>
            </w:r>
          </w:p>
        </w:tc>
        <w:tc>
          <w:tcPr>
            <w:tcW w:w="851" w:type="dxa"/>
            <w:gridSpan w:val="2"/>
            <w:shd w:val="clear" w:color="auto" w:fill="D6E3C6"/>
          </w:tcPr>
          <w:p w14:paraId="3982B753" w14:textId="2A523065"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lastRenderedPageBreak/>
              <w:t>Delays in the launching of the public procurement procedures</w:t>
            </w:r>
          </w:p>
        </w:tc>
        <w:tc>
          <w:tcPr>
            <w:tcW w:w="709" w:type="dxa"/>
            <w:gridSpan w:val="2"/>
            <w:shd w:val="clear" w:color="auto" w:fill="D6E3C6"/>
          </w:tcPr>
          <w:p w14:paraId="302DE1AD" w14:textId="432218A2"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None</w:t>
            </w:r>
          </w:p>
        </w:tc>
        <w:tc>
          <w:tcPr>
            <w:tcW w:w="851" w:type="dxa"/>
            <w:gridSpan w:val="2"/>
            <w:shd w:val="clear" w:color="auto" w:fill="D6E3C6"/>
          </w:tcPr>
          <w:p w14:paraId="4D3E4E50" w14:textId="77F1EE72"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None</w:t>
            </w:r>
          </w:p>
        </w:tc>
        <w:tc>
          <w:tcPr>
            <w:tcW w:w="1134" w:type="dxa"/>
            <w:shd w:val="clear" w:color="auto" w:fill="D6E3C6"/>
          </w:tcPr>
          <w:p w14:paraId="0DD4AA2E" w14:textId="17558699" w:rsidR="00E97053" w:rsidRPr="00312B39" w:rsidRDefault="00E97053" w:rsidP="006C03AD">
            <w:pPr>
              <w:spacing w:after="0"/>
              <w:rPr>
                <w:rFonts w:ascii="Arial" w:hAnsi="Arial" w:cs="Arial"/>
                <w:color w:val="006100"/>
                <w:sz w:val="16"/>
                <w:szCs w:val="16"/>
              </w:rPr>
            </w:pPr>
            <w:r w:rsidRPr="00312B39">
              <w:rPr>
                <w:rFonts w:ascii="Arial" w:hAnsi="Arial" w:cs="Arial"/>
                <w:color w:val="006100"/>
                <w:sz w:val="16"/>
                <w:szCs w:val="16"/>
              </w:rPr>
              <w:t>-</w:t>
            </w:r>
          </w:p>
        </w:tc>
      </w:tr>
      <w:tr w:rsidR="00E97053" w:rsidRPr="00312B39" w14:paraId="2EE8FD5F" w14:textId="56533FC3" w:rsidTr="004A20D4">
        <w:tc>
          <w:tcPr>
            <w:tcW w:w="568" w:type="dxa"/>
            <w:shd w:val="clear" w:color="auto" w:fill="D6E3C6"/>
            <w:noWrap/>
          </w:tcPr>
          <w:p w14:paraId="64048819" w14:textId="1DCC8689"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210</w:t>
            </w:r>
          </w:p>
        </w:tc>
        <w:tc>
          <w:tcPr>
            <w:tcW w:w="1101" w:type="dxa"/>
            <w:shd w:val="clear" w:color="auto" w:fill="D6E3C6"/>
            <w:noWrap/>
          </w:tcPr>
          <w:p w14:paraId="1CE60C9D" w14:textId="44795289"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C9.I1: Programme for the construction/completion/reconstruction of water supply and sewerage systems, including waste water treatment plants for agglomerations between 5 000 and 10 000 population equivalent</w:t>
            </w:r>
          </w:p>
        </w:tc>
        <w:tc>
          <w:tcPr>
            <w:tcW w:w="883" w:type="dxa"/>
            <w:shd w:val="clear" w:color="auto" w:fill="D6E3C6"/>
            <w:noWrap/>
          </w:tcPr>
          <w:p w14:paraId="407E9B3B" w14:textId="6C17211E"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Target</w:t>
            </w:r>
          </w:p>
        </w:tc>
        <w:tc>
          <w:tcPr>
            <w:tcW w:w="1276" w:type="dxa"/>
            <w:shd w:val="clear" w:color="auto" w:fill="D6E3C6"/>
            <w:noWrap/>
          </w:tcPr>
          <w:p w14:paraId="5416091D" w14:textId="663FE9E9" w:rsidR="00E97053" w:rsidRPr="00312B39" w:rsidRDefault="00E97053" w:rsidP="005A5FCC">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Newly built / reconstructed water supply network connected to newly built/reconstructed waste water treatment plants</w:t>
            </w:r>
          </w:p>
        </w:tc>
        <w:tc>
          <w:tcPr>
            <w:tcW w:w="1418" w:type="dxa"/>
            <w:shd w:val="clear" w:color="auto" w:fill="D6E3C6"/>
            <w:noWrap/>
          </w:tcPr>
          <w:p w14:paraId="6C687FD7" w14:textId="77777777" w:rsidR="00E97053" w:rsidRPr="00312B39" w:rsidRDefault="00E97053" w:rsidP="005A5FCC">
            <w:pPr>
              <w:spacing w:after="0"/>
              <w:rPr>
                <w:rFonts w:ascii="Arial" w:eastAsia="Times New Roman" w:hAnsi="Arial" w:cs="Arial"/>
                <w:color w:val="006100"/>
                <w:sz w:val="16"/>
                <w:szCs w:val="16"/>
                <w:lang w:eastAsia="en-GB"/>
              </w:rPr>
            </w:pPr>
          </w:p>
        </w:tc>
        <w:tc>
          <w:tcPr>
            <w:tcW w:w="558" w:type="dxa"/>
            <w:shd w:val="clear" w:color="auto" w:fill="D6E3C6"/>
            <w:noWrap/>
          </w:tcPr>
          <w:p w14:paraId="7FFD40EE" w14:textId="611AC7D6"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Km</w:t>
            </w:r>
          </w:p>
        </w:tc>
        <w:tc>
          <w:tcPr>
            <w:tcW w:w="564" w:type="dxa"/>
            <w:shd w:val="clear" w:color="auto" w:fill="D6E3C6"/>
            <w:noWrap/>
          </w:tcPr>
          <w:p w14:paraId="31B0E4F8" w14:textId="25AE911B"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0</w:t>
            </w:r>
          </w:p>
        </w:tc>
        <w:tc>
          <w:tcPr>
            <w:tcW w:w="570" w:type="dxa"/>
            <w:shd w:val="clear" w:color="auto" w:fill="D6E3C6"/>
            <w:noWrap/>
          </w:tcPr>
          <w:p w14:paraId="6A4CD755" w14:textId="17B183FF"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250</w:t>
            </w:r>
          </w:p>
        </w:tc>
        <w:tc>
          <w:tcPr>
            <w:tcW w:w="434" w:type="dxa"/>
            <w:shd w:val="clear" w:color="auto" w:fill="D6E3C6"/>
            <w:noWrap/>
          </w:tcPr>
          <w:p w14:paraId="20EDBE88" w14:textId="741D5C45"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Q2</w:t>
            </w:r>
          </w:p>
        </w:tc>
        <w:tc>
          <w:tcPr>
            <w:tcW w:w="575" w:type="dxa"/>
            <w:shd w:val="clear" w:color="auto" w:fill="D6E3C6"/>
            <w:noWrap/>
          </w:tcPr>
          <w:p w14:paraId="5BB33B66" w14:textId="61926C8F" w:rsidR="00E97053" w:rsidRPr="00312B39" w:rsidRDefault="00E97053" w:rsidP="005A5FCC">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2026</w:t>
            </w:r>
          </w:p>
        </w:tc>
        <w:tc>
          <w:tcPr>
            <w:tcW w:w="925" w:type="dxa"/>
            <w:gridSpan w:val="2"/>
            <w:shd w:val="clear" w:color="auto" w:fill="D6E3C6"/>
          </w:tcPr>
          <w:p w14:paraId="05FAA9A6" w14:textId="245F9D99" w:rsidR="00E97053" w:rsidRPr="00312B39" w:rsidRDefault="00E97053" w:rsidP="005A5FCC">
            <w:pPr>
              <w:spacing w:after="0"/>
              <w:rPr>
                <w:rFonts w:ascii="Arial" w:eastAsia="Times New Roman" w:hAnsi="Arial" w:cs="Arial"/>
                <w:color w:val="006100"/>
                <w:sz w:val="16"/>
                <w:szCs w:val="16"/>
                <w:lang w:eastAsia="en-GB"/>
              </w:rPr>
            </w:pPr>
            <w:r w:rsidRPr="002F4FA0">
              <w:rPr>
                <w:rFonts w:ascii="Arial" w:hAnsi="Arial" w:cs="Arial"/>
                <w:color w:val="006100"/>
                <w:sz w:val="16"/>
                <w:szCs w:val="16"/>
              </w:rPr>
              <w:t>Bulgarian Water Supply and Sewerage Holding</w:t>
            </w:r>
          </w:p>
        </w:tc>
        <w:tc>
          <w:tcPr>
            <w:tcW w:w="909" w:type="dxa"/>
            <w:gridSpan w:val="2"/>
            <w:shd w:val="clear" w:color="auto" w:fill="D6E3C6"/>
          </w:tcPr>
          <w:p w14:paraId="7C4B06DD" w14:textId="77777777" w:rsidR="00E97053" w:rsidRPr="00312B39" w:rsidRDefault="00E97053" w:rsidP="005A5FCC">
            <w:pPr>
              <w:spacing w:after="0"/>
              <w:rPr>
                <w:rFonts w:ascii="Arial" w:eastAsia="Times New Roman" w:hAnsi="Arial" w:cs="Arial"/>
                <w:color w:val="006100"/>
                <w:sz w:val="16"/>
                <w:szCs w:val="16"/>
                <w:lang w:eastAsia="en-GB"/>
              </w:rPr>
            </w:pPr>
          </w:p>
        </w:tc>
        <w:tc>
          <w:tcPr>
            <w:tcW w:w="2185" w:type="dxa"/>
            <w:shd w:val="clear" w:color="auto" w:fill="D6E3C6"/>
          </w:tcPr>
          <w:p w14:paraId="24BD7A17" w14:textId="755B7A98" w:rsidR="00E97053" w:rsidRPr="005A5FCC" w:rsidRDefault="00E97053" w:rsidP="005A5FCC">
            <w:pPr>
              <w:pStyle w:val="ListParagraph"/>
              <w:numPr>
                <w:ilvl w:val="0"/>
                <w:numId w:val="17"/>
              </w:numPr>
              <w:spacing w:after="0"/>
              <w:ind w:left="450"/>
              <w:rPr>
                <w:rFonts w:ascii="Arial" w:hAnsi="Arial" w:cs="Arial"/>
                <w:color w:val="006100"/>
                <w:sz w:val="16"/>
                <w:szCs w:val="16"/>
                <w:lang w:val="en-IE" w:eastAsia="en-GB"/>
              </w:rPr>
            </w:pPr>
            <w:r w:rsidRPr="005A5FCC">
              <w:rPr>
                <w:rFonts w:ascii="Arial" w:hAnsi="Arial" w:cs="Arial"/>
                <w:color w:val="006100"/>
                <w:sz w:val="16"/>
                <w:szCs w:val="16"/>
                <w:lang w:val="en-IE" w:eastAsia="en-GB"/>
              </w:rPr>
              <w:t xml:space="preserve">certificate of completion issued in accordance with the national legislation </w:t>
            </w:r>
            <w:proofErr w:type="gramStart"/>
            <w:r w:rsidRPr="005A5FCC">
              <w:rPr>
                <w:rFonts w:ascii="Arial" w:hAnsi="Arial" w:cs="Arial"/>
                <w:color w:val="006100"/>
                <w:sz w:val="16"/>
                <w:szCs w:val="16"/>
                <w:lang w:val="en-IE" w:eastAsia="en-GB"/>
              </w:rPr>
              <w:t xml:space="preserve">and </w:t>
            </w:r>
            <w:r w:rsidRPr="005A5FCC">
              <w:rPr>
                <w:rFonts w:ascii="Arial" w:hAnsi="Arial" w:cs="Arial"/>
                <w:color w:val="006100"/>
                <w:sz w:val="16"/>
                <w:szCs w:val="16"/>
              </w:rPr>
              <w:t xml:space="preserve"> with</w:t>
            </w:r>
            <w:proofErr w:type="gramEnd"/>
            <w:r w:rsidRPr="005A5FCC">
              <w:rPr>
                <w:rFonts w:ascii="Arial" w:hAnsi="Arial" w:cs="Arial"/>
                <w:color w:val="006100"/>
                <w:sz w:val="16"/>
                <w:szCs w:val="16"/>
              </w:rPr>
              <w:t xml:space="preserve"> the Drinking Water Directive (Directive (EU) 2020/2184)</w:t>
            </w:r>
            <w:r w:rsidRPr="005A5FCC">
              <w:rPr>
                <w:rFonts w:ascii="Arial" w:hAnsi="Arial" w:cs="Arial"/>
                <w:color w:val="006100"/>
                <w:sz w:val="16"/>
                <w:szCs w:val="16"/>
                <w:lang w:val="en-IE" w:eastAsia="en-GB"/>
              </w:rPr>
              <w:t>; </w:t>
            </w:r>
          </w:p>
          <w:p w14:paraId="09224941" w14:textId="58E3F788" w:rsidR="00E97053" w:rsidRPr="005A5FCC" w:rsidRDefault="00E97053" w:rsidP="005A5FCC">
            <w:pPr>
              <w:pStyle w:val="ListParagraph"/>
              <w:numPr>
                <w:ilvl w:val="0"/>
                <w:numId w:val="17"/>
              </w:numPr>
              <w:spacing w:after="0"/>
              <w:ind w:left="450"/>
              <w:rPr>
                <w:rFonts w:ascii="Arial" w:hAnsi="Arial" w:cs="Arial"/>
                <w:color w:val="006100"/>
                <w:sz w:val="16"/>
                <w:szCs w:val="16"/>
              </w:rPr>
            </w:pPr>
            <w:r w:rsidRPr="005A5FCC">
              <w:rPr>
                <w:rFonts w:ascii="Arial" w:hAnsi="Arial" w:cs="Arial"/>
                <w:color w:val="006100"/>
                <w:sz w:val="16"/>
                <w:szCs w:val="16"/>
                <w:lang w:eastAsia="en-GB"/>
              </w:rPr>
              <w:t>report by an independent engineer, including justification that</w:t>
            </w:r>
            <w:r w:rsidRPr="005A5FCC">
              <w:rPr>
                <w:rFonts w:ascii="Arial" w:hAnsi="Arial" w:cs="Arial"/>
                <w:color w:val="006100"/>
                <w:sz w:val="16"/>
                <w:szCs w:val="16"/>
                <w:lang w:val="en-IE" w:eastAsia="en-GB"/>
              </w:rPr>
              <w:t xml:space="preserve"> the technical specifications of the project(s) are aligned with the description of the target and of </w:t>
            </w:r>
            <w:r w:rsidRPr="005A5FCC">
              <w:rPr>
                <w:rFonts w:ascii="Arial" w:hAnsi="Arial" w:cs="Arial"/>
                <w:color w:val="006100"/>
                <w:sz w:val="16"/>
                <w:szCs w:val="16"/>
                <w:lang w:eastAsia="en-GB"/>
              </w:rPr>
              <w:t>the description of the investment in the CID. </w:t>
            </w:r>
            <w:r w:rsidRPr="005A5FCC">
              <w:rPr>
                <w:rFonts w:ascii="Arial" w:hAnsi="Arial" w:cs="Arial"/>
                <w:color w:val="006100"/>
                <w:sz w:val="16"/>
                <w:szCs w:val="16"/>
                <w:lang w:val="en-US" w:eastAsia="en-GB"/>
              </w:rPr>
              <w:t> </w:t>
            </w:r>
          </w:p>
        </w:tc>
        <w:tc>
          <w:tcPr>
            <w:tcW w:w="4619" w:type="dxa"/>
            <w:shd w:val="clear" w:color="auto" w:fill="D6E3C6"/>
          </w:tcPr>
          <w:p w14:paraId="4B350FE9" w14:textId="77777777"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6C03AD">
              <w:rPr>
                <w:rFonts w:ascii="Arial" w:hAnsi="Arial" w:cs="Arial"/>
                <w:color w:val="006100"/>
                <w:sz w:val="16"/>
                <w:szCs w:val="16"/>
              </w:rPr>
              <w:t>Bulgarian Water Supply and Sewerage Holding</w:t>
            </w:r>
          </w:p>
          <w:p w14:paraId="4DB02A4C" w14:textId="77777777" w:rsidR="00E97053" w:rsidRPr="00312B39" w:rsidRDefault="00E97053" w:rsidP="005A5FCC">
            <w:pPr>
              <w:spacing w:after="0"/>
              <w:rPr>
                <w:rFonts w:ascii="Arial" w:hAnsi="Arial" w:cs="Arial"/>
                <w:color w:val="006100"/>
                <w:sz w:val="16"/>
                <w:szCs w:val="16"/>
              </w:rPr>
            </w:pPr>
          </w:p>
          <w:p w14:paraId="7A53787A" w14:textId="495D71B3"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What: Newly built / reconstructed water supply network connected to newly built/reconstructed waste water treatment plants (evidenced by a)</w:t>
            </w:r>
          </w:p>
          <w:p w14:paraId="6F41DC79" w14:textId="77777777" w:rsidR="00E97053" w:rsidRPr="00312B39" w:rsidRDefault="00E97053" w:rsidP="005A5FCC">
            <w:pPr>
              <w:spacing w:after="0"/>
              <w:rPr>
                <w:rFonts w:ascii="Arial" w:hAnsi="Arial" w:cs="Arial"/>
                <w:color w:val="006100"/>
                <w:sz w:val="16"/>
                <w:szCs w:val="16"/>
              </w:rPr>
            </w:pPr>
          </w:p>
          <w:p w14:paraId="4CB40D69" w14:textId="7205F1D4"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completion of works (a),</w:t>
            </w:r>
            <w:r w:rsidRPr="00312B39">
              <w:rPr>
                <w:rFonts w:ascii="Arial" w:hAnsi="Arial" w:cs="Arial"/>
                <w:color w:val="006100"/>
                <w:sz w:val="16"/>
                <w:szCs w:val="16"/>
              </w:rPr>
              <w:t xml:space="preserve"> </w:t>
            </w:r>
            <w:r>
              <w:rPr>
                <w:rFonts w:ascii="Arial" w:hAnsi="Arial" w:cs="Arial"/>
                <w:color w:val="006100"/>
                <w:sz w:val="16"/>
                <w:szCs w:val="16"/>
              </w:rPr>
              <w:t>ensuring compliance (b), and permits</w:t>
            </w:r>
          </w:p>
          <w:p w14:paraId="32734DF0" w14:textId="77777777" w:rsidR="00E97053" w:rsidRPr="00312B39" w:rsidRDefault="00E97053" w:rsidP="005A5FCC">
            <w:pPr>
              <w:spacing w:after="0"/>
              <w:rPr>
                <w:rFonts w:ascii="Arial" w:hAnsi="Arial" w:cs="Arial"/>
                <w:color w:val="006100"/>
                <w:sz w:val="16"/>
                <w:szCs w:val="16"/>
              </w:rPr>
            </w:pPr>
          </w:p>
          <w:p w14:paraId="0C81AD08" w14:textId="13DCA746"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 xml:space="preserve">Why: The newly built / reconstructed water supply network shall be connected to waste water treatment plants to be built/reconstructed as part of the same investment. The investment shall </w:t>
            </w:r>
            <w:proofErr w:type="gramStart"/>
            <w:r w:rsidRPr="00312B39">
              <w:rPr>
                <w:rFonts w:ascii="Arial" w:hAnsi="Arial" w:cs="Arial"/>
                <w:color w:val="006100"/>
                <w:sz w:val="16"/>
                <w:szCs w:val="16"/>
              </w:rPr>
              <w:t>ensure  treatment</w:t>
            </w:r>
            <w:proofErr w:type="gramEnd"/>
            <w:r w:rsidRPr="00312B39">
              <w:rPr>
                <w:rFonts w:ascii="Arial" w:hAnsi="Arial" w:cs="Arial"/>
                <w:color w:val="006100"/>
                <w:sz w:val="16"/>
                <w:szCs w:val="16"/>
              </w:rPr>
              <w:t xml:space="preserve"> of waste water from 13 agglomerations (</w:t>
            </w:r>
            <w:proofErr w:type="spellStart"/>
            <w:r w:rsidRPr="00312B39">
              <w:rPr>
                <w:rFonts w:ascii="Arial" w:hAnsi="Arial" w:cs="Arial"/>
                <w:color w:val="006100"/>
                <w:sz w:val="16"/>
                <w:szCs w:val="16"/>
              </w:rPr>
              <w:t>Devnya</w:t>
            </w:r>
            <w:proofErr w:type="spellEnd"/>
            <w:r w:rsidRPr="00312B39">
              <w:rPr>
                <w:rFonts w:ascii="Arial" w:hAnsi="Arial" w:cs="Arial"/>
                <w:color w:val="006100"/>
                <w:sz w:val="16"/>
                <w:szCs w:val="16"/>
              </w:rPr>
              <w:t xml:space="preserve">, General  </w:t>
            </w:r>
            <w:proofErr w:type="spellStart"/>
            <w:r w:rsidRPr="00312B39">
              <w:rPr>
                <w:rFonts w:ascii="Arial" w:hAnsi="Arial" w:cs="Arial"/>
                <w:color w:val="006100"/>
                <w:sz w:val="16"/>
                <w:szCs w:val="16"/>
              </w:rPr>
              <w:t>Toshevo</w:t>
            </w:r>
            <w:proofErr w:type="spellEnd"/>
            <w:r w:rsidRPr="00312B39">
              <w:rPr>
                <w:rFonts w:ascii="Arial" w:hAnsi="Arial" w:cs="Arial"/>
                <w:color w:val="006100"/>
                <w:sz w:val="16"/>
                <w:szCs w:val="16"/>
              </w:rPr>
              <w:t xml:space="preserve">, Pavel </w:t>
            </w:r>
            <w:proofErr w:type="spellStart"/>
            <w:r w:rsidRPr="00312B39">
              <w:rPr>
                <w:rFonts w:ascii="Arial" w:hAnsi="Arial" w:cs="Arial"/>
                <w:color w:val="006100"/>
                <w:sz w:val="16"/>
                <w:szCs w:val="16"/>
              </w:rPr>
              <w:t>Banya</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Dulovo</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Ahtopol</w:t>
            </w:r>
            <w:proofErr w:type="spellEnd"/>
            <w:r w:rsidRPr="00312B39">
              <w:rPr>
                <w:rFonts w:ascii="Arial" w:hAnsi="Arial" w:cs="Arial"/>
                <w:color w:val="006100"/>
                <w:sz w:val="16"/>
                <w:szCs w:val="16"/>
              </w:rPr>
              <w:t xml:space="preserve">, Krumovgrad, Devin, </w:t>
            </w:r>
            <w:proofErr w:type="spellStart"/>
            <w:r w:rsidRPr="00312B39">
              <w:rPr>
                <w:rFonts w:ascii="Arial" w:hAnsi="Arial" w:cs="Arial"/>
                <w:color w:val="006100"/>
                <w:sz w:val="16"/>
                <w:szCs w:val="16"/>
              </w:rPr>
              <w:t>Galabovo</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Straldzha</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Dolni</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Chiflik</w:t>
            </w:r>
            <w:proofErr w:type="spellEnd"/>
            <w:r w:rsidRPr="00312B39">
              <w:rPr>
                <w:rFonts w:ascii="Arial" w:hAnsi="Arial" w:cs="Arial"/>
                <w:color w:val="006100"/>
                <w:sz w:val="16"/>
                <w:szCs w:val="16"/>
              </w:rPr>
              <w:t xml:space="preserve">, </w:t>
            </w:r>
            <w:proofErr w:type="spellStart"/>
            <w:r w:rsidRPr="00312B39">
              <w:rPr>
                <w:rFonts w:ascii="Arial" w:hAnsi="Arial" w:cs="Arial"/>
                <w:color w:val="006100"/>
                <w:sz w:val="16"/>
                <w:szCs w:val="16"/>
              </w:rPr>
              <w:t>Saedinenie</w:t>
            </w:r>
            <w:proofErr w:type="spellEnd"/>
            <w:r w:rsidRPr="00312B39">
              <w:rPr>
                <w:rFonts w:ascii="Arial" w:hAnsi="Arial" w:cs="Arial"/>
                <w:color w:val="006100"/>
                <w:sz w:val="16"/>
                <w:szCs w:val="16"/>
              </w:rPr>
              <w:t xml:space="preserve">, Kotel, </w:t>
            </w:r>
            <w:proofErr w:type="spellStart"/>
            <w:r w:rsidRPr="00312B39">
              <w:rPr>
                <w:rFonts w:ascii="Arial" w:hAnsi="Arial" w:cs="Arial"/>
                <w:color w:val="006100"/>
                <w:sz w:val="16"/>
                <w:szCs w:val="16"/>
              </w:rPr>
              <w:t>Rogosh-Skutare</w:t>
            </w:r>
            <w:proofErr w:type="spellEnd"/>
            <w:r w:rsidRPr="00312B39">
              <w:rPr>
                <w:rFonts w:ascii="Arial" w:hAnsi="Arial" w:cs="Arial"/>
                <w:color w:val="006100"/>
                <w:sz w:val="16"/>
                <w:szCs w:val="16"/>
              </w:rPr>
              <w:t xml:space="preserve">), shall decrease the losses along the water supply network and improve the drinking water quality in these agglomerations. The provision and operation of the identified drinking water infrastructure shall be in accordance with the Drinking Water Directive (Directive (EU) 2020/2184).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5D7D243" w14:textId="77777777" w:rsidR="00E97053" w:rsidRPr="00312B39" w:rsidRDefault="00E97053" w:rsidP="005A5FCC">
            <w:pPr>
              <w:spacing w:after="0"/>
              <w:rPr>
                <w:rFonts w:ascii="Arial" w:hAnsi="Arial" w:cs="Arial"/>
                <w:color w:val="006100"/>
                <w:sz w:val="16"/>
                <w:szCs w:val="16"/>
              </w:rPr>
            </w:pPr>
          </w:p>
          <w:p w14:paraId="792EC703" w14:textId="0462227F"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completion of works and the provision of permits</w:t>
            </w:r>
          </w:p>
        </w:tc>
        <w:tc>
          <w:tcPr>
            <w:tcW w:w="2409" w:type="dxa"/>
            <w:shd w:val="clear" w:color="auto" w:fill="D6E3C6"/>
          </w:tcPr>
          <w:p w14:paraId="479EDC5C" w14:textId="32A77E08" w:rsidR="00E97053" w:rsidRPr="00312B39" w:rsidRDefault="00E97053" w:rsidP="005A5FCC">
            <w:pPr>
              <w:spacing w:after="0"/>
              <w:rPr>
                <w:rFonts w:ascii="Arial" w:hAnsi="Arial" w:cs="Arial"/>
                <w:color w:val="006100"/>
                <w:sz w:val="16"/>
                <w:szCs w:val="16"/>
              </w:rPr>
            </w:pPr>
            <w:r>
              <w:rPr>
                <w:rFonts w:ascii="Arial" w:hAnsi="Arial" w:cs="Arial"/>
                <w:color w:val="006100"/>
                <w:sz w:val="16"/>
                <w:szCs w:val="16"/>
              </w:rPr>
              <w:t>As above</w:t>
            </w:r>
          </w:p>
        </w:tc>
        <w:tc>
          <w:tcPr>
            <w:tcW w:w="851" w:type="dxa"/>
            <w:gridSpan w:val="2"/>
            <w:shd w:val="clear" w:color="auto" w:fill="D6E3C6"/>
          </w:tcPr>
          <w:p w14:paraId="070E268E" w14:textId="3803EE41"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Delays in 209</w:t>
            </w:r>
          </w:p>
        </w:tc>
        <w:tc>
          <w:tcPr>
            <w:tcW w:w="709" w:type="dxa"/>
            <w:gridSpan w:val="2"/>
            <w:shd w:val="clear" w:color="auto" w:fill="D6E3C6"/>
          </w:tcPr>
          <w:p w14:paraId="5F7C4BC9" w14:textId="3AB6CDC7"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Yes</w:t>
            </w:r>
          </w:p>
        </w:tc>
        <w:tc>
          <w:tcPr>
            <w:tcW w:w="851" w:type="dxa"/>
            <w:gridSpan w:val="2"/>
            <w:shd w:val="clear" w:color="auto" w:fill="D6E3C6"/>
          </w:tcPr>
          <w:p w14:paraId="32E8FD84" w14:textId="00D13C68" w:rsidR="00E97053" w:rsidRPr="00312B39" w:rsidRDefault="00E97053" w:rsidP="005A5FCC">
            <w:pPr>
              <w:spacing w:after="0"/>
              <w:rPr>
                <w:rFonts w:ascii="Arial" w:hAnsi="Arial" w:cs="Arial"/>
                <w:color w:val="006100"/>
                <w:sz w:val="16"/>
                <w:szCs w:val="16"/>
              </w:rPr>
            </w:pPr>
            <w:r w:rsidRPr="00312B39">
              <w:rPr>
                <w:rFonts w:ascii="Arial" w:hAnsi="Arial" w:cs="Arial"/>
                <w:color w:val="006100"/>
                <w:sz w:val="16"/>
                <w:szCs w:val="16"/>
              </w:rPr>
              <w:t>None</w:t>
            </w:r>
          </w:p>
        </w:tc>
        <w:tc>
          <w:tcPr>
            <w:tcW w:w="1134" w:type="dxa"/>
            <w:shd w:val="clear" w:color="auto" w:fill="D6E3C6"/>
          </w:tcPr>
          <w:p w14:paraId="243878D9" w14:textId="77777777" w:rsidR="00E97053" w:rsidRDefault="00E97053" w:rsidP="005A5FCC">
            <w:pPr>
              <w:spacing w:after="0"/>
              <w:rPr>
                <w:rFonts w:ascii="Arial" w:hAnsi="Arial" w:cs="Arial"/>
                <w:color w:val="006100"/>
                <w:sz w:val="16"/>
                <w:szCs w:val="16"/>
              </w:rPr>
            </w:pPr>
            <w:r>
              <w:rPr>
                <w:rFonts w:ascii="Arial" w:hAnsi="Arial" w:cs="Arial"/>
                <w:color w:val="006100"/>
                <w:sz w:val="16"/>
                <w:szCs w:val="16"/>
              </w:rPr>
              <w:t>Consider defining the</w:t>
            </w:r>
            <w:r w:rsidRPr="00312B39">
              <w:rPr>
                <w:rFonts w:ascii="Arial" w:hAnsi="Arial" w:cs="Arial"/>
                <w:color w:val="006100"/>
                <w:sz w:val="16"/>
                <w:szCs w:val="16"/>
              </w:rPr>
              <w:t xml:space="preserve"> institution</w:t>
            </w:r>
            <w:r>
              <w:rPr>
                <w:rFonts w:ascii="Arial" w:hAnsi="Arial" w:cs="Arial"/>
                <w:color w:val="006100"/>
                <w:sz w:val="16"/>
                <w:szCs w:val="16"/>
              </w:rPr>
              <w:t>/s</w:t>
            </w:r>
            <w:r w:rsidRPr="00312B39">
              <w:rPr>
                <w:rFonts w:ascii="Arial" w:hAnsi="Arial" w:cs="Arial"/>
                <w:color w:val="006100"/>
                <w:sz w:val="16"/>
                <w:szCs w:val="16"/>
              </w:rPr>
              <w:t xml:space="preserve"> </w:t>
            </w:r>
            <w:r>
              <w:rPr>
                <w:rFonts w:ascii="Arial" w:hAnsi="Arial" w:cs="Arial"/>
                <w:color w:val="006100"/>
                <w:sz w:val="16"/>
                <w:szCs w:val="16"/>
              </w:rPr>
              <w:t xml:space="preserve">that </w:t>
            </w:r>
            <w:r w:rsidRPr="00312B39">
              <w:rPr>
                <w:rFonts w:ascii="Arial" w:hAnsi="Arial" w:cs="Arial"/>
                <w:color w:val="006100"/>
                <w:sz w:val="16"/>
                <w:szCs w:val="16"/>
              </w:rPr>
              <w:t>will provide the certificate for completion of works</w:t>
            </w:r>
            <w:r>
              <w:rPr>
                <w:rFonts w:ascii="Arial" w:hAnsi="Arial" w:cs="Arial"/>
                <w:color w:val="006100"/>
                <w:sz w:val="16"/>
                <w:szCs w:val="16"/>
              </w:rPr>
              <w:t xml:space="preserve"> and the permits</w:t>
            </w:r>
            <w:r w:rsidR="00FA2C30">
              <w:rPr>
                <w:rFonts w:ascii="Arial" w:hAnsi="Arial" w:cs="Arial"/>
                <w:color w:val="006100"/>
                <w:sz w:val="16"/>
                <w:szCs w:val="16"/>
              </w:rPr>
              <w:t>.</w:t>
            </w:r>
          </w:p>
          <w:p w14:paraId="5CF493A4" w14:textId="77777777" w:rsidR="00FA2C30" w:rsidRDefault="00FA2C30" w:rsidP="005A5FCC">
            <w:pPr>
              <w:spacing w:after="0"/>
              <w:rPr>
                <w:rFonts w:ascii="Arial" w:hAnsi="Arial" w:cs="Arial"/>
                <w:color w:val="006100"/>
                <w:sz w:val="16"/>
                <w:szCs w:val="16"/>
              </w:rPr>
            </w:pPr>
          </w:p>
          <w:p w14:paraId="52C20C4E" w14:textId="768D6129" w:rsidR="00FA2C30" w:rsidRPr="00312B39" w:rsidRDefault="00AC47AD" w:rsidP="005A5FCC">
            <w:pPr>
              <w:spacing w:after="0"/>
              <w:rPr>
                <w:rFonts w:ascii="Arial" w:hAnsi="Arial" w:cs="Arial"/>
                <w:color w:val="006100"/>
                <w:sz w:val="16"/>
                <w:szCs w:val="16"/>
              </w:rPr>
            </w:pPr>
            <w:r>
              <w:rPr>
                <w:rFonts w:ascii="Arial" w:hAnsi="Arial" w:cs="Arial"/>
                <w:color w:val="006100"/>
                <w:sz w:val="16"/>
                <w:szCs w:val="16"/>
              </w:rPr>
              <w:t xml:space="preserve">A monitoring step: </w:t>
            </w:r>
            <w:r w:rsidR="00DF7A23" w:rsidRPr="00DF7A23">
              <w:rPr>
                <w:rFonts w:ascii="Arial" w:hAnsi="Arial" w:cs="Arial"/>
                <w:color w:val="006100"/>
                <w:sz w:val="16"/>
                <w:szCs w:val="16"/>
              </w:rPr>
              <w:t>Progress report detailing the progress achieved towards fulfilling the target (with the actual status – percentage/km of the water supply network built/reconstructed)</w:t>
            </w:r>
            <w:r w:rsidR="00DF7A23">
              <w:rPr>
                <w:rFonts w:ascii="Arial" w:hAnsi="Arial" w:cs="Arial"/>
                <w:color w:val="006100"/>
                <w:sz w:val="16"/>
                <w:szCs w:val="16"/>
              </w:rPr>
              <w:t xml:space="preserve"> (</w:t>
            </w:r>
            <w:r w:rsidR="00900204">
              <w:rPr>
                <w:rFonts w:ascii="Arial" w:hAnsi="Arial" w:cs="Arial"/>
                <w:color w:val="006100"/>
                <w:sz w:val="16"/>
                <w:szCs w:val="16"/>
              </w:rPr>
              <w:t>Q1 20</w:t>
            </w:r>
            <w:r w:rsidR="00C94E13">
              <w:rPr>
                <w:rFonts w:ascii="Arial" w:hAnsi="Arial" w:cs="Arial"/>
                <w:color w:val="006100"/>
                <w:sz w:val="16"/>
                <w:szCs w:val="16"/>
              </w:rPr>
              <w:t>25</w:t>
            </w:r>
            <w:r w:rsidR="00DF7A23">
              <w:rPr>
                <w:rFonts w:ascii="Arial" w:hAnsi="Arial" w:cs="Arial"/>
                <w:color w:val="006100"/>
                <w:sz w:val="16"/>
                <w:szCs w:val="16"/>
              </w:rPr>
              <w:t>)</w:t>
            </w:r>
          </w:p>
        </w:tc>
      </w:tr>
      <w:tr w:rsidR="00E97053" w:rsidRPr="00312B39" w14:paraId="36E255D8" w14:textId="06579550" w:rsidTr="004A20D4">
        <w:tc>
          <w:tcPr>
            <w:tcW w:w="568" w:type="dxa"/>
            <w:shd w:val="clear" w:color="auto" w:fill="D6E3C6"/>
            <w:noWrap/>
          </w:tcPr>
          <w:p w14:paraId="3B4CDF22" w14:textId="0C6F7170" w:rsidR="00E97053" w:rsidRPr="00312B39" w:rsidRDefault="00E97053" w:rsidP="00E6412B">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211</w:t>
            </w:r>
          </w:p>
        </w:tc>
        <w:tc>
          <w:tcPr>
            <w:tcW w:w="1101" w:type="dxa"/>
            <w:shd w:val="clear" w:color="auto" w:fill="D6E3C6"/>
            <w:noWrap/>
          </w:tcPr>
          <w:p w14:paraId="0F18E8FB" w14:textId="2DDEA4C7" w:rsidR="00E97053" w:rsidRPr="00312B39" w:rsidRDefault="00E97053" w:rsidP="00E6412B">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C9.I2: Digitalisation for integrated management, control and efficient use of water</w:t>
            </w:r>
          </w:p>
        </w:tc>
        <w:tc>
          <w:tcPr>
            <w:tcW w:w="883" w:type="dxa"/>
            <w:shd w:val="clear" w:color="auto" w:fill="D6E3C6"/>
            <w:noWrap/>
          </w:tcPr>
          <w:p w14:paraId="49AE9F8D" w14:textId="0A42D4F7" w:rsidR="00E97053" w:rsidRPr="00312B39" w:rsidRDefault="00E97053" w:rsidP="00E6412B">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Milestone</w:t>
            </w:r>
          </w:p>
        </w:tc>
        <w:tc>
          <w:tcPr>
            <w:tcW w:w="1276" w:type="dxa"/>
            <w:shd w:val="clear" w:color="auto" w:fill="D6E3C6"/>
            <w:noWrap/>
          </w:tcPr>
          <w:p w14:paraId="4B2BD12B" w14:textId="6C4B08F2" w:rsidR="00E97053" w:rsidRPr="00312B39" w:rsidRDefault="00E97053" w:rsidP="00E6412B">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Award of contract for technical design and building the information system for integrated water quantity management</w:t>
            </w:r>
          </w:p>
        </w:tc>
        <w:tc>
          <w:tcPr>
            <w:tcW w:w="1418" w:type="dxa"/>
            <w:shd w:val="clear" w:color="auto" w:fill="D6E3C6"/>
            <w:noWrap/>
          </w:tcPr>
          <w:p w14:paraId="6B043C81" w14:textId="2AC1879F" w:rsidR="00E97053" w:rsidRPr="00312B39" w:rsidRDefault="00E97053" w:rsidP="00E6412B">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Communication of award</w:t>
            </w:r>
          </w:p>
        </w:tc>
        <w:tc>
          <w:tcPr>
            <w:tcW w:w="558" w:type="dxa"/>
            <w:shd w:val="clear" w:color="auto" w:fill="D6E3C6"/>
            <w:noWrap/>
          </w:tcPr>
          <w:p w14:paraId="1C92118F" w14:textId="77777777" w:rsidR="00E97053" w:rsidRPr="00312B39" w:rsidRDefault="00E97053" w:rsidP="00E6412B">
            <w:pPr>
              <w:spacing w:after="0"/>
              <w:jc w:val="center"/>
              <w:rPr>
                <w:rFonts w:ascii="Arial" w:eastAsia="Times New Roman" w:hAnsi="Arial" w:cs="Arial"/>
                <w:color w:val="006100"/>
                <w:sz w:val="16"/>
                <w:szCs w:val="16"/>
                <w:lang w:eastAsia="en-GB"/>
              </w:rPr>
            </w:pPr>
          </w:p>
        </w:tc>
        <w:tc>
          <w:tcPr>
            <w:tcW w:w="564" w:type="dxa"/>
            <w:shd w:val="clear" w:color="auto" w:fill="D6E3C6"/>
            <w:noWrap/>
          </w:tcPr>
          <w:p w14:paraId="2AB8559F" w14:textId="77777777" w:rsidR="00E97053" w:rsidRPr="00312B39" w:rsidRDefault="00E97053" w:rsidP="00E6412B">
            <w:pPr>
              <w:spacing w:after="0"/>
              <w:jc w:val="center"/>
              <w:rPr>
                <w:rFonts w:ascii="Arial" w:eastAsia="Times New Roman" w:hAnsi="Arial" w:cs="Arial"/>
                <w:color w:val="006100"/>
                <w:sz w:val="16"/>
                <w:szCs w:val="16"/>
                <w:lang w:eastAsia="en-GB"/>
              </w:rPr>
            </w:pPr>
          </w:p>
        </w:tc>
        <w:tc>
          <w:tcPr>
            <w:tcW w:w="570" w:type="dxa"/>
            <w:shd w:val="clear" w:color="auto" w:fill="D6E3C6"/>
            <w:noWrap/>
          </w:tcPr>
          <w:p w14:paraId="7CB970DA" w14:textId="77777777" w:rsidR="00E97053" w:rsidRPr="00312B39" w:rsidRDefault="00E97053" w:rsidP="00E6412B">
            <w:pPr>
              <w:spacing w:after="0"/>
              <w:jc w:val="center"/>
              <w:rPr>
                <w:rFonts w:ascii="Arial" w:eastAsia="Times New Roman" w:hAnsi="Arial" w:cs="Arial"/>
                <w:color w:val="006100"/>
                <w:sz w:val="16"/>
                <w:szCs w:val="16"/>
                <w:lang w:eastAsia="en-GB"/>
              </w:rPr>
            </w:pPr>
          </w:p>
        </w:tc>
        <w:tc>
          <w:tcPr>
            <w:tcW w:w="434" w:type="dxa"/>
            <w:shd w:val="clear" w:color="auto" w:fill="D6E3C6"/>
            <w:noWrap/>
          </w:tcPr>
          <w:p w14:paraId="712B4EF5" w14:textId="0FE6159E" w:rsidR="00E97053" w:rsidRPr="00312B39" w:rsidRDefault="00E97053" w:rsidP="00E6412B">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Q3</w:t>
            </w:r>
          </w:p>
        </w:tc>
        <w:tc>
          <w:tcPr>
            <w:tcW w:w="575" w:type="dxa"/>
            <w:shd w:val="clear" w:color="auto" w:fill="D6E3C6"/>
            <w:noWrap/>
          </w:tcPr>
          <w:p w14:paraId="2580FF46" w14:textId="64AF7ECF" w:rsidR="00E97053" w:rsidRPr="00312B39" w:rsidRDefault="00E97053" w:rsidP="00E6412B">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2023</w:t>
            </w:r>
          </w:p>
        </w:tc>
        <w:tc>
          <w:tcPr>
            <w:tcW w:w="925" w:type="dxa"/>
            <w:gridSpan w:val="2"/>
            <w:shd w:val="clear" w:color="auto" w:fill="D6E3C6"/>
          </w:tcPr>
          <w:p w14:paraId="60CDD40E" w14:textId="015EA88F" w:rsidR="00E97053" w:rsidRPr="00312B39" w:rsidRDefault="00E97053" w:rsidP="00E6412B">
            <w:pPr>
              <w:spacing w:after="0"/>
              <w:rPr>
                <w:rFonts w:ascii="Arial" w:eastAsia="Times New Roman" w:hAnsi="Arial" w:cs="Arial"/>
                <w:color w:val="006100"/>
                <w:sz w:val="16"/>
                <w:szCs w:val="16"/>
                <w:lang w:val="en-US" w:eastAsia="en-GB"/>
              </w:rPr>
            </w:pPr>
            <w:r w:rsidRPr="00312B39">
              <w:rPr>
                <w:rFonts w:ascii="Arial" w:eastAsia="Times New Roman" w:hAnsi="Arial" w:cs="Arial"/>
                <w:color w:val="006100"/>
                <w:sz w:val="16"/>
                <w:szCs w:val="16"/>
                <w:lang w:val="en-US" w:eastAsia="en-GB"/>
              </w:rPr>
              <w:t>Ministry of Environment and Water</w:t>
            </w:r>
          </w:p>
        </w:tc>
        <w:tc>
          <w:tcPr>
            <w:tcW w:w="909" w:type="dxa"/>
            <w:gridSpan w:val="2"/>
            <w:shd w:val="clear" w:color="auto" w:fill="D6E3C6"/>
          </w:tcPr>
          <w:p w14:paraId="534CFCB2" w14:textId="77777777" w:rsidR="00E97053" w:rsidRPr="00312B39" w:rsidRDefault="00E97053" w:rsidP="00E6412B">
            <w:pPr>
              <w:spacing w:after="0"/>
              <w:rPr>
                <w:rFonts w:ascii="Arial" w:eastAsia="Times New Roman" w:hAnsi="Arial" w:cs="Arial"/>
                <w:color w:val="006100"/>
                <w:sz w:val="16"/>
                <w:szCs w:val="16"/>
                <w:lang w:eastAsia="en-GB"/>
              </w:rPr>
            </w:pPr>
          </w:p>
        </w:tc>
        <w:tc>
          <w:tcPr>
            <w:tcW w:w="2185" w:type="dxa"/>
            <w:shd w:val="clear" w:color="auto" w:fill="D6E3C6"/>
          </w:tcPr>
          <w:p w14:paraId="49F3B05E" w14:textId="77777777" w:rsidR="00E97053" w:rsidRPr="00312B39" w:rsidRDefault="00E97053" w:rsidP="00E6412B">
            <w:pPr>
              <w:numPr>
                <w:ilvl w:val="0"/>
                <w:numId w:val="11"/>
              </w:numPr>
              <w:spacing w:after="0"/>
              <w:ind w:left="426" w:hanging="284"/>
              <w:rPr>
                <w:rFonts w:ascii="Arial" w:hAnsi="Arial" w:cs="Arial"/>
                <w:color w:val="006100"/>
                <w:sz w:val="16"/>
                <w:szCs w:val="16"/>
                <w:lang w:val="en-US" w:eastAsia="en-GB"/>
              </w:rPr>
            </w:pPr>
            <w:r w:rsidRPr="00312B39">
              <w:rPr>
                <w:rFonts w:ascii="Arial" w:hAnsi="Arial" w:cs="Arial"/>
                <w:color w:val="006100"/>
                <w:sz w:val="16"/>
                <w:szCs w:val="16"/>
                <w:lang w:val="en-IE" w:eastAsia="en-GB"/>
              </w:rPr>
              <w:t>copy of contract award notification</w:t>
            </w:r>
            <w:r w:rsidRPr="00312B39">
              <w:rPr>
                <w:rFonts w:ascii="Arial" w:hAnsi="Arial" w:cs="Arial"/>
                <w:color w:val="006100"/>
                <w:sz w:val="16"/>
                <w:szCs w:val="16"/>
                <w:lang w:val="en-US" w:eastAsia="en-GB"/>
              </w:rPr>
              <w:t> </w:t>
            </w:r>
          </w:p>
          <w:p w14:paraId="24C1E1CA" w14:textId="77777777" w:rsidR="00E97053" w:rsidRPr="00312B39" w:rsidRDefault="00E97053" w:rsidP="00E6412B">
            <w:pPr>
              <w:numPr>
                <w:ilvl w:val="0"/>
                <w:numId w:val="11"/>
              </w:numPr>
              <w:spacing w:after="0"/>
              <w:ind w:left="426" w:hanging="284"/>
              <w:rPr>
                <w:rFonts w:ascii="Arial" w:hAnsi="Arial" w:cs="Arial"/>
                <w:color w:val="006100"/>
                <w:sz w:val="16"/>
                <w:szCs w:val="16"/>
                <w:lang w:val="en-US" w:eastAsia="en-GB"/>
              </w:rPr>
            </w:pPr>
            <w:r w:rsidRPr="00312B39">
              <w:rPr>
                <w:rFonts w:ascii="Arial" w:hAnsi="Arial" w:cs="Arial"/>
                <w:color w:val="006100"/>
                <w:sz w:val="16"/>
                <w:szCs w:val="16"/>
                <w:lang w:val="en-IE" w:eastAsia="en-GB"/>
              </w:rPr>
              <w:t xml:space="preserve">extract of the relevant parts of the technical specifications of the project proving alignment with the description of the milestone and of </w:t>
            </w:r>
            <w:r w:rsidRPr="00312B39">
              <w:rPr>
                <w:rFonts w:ascii="Arial" w:hAnsi="Arial" w:cs="Arial"/>
                <w:color w:val="006100"/>
                <w:sz w:val="16"/>
                <w:szCs w:val="16"/>
                <w:lang w:eastAsia="en-GB"/>
              </w:rPr>
              <w:t>the description of the investment in the CID</w:t>
            </w:r>
            <w:r w:rsidRPr="00312B39">
              <w:rPr>
                <w:rFonts w:ascii="Arial" w:hAnsi="Arial" w:cs="Arial"/>
                <w:i/>
                <w:iCs/>
                <w:color w:val="006100"/>
                <w:sz w:val="16"/>
                <w:szCs w:val="16"/>
                <w:lang w:val="en-IE" w:eastAsia="en-GB"/>
              </w:rPr>
              <w:t xml:space="preserve"> </w:t>
            </w:r>
          </w:p>
          <w:p w14:paraId="3CFFBB7B" w14:textId="77777777" w:rsidR="00E97053" w:rsidRPr="00312B39" w:rsidRDefault="00E97053" w:rsidP="00E6412B">
            <w:pPr>
              <w:numPr>
                <w:ilvl w:val="0"/>
                <w:numId w:val="11"/>
              </w:numPr>
              <w:spacing w:after="0"/>
              <w:ind w:left="426" w:hanging="284"/>
              <w:rPr>
                <w:rFonts w:ascii="Arial" w:hAnsi="Arial" w:cs="Arial"/>
                <w:color w:val="006100"/>
                <w:sz w:val="16"/>
                <w:szCs w:val="16"/>
                <w:lang w:val="en-US" w:eastAsia="en-GB"/>
              </w:rPr>
            </w:pPr>
            <w:r w:rsidRPr="00312B39">
              <w:rPr>
                <w:rFonts w:ascii="Arial" w:hAnsi="Arial" w:cs="Arial"/>
                <w:color w:val="006100"/>
                <w:sz w:val="16"/>
                <w:szCs w:val="16"/>
                <w:lang w:val="en-IE" w:eastAsia="en-GB"/>
              </w:rPr>
              <w:t>the list of contractual counterparts</w:t>
            </w:r>
            <w:r w:rsidRPr="00312B39">
              <w:rPr>
                <w:rFonts w:ascii="Arial" w:hAnsi="Arial" w:cs="Arial"/>
                <w:color w:val="006100"/>
                <w:sz w:val="16"/>
                <w:szCs w:val="16"/>
                <w:lang w:val="en-US" w:eastAsia="en-GB"/>
              </w:rPr>
              <w:t>. </w:t>
            </w:r>
          </w:p>
          <w:p w14:paraId="18C24A2E" w14:textId="77777777" w:rsidR="00E97053" w:rsidRPr="00312B39" w:rsidRDefault="00E97053" w:rsidP="00E6412B">
            <w:pPr>
              <w:spacing w:after="0"/>
              <w:rPr>
                <w:rFonts w:ascii="Arial" w:hAnsi="Arial" w:cs="Arial"/>
                <w:color w:val="006100"/>
                <w:sz w:val="16"/>
                <w:szCs w:val="16"/>
              </w:rPr>
            </w:pPr>
          </w:p>
        </w:tc>
        <w:tc>
          <w:tcPr>
            <w:tcW w:w="4619" w:type="dxa"/>
            <w:shd w:val="clear" w:color="auto" w:fill="D6E3C6"/>
          </w:tcPr>
          <w:p w14:paraId="40FC3408" w14:textId="39071334"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312B39">
              <w:rPr>
                <w:rFonts w:ascii="Arial" w:eastAsia="Times New Roman" w:hAnsi="Arial" w:cs="Arial"/>
                <w:color w:val="006100"/>
                <w:sz w:val="16"/>
                <w:szCs w:val="16"/>
                <w:lang w:val="en-US" w:eastAsia="en-GB"/>
              </w:rPr>
              <w:t>Ministry of Environment and Water</w:t>
            </w:r>
          </w:p>
          <w:p w14:paraId="2664DE64" w14:textId="77777777" w:rsidR="00E97053" w:rsidRPr="00312B39" w:rsidRDefault="00E97053" w:rsidP="00E6412B">
            <w:pPr>
              <w:spacing w:after="0"/>
              <w:rPr>
                <w:rFonts w:ascii="Arial" w:hAnsi="Arial" w:cs="Arial"/>
                <w:color w:val="006100"/>
                <w:sz w:val="16"/>
                <w:szCs w:val="16"/>
              </w:rPr>
            </w:pPr>
          </w:p>
          <w:p w14:paraId="06B460BF" w14:textId="314FE59C"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What: Award of contract for technical design and building the information system for integrated water quantity management (evidenced by a</w:t>
            </w:r>
            <w:r>
              <w:rPr>
                <w:rFonts w:ascii="Arial" w:hAnsi="Arial" w:cs="Arial"/>
                <w:color w:val="006100"/>
                <w:sz w:val="16"/>
                <w:szCs w:val="16"/>
              </w:rPr>
              <w:t xml:space="preserve"> and c</w:t>
            </w:r>
            <w:r w:rsidRPr="00312B39">
              <w:rPr>
                <w:rFonts w:ascii="Arial" w:hAnsi="Arial" w:cs="Arial"/>
                <w:color w:val="006100"/>
                <w:sz w:val="16"/>
                <w:szCs w:val="16"/>
              </w:rPr>
              <w:t>)</w:t>
            </w:r>
          </w:p>
          <w:p w14:paraId="50F03EA0" w14:textId="77777777" w:rsidR="00E97053" w:rsidRPr="00312B39" w:rsidRDefault="00E97053" w:rsidP="00E6412B">
            <w:pPr>
              <w:spacing w:after="0"/>
              <w:rPr>
                <w:rFonts w:ascii="Arial" w:hAnsi="Arial" w:cs="Arial"/>
                <w:color w:val="006100"/>
                <w:sz w:val="16"/>
                <w:szCs w:val="16"/>
              </w:rPr>
            </w:pPr>
          </w:p>
          <w:p w14:paraId="5F206EB8" w14:textId="77777777" w:rsidR="00E97053" w:rsidRPr="00312B39" w:rsidRDefault="00E97053" w:rsidP="00987782">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tendering (provide key dates),</w:t>
            </w:r>
            <w:r w:rsidRPr="00312B39">
              <w:rPr>
                <w:rFonts w:ascii="Arial" w:hAnsi="Arial" w:cs="Arial"/>
                <w:color w:val="006100"/>
                <w:sz w:val="16"/>
                <w:szCs w:val="16"/>
              </w:rPr>
              <w:t xml:space="preserve"> </w:t>
            </w:r>
            <w:r>
              <w:rPr>
                <w:rFonts w:ascii="Arial" w:hAnsi="Arial" w:cs="Arial"/>
                <w:color w:val="006100"/>
                <w:sz w:val="16"/>
                <w:szCs w:val="16"/>
              </w:rPr>
              <w:t>contracting (a and c) and reporting (b)</w:t>
            </w:r>
          </w:p>
          <w:p w14:paraId="1D0B963B" w14:textId="77777777" w:rsidR="00E97053" w:rsidRPr="00312B39" w:rsidRDefault="00E97053" w:rsidP="00E6412B">
            <w:pPr>
              <w:spacing w:after="0"/>
              <w:rPr>
                <w:rFonts w:ascii="Arial" w:hAnsi="Arial" w:cs="Arial"/>
                <w:color w:val="006100"/>
                <w:sz w:val="16"/>
                <w:szCs w:val="16"/>
              </w:rPr>
            </w:pPr>
          </w:p>
          <w:p w14:paraId="4193020C" w14:textId="21C47BE5" w:rsidR="00E97053" w:rsidRPr="00312B39" w:rsidRDefault="00E97053" w:rsidP="00987782">
            <w:pPr>
              <w:spacing w:after="0"/>
              <w:rPr>
                <w:rFonts w:ascii="Arial" w:hAnsi="Arial" w:cs="Arial"/>
                <w:color w:val="006100"/>
                <w:sz w:val="16"/>
                <w:szCs w:val="16"/>
              </w:rPr>
            </w:pPr>
            <w:r w:rsidRPr="00312B39">
              <w:rPr>
                <w:rFonts w:ascii="Arial" w:hAnsi="Arial" w:cs="Arial"/>
                <w:color w:val="006100"/>
                <w:sz w:val="16"/>
                <w:szCs w:val="16"/>
              </w:rPr>
              <w:t xml:space="preserve">Why: </w:t>
            </w:r>
            <w:r>
              <w:rPr>
                <w:rFonts w:ascii="Arial" w:hAnsi="Arial" w:cs="Arial"/>
                <w:color w:val="006100"/>
                <w:sz w:val="16"/>
                <w:szCs w:val="16"/>
              </w:rPr>
              <w:t>To a</w:t>
            </w:r>
            <w:r w:rsidRPr="00312B39">
              <w:rPr>
                <w:rFonts w:ascii="Arial" w:hAnsi="Arial" w:cs="Arial"/>
                <w:color w:val="006100"/>
                <w:sz w:val="16"/>
                <w:szCs w:val="16"/>
              </w:rPr>
              <w:t xml:space="preserve">ward </w:t>
            </w:r>
            <w:r>
              <w:rPr>
                <w:rFonts w:ascii="Arial" w:hAnsi="Arial" w:cs="Arial"/>
                <w:color w:val="006100"/>
                <w:sz w:val="16"/>
                <w:szCs w:val="16"/>
              </w:rPr>
              <w:t xml:space="preserve">a </w:t>
            </w:r>
            <w:r w:rsidRPr="00312B39">
              <w:rPr>
                <w:rFonts w:ascii="Arial" w:hAnsi="Arial" w:cs="Arial"/>
                <w:color w:val="006100"/>
                <w:sz w:val="16"/>
                <w:szCs w:val="16"/>
              </w:rPr>
              <w:t xml:space="preserve">contract for the development of the technical design (on the basis of a conceptual design developed earlier as part of the investment) and building the information system for integrated water quantity management with all the modules and functionalities stipulated in the technical specifications. The integrated water quantity management system shall consolidate data from information systems of the Ministry of Environment </w:t>
            </w:r>
            <w:r w:rsidRPr="00312B39">
              <w:rPr>
                <w:rFonts w:ascii="Arial" w:hAnsi="Arial" w:cs="Arial"/>
                <w:color w:val="006100"/>
                <w:sz w:val="16"/>
                <w:szCs w:val="16"/>
              </w:rPr>
              <w:lastRenderedPageBreak/>
              <w:t>and Water, the Ministry of Regional Development and Public Works, the Bulgarian Water and Sewerage Holding EAD, Irrigation Systems EAD, National Electric Company EAD and the National Institute of Hydrology and Meteorology. The system shall collect real-time data from additional infrastructure (measuring devices and systems) which shall be built as part of the project and which shall be used for surveillance and monitoring of the water levels, water consumption, inflows and ecological flows. The system shall also include the automation of meteorological and hydrometric stations and data radars for the assessment of water resources and meteorological factors.</w:t>
            </w:r>
          </w:p>
          <w:p w14:paraId="608F11C0" w14:textId="71033BB0"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BA8D50E" w14:textId="77777777" w:rsidR="00E97053" w:rsidRPr="00312B39" w:rsidRDefault="00E97053" w:rsidP="00E6412B">
            <w:pPr>
              <w:spacing w:after="0"/>
              <w:rPr>
                <w:rFonts w:ascii="Arial" w:hAnsi="Arial" w:cs="Arial"/>
                <w:color w:val="006100"/>
                <w:sz w:val="16"/>
                <w:szCs w:val="16"/>
              </w:rPr>
            </w:pPr>
          </w:p>
          <w:p w14:paraId="15D557B9" w14:textId="75652B08"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procurement, awarding, contracting</w:t>
            </w:r>
          </w:p>
        </w:tc>
        <w:tc>
          <w:tcPr>
            <w:tcW w:w="2409" w:type="dxa"/>
            <w:shd w:val="clear" w:color="auto" w:fill="D6E3C6"/>
          </w:tcPr>
          <w:p w14:paraId="17C6058D" w14:textId="4A44E73E" w:rsidR="00E97053" w:rsidRPr="004A20AF" w:rsidRDefault="00E97053" w:rsidP="004A20AF">
            <w:pPr>
              <w:spacing w:after="0"/>
              <w:rPr>
                <w:rFonts w:ascii="Arial" w:hAnsi="Arial" w:cs="Arial"/>
                <w:color w:val="006100"/>
                <w:sz w:val="16"/>
                <w:szCs w:val="16"/>
              </w:rPr>
            </w:pPr>
            <w:r w:rsidRPr="004A20AF">
              <w:rPr>
                <w:rFonts w:ascii="Arial" w:hAnsi="Arial" w:cs="Arial"/>
                <w:color w:val="006100"/>
                <w:sz w:val="16"/>
                <w:szCs w:val="16"/>
              </w:rPr>
              <w:lastRenderedPageBreak/>
              <w:t xml:space="preserve">The objective of the measure is to enhance the water quantity management by digitalising it and improving the control of water use. </w:t>
            </w:r>
          </w:p>
          <w:p w14:paraId="534A4933" w14:textId="22CFAE04" w:rsidR="00E97053" w:rsidRPr="00312B39" w:rsidRDefault="00E97053" w:rsidP="004A20AF">
            <w:pPr>
              <w:spacing w:after="0"/>
              <w:rPr>
                <w:rFonts w:ascii="Arial" w:hAnsi="Arial" w:cs="Arial"/>
                <w:color w:val="006100"/>
                <w:sz w:val="16"/>
                <w:szCs w:val="16"/>
              </w:rPr>
            </w:pPr>
            <w:r w:rsidRPr="004A20AF">
              <w:rPr>
                <w:rFonts w:ascii="Arial" w:hAnsi="Arial" w:cs="Arial"/>
                <w:color w:val="006100"/>
                <w:sz w:val="16"/>
                <w:szCs w:val="16"/>
              </w:rPr>
              <w:t xml:space="preserve">The measure consists of setting up and putting into operation an integrated water quantity management system. The system shall collect data to monitor water levels, water consumption, inflows, ecological flow and shall use data </w:t>
            </w:r>
            <w:proofErr w:type="gramStart"/>
            <w:r w:rsidRPr="004A20AF">
              <w:rPr>
                <w:rFonts w:ascii="Arial" w:hAnsi="Arial" w:cs="Arial"/>
                <w:color w:val="006100"/>
                <w:sz w:val="16"/>
                <w:szCs w:val="16"/>
              </w:rPr>
              <w:t>from  meteorological</w:t>
            </w:r>
            <w:proofErr w:type="gramEnd"/>
            <w:r w:rsidRPr="004A20AF">
              <w:rPr>
                <w:rFonts w:ascii="Arial" w:hAnsi="Arial" w:cs="Arial"/>
                <w:color w:val="006100"/>
                <w:sz w:val="16"/>
                <w:szCs w:val="16"/>
              </w:rPr>
              <w:t xml:space="preserve">,  hydrometric stations and radars for the assessment of available water </w:t>
            </w:r>
            <w:r w:rsidRPr="004A20AF">
              <w:rPr>
                <w:rFonts w:ascii="Arial" w:hAnsi="Arial" w:cs="Arial"/>
                <w:color w:val="006100"/>
                <w:sz w:val="16"/>
                <w:szCs w:val="16"/>
              </w:rPr>
              <w:lastRenderedPageBreak/>
              <w:t>resources and meteorological factors.</w:t>
            </w:r>
          </w:p>
        </w:tc>
        <w:tc>
          <w:tcPr>
            <w:tcW w:w="851" w:type="dxa"/>
            <w:gridSpan w:val="2"/>
            <w:shd w:val="clear" w:color="auto" w:fill="D6E3C6"/>
          </w:tcPr>
          <w:p w14:paraId="3D65BF9F" w14:textId="6AF0057F"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lastRenderedPageBreak/>
              <w:t>Delays in the launching of the public procurement procedures</w:t>
            </w:r>
          </w:p>
        </w:tc>
        <w:tc>
          <w:tcPr>
            <w:tcW w:w="709" w:type="dxa"/>
            <w:gridSpan w:val="2"/>
            <w:shd w:val="clear" w:color="auto" w:fill="D6E3C6"/>
          </w:tcPr>
          <w:p w14:paraId="57BAFBE4" w14:textId="150FD8F8"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None</w:t>
            </w:r>
          </w:p>
        </w:tc>
        <w:tc>
          <w:tcPr>
            <w:tcW w:w="851" w:type="dxa"/>
            <w:gridSpan w:val="2"/>
            <w:shd w:val="clear" w:color="auto" w:fill="D6E3C6"/>
          </w:tcPr>
          <w:p w14:paraId="773C0F2F" w14:textId="1C035114"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None</w:t>
            </w:r>
          </w:p>
        </w:tc>
        <w:tc>
          <w:tcPr>
            <w:tcW w:w="1134" w:type="dxa"/>
            <w:shd w:val="clear" w:color="auto" w:fill="D6E3C6"/>
          </w:tcPr>
          <w:p w14:paraId="6907D50F" w14:textId="464A1B78" w:rsidR="00E97053" w:rsidRPr="00312B39" w:rsidRDefault="00E97053" w:rsidP="00E6412B">
            <w:pPr>
              <w:spacing w:after="0"/>
              <w:rPr>
                <w:rFonts w:ascii="Arial" w:hAnsi="Arial" w:cs="Arial"/>
                <w:color w:val="006100"/>
                <w:sz w:val="16"/>
                <w:szCs w:val="16"/>
              </w:rPr>
            </w:pPr>
            <w:r w:rsidRPr="00312B39">
              <w:rPr>
                <w:rFonts w:ascii="Arial" w:hAnsi="Arial" w:cs="Arial"/>
                <w:color w:val="006100"/>
                <w:sz w:val="16"/>
                <w:szCs w:val="16"/>
              </w:rPr>
              <w:t>-</w:t>
            </w:r>
          </w:p>
        </w:tc>
      </w:tr>
      <w:tr w:rsidR="00E97053" w:rsidRPr="00312B39" w14:paraId="47ABBEA6" w14:textId="46C8DCD3" w:rsidTr="004A20D4">
        <w:tc>
          <w:tcPr>
            <w:tcW w:w="568" w:type="dxa"/>
            <w:shd w:val="clear" w:color="auto" w:fill="D6E3C6"/>
            <w:noWrap/>
          </w:tcPr>
          <w:p w14:paraId="2404089A" w14:textId="4711B1C8" w:rsidR="00E97053" w:rsidRPr="00312B39" w:rsidRDefault="00E97053" w:rsidP="00DD2C4A">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212</w:t>
            </w:r>
          </w:p>
        </w:tc>
        <w:tc>
          <w:tcPr>
            <w:tcW w:w="1101" w:type="dxa"/>
            <w:shd w:val="clear" w:color="auto" w:fill="D6E3C6"/>
            <w:noWrap/>
          </w:tcPr>
          <w:p w14:paraId="49CABA36" w14:textId="3E5754BC" w:rsidR="00E97053" w:rsidRPr="00312B39" w:rsidRDefault="00E97053" w:rsidP="00DD2C4A">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C9.I2: Digitalisation for integrated management, control and efficient use of water</w:t>
            </w:r>
          </w:p>
        </w:tc>
        <w:tc>
          <w:tcPr>
            <w:tcW w:w="883" w:type="dxa"/>
            <w:shd w:val="clear" w:color="auto" w:fill="D6E3C6"/>
            <w:noWrap/>
          </w:tcPr>
          <w:p w14:paraId="0156814A" w14:textId="26A61B92" w:rsidR="00E97053" w:rsidRPr="00312B39" w:rsidRDefault="00E97053" w:rsidP="00DD2C4A">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Milestone</w:t>
            </w:r>
          </w:p>
        </w:tc>
        <w:tc>
          <w:tcPr>
            <w:tcW w:w="1276" w:type="dxa"/>
            <w:shd w:val="clear" w:color="auto" w:fill="D6E3C6"/>
            <w:noWrap/>
          </w:tcPr>
          <w:p w14:paraId="6EAA94EC" w14:textId="06176F14" w:rsidR="00E97053" w:rsidRPr="00312B39" w:rsidRDefault="00E97053" w:rsidP="00DD2C4A">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Completion and delivery of a fully operational integrated water quantity management information system</w:t>
            </w:r>
          </w:p>
        </w:tc>
        <w:tc>
          <w:tcPr>
            <w:tcW w:w="1418" w:type="dxa"/>
            <w:shd w:val="clear" w:color="auto" w:fill="D6E3C6"/>
            <w:noWrap/>
          </w:tcPr>
          <w:p w14:paraId="212025E9" w14:textId="2954AAB3" w:rsidR="00E97053" w:rsidRPr="00312B39" w:rsidRDefault="00E97053" w:rsidP="00DD2C4A">
            <w:pPr>
              <w:spacing w:after="0"/>
              <w:rPr>
                <w:rFonts w:ascii="Arial" w:eastAsia="Times New Roman" w:hAnsi="Arial" w:cs="Arial"/>
                <w:color w:val="006100"/>
                <w:sz w:val="16"/>
                <w:szCs w:val="16"/>
                <w:lang w:eastAsia="en-GB"/>
              </w:rPr>
            </w:pPr>
            <w:r w:rsidRPr="00312B39">
              <w:rPr>
                <w:rFonts w:ascii="Arial" w:hAnsi="Arial" w:cs="Arial"/>
                <w:color w:val="006100"/>
                <w:sz w:val="16"/>
                <w:szCs w:val="16"/>
              </w:rPr>
              <w:t>Issuance of the taking over certificate for the delivery of an integrated water quantity management system</w:t>
            </w:r>
          </w:p>
        </w:tc>
        <w:tc>
          <w:tcPr>
            <w:tcW w:w="558" w:type="dxa"/>
            <w:shd w:val="clear" w:color="auto" w:fill="D6E3C6"/>
            <w:noWrap/>
          </w:tcPr>
          <w:p w14:paraId="695B2A8B" w14:textId="5953C2AE" w:rsidR="00E97053" w:rsidRPr="00312B39" w:rsidRDefault="00E97053" w:rsidP="00DD2C4A">
            <w:pPr>
              <w:spacing w:after="0"/>
              <w:jc w:val="center"/>
              <w:rPr>
                <w:rFonts w:ascii="Arial" w:eastAsia="Times New Roman" w:hAnsi="Arial" w:cs="Arial"/>
                <w:color w:val="006100"/>
                <w:sz w:val="16"/>
                <w:szCs w:val="16"/>
                <w:lang w:eastAsia="en-GB"/>
              </w:rPr>
            </w:pPr>
          </w:p>
        </w:tc>
        <w:tc>
          <w:tcPr>
            <w:tcW w:w="564" w:type="dxa"/>
            <w:shd w:val="clear" w:color="auto" w:fill="D6E3C6"/>
            <w:noWrap/>
          </w:tcPr>
          <w:p w14:paraId="697BFA99" w14:textId="77777777" w:rsidR="00E97053" w:rsidRPr="00312B39" w:rsidRDefault="00E97053" w:rsidP="00DD2C4A">
            <w:pPr>
              <w:spacing w:after="0"/>
              <w:jc w:val="center"/>
              <w:rPr>
                <w:rFonts w:ascii="Arial" w:eastAsia="Times New Roman" w:hAnsi="Arial" w:cs="Arial"/>
                <w:color w:val="006100"/>
                <w:sz w:val="16"/>
                <w:szCs w:val="16"/>
                <w:lang w:eastAsia="en-GB"/>
              </w:rPr>
            </w:pPr>
          </w:p>
        </w:tc>
        <w:tc>
          <w:tcPr>
            <w:tcW w:w="570" w:type="dxa"/>
            <w:shd w:val="clear" w:color="auto" w:fill="D6E3C6"/>
            <w:noWrap/>
          </w:tcPr>
          <w:p w14:paraId="5449B332" w14:textId="77777777" w:rsidR="00E97053" w:rsidRPr="00312B39" w:rsidRDefault="00E97053" w:rsidP="00DD2C4A">
            <w:pPr>
              <w:spacing w:after="0"/>
              <w:jc w:val="center"/>
              <w:rPr>
                <w:rFonts w:ascii="Arial" w:eastAsia="Times New Roman" w:hAnsi="Arial" w:cs="Arial"/>
                <w:color w:val="006100"/>
                <w:sz w:val="16"/>
                <w:szCs w:val="16"/>
                <w:lang w:eastAsia="en-GB"/>
              </w:rPr>
            </w:pPr>
          </w:p>
        </w:tc>
        <w:tc>
          <w:tcPr>
            <w:tcW w:w="434" w:type="dxa"/>
            <w:shd w:val="clear" w:color="auto" w:fill="D6E3C6"/>
            <w:noWrap/>
          </w:tcPr>
          <w:p w14:paraId="2A6C696B" w14:textId="23F070CB" w:rsidR="00E97053" w:rsidRPr="00312B39" w:rsidRDefault="00E97053" w:rsidP="00DD2C4A">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Q3</w:t>
            </w:r>
          </w:p>
        </w:tc>
        <w:tc>
          <w:tcPr>
            <w:tcW w:w="575" w:type="dxa"/>
            <w:shd w:val="clear" w:color="auto" w:fill="D6E3C6"/>
            <w:noWrap/>
          </w:tcPr>
          <w:p w14:paraId="1C150910" w14:textId="2C6F7CC2" w:rsidR="00E97053" w:rsidRPr="00312B39" w:rsidRDefault="00E97053" w:rsidP="00DD2C4A">
            <w:pPr>
              <w:spacing w:after="0"/>
              <w:jc w:val="center"/>
              <w:rPr>
                <w:rFonts w:ascii="Arial" w:eastAsia="Times New Roman" w:hAnsi="Arial" w:cs="Arial"/>
                <w:color w:val="006100"/>
                <w:sz w:val="16"/>
                <w:szCs w:val="16"/>
                <w:lang w:eastAsia="en-GB"/>
              </w:rPr>
            </w:pPr>
            <w:r w:rsidRPr="00312B39">
              <w:rPr>
                <w:rFonts w:ascii="Arial" w:hAnsi="Arial" w:cs="Arial"/>
                <w:color w:val="006100"/>
                <w:sz w:val="16"/>
                <w:szCs w:val="16"/>
              </w:rPr>
              <w:t>2025</w:t>
            </w:r>
          </w:p>
        </w:tc>
        <w:tc>
          <w:tcPr>
            <w:tcW w:w="925" w:type="dxa"/>
            <w:gridSpan w:val="2"/>
            <w:shd w:val="clear" w:color="auto" w:fill="D6E3C6"/>
          </w:tcPr>
          <w:p w14:paraId="6E096075" w14:textId="5F90CA63" w:rsidR="00E97053" w:rsidRPr="00312B39" w:rsidRDefault="00E97053" w:rsidP="00DD2C4A">
            <w:pPr>
              <w:spacing w:after="0"/>
              <w:rPr>
                <w:rFonts w:ascii="Arial" w:eastAsia="Times New Roman" w:hAnsi="Arial" w:cs="Arial"/>
                <w:color w:val="006100"/>
                <w:sz w:val="16"/>
                <w:szCs w:val="16"/>
                <w:lang w:eastAsia="en-GB"/>
              </w:rPr>
            </w:pPr>
            <w:r w:rsidRPr="00312B39">
              <w:rPr>
                <w:rFonts w:ascii="Arial" w:eastAsia="Times New Roman" w:hAnsi="Arial" w:cs="Arial"/>
                <w:color w:val="006100"/>
                <w:sz w:val="16"/>
                <w:szCs w:val="16"/>
                <w:lang w:val="en-US" w:eastAsia="en-GB"/>
              </w:rPr>
              <w:t>Ministry of Environment and Water</w:t>
            </w:r>
          </w:p>
        </w:tc>
        <w:tc>
          <w:tcPr>
            <w:tcW w:w="909" w:type="dxa"/>
            <w:gridSpan w:val="2"/>
            <w:shd w:val="clear" w:color="auto" w:fill="D6E3C6"/>
          </w:tcPr>
          <w:p w14:paraId="78C66ACD" w14:textId="77777777" w:rsidR="00E97053" w:rsidRPr="00312B39" w:rsidRDefault="00E97053" w:rsidP="00DD2C4A">
            <w:pPr>
              <w:spacing w:after="0"/>
              <w:rPr>
                <w:rFonts w:ascii="Arial" w:eastAsia="Times New Roman" w:hAnsi="Arial" w:cs="Arial"/>
                <w:color w:val="006100"/>
                <w:sz w:val="16"/>
                <w:szCs w:val="16"/>
                <w:lang w:eastAsia="en-GB"/>
              </w:rPr>
            </w:pPr>
          </w:p>
        </w:tc>
        <w:tc>
          <w:tcPr>
            <w:tcW w:w="2185" w:type="dxa"/>
            <w:shd w:val="clear" w:color="auto" w:fill="D6E3C6"/>
          </w:tcPr>
          <w:p w14:paraId="2BA1B817" w14:textId="0C677D61" w:rsidR="00E97053" w:rsidRPr="00312B39" w:rsidRDefault="00E97053" w:rsidP="00DD2C4A">
            <w:pPr>
              <w:spacing w:after="0"/>
              <w:rPr>
                <w:rFonts w:ascii="Arial" w:hAnsi="Arial" w:cs="Arial"/>
                <w:color w:val="006100"/>
                <w:sz w:val="16"/>
                <w:szCs w:val="16"/>
              </w:rPr>
            </w:pPr>
            <w:r>
              <w:rPr>
                <w:rFonts w:ascii="Arial" w:hAnsi="Arial" w:cs="Arial"/>
                <w:color w:val="006100"/>
                <w:sz w:val="16"/>
                <w:szCs w:val="16"/>
                <w:lang w:val="en-IE" w:eastAsia="en-GB"/>
              </w:rPr>
              <w:t>a) a</w:t>
            </w:r>
            <w:r w:rsidRPr="00312B39">
              <w:rPr>
                <w:rFonts w:ascii="Arial" w:hAnsi="Arial" w:cs="Arial"/>
                <w:color w:val="006100"/>
                <w:sz w:val="16"/>
                <w:szCs w:val="16"/>
                <w:lang w:val="en-IE" w:eastAsia="en-GB"/>
              </w:rPr>
              <w:t xml:space="preserve"> </w:t>
            </w:r>
            <w:r w:rsidRPr="00312B39">
              <w:rPr>
                <w:rFonts w:ascii="Arial" w:hAnsi="Arial" w:cs="Arial"/>
                <w:color w:val="006100"/>
                <w:sz w:val="16"/>
                <w:szCs w:val="16"/>
                <w:lang w:val="en-US" w:eastAsia="en-GB"/>
              </w:rPr>
              <w:t>validation protocol of works completion signed by the contractor and the competent authority demonstrating project has been completed and is operational.</w:t>
            </w:r>
          </w:p>
        </w:tc>
        <w:tc>
          <w:tcPr>
            <w:tcW w:w="4619" w:type="dxa"/>
            <w:shd w:val="clear" w:color="auto" w:fill="D6E3C6"/>
          </w:tcPr>
          <w:p w14:paraId="17F26DC9" w14:textId="47B8E2EB"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312B39">
              <w:rPr>
                <w:rFonts w:ascii="Arial" w:eastAsia="Times New Roman" w:hAnsi="Arial" w:cs="Arial"/>
                <w:color w:val="006100"/>
                <w:sz w:val="16"/>
                <w:szCs w:val="16"/>
                <w:lang w:val="en-US" w:eastAsia="en-GB"/>
              </w:rPr>
              <w:t>Ministry of Environment and Water</w:t>
            </w:r>
          </w:p>
          <w:p w14:paraId="4A6A87E5" w14:textId="77777777" w:rsidR="00E97053" w:rsidRPr="00312B39" w:rsidRDefault="00E97053" w:rsidP="00DD2C4A">
            <w:pPr>
              <w:spacing w:after="0"/>
              <w:rPr>
                <w:rFonts w:ascii="Arial" w:hAnsi="Arial" w:cs="Arial"/>
                <w:color w:val="006100"/>
                <w:sz w:val="16"/>
                <w:szCs w:val="16"/>
              </w:rPr>
            </w:pPr>
          </w:p>
          <w:p w14:paraId="73EC27CB" w14:textId="0BD8C585"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What: Completion and delivery of a fully operational integrated water quantity management information system (evidenced by a)</w:t>
            </w:r>
          </w:p>
          <w:p w14:paraId="45BF7B26" w14:textId="77777777" w:rsidR="00E97053" w:rsidRPr="00312B39" w:rsidRDefault="00E97053" w:rsidP="00DD2C4A">
            <w:pPr>
              <w:spacing w:after="0"/>
              <w:rPr>
                <w:rFonts w:ascii="Arial" w:hAnsi="Arial" w:cs="Arial"/>
                <w:color w:val="006100"/>
                <w:sz w:val="16"/>
                <w:szCs w:val="16"/>
              </w:rPr>
            </w:pPr>
          </w:p>
          <w:p w14:paraId="5DE449ED" w14:textId="7D16734E"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completion of works and ensuring compliance (a)</w:t>
            </w:r>
          </w:p>
          <w:p w14:paraId="19F5033C" w14:textId="77777777" w:rsidR="00E97053" w:rsidRPr="00312B39" w:rsidRDefault="00E97053" w:rsidP="00DD2C4A">
            <w:pPr>
              <w:spacing w:after="0"/>
              <w:rPr>
                <w:rFonts w:ascii="Arial" w:hAnsi="Arial" w:cs="Arial"/>
                <w:color w:val="006100"/>
                <w:sz w:val="16"/>
                <w:szCs w:val="16"/>
              </w:rPr>
            </w:pPr>
          </w:p>
          <w:p w14:paraId="6789CB1E" w14:textId="75DB53EA"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 xml:space="preserve">Why: </w:t>
            </w:r>
            <w:r>
              <w:rPr>
                <w:rFonts w:ascii="Arial" w:hAnsi="Arial" w:cs="Arial"/>
                <w:color w:val="006100"/>
                <w:sz w:val="16"/>
                <w:szCs w:val="16"/>
              </w:rPr>
              <w:t>To develop, deliver and make operational an i</w:t>
            </w:r>
            <w:r w:rsidRPr="00312B39">
              <w:rPr>
                <w:rFonts w:ascii="Arial" w:hAnsi="Arial" w:cs="Arial"/>
                <w:color w:val="006100"/>
                <w:sz w:val="16"/>
                <w:szCs w:val="16"/>
              </w:rPr>
              <w:t xml:space="preserve">nformation system for integrated water quantity management </w:t>
            </w:r>
          </w:p>
          <w:p w14:paraId="2C423230" w14:textId="77777777" w:rsidR="00E97053" w:rsidRPr="00312B39" w:rsidRDefault="00E97053" w:rsidP="00DD2C4A">
            <w:pPr>
              <w:spacing w:after="0"/>
              <w:rPr>
                <w:rFonts w:ascii="Arial" w:hAnsi="Arial" w:cs="Arial"/>
                <w:color w:val="006100"/>
                <w:sz w:val="16"/>
                <w:szCs w:val="16"/>
              </w:rPr>
            </w:pPr>
          </w:p>
          <w:p w14:paraId="2D08AFF0" w14:textId="19ADF83B"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 xml:space="preserve">When: </w:t>
            </w:r>
            <w:r>
              <w:rPr>
                <w:rFonts w:ascii="Arial" w:hAnsi="Arial" w:cs="Arial"/>
                <w:color w:val="006100"/>
                <w:sz w:val="16"/>
                <w:szCs w:val="16"/>
              </w:rPr>
              <w:t xml:space="preserve">after issuance of the </w:t>
            </w:r>
            <w:r w:rsidRPr="00312B39">
              <w:rPr>
                <w:rFonts w:ascii="Arial" w:hAnsi="Arial" w:cs="Arial"/>
                <w:color w:val="006100"/>
                <w:sz w:val="16"/>
                <w:szCs w:val="16"/>
              </w:rPr>
              <w:t>taking over certificate for the delivery of an integrated water quantity management system</w:t>
            </w:r>
            <w:r>
              <w:rPr>
                <w:rFonts w:ascii="Arial" w:hAnsi="Arial" w:cs="Arial"/>
                <w:color w:val="006100"/>
                <w:sz w:val="16"/>
                <w:szCs w:val="16"/>
              </w:rPr>
              <w:t xml:space="preserve"> (specify key dates in the development, completion, certification)</w:t>
            </w:r>
          </w:p>
        </w:tc>
        <w:tc>
          <w:tcPr>
            <w:tcW w:w="2409" w:type="dxa"/>
            <w:shd w:val="clear" w:color="auto" w:fill="D6E3C6"/>
          </w:tcPr>
          <w:p w14:paraId="61ADF383" w14:textId="3F698D34" w:rsidR="00E97053" w:rsidRPr="00312B39" w:rsidRDefault="00E97053" w:rsidP="00DD2C4A">
            <w:pPr>
              <w:spacing w:after="0"/>
              <w:rPr>
                <w:rFonts w:ascii="Arial" w:hAnsi="Arial" w:cs="Arial"/>
                <w:color w:val="006100"/>
                <w:sz w:val="16"/>
                <w:szCs w:val="16"/>
              </w:rPr>
            </w:pPr>
            <w:r>
              <w:rPr>
                <w:rFonts w:ascii="Arial" w:hAnsi="Arial" w:cs="Arial"/>
                <w:color w:val="006100"/>
                <w:sz w:val="16"/>
                <w:szCs w:val="16"/>
              </w:rPr>
              <w:t>As above</w:t>
            </w:r>
          </w:p>
        </w:tc>
        <w:tc>
          <w:tcPr>
            <w:tcW w:w="851" w:type="dxa"/>
            <w:gridSpan w:val="2"/>
            <w:shd w:val="clear" w:color="auto" w:fill="D6E3C6"/>
          </w:tcPr>
          <w:p w14:paraId="1505431C" w14:textId="7CBECD6A"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Delays in 211</w:t>
            </w:r>
          </w:p>
        </w:tc>
        <w:tc>
          <w:tcPr>
            <w:tcW w:w="709" w:type="dxa"/>
            <w:gridSpan w:val="2"/>
            <w:shd w:val="clear" w:color="auto" w:fill="D6E3C6"/>
          </w:tcPr>
          <w:p w14:paraId="0EC0D2C6" w14:textId="04083DD7"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Probably not needed (IT system)</w:t>
            </w:r>
          </w:p>
        </w:tc>
        <w:tc>
          <w:tcPr>
            <w:tcW w:w="851" w:type="dxa"/>
            <w:gridSpan w:val="2"/>
            <w:shd w:val="clear" w:color="auto" w:fill="D6E3C6"/>
          </w:tcPr>
          <w:p w14:paraId="46D0C239" w14:textId="019F60CA" w:rsidR="00E97053" w:rsidRPr="00312B39" w:rsidRDefault="00E97053" w:rsidP="00DD2C4A">
            <w:pPr>
              <w:spacing w:after="0"/>
              <w:rPr>
                <w:rFonts w:ascii="Arial" w:hAnsi="Arial" w:cs="Arial"/>
                <w:color w:val="006100"/>
                <w:sz w:val="16"/>
                <w:szCs w:val="16"/>
              </w:rPr>
            </w:pPr>
            <w:r w:rsidRPr="00312B39">
              <w:rPr>
                <w:rFonts w:ascii="Arial" w:hAnsi="Arial" w:cs="Arial"/>
                <w:color w:val="006100"/>
                <w:sz w:val="16"/>
                <w:szCs w:val="16"/>
              </w:rPr>
              <w:t>7 (digital services)</w:t>
            </w:r>
          </w:p>
        </w:tc>
        <w:tc>
          <w:tcPr>
            <w:tcW w:w="1134" w:type="dxa"/>
            <w:shd w:val="clear" w:color="auto" w:fill="D6E3C6"/>
          </w:tcPr>
          <w:p w14:paraId="22CC70B5" w14:textId="284ACB7E" w:rsidR="00E97053" w:rsidRPr="00312B39" w:rsidRDefault="00E97053" w:rsidP="00DD2C4A">
            <w:pPr>
              <w:spacing w:after="0"/>
              <w:rPr>
                <w:rFonts w:ascii="Arial" w:hAnsi="Arial" w:cs="Arial"/>
                <w:color w:val="006100"/>
                <w:sz w:val="16"/>
                <w:szCs w:val="16"/>
              </w:rPr>
            </w:pPr>
            <w:r>
              <w:rPr>
                <w:rFonts w:ascii="Arial" w:hAnsi="Arial" w:cs="Arial"/>
                <w:color w:val="006100"/>
                <w:sz w:val="16"/>
                <w:szCs w:val="16"/>
              </w:rPr>
              <w:t xml:space="preserve">Consider defining </w:t>
            </w:r>
            <w:r w:rsidRPr="00312B39">
              <w:rPr>
                <w:rFonts w:ascii="Arial" w:hAnsi="Arial" w:cs="Arial"/>
                <w:color w:val="006100"/>
                <w:sz w:val="16"/>
                <w:szCs w:val="16"/>
              </w:rPr>
              <w:t>the competent authority that will issue the certificate</w:t>
            </w:r>
            <w:r>
              <w:rPr>
                <w:rFonts w:ascii="Arial" w:hAnsi="Arial" w:cs="Arial"/>
                <w:color w:val="006100"/>
                <w:sz w:val="16"/>
                <w:szCs w:val="16"/>
              </w:rPr>
              <w:t>.</w:t>
            </w:r>
          </w:p>
        </w:tc>
      </w:tr>
    </w:tbl>
    <w:p w14:paraId="05CA9627" w14:textId="0AA53C21" w:rsidR="00C572A6" w:rsidRPr="00FC11D0" w:rsidRDefault="00C572A6" w:rsidP="00EA621A">
      <w:pPr>
        <w:rPr>
          <w:rFonts w:cstheme="minorHAnsi"/>
          <w:color w:val="006100"/>
        </w:rPr>
      </w:pPr>
    </w:p>
    <w:p w14:paraId="00007F8E" w14:textId="77777777" w:rsidR="00C572A6" w:rsidRPr="00FC11D0" w:rsidRDefault="00C572A6" w:rsidP="00EA621A">
      <w:pPr>
        <w:rPr>
          <w:rFonts w:cstheme="minorHAnsi"/>
          <w:color w:val="006100"/>
          <w:lang w:val="en-IE"/>
        </w:rPr>
      </w:pPr>
    </w:p>
    <w:sectPr w:rsidR="00C572A6" w:rsidRPr="00FC11D0" w:rsidSect="004E38D6">
      <w:headerReference w:type="even" r:id="rId10"/>
      <w:headerReference w:type="default" r:id="rId11"/>
      <w:footerReference w:type="even" r:id="rId12"/>
      <w:footerReference w:type="default" r:id="rId13"/>
      <w:headerReference w:type="first" r:id="rId14"/>
      <w:footerReference w:type="first" r:id="rId15"/>
      <w:pgSz w:w="23811" w:h="16838"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42858" w14:textId="77777777" w:rsidR="00025699" w:rsidRDefault="00025699" w:rsidP="007304E7">
      <w:pPr>
        <w:spacing w:after="0" w:line="240" w:lineRule="auto"/>
      </w:pPr>
      <w:r>
        <w:separator/>
      </w:r>
    </w:p>
  </w:endnote>
  <w:endnote w:type="continuationSeparator" w:id="0">
    <w:p w14:paraId="794662A6" w14:textId="77777777" w:rsidR="00025699" w:rsidRDefault="00025699" w:rsidP="00730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793A" w14:textId="77777777" w:rsidR="007304E7" w:rsidRDefault="00730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9F01" w14:textId="77777777" w:rsidR="007304E7" w:rsidRDefault="00730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73A2" w14:textId="77777777" w:rsidR="007304E7" w:rsidRDefault="00730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05AD" w14:textId="77777777" w:rsidR="00025699" w:rsidRDefault="00025699" w:rsidP="007304E7">
      <w:pPr>
        <w:spacing w:after="0" w:line="240" w:lineRule="auto"/>
      </w:pPr>
      <w:r>
        <w:separator/>
      </w:r>
    </w:p>
  </w:footnote>
  <w:footnote w:type="continuationSeparator" w:id="0">
    <w:p w14:paraId="14EC3E63" w14:textId="77777777" w:rsidR="00025699" w:rsidRDefault="00025699" w:rsidP="007304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F600" w14:textId="77777777" w:rsidR="007304E7" w:rsidRDefault="00730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1372" w14:textId="77777777" w:rsidR="007304E7" w:rsidRDefault="00730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0179" w14:textId="77777777" w:rsidR="007304E7" w:rsidRDefault="00730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D3E"/>
    <w:multiLevelType w:val="multilevel"/>
    <w:tmpl w:val="03B48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54950"/>
    <w:multiLevelType w:val="multilevel"/>
    <w:tmpl w:val="718EF8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24434D"/>
    <w:multiLevelType w:val="hybridMultilevel"/>
    <w:tmpl w:val="28DA88C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00D5A0D"/>
    <w:multiLevelType w:val="hybridMultilevel"/>
    <w:tmpl w:val="F454E02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528362A"/>
    <w:multiLevelType w:val="multilevel"/>
    <w:tmpl w:val="632CF6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256E56"/>
    <w:multiLevelType w:val="multilevel"/>
    <w:tmpl w:val="5B0AE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C24C49"/>
    <w:multiLevelType w:val="multilevel"/>
    <w:tmpl w:val="BB7652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6528C5"/>
    <w:multiLevelType w:val="multilevel"/>
    <w:tmpl w:val="2E22343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2370C6"/>
    <w:multiLevelType w:val="hybridMultilevel"/>
    <w:tmpl w:val="716CAD56"/>
    <w:lvl w:ilvl="0" w:tplc="080C0017">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4B3879B4"/>
    <w:multiLevelType w:val="multilevel"/>
    <w:tmpl w:val="79DA36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C91ABC"/>
    <w:multiLevelType w:val="hybridMultilevel"/>
    <w:tmpl w:val="226861E6"/>
    <w:lvl w:ilvl="0" w:tplc="074AE2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747846"/>
    <w:multiLevelType w:val="multilevel"/>
    <w:tmpl w:val="D826D668"/>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E2474"/>
    <w:multiLevelType w:val="hybridMultilevel"/>
    <w:tmpl w:val="7BC8476E"/>
    <w:lvl w:ilvl="0" w:tplc="AC586120">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17E747B"/>
    <w:multiLevelType w:val="hybridMultilevel"/>
    <w:tmpl w:val="B0789C14"/>
    <w:lvl w:ilvl="0" w:tplc="A3BABAA4">
      <w:start w:val="1"/>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75F7B65"/>
    <w:multiLevelType w:val="hybridMultilevel"/>
    <w:tmpl w:val="4E42BB42"/>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 w15:restartNumberingAfterBreak="0">
    <w:nsid w:val="687638A9"/>
    <w:multiLevelType w:val="hybridMultilevel"/>
    <w:tmpl w:val="CC0456A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C186997"/>
    <w:multiLevelType w:val="hybridMultilevel"/>
    <w:tmpl w:val="5E5EA8AC"/>
    <w:lvl w:ilvl="0" w:tplc="09E4E38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214579940">
    <w:abstractNumId w:val="14"/>
  </w:num>
  <w:num w:numId="2" w16cid:durableId="871915995">
    <w:abstractNumId w:val="11"/>
  </w:num>
  <w:num w:numId="3" w16cid:durableId="2103600894">
    <w:abstractNumId w:val="9"/>
  </w:num>
  <w:num w:numId="4" w16cid:durableId="492910265">
    <w:abstractNumId w:val="10"/>
  </w:num>
  <w:num w:numId="5" w16cid:durableId="444470379">
    <w:abstractNumId w:val="6"/>
  </w:num>
  <w:num w:numId="6" w16cid:durableId="316618572">
    <w:abstractNumId w:val="5"/>
  </w:num>
  <w:num w:numId="7" w16cid:durableId="66458170">
    <w:abstractNumId w:val="7"/>
  </w:num>
  <w:num w:numId="8" w16cid:durableId="1489980389">
    <w:abstractNumId w:val="0"/>
  </w:num>
  <w:num w:numId="9" w16cid:durableId="1849565341">
    <w:abstractNumId w:val="1"/>
  </w:num>
  <w:num w:numId="10" w16cid:durableId="609043715">
    <w:abstractNumId w:val="4"/>
  </w:num>
  <w:num w:numId="11" w16cid:durableId="1532649811">
    <w:abstractNumId w:val="8"/>
  </w:num>
  <w:num w:numId="12" w16cid:durableId="99573727">
    <w:abstractNumId w:val="13"/>
  </w:num>
  <w:num w:numId="13" w16cid:durableId="1740128325">
    <w:abstractNumId w:val="16"/>
  </w:num>
  <w:num w:numId="14" w16cid:durableId="1064377288">
    <w:abstractNumId w:val="17"/>
  </w:num>
  <w:num w:numId="15" w16cid:durableId="1286738087">
    <w:abstractNumId w:val="2"/>
  </w:num>
  <w:num w:numId="16" w16cid:durableId="1816098345">
    <w:abstractNumId w:val="15"/>
  </w:num>
  <w:num w:numId="17" w16cid:durableId="1968661691">
    <w:abstractNumId w:val="3"/>
  </w:num>
  <w:num w:numId="18" w16cid:durableId="54907864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IE" w:vendorID="64" w:dllVersion="6" w:nlCheck="1" w:checkStyle="0"/>
  <w:activeWritingStyle w:appName="MSWord" w:lang="en-IE"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zNzaxMDY2NTOwtLRQ0lEKTi0uzszPAykwqgUAwi+oXiwAAAA="/>
  </w:docVars>
  <w:rsids>
    <w:rsidRoot w:val="00EA0C19"/>
    <w:rsid w:val="000007E1"/>
    <w:rsid w:val="000102F3"/>
    <w:rsid w:val="00025699"/>
    <w:rsid w:val="00060D94"/>
    <w:rsid w:val="000619E6"/>
    <w:rsid w:val="00072E99"/>
    <w:rsid w:val="00073250"/>
    <w:rsid w:val="00076BBB"/>
    <w:rsid w:val="000801FE"/>
    <w:rsid w:val="00085AD8"/>
    <w:rsid w:val="000A2231"/>
    <w:rsid w:val="000A2305"/>
    <w:rsid w:val="000C247F"/>
    <w:rsid w:val="000D3956"/>
    <w:rsid w:val="000D5BBE"/>
    <w:rsid w:val="000F1176"/>
    <w:rsid w:val="000F35F4"/>
    <w:rsid w:val="0010D2A8"/>
    <w:rsid w:val="001234C9"/>
    <w:rsid w:val="00123F21"/>
    <w:rsid w:val="00131331"/>
    <w:rsid w:val="00135863"/>
    <w:rsid w:val="00161BDB"/>
    <w:rsid w:val="00163758"/>
    <w:rsid w:val="001665F4"/>
    <w:rsid w:val="00172210"/>
    <w:rsid w:val="00177E7D"/>
    <w:rsid w:val="00181307"/>
    <w:rsid w:val="00185429"/>
    <w:rsid w:val="001949F4"/>
    <w:rsid w:val="00195A1E"/>
    <w:rsid w:val="0019790D"/>
    <w:rsid w:val="001A7A6D"/>
    <w:rsid w:val="001C7D87"/>
    <w:rsid w:val="001D0033"/>
    <w:rsid w:val="001D4705"/>
    <w:rsid w:val="001D7A74"/>
    <w:rsid w:val="00204318"/>
    <w:rsid w:val="00213C5C"/>
    <w:rsid w:val="00217E64"/>
    <w:rsid w:val="002238F1"/>
    <w:rsid w:val="00252FBE"/>
    <w:rsid w:val="002564FB"/>
    <w:rsid w:val="00256F3A"/>
    <w:rsid w:val="002575AA"/>
    <w:rsid w:val="0026404F"/>
    <w:rsid w:val="002742E7"/>
    <w:rsid w:val="00276500"/>
    <w:rsid w:val="00285165"/>
    <w:rsid w:val="002A11CF"/>
    <w:rsid w:val="002D6A98"/>
    <w:rsid w:val="002F4FA0"/>
    <w:rsid w:val="002F6438"/>
    <w:rsid w:val="00300542"/>
    <w:rsid w:val="00304336"/>
    <w:rsid w:val="00306A96"/>
    <w:rsid w:val="00312B39"/>
    <w:rsid w:val="0032698C"/>
    <w:rsid w:val="0033575E"/>
    <w:rsid w:val="00340C05"/>
    <w:rsid w:val="00344709"/>
    <w:rsid w:val="003456B8"/>
    <w:rsid w:val="00353D7C"/>
    <w:rsid w:val="00360CC3"/>
    <w:rsid w:val="003672A8"/>
    <w:rsid w:val="00396DB0"/>
    <w:rsid w:val="003A3CF0"/>
    <w:rsid w:val="003A768A"/>
    <w:rsid w:val="003D0C18"/>
    <w:rsid w:val="003D5D37"/>
    <w:rsid w:val="003D5D63"/>
    <w:rsid w:val="003D621D"/>
    <w:rsid w:val="003F096A"/>
    <w:rsid w:val="003F5EB9"/>
    <w:rsid w:val="00432F8B"/>
    <w:rsid w:val="004419C4"/>
    <w:rsid w:val="00454BC2"/>
    <w:rsid w:val="0046D176"/>
    <w:rsid w:val="00481D4F"/>
    <w:rsid w:val="004A20AF"/>
    <w:rsid w:val="004A20D4"/>
    <w:rsid w:val="004B5A9B"/>
    <w:rsid w:val="004C6985"/>
    <w:rsid w:val="004D5036"/>
    <w:rsid w:val="004E38D6"/>
    <w:rsid w:val="004F338E"/>
    <w:rsid w:val="004F6FF4"/>
    <w:rsid w:val="00502941"/>
    <w:rsid w:val="005125DF"/>
    <w:rsid w:val="005214EA"/>
    <w:rsid w:val="0052521D"/>
    <w:rsid w:val="00534744"/>
    <w:rsid w:val="005446BF"/>
    <w:rsid w:val="005532B1"/>
    <w:rsid w:val="005726EF"/>
    <w:rsid w:val="00572C1D"/>
    <w:rsid w:val="00576CB3"/>
    <w:rsid w:val="00581D4F"/>
    <w:rsid w:val="00595D76"/>
    <w:rsid w:val="005A5FCC"/>
    <w:rsid w:val="005A61DD"/>
    <w:rsid w:val="005A64EB"/>
    <w:rsid w:val="005B10F5"/>
    <w:rsid w:val="005B1D98"/>
    <w:rsid w:val="005C70CD"/>
    <w:rsid w:val="005C7B4D"/>
    <w:rsid w:val="005D3F07"/>
    <w:rsid w:val="005F3208"/>
    <w:rsid w:val="00607528"/>
    <w:rsid w:val="00607793"/>
    <w:rsid w:val="00611AA8"/>
    <w:rsid w:val="00615513"/>
    <w:rsid w:val="00631E9B"/>
    <w:rsid w:val="006330B4"/>
    <w:rsid w:val="0063573B"/>
    <w:rsid w:val="00637F5F"/>
    <w:rsid w:val="00666F0D"/>
    <w:rsid w:val="00673176"/>
    <w:rsid w:val="006835B1"/>
    <w:rsid w:val="006A17DB"/>
    <w:rsid w:val="006A4615"/>
    <w:rsid w:val="006A6732"/>
    <w:rsid w:val="006B41FB"/>
    <w:rsid w:val="006C03AD"/>
    <w:rsid w:val="006D70F7"/>
    <w:rsid w:val="006E1CE1"/>
    <w:rsid w:val="006E4AB2"/>
    <w:rsid w:val="006E6274"/>
    <w:rsid w:val="006F378F"/>
    <w:rsid w:val="00702C4E"/>
    <w:rsid w:val="00706DD5"/>
    <w:rsid w:val="00711A5A"/>
    <w:rsid w:val="007170CA"/>
    <w:rsid w:val="0072540A"/>
    <w:rsid w:val="007304E7"/>
    <w:rsid w:val="007309FA"/>
    <w:rsid w:val="007454F5"/>
    <w:rsid w:val="007502BC"/>
    <w:rsid w:val="00757A92"/>
    <w:rsid w:val="007643B8"/>
    <w:rsid w:val="007821EC"/>
    <w:rsid w:val="00793416"/>
    <w:rsid w:val="007A1580"/>
    <w:rsid w:val="007B0A9B"/>
    <w:rsid w:val="007C6864"/>
    <w:rsid w:val="007D0CCD"/>
    <w:rsid w:val="007D2B85"/>
    <w:rsid w:val="007E1E87"/>
    <w:rsid w:val="007F1976"/>
    <w:rsid w:val="007F610C"/>
    <w:rsid w:val="0080367A"/>
    <w:rsid w:val="00806FA9"/>
    <w:rsid w:val="00816B32"/>
    <w:rsid w:val="00825E2D"/>
    <w:rsid w:val="00840591"/>
    <w:rsid w:val="00847DF5"/>
    <w:rsid w:val="00850B09"/>
    <w:rsid w:val="008570E8"/>
    <w:rsid w:val="008B063C"/>
    <w:rsid w:val="008C3CB1"/>
    <w:rsid w:val="008D3F0C"/>
    <w:rsid w:val="00900204"/>
    <w:rsid w:val="00910BF5"/>
    <w:rsid w:val="0091774B"/>
    <w:rsid w:val="00920B69"/>
    <w:rsid w:val="00926573"/>
    <w:rsid w:val="00955D57"/>
    <w:rsid w:val="0096126E"/>
    <w:rsid w:val="0097568A"/>
    <w:rsid w:val="00976387"/>
    <w:rsid w:val="00982C19"/>
    <w:rsid w:val="00986930"/>
    <w:rsid w:val="00987782"/>
    <w:rsid w:val="009975BB"/>
    <w:rsid w:val="009A4B40"/>
    <w:rsid w:val="009B353F"/>
    <w:rsid w:val="009E3935"/>
    <w:rsid w:val="009E7031"/>
    <w:rsid w:val="009F3197"/>
    <w:rsid w:val="009F43E2"/>
    <w:rsid w:val="009F4647"/>
    <w:rsid w:val="00A43FB1"/>
    <w:rsid w:val="00A57AE7"/>
    <w:rsid w:val="00A63E1A"/>
    <w:rsid w:val="00A764F0"/>
    <w:rsid w:val="00A84B61"/>
    <w:rsid w:val="00A84FD9"/>
    <w:rsid w:val="00AA158E"/>
    <w:rsid w:val="00AB0674"/>
    <w:rsid w:val="00AB4F85"/>
    <w:rsid w:val="00AC47AD"/>
    <w:rsid w:val="00AD1E9D"/>
    <w:rsid w:val="00AD3453"/>
    <w:rsid w:val="00AD4F81"/>
    <w:rsid w:val="00AD5769"/>
    <w:rsid w:val="00AF3F6B"/>
    <w:rsid w:val="00AF63BA"/>
    <w:rsid w:val="00B15FEA"/>
    <w:rsid w:val="00B215BD"/>
    <w:rsid w:val="00B30B8D"/>
    <w:rsid w:val="00B33679"/>
    <w:rsid w:val="00B34FCB"/>
    <w:rsid w:val="00B3770A"/>
    <w:rsid w:val="00B41581"/>
    <w:rsid w:val="00B6570C"/>
    <w:rsid w:val="00B70B57"/>
    <w:rsid w:val="00B85B00"/>
    <w:rsid w:val="00B90915"/>
    <w:rsid w:val="00B944C0"/>
    <w:rsid w:val="00BA10DD"/>
    <w:rsid w:val="00BA5E72"/>
    <w:rsid w:val="00BC1899"/>
    <w:rsid w:val="00BC4B4D"/>
    <w:rsid w:val="00BD0FDB"/>
    <w:rsid w:val="00BD2B01"/>
    <w:rsid w:val="00BE6781"/>
    <w:rsid w:val="00BF16C6"/>
    <w:rsid w:val="00C03B4A"/>
    <w:rsid w:val="00C05478"/>
    <w:rsid w:val="00C25D3B"/>
    <w:rsid w:val="00C349B4"/>
    <w:rsid w:val="00C36999"/>
    <w:rsid w:val="00C40C55"/>
    <w:rsid w:val="00C43DC9"/>
    <w:rsid w:val="00C45695"/>
    <w:rsid w:val="00C572A6"/>
    <w:rsid w:val="00C60BA9"/>
    <w:rsid w:val="00C72D1A"/>
    <w:rsid w:val="00C810D0"/>
    <w:rsid w:val="00C83AA6"/>
    <w:rsid w:val="00C85215"/>
    <w:rsid w:val="00C87D63"/>
    <w:rsid w:val="00C92123"/>
    <w:rsid w:val="00C94616"/>
    <w:rsid w:val="00C94E13"/>
    <w:rsid w:val="00CB179A"/>
    <w:rsid w:val="00CB7119"/>
    <w:rsid w:val="00CB7451"/>
    <w:rsid w:val="00CD246B"/>
    <w:rsid w:val="00CE0140"/>
    <w:rsid w:val="00D12C0D"/>
    <w:rsid w:val="00D14DB8"/>
    <w:rsid w:val="00D16D2A"/>
    <w:rsid w:val="00D21BCF"/>
    <w:rsid w:val="00D25123"/>
    <w:rsid w:val="00D342AD"/>
    <w:rsid w:val="00D452DA"/>
    <w:rsid w:val="00D5221E"/>
    <w:rsid w:val="00D568CC"/>
    <w:rsid w:val="00D61691"/>
    <w:rsid w:val="00D62785"/>
    <w:rsid w:val="00D70BA5"/>
    <w:rsid w:val="00D739BD"/>
    <w:rsid w:val="00D82B73"/>
    <w:rsid w:val="00D87CB8"/>
    <w:rsid w:val="00DA1378"/>
    <w:rsid w:val="00DA2602"/>
    <w:rsid w:val="00DA3840"/>
    <w:rsid w:val="00DB0832"/>
    <w:rsid w:val="00DB2E06"/>
    <w:rsid w:val="00DC41E8"/>
    <w:rsid w:val="00DC5574"/>
    <w:rsid w:val="00DC6049"/>
    <w:rsid w:val="00DD2C4A"/>
    <w:rsid w:val="00DD2E65"/>
    <w:rsid w:val="00DD349B"/>
    <w:rsid w:val="00DD4499"/>
    <w:rsid w:val="00DE2C9B"/>
    <w:rsid w:val="00DE742C"/>
    <w:rsid w:val="00DF7A23"/>
    <w:rsid w:val="00E15818"/>
    <w:rsid w:val="00E211E0"/>
    <w:rsid w:val="00E24221"/>
    <w:rsid w:val="00E302F2"/>
    <w:rsid w:val="00E31AD4"/>
    <w:rsid w:val="00E33AE8"/>
    <w:rsid w:val="00E63C00"/>
    <w:rsid w:val="00E6412B"/>
    <w:rsid w:val="00E84885"/>
    <w:rsid w:val="00E97053"/>
    <w:rsid w:val="00EA0C19"/>
    <w:rsid w:val="00EA2BDC"/>
    <w:rsid w:val="00EA3A78"/>
    <w:rsid w:val="00EA621A"/>
    <w:rsid w:val="00EA7488"/>
    <w:rsid w:val="00EC7997"/>
    <w:rsid w:val="00EC79AC"/>
    <w:rsid w:val="00ED394E"/>
    <w:rsid w:val="00F27248"/>
    <w:rsid w:val="00F27290"/>
    <w:rsid w:val="00F447F0"/>
    <w:rsid w:val="00F46CCB"/>
    <w:rsid w:val="00F50F06"/>
    <w:rsid w:val="00F532A5"/>
    <w:rsid w:val="00F54924"/>
    <w:rsid w:val="00F56FF6"/>
    <w:rsid w:val="00F610A3"/>
    <w:rsid w:val="00F67707"/>
    <w:rsid w:val="00F74222"/>
    <w:rsid w:val="00F749E1"/>
    <w:rsid w:val="00F757FF"/>
    <w:rsid w:val="00F87F5C"/>
    <w:rsid w:val="00FA0BC5"/>
    <w:rsid w:val="00FA2C30"/>
    <w:rsid w:val="00FA5796"/>
    <w:rsid w:val="00FB5009"/>
    <w:rsid w:val="00FC11D0"/>
    <w:rsid w:val="00FD040D"/>
    <w:rsid w:val="00FD1523"/>
    <w:rsid w:val="00FD35EB"/>
    <w:rsid w:val="00FD66E9"/>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uiPriority w:val="34"/>
    <w:qFormat/>
    <w:rsid w:val="0013133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paragraph" w:styleId="Header">
    <w:name w:val="header"/>
    <w:basedOn w:val="Normal"/>
    <w:link w:val="HeaderChar"/>
    <w:uiPriority w:val="99"/>
    <w:unhideWhenUsed/>
    <w:rsid w:val="007304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4E7"/>
  </w:style>
  <w:style w:type="paragraph" w:styleId="Footer">
    <w:name w:val="footer"/>
    <w:basedOn w:val="Normal"/>
    <w:link w:val="FooterChar"/>
    <w:uiPriority w:val="99"/>
    <w:unhideWhenUsed/>
    <w:rsid w:val="007304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609">
      <w:bodyDiv w:val="1"/>
      <w:marLeft w:val="0"/>
      <w:marRight w:val="0"/>
      <w:marTop w:val="0"/>
      <w:marBottom w:val="0"/>
      <w:divBdr>
        <w:top w:val="none" w:sz="0" w:space="0" w:color="auto"/>
        <w:left w:val="none" w:sz="0" w:space="0" w:color="auto"/>
        <w:bottom w:val="none" w:sz="0" w:space="0" w:color="auto"/>
        <w:right w:val="none" w:sz="0" w:space="0" w:color="auto"/>
      </w:divBdr>
    </w:div>
    <w:div w:id="96996480">
      <w:bodyDiv w:val="1"/>
      <w:marLeft w:val="0"/>
      <w:marRight w:val="0"/>
      <w:marTop w:val="0"/>
      <w:marBottom w:val="0"/>
      <w:divBdr>
        <w:top w:val="none" w:sz="0" w:space="0" w:color="auto"/>
        <w:left w:val="none" w:sz="0" w:space="0" w:color="auto"/>
        <w:bottom w:val="none" w:sz="0" w:space="0" w:color="auto"/>
        <w:right w:val="none" w:sz="0" w:space="0" w:color="auto"/>
      </w:divBdr>
      <w:divsChild>
        <w:div w:id="1047997994">
          <w:marLeft w:val="0"/>
          <w:marRight w:val="0"/>
          <w:marTop w:val="0"/>
          <w:marBottom w:val="0"/>
          <w:divBdr>
            <w:top w:val="none" w:sz="0" w:space="0" w:color="auto"/>
            <w:left w:val="none" w:sz="0" w:space="0" w:color="auto"/>
            <w:bottom w:val="none" w:sz="0" w:space="0" w:color="auto"/>
            <w:right w:val="none" w:sz="0" w:space="0" w:color="auto"/>
          </w:divBdr>
          <w:divsChild>
            <w:div w:id="1870489314">
              <w:marLeft w:val="0"/>
              <w:marRight w:val="0"/>
              <w:marTop w:val="0"/>
              <w:marBottom w:val="0"/>
              <w:divBdr>
                <w:top w:val="none" w:sz="0" w:space="0" w:color="auto"/>
                <w:left w:val="none" w:sz="0" w:space="0" w:color="auto"/>
                <w:bottom w:val="none" w:sz="0" w:space="0" w:color="auto"/>
                <w:right w:val="none" w:sz="0" w:space="0" w:color="auto"/>
              </w:divBdr>
            </w:div>
            <w:div w:id="6287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4245">
      <w:bodyDiv w:val="1"/>
      <w:marLeft w:val="0"/>
      <w:marRight w:val="0"/>
      <w:marTop w:val="0"/>
      <w:marBottom w:val="0"/>
      <w:divBdr>
        <w:top w:val="none" w:sz="0" w:space="0" w:color="auto"/>
        <w:left w:val="none" w:sz="0" w:space="0" w:color="auto"/>
        <w:bottom w:val="none" w:sz="0" w:space="0" w:color="auto"/>
        <w:right w:val="none" w:sz="0" w:space="0" w:color="auto"/>
      </w:divBdr>
      <w:divsChild>
        <w:div w:id="1563828302">
          <w:marLeft w:val="0"/>
          <w:marRight w:val="0"/>
          <w:marTop w:val="0"/>
          <w:marBottom w:val="0"/>
          <w:divBdr>
            <w:top w:val="none" w:sz="0" w:space="0" w:color="auto"/>
            <w:left w:val="none" w:sz="0" w:space="0" w:color="auto"/>
            <w:bottom w:val="none" w:sz="0" w:space="0" w:color="auto"/>
            <w:right w:val="none" w:sz="0" w:space="0" w:color="auto"/>
          </w:divBdr>
        </w:div>
        <w:div w:id="1880701861">
          <w:marLeft w:val="0"/>
          <w:marRight w:val="0"/>
          <w:marTop w:val="0"/>
          <w:marBottom w:val="0"/>
          <w:divBdr>
            <w:top w:val="none" w:sz="0" w:space="0" w:color="auto"/>
            <w:left w:val="none" w:sz="0" w:space="0" w:color="auto"/>
            <w:bottom w:val="none" w:sz="0" w:space="0" w:color="auto"/>
            <w:right w:val="none" w:sz="0" w:space="0" w:color="auto"/>
          </w:divBdr>
        </w:div>
        <w:div w:id="1436637467">
          <w:marLeft w:val="0"/>
          <w:marRight w:val="0"/>
          <w:marTop w:val="0"/>
          <w:marBottom w:val="0"/>
          <w:divBdr>
            <w:top w:val="none" w:sz="0" w:space="0" w:color="auto"/>
            <w:left w:val="none" w:sz="0" w:space="0" w:color="auto"/>
            <w:bottom w:val="none" w:sz="0" w:space="0" w:color="auto"/>
            <w:right w:val="none" w:sz="0" w:space="0" w:color="auto"/>
          </w:divBdr>
        </w:div>
      </w:divsChild>
    </w:div>
    <w:div w:id="605577719">
      <w:bodyDiv w:val="1"/>
      <w:marLeft w:val="0"/>
      <w:marRight w:val="0"/>
      <w:marTop w:val="0"/>
      <w:marBottom w:val="0"/>
      <w:divBdr>
        <w:top w:val="none" w:sz="0" w:space="0" w:color="auto"/>
        <w:left w:val="none" w:sz="0" w:space="0" w:color="auto"/>
        <w:bottom w:val="none" w:sz="0" w:space="0" w:color="auto"/>
        <w:right w:val="none" w:sz="0" w:space="0" w:color="auto"/>
      </w:divBdr>
      <w:divsChild>
        <w:div w:id="1969773428">
          <w:marLeft w:val="0"/>
          <w:marRight w:val="0"/>
          <w:marTop w:val="0"/>
          <w:marBottom w:val="0"/>
          <w:divBdr>
            <w:top w:val="none" w:sz="0" w:space="0" w:color="auto"/>
            <w:left w:val="none" w:sz="0" w:space="0" w:color="auto"/>
            <w:bottom w:val="none" w:sz="0" w:space="0" w:color="auto"/>
            <w:right w:val="none" w:sz="0" w:space="0" w:color="auto"/>
          </w:divBdr>
          <w:divsChild>
            <w:div w:id="336856296">
              <w:marLeft w:val="0"/>
              <w:marRight w:val="0"/>
              <w:marTop w:val="0"/>
              <w:marBottom w:val="0"/>
              <w:divBdr>
                <w:top w:val="none" w:sz="0" w:space="0" w:color="auto"/>
                <w:left w:val="none" w:sz="0" w:space="0" w:color="auto"/>
                <w:bottom w:val="none" w:sz="0" w:space="0" w:color="auto"/>
                <w:right w:val="none" w:sz="0" w:space="0" w:color="auto"/>
              </w:divBdr>
            </w:div>
            <w:div w:id="127273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36133">
      <w:bodyDiv w:val="1"/>
      <w:marLeft w:val="0"/>
      <w:marRight w:val="0"/>
      <w:marTop w:val="0"/>
      <w:marBottom w:val="0"/>
      <w:divBdr>
        <w:top w:val="none" w:sz="0" w:space="0" w:color="auto"/>
        <w:left w:val="none" w:sz="0" w:space="0" w:color="auto"/>
        <w:bottom w:val="none" w:sz="0" w:space="0" w:color="auto"/>
        <w:right w:val="none" w:sz="0" w:space="0" w:color="auto"/>
      </w:divBdr>
      <w:divsChild>
        <w:div w:id="1730301490">
          <w:marLeft w:val="0"/>
          <w:marRight w:val="0"/>
          <w:marTop w:val="0"/>
          <w:marBottom w:val="0"/>
          <w:divBdr>
            <w:top w:val="none" w:sz="0" w:space="0" w:color="auto"/>
            <w:left w:val="none" w:sz="0" w:space="0" w:color="auto"/>
            <w:bottom w:val="none" w:sz="0" w:space="0" w:color="auto"/>
            <w:right w:val="none" w:sz="0" w:space="0" w:color="auto"/>
          </w:divBdr>
        </w:div>
        <w:div w:id="1745908808">
          <w:marLeft w:val="0"/>
          <w:marRight w:val="0"/>
          <w:marTop w:val="0"/>
          <w:marBottom w:val="0"/>
          <w:divBdr>
            <w:top w:val="none" w:sz="0" w:space="0" w:color="auto"/>
            <w:left w:val="none" w:sz="0" w:space="0" w:color="auto"/>
            <w:bottom w:val="none" w:sz="0" w:space="0" w:color="auto"/>
            <w:right w:val="none" w:sz="0" w:space="0" w:color="auto"/>
          </w:divBdr>
        </w:div>
        <w:div w:id="367998761">
          <w:marLeft w:val="0"/>
          <w:marRight w:val="0"/>
          <w:marTop w:val="0"/>
          <w:marBottom w:val="0"/>
          <w:divBdr>
            <w:top w:val="none" w:sz="0" w:space="0" w:color="auto"/>
            <w:left w:val="none" w:sz="0" w:space="0" w:color="auto"/>
            <w:bottom w:val="none" w:sz="0" w:space="0" w:color="auto"/>
            <w:right w:val="none" w:sz="0" w:space="0" w:color="auto"/>
          </w:divBdr>
        </w:div>
      </w:divsChild>
    </w:div>
    <w:div w:id="707142652">
      <w:bodyDiv w:val="1"/>
      <w:marLeft w:val="0"/>
      <w:marRight w:val="0"/>
      <w:marTop w:val="0"/>
      <w:marBottom w:val="0"/>
      <w:divBdr>
        <w:top w:val="none" w:sz="0" w:space="0" w:color="auto"/>
        <w:left w:val="none" w:sz="0" w:space="0" w:color="auto"/>
        <w:bottom w:val="none" w:sz="0" w:space="0" w:color="auto"/>
        <w:right w:val="none" w:sz="0" w:space="0" w:color="auto"/>
      </w:divBdr>
      <w:divsChild>
        <w:div w:id="1171220961">
          <w:marLeft w:val="0"/>
          <w:marRight w:val="0"/>
          <w:marTop w:val="0"/>
          <w:marBottom w:val="0"/>
          <w:divBdr>
            <w:top w:val="none" w:sz="0" w:space="0" w:color="auto"/>
            <w:left w:val="none" w:sz="0" w:space="0" w:color="auto"/>
            <w:bottom w:val="none" w:sz="0" w:space="0" w:color="auto"/>
            <w:right w:val="none" w:sz="0" w:space="0" w:color="auto"/>
          </w:divBdr>
        </w:div>
        <w:div w:id="1946038730">
          <w:marLeft w:val="0"/>
          <w:marRight w:val="0"/>
          <w:marTop w:val="0"/>
          <w:marBottom w:val="0"/>
          <w:divBdr>
            <w:top w:val="none" w:sz="0" w:space="0" w:color="auto"/>
            <w:left w:val="none" w:sz="0" w:space="0" w:color="auto"/>
            <w:bottom w:val="none" w:sz="0" w:space="0" w:color="auto"/>
            <w:right w:val="none" w:sz="0" w:space="0" w:color="auto"/>
          </w:divBdr>
        </w:div>
        <w:div w:id="874847071">
          <w:marLeft w:val="0"/>
          <w:marRight w:val="0"/>
          <w:marTop w:val="0"/>
          <w:marBottom w:val="0"/>
          <w:divBdr>
            <w:top w:val="none" w:sz="0" w:space="0" w:color="auto"/>
            <w:left w:val="none" w:sz="0" w:space="0" w:color="auto"/>
            <w:bottom w:val="none" w:sz="0" w:space="0" w:color="auto"/>
            <w:right w:val="none" w:sz="0" w:space="0" w:color="auto"/>
          </w:divBdr>
        </w:div>
      </w:divsChild>
    </w:div>
    <w:div w:id="856385566">
      <w:bodyDiv w:val="1"/>
      <w:marLeft w:val="0"/>
      <w:marRight w:val="0"/>
      <w:marTop w:val="0"/>
      <w:marBottom w:val="0"/>
      <w:divBdr>
        <w:top w:val="none" w:sz="0" w:space="0" w:color="auto"/>
        <w:left w:val="none" w:sz="0" w:space="0" w:color="auto"/>
        <w:bottom w:val="none" w:sz="0" w:space="0" w:color="auto"/>
        <w:right w:val="none" w:sz="0" w:space="0" w:color="auto"/>
      </w:divBdr>
      <w:divsChild>
        <w:div w:id="1038630124">
          <w:marLeft w:val="0"/>
          <w:marRight w:val="0"/>
          <w:marTop w:val="0"/>
          <w:marBottom w:val="0"/>
          <w:divBdr>
            <w:top w:val="none" w:sz="0" w:space="0" w:color="auto"/>
            <w:left w:val="none" w:sz="0" w:space="0" w:color="auto"/>
            <w:bottom w:val="none" w:sz="0" w:space="0" w:color="auto"/>
            <w:right w:val="none" w:sz="0" w:space="0" w:color="auto"/>
          </w:divBdr>
          <w:divsChild>
            <w:div w:id="1101756061">
              <w:marLeft w:val="0"/>
              <w:marRight w:val="0"/>
              <w:marTop w:val="0"/>
              <w:marBottom w:val="0"/>
              <w:divBdr>
                <w:top w:val="none" w:sz="0" w:space="0" w:color="auto"/>
                <w:left w:val="none" w:sz="0" w:space="0" w:color="auto"/>
                <w:bottom w:val="none" w:sz="0" w:space="0" w:color="auto"/>
                <w:right w:val="none" w:sz="0" w:space="0" w:color="auto"/>
              </w:divBdr>
            </w:div>
            <w:div w:id="376703871">
              <w:marLeft w:val="0"/>
              <w:marRight w:val="0"/>
              <w:marTop w:val="0"/>
              <w:marBottom w:val="0"/>
              <w:divBdr>
                <w:top w:val="none" w:sz="0" w:space="0" w:color="auto"/>
                <w:left w:val="none" w:sz="0" w:space="0" w:color="auto"/>
                <w:bottom w:val="none" w:sz="0" w:space="0" w:color="auto"/>
                <w:right w:val="none" w:sz="0" w:space="0" w:color="auto"/>
              </w:divBdr>
            </w:div>
            <w:div w:id="545064250">
              <w:marLeft w:val="0"/>
              <w:marRight w:val="0"/>
              <w:marTop w:val="0"/>
              <w:marBottom w:val="0"/>
              <w:divBdr>
                <w:top w:val="none" w:sz="0" w:space="0" w:color="auto"/>
                <w:left w:val="none" w:sz="0" w:space="0" w:color="auto"/>
                <w:bottom w:val="none" w:sz="0" w:space="0" w:color="auto"/>
                <w:right w:val="none" w:sz="0" w:space="0" w:color="auto"/>
              </w:divBdr>
            </w:div>
            <w:div w:id="90585996">
              <w:marLeft w:val="0"/>
              <w:marRight w:val="0"/>
              <w:marTop w:val="0"/>
              <w:marBottom w:val="0"/>
              <w:divBdr>
                <w:top w:val="none" w:sz="0" w:space="0" w:color="auto"/>
                <w:left w:val="none" w:sz="0" w:space="0" w:color="auto"/>
                <w:bottom w:val="none" w:sz="0" w:space="0" w:color="auto"/>
                <w:right w:val="none" w:sz="0" w:space="0" w:color="auto"/>
              </w:divBdr>
            </w:div>
            <w:div w:id="20159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605164">
      <w:bodyDiv w:val="1"/>
      <w:marLeft w:val="0"/>
      <w:marRight w:val="0"/>
      <w:marTop w:val="0"/>
      <w:marBottom w:val="0"/>
      <w:divBdr>
        <w:top w:val="none" w:sz="0" w:space="0" w:color="auto"/>
        <w:left w:val="none" w:sz="0" w:space="0" w:color="auto"/>
        <w:bottom w:val="none" w:sz="0" w:space="0" w:color="auto"/>
        <w:right w:val="none" w:sz="0" w:space="0" w:color="auto"/>
      </w:divBdr>
      <w:divsChild>
        <w:div w:id="427889133">
          <w:marLeft w:val="0"/>
          <w:marRight w:val="0"/>
          <w:marTop w:val="0"/>
          <w:marBottom w:val="0"/>
          <w:divBdr>
            <w:top w:val="none" w:sz="0" w:space="0" w:color="auto"/>
            <w:left w:val="none" w:sz="0" w:space="0" w:color="auto"/>
            <w:bottom w:val="none" w:sz="0" w:space="0" w:color="auto"/>
            <w:right w:val="none" w:sz="0" w:space="0" w:color="auto"/>
          </w:divBdr>
          <w:divsChild>
            <w:div w:id="76288123">
              <w:marLeft w:val="0"/>
              <w:marRight w:val="0"/>
              <w:marTop w:val="0"/>
              <w:marBottom w:val="0"/>
              <w:divBdr>
                <w:top w:val="none" w:sz="0" w:space="0" w:color="auto"/>
                <w:left w:val="none" w:sz="0" w:space="0" w:color="auto"/>
                <w:bottom w:val="none" w:sz="0" w:space="0" w:color="auto"/>
                <w:right w:val="none" w:sz="0" w:space="0" w:color="auto"/>
              </w:divBdr>
            </w:div>
            <w:div w:id="1072507254">
              <w:marLeft w:val="0"/>
              <w:marRight w:val="0"/>
              <w:marTop w:val="0"/>
              <w:marBottom w:val="0"/>
              <w:divBdr>
                <w:top w:val="none" w:sz="0" w:space="0" w:color="auto"/>
                <w:left w:val="none" w:sz="0" w:space="0" w:color="auto"/>
                <w:bottom w:val="none" w:sz="0" w:space="0" w:color="auto"/>
                <w:right w:val="none" w:sz="0" w:space="0" w:color="auto"/>
              </w:divBdr>
            </w:div>
            <w:div w:id="784009723">
              <w:marLeft w:val="0"/>
              <w:marRight w:val="0"/>
              <w:marTop w:val="0"/>
              <w:marBottom w:val="0"/>
              <w:divBdr>
                <w:top w:val="none" w:sz="0" w:space="0" w:color="auto"/>
                <w:left w:val="none" w:sz="0" w:space="0" w:color="auto"/>
                <w:bottom w:val="none" w:sz="0" w:space="0" w:color="auto"/>
                <w:right w:val="none" w:sz="0" w:space="0" w:color="auto"/>
              </w:divBdr>
            </w:div>
            <w:div w:id="1725374348">
              <w:marLeft w:val="0"/>
              <w:marRight w:val="0"/>
              <w:marTop w:val="0"/>
              <w:marBottom w:val="0"/>
              <w:divBdr>
                <w:top w:val="none" w:sz="0" w:space="0" w:color="auto"/>
                <w:left w:val="none" w:sz="0" w:space="0" w:color="auto"/>
                <w:bottom w:val="none" w:sz="0" w:space="0" w:color="auto"/>
                <w:right w:val="none" w:sz="0" w:space="0" w:color="auto"/>
              </w:divBdr>
            </w:div>
            <w:div w:id="14511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6893">
      <w:bodyDiv w:val="1"/>
      <w:marLeft w:val="0"/>
      <w:marRight w:val="0"/>
      <w:marTop w:val="0"/>
      <w:marBottom w:val="0"/>
      <w:divBdr>
        <w:top w:val="none" w:sz="0" w:space="0" w:color="auto"/>
        <w:left w:val="none" w:sz="0" w:space="0" w:color="auto"/>
        <w:bottom w:val="none" w:sz="0" w:space="0" w:color="auto"/>
        <w:right w:val="none" w:sz="0" w:space="0" w:color="auto"/>
      </w:divBdr>
      <w:divsChild>
        <w:div w:id="836723881">
          <w:marLeft w:val="0"/>
          <w:marRight w:val="0"/>
          <w:marTop w:val="0"/>
          <w:marBottom w:val="0"/>
          <w:divBdr>
            <w:top w:val="none" w:sz="0" w:space="0" w:color="auto"/>
            <w:left w:val="none" w:sz="0" w:space="0" w:color="auto"/>
            <w:bottom w:val="none" w:sz="0" w:space="0" w:color="auto"/>
            <w:right w:val="none" w:sz="0" w:space="0" w:color="auto"/>
          </w:divBdr>
          <w:divsChild>
            <w:div w:id="2077240323">
              <w:marLeft w:val="0"/>
              <w:marRight w:val="0"/>
              <w:marTop w:val="0"/>
              <w:marBottom w:val="0"/>
              <w:divBdr>
                <w:top w:val="none" w:sz="0" w:space="0" w:color="auto"/>
                <w:left w:val="none" w:sz="0" w:space="0" w:color="auto"/>
                <w:bottom w:val="none" w:sz="0" w:space="0" w:color="auto"/>
                <w:right w:val="none" w:sz="0" w:space="0" w:color="auto"/>
              </w:divBdr>
            </w:div>
            <w:div w:id="33384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64014">
      <w:bodyDiv w:val="1"/>
      <w:marLeft w:val="0"/>
      <w:marRight w:val="0"/>
      <w:marTop w:val="0"/>
      <w:marBottom w:val="0"/>
      <w:divBdr>
        <w:top w:val="none" w:sz="0" w:space="0" w:color="auto"/>
        <w:left w:val="none" w:sz="0" w:space="0" w:color="auto"/>
        <w:bottom w:val="none" w:sz="0" w:space="0" w:color="auto"/>
        <w:right w:val="none" w:sz="0" w:space="0" w:color="auto"/>
      </w:divBdr>
      <w:divsChild>
        <w:div w:id="1184052081">
          <w:marLeft w:val="0"/>
          <w:marRight w:val="0"/>
          <w:marTop w:val="0"/>
          <w:marBottom w:val="0"/>
          <w:divBdr>
            <w:top w:val="none" w:sz="0" w:space="0" w:color="auto"/>
            <w:left w:val="none" w:sz="0" w:space="0" w:color="auto"/>
            <w:bottom w:val="none" w:sz="0" w:space="0" w:color="auto"/>
            <w:right w:val="none" w:sz="0" w:space="0" w:color="auto"/>
          </w:divBdr>
        </w:div>
        <w:div w:id="408239336">
          <w:marLeft w:val="0"/>
          <w:marRight w:val="0"/>
          <w:marTop w:val="0"/>
          <w:marBottom w:val="0"/>
          <w:divBdr>
            <w:top w:val="none" w:sz="0" w:space="0" w:color="auto"/>
            <w:left w:val="none" w:sz="0" w:space="0" w:color="auto"/>
            <w:bottom w:val="none" w:sz="0" w:space="0" w:color="auto"/>
            <w:right w:val="none" w:sz="0" w:space="0" w:color="auto"/>
          </w:divBdr>
        </w:div>
        <w:div w:id="419374245">
          <w:marLeft w:val="0"/>
          <w:marRight w:val="0"/>
          <w:marTop w:val="0"/>
          <w:marBottom w:val="0"/>
          <w:divBdr>
            <w:top w:val="none" w:sz="0" w:space="0" w:color="auto"/>
            <w:left w:val="none" w:sz="0" w:space="0" w:color="auto"/>
            <w:bottom w:val="none" w:sz="0" w:space="0" w:color="auto"/>
            <w:right w:val="none" w:sz="0" w:space="0" w:color="auto"/>
          </w:divBdr>
        </w:div>
      </w:divsChild>
    </w:div>
    <w:div w:id="1635059180">
      <w:bodyDiv w:val="1"/>
      <w:marLeft w:val="0"/>
      <w:marRight w:val="0"/>
      <w:marTop w:val="0"/>
      <w:marBottom w:val="0"/>
      <w:divBdr>
        <w:top w:val="none" w:sz="0" w:space="0" w:color="auto"/>
        <w:left w:val="none" w:sz="0" w:space="0" w:color="auto"/>
        <w:bottom w:val="none" w:sz="0" w:space="0" w:color="auto"/>
        <w:right w:val="none" w:sz="0" w:space="0" w:color="auto"/>
      </w:divBdr>
      <w:divsChild>
        <w:div w:id="1666132637">
          <w:marLeft w:val="0"/>
          <w:marRight w:val="0"/>
          <w:marTop w:val="0"/>
          <w:marBottom w:val="0"/>
          <w:divBdr>
            <w:top w:val="none" w:sz="0" w:space="0" w:color="auto"/>
            <w:left w:val="none" w:sz="0" w:space="0" w:color="auto"/>
            <w:bottom w:val="none" w:sz="0" w:space="0" w:color="auto"/>
            <w:right w:val="none" w:sz="0" w:space="0" w:color="auto"/>
          </w:divBdr>
          <w:divsChild>
            <w:div w:id="2057122852">
              <w:marLeft w:val="0"/>
              <w:marRight w:val="0"/>
              <w:marTop w:val="0"/>
              <w:marBottom w:val="0"/>
              <w:divBdr>
                <w:top w:val="none" w:sz="0" w:space="0" w:color="auto"/>
                <w:left w:val="none" w:sz="0" w:space="0" w:color="auto"/>
                <w:bottom w:val="none" w:sz="0" w:space="0" w:color="auto"/>
                <w:right w:val="none" w:sz="0" w:space="0" w:color="auto"/>
              </w:divBdr>
            </w:div>
            <w:div w:id="193701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74F531-6753-47B9-BE41-6AD1052DCD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AA3021-F9A7-4BE9-99B7-7EE5ECA5E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982CF7-8309-4C2C-8F6A-8DD250006E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2085</Words>
  <Characters>11889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2022-07-26T06:43:00Z</dcterms:created>
  <dcterms:modified xsi:type="dcterms:W3CDTF">2022-08-08T07:20:00Z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