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A4CA" w14:textId="77777777" w:rsidR="00CD246B" w:rsidRPr="004C6985" w:rsidRDefault="00CD246B" w:rsidP="3FEA3204">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3253A49D" w14:textId="77777777" w:rsidR="00CD246B" w:rsidRPr="004C6985" w:rsidRDefault="00CD246B" w:rsidP="00CD246B">
      <w:pPr>
        <w:spacing w:line="240" w:lineRule="auto"/>
        <w:jc w:val="center"/>
        <w:rPr>
          <w:rStyle w:val="Heading1Char"/>
          <w:rFonts w:ascii="Arial Narrow" w:eastAsia="Calibri" w:hAnsi="Arial Narrow"/>
          <w:b w:val="0"/>
          <w:bCs w:val="0"/>
          <w:szCs w:val="24"/>
        </w:rPr>
      </w:pPr>
      <w:r w:rsidRPr="004C6985">
        <w:rPr>
          <w:rStyle w:val="Heading1Char"/>
          <w:rFonts w:ascii="Arial Narrow" w:eastAsia="Calibri" w:hAnsi="Arial Narrow"/>
          <w:szCs w:val="24"/>
        </w:rPr>
        <w:t>Milestones, targets and related indicators – non-repayable support</w:t>
      </w:r>
    </w:p>
    <w:tbl>
      <w:tblPr>
        <w:tblW w:w="226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0"/>
        <w:gridCol w:w="1200"/>
        <w:gridCol w:w="851"/>
        <w:gridCol w:w="1134"/>
        <w:gridCol w:w="1220"/>
        <w:gridCol w:w="567"/>
        <w:gridCol w:w="708"/>
        <w:gridCol w:w="675"/>
        <w:gridCol w:w="187"/>
        <w:gridCol w:w="560"/>
        <w:gridCol w:w="1130"/>
        <w:gridCol w:w="764"/>
        <w:gridCol w:w="2552"/>
        <w:gridCol w:w="4111"/>
        <w:gridCol w:w="2377"/>
        <w:gridCol w:w="15"/>
        <w:gridCol w:w="1383"/>
        <w:gridCol w:w="15"/>
        <w:gridCol w:w="695"/>
        <w:gridCol w:w="15"/>
        <w:gridCol w:w="810"/>
        <w:gridCol w:w="15"/>
        <w:gridCol w:w="1265"/>
        <w:gridCol w:w="15"/>
      </w:tblGrid>
      <w:tr w:rsidR="002D79D0" w:rsidRPr="0008440F" w14:paraId="242F3F5B" w14:textId="77777777" w:rsidTr="506F4F75">
        <w:trPr>
          <w:trHeight w:val="303"/>
          <w:tblHeader/>
        </w:trPr>
        <w:tc>
          <w:tcPr>
            <w:tcW w:w="360" w:type="dxa"/>
            <w:shd w:val="clear" w:color="auto" w:fill="BDD6EE" w:themeFill="accent1" w:themeFillTint="66"/>
            <w:noWrap/>
            <w:vAlign w:val="center"/>
          </w:tcPr>
          <w:p w14:paraId="6A889248" w14:textId="77777777" w:rsidR="002D79D0" w:rsidRPr="0008440F" w:rsidRDefault="002D79D0" w:rsidP="002901DB">
            <w:pPr>
              <w:spacing w:after="0" w:line="240" w:lineRule="auto"/>
              <w:jc w:val="center"/>
              <w:rPr>
                <w:rFonts w:ascii="Arial" w:eastAsia="Times New Roman" w:hAnsi="Arial" w:cs="Arial"/>
                <w:color w:val="005D00"/>
                <w:sz w:val="16"/>
                <w:szCs w:val="16"/>
                <w:lang w:eastAsia="en-GB"/>
              </w:rPr>
            </w:pPr>
            <w:r w:rsidRPr="0008440F">
              <w:rPr>
                <w:rFonts w:ascii="Arial" w:eastAsia="Times New Roman" w:hAnsi="Arial" w:cs="Arial"/>
                <w:b/>
                <w:color w:val="000000" w:themeColor="text1"/>
                <w:sz w:val="16"/>
                <w:szCs w:val="16"/>
                <w:lang w:eastAsia="en-GB"/>
              </w:rPr>
              <w:t>#</w:t>
            </w:r>
          </w:p>
        </w:tc>
        <w:tc>
          <w:tcPr>
            <w:tcW w:w="1200" w:type="dxa"/>
            <w:shd w:val="clear" w:color="auto" w:fill="BDD6EE" w:themeFill="accent1" w:themeFillTint="66"/>
            <w:noWrap/>
            <w:vAlign w:val="center"/>
          </w:tcPr>
          <w:p w14:paraId="1460BC16" w14:textId="77777777" w:rsidR="002D79D0" w:rsidRPr="0008440F" w:rsidRDefault="002D79D0" w:rsidP="002901DB">
            <w:pPr>
              <w:spacing w:after="0" w:line="240" w:lineRule="auto"/>
              <w:jc w:val="center"/>
              <w:rPr>
                <w:rFonts w:ascii="Arial" w:hAnsi="Arial" w:cs="Arial"/>
                <w:color w:val="005D00"/>
                <w:sz w:val="16"/>
                <w:szCs w:val="16"/>
              </w:rPr>
            </w:pPr>
            <w:r w:rsidRPr="0008440F">
              <w:rPr>
                <w:rFonts w:ascii="Arial" w:eastAsia="Times New Roman" w:hAnsi="Arial" w:cs="Arial"/>
                <w:b/>
                <w:color w:val="000000" w:themeColor="text1"/>
                <w:sz w:val="16"/>
                <w:szCs w:val="16"/>
                <w:lang w:eastAsia="en-GB"/>
              </w:rPr>
              <w:t>Related measure (reform or investment)</w:t>
            </w:r>
          </w:p>
        </w:tc>
        <w:tc>
          <w:tcPr>
            <w:tcW w:w="851" w:type="dxa"/>
            <w:shd w:val="clear" w:color="auto" w:fill="BDD6EE" w:themeFill="accent1" w:themeFillTint="66"/>
            <w:noWrap/>
            <w:vAlign w:val="center"/>
          </w:tcPr>
          <w:p w14:paraId="5E1C48FE" w14:textId="77777777" w:rsidR="002D79D0" w:rsidRPr="0008440F" w:rsidRDefault="002D79D0" w:rsidP="002901DB">
            <w:pPr>
              <w:spacing w:after="0" w:line="240" w:lineRule="auto"/>
              <w:jc w:val="center"/>
              <w:rPr>
                <w:rFonts w:ascii="Arial" w:hAnsi="Arial" w:cs="Arial"/>
                <w:color w:val="005D00"/>
                <w:sz w:val="16"/>
                <w:szCs w:val="16"/>
              </w:rPr>
            </w:pPr>
            <w:r w:rsidRPr="0008440F">
              <w:rPr>
                <w:rFonts w:ascii="Arial" w:eastAsia="Times New Roman" w:hAnsi="Arial" w:cs="Arial"/>
                <w:b/>
                <w:color w:val="000000" w:themeColor="text1"/>
                <w:sz w:val="16"/>
                <w:szCs w:val="16"/>
                <w:lang w:eastAsia="en-GB"/>
              </w:rPr>
              <w:t>M/T</w:t>
            </w:r>
          </w:p>
        </w:tc>
        <w:tc>
          <w:tcPr>
            <w:tcW w:w="1134" w:type="dxa"/>
            <w:shd w:val="clear" w:color="auto" w:fill="BDD6EE" w:themeFill="accent1" w:themeFillTint="66"/>
            <w:noWrap/>
            <w:vAlign w:val="center"/>
          </w:tcPr>
          <w:p w14:paraId="7E293088" w14:textId="77777777" w:rsidR="002D79D0" w:rsidRPr="0008440F" w:rsidRDefault="002D79D0" w:rsidP="002901DB">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Name</w:t>
            </w:r>
          </w:p>
        </w:tc>
        <w:tc>
          <w:tcPr>
            <w:tcW w:w="1220" w:type="dxa"/>
            <w:shd w:val="clear" w:color="auto" w:fill="BDD6EE" w:themeFill="accent1" w:themeFillTint="66"/>
            <w:noWrap/>
            <w:vAlign w:val="center"/>
          </w:tcPr>
          <w:p w14:paraId="0D37BFB4" w14:textId="77777777" w:rsidR="002D79D0" w:rsidRPr="0008440F" w:rsidRDefault="002D79D0" w:rsidP="002901DB">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Qualitative indicators (for milestones)</w:t>
            </w:r>
          </w:p>
        </w:tc>
        <w:tc>
          <w:tcPr>
            <w:tcW w:w="1950" w:type="dxa"/>
            <w:gridSpan w:val="3"/>
            <w:shd w:val="clear" w:color="auto" w:fill="BDD6EE" w:themeFill="accent1" w:themeFillTint="66"/>
            <w:noWrap/>
            <w:vAlign w:val="center"/>
          </w:tcPr>
          <w:p w14:paraId="2EC21E41" w14:textId="77777777" w:rsidR="002D79D0" w:rsidRPr="0008440F" w:rsidRDefault="002D79D0" w:rsidP="002901DB">
            <w:pPr>
              <w:spacing w:after="0" w:line="240" w:lineRule="auto"/>
              <w:jc w:val="center"/>
              <w:rPr>
                <w:rFonts w:ascii="Arial" w:eastAsia="Times New Roman" w:hAnsi="Arial" w:cs="Arial"/>
                <w:color w:val="005D00"/>
                <w:sz w:val="16"/>
                <w:szCs w:val="16"/>
                <w:lang w:eastAsia="en-GB"/>
              </w:rPr>
            </w:pPr>
            <w:r w:rsidRPr="0008440F">
              <w:rPr>
                <w:rFonts w:ascii="Arial" w:eastAsia="Times New Roman" w:hAnsi="Arial" w:cs="Arial"/>
                <w:b/>
                <w:color w:val="000000" w:themeColor="text1"/>
                <w:sz w:val="16"/>
                <w:szCs w:val="16"/>
                <w:lang w:eastAsia="en-GB"/>
              </w:rPr>
              <w:t>Quantitative indicators (for targets)</w:t>
            </w:r>
          </w:p>
        </w:tc>
        <w:tc>
          <w:tcPr>
            <w:tcW w:w="747" w:type="dxa"/>
            <w:gridSpan w:val="2"/>
            <w:shd w:val="clear" w:color="auto" w:fill="BDD6EE" w:themeFill="accent1" w:themeFillTint="66"/>
            <w:noWrap/>
            <w:vAlign w:val="center"/>
          </w:tcPr>
          <w:p w14:paraId="680F707D" w14:textId="77777777" w:rsidR="002D79D0" w:rsidRPr="0008440F" w:rsidRDefault="002D79D0" w:rsidP="002901DB">
            <w:pPr>
              <w:spacing w:after="0" w:line="240" w:lineRule="auto"/>
              <w:jc w:val="center"/>
              <w:rPr>
                <w:rFonts w:ascii="Arial" w:hAnsi="Arial" w:cs="Arial"/>
                <w:color w:val="005D00"/>
                <w:sz w:val="16"/>
                <w:szCs w:val="16"/>
              </w:rPr>
            </w:pPr>
            <w:r w:rsidRPr="0008440F">
              <w:rPr>
                <w:rFonts w:ascii="Arial" w:eastAsia="Times New Roman" w:hAnsi="Arial" w:cs="Arial"/>
                <w:b/>
                <w:color w:val="000000" w:themeColor="text1"/>
                <w:sz w:val="16"/>
                <w:szCs w:val="16"/>
                <w:lang w:eastAsia="en-GB"/>
              </w:rPr>
              <w:t>Date for completion</w:t>
            </w:r>
          </w:p>
        </w:tc>
        <w:tc>
          <w:tcPr>
            <w:tcW w:w="1130" w:type="dxa"/>
            <w:shd w:val="clear" w:color="auto" w:fill="BDD6EE" w:themeFill="accent1" w:themeFillTint="66"/>
            <w:vAlign w:val="center"/>
          </w:tcPr>
          <w:p w14:paraId="335B5330" w14:textId="77777777" w:rsidR="002D79D0" w:rsidRPr="0008440F" w:rsidRDefault="002D79D0" w:rsidP="002901DB">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b/>
                <w:color w:val="000000" w:themeColor="text1"/>
                <w:sz w:val="16"/>
                <w:szCs w:val="16"/>
                <w:lang w:eastAsia="en-GB"/>
              </w:rPr>
              <w:t>Responsibility for reporting and implementation</w:t>
            </w:r>
          </w:p>
        </w:tc>
        <w:tc>
          <w:tcPr>
            <w:tcW w:w="764" w:type="dxa"/>
            <w:shd w:val="clear" w:color="auto" w:fill="BDD6EE" w:themeFill="accent1" w:themeFillTint="66"/>
            <w:vAlign w:val="center"/>
          </w:tcPr>
          <w:p w14:paraId="519321DE" w14:textId="77777777" w:rsidR="002D79D0" w:rsidRPr="0008440F" w:rsidRDefault="002D79D0" w:rsidP="002901DB">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b/>
                <w:color w:val="000000" w:themeColor="text1"/>
                <w:sz w:val="16"/>
                <w:szCs w:val="16"/>
                <w:lang w:eastAsia="en-GB"/>
              </w:rPr>
              <w:t>Further specification (if necessary)</w:t>
            </w:r>
          </w:p>
        </w:tc>
        <w:tc>
          <w:tcPr>
            <w:tcW w:w="9055" w:type="dxa"/>
            <w:gridSpan w:val="4"/>
            <w:shd w:val="clear" w:color="auto" w:fill="BDD6EE" w:themeFill="accent1" w:themeFillTint="66"/>
          </w:tcPr>
          <w:p w14:paraId="14871BCA" w14:textId="77777777" w:rsidR="002D79D0" w:rsidRPr="0008440F" w:rsidRDefault="002D79D0" w:rsidP="002901DB">
            <w:pPr>
              <w:spacing w:after="0" w:line="240" w:lineRule="auto"/>
              <w:jc w:val="center"/>
              <w:rPr>
                <w:rFonts w:ascii="Arial" w:hAnsi="Arial" w:cs="Arial"/>
                <w:color w:val="005D00"/>
                <w:sz w:val="16"/>
                <w:szCs w:val="16"/>
              </w:rPr>
            </w:pPr>
            <w:r w:rsidRPr="00312B39">
              <w:rPr>
                <w:rFonts w:ascii="Arial" w:eastAsia="Times New Roman" w:hAnsi="Arial" w:cs="Arial"/>
                <w:b/>
                <w:color w:val="000000" w:themeColor="text1"/>
                <w:sz w:val="16"/>
                <w:szCs w:val="16"/>
                <w:lang w:eastAsia="en-GB"/>
              </w:rPr>
              <w:t>Verification mechanism</w:t>
            </w:r>
          </w:p>
        </w:tc>
        <w:tc>
          <w:tcPr>
            <w:tcW w:w="1398" w:type="dxa"/>
            <w:gridSpan w:val="2"/>
            <w:shd w:val="clear" w:color="auto" w:fill="BDD6EE" w:themeFill="accent1" w:themeFillTint="66"/>
          </w:tcPr>
          <w:p w14:paraId="1E41DB91" w14:textId="77777777" w:rsidR="002D79D0" w:rsidRPr="0008440F" w:rsidRDefault="002D79D0" w:rsidP="002901DB">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Possible early warning indicators</w:t>
            </w:r>
          </w:p>
        </w:tc>
        <w:tc>
          <w:tcPr>
            <w:tcW w:w="710" w:type="dxa"/>
            <w:gridSpan w:val="2"/>
            <w:shd w:val="clear" w:color="auto" w:fill="BDD6EE" w:themeFill="accent1" w:themeFillTint="66"/>
          </w:tcPr>
          <w:p w14:paraId="5F911294" w14:textId="77777777" w:rsidR="002D79D0" w:rsidRPr="0008440F" w:rsidRDefault="002D79D0" w:rsidP="002901DB">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On the spot checks</w:t>
            </w:r>
          </w:p>
        </w:tc>
        <w:tc>
          <w:tcPr>
            <w:tcW w:w="825" w:type="dxa"/>
            <w:gridSpan w:val="2"/>
            <w:shd w:val="clear" w:color="auto" w:fill="BDD6EE" w:themeFill="accent1" w:themeFillTint="66"/>
          </w:tcPr>
          <w:p w14:paraId="5B82ADDA" w14:textId="77777777" w:rsidR="002D79D0" w:rsidRPr="0008440F" w:rsidRDefault="002D79D0" w:rsidP="002901DB">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Relevant common indicators</w:t>
            </w:r>
          </w:p>
        </w:tc>
        <w:tc>
          <w:tcPr>
            <w:tcW w:w="1280" w:type="dxa"/>
            <w:gridSpan w:val="2"/>
            <w:shd w:val="clear" w:color="auto" w:fill="BDD6EE" w:themeFill="accent1" w:themeFillTint="66"/>
          </w:tcPr>
          <w:p w14:paraId="3F54683A" w14:textId="77777777" w:rsidR="002D79D0" w:rsidRPr="0008440F" w:rsidRDefault="002D79D0" w:rsidP="002901DB">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Comment</w:t>
            </w:r>
          </w:p>
        </w:tc>
      </w:tr>
      <w:tr w:rsidR="002D79D0" w:rsidRPr="0008440F" w14:paraId="39DA0E54" w14:textId="77777777" w:rsidTr="506F4F75">
        <w:trPr>
          <w:gridAfter w:val="1"/>
          <w:wAfter w:w="15" w:type="dxa"/>
          <w:trHeight w:val="303"/>
          <w:tblHeader/>
        </w:trPr>
        <w:tc>
          <w:tcPr>
            <w:tcW w:w="360" w:type="dxa"/>
            <w:shd w:val="clear" w:color="auto" w:fill="BDD6EE" w:themeFill="accent1" w:themeFillTint="66"/>
            <w:noWrap/>
            <w:vAlign w:val="center"/>
          </w:tcPr>
          <w:p w14:paraId="439E4812" w14:textId="77777777" w:rsidR="002D79D0" w:rsidRPr="0008440F" w:rsidRDefault="002D79D0" w:rsidP="002901DB">
            <w:pPr>
              <w:spacing w:after="0" w:line="240" w:lineRule="auto"/>
              <w:jc w:val="center"/>
              <w:rPr>
                <w:rFonts w:ascii="Arial" w:eastAsia="Times New Roman" w:hAnsi="Arial" w:cs="Arial"/>
                <w:color w:val="005D00"/>
                <w:sz w:val="16"/>
                <w:szCs w:val="16"/>
                <w:lang w:eastAsia="en-GB"/>
              </w:rPr>
            </w:pPr>
          </w:p>
        </w:tc>
        <w:tc>
          <w:tcPr>
            <w:tcW w:w="1200" w:type="dxa"/>
            <w:shd w:val="clear" w:color="auto" w:fill="BDD6EE" w:themeFill="accent1" w:themeFillTint="66"/>
            <w:noWrap/>
            <w:vAlign w:val="center"/>
          </w:tcPr>
          <w:p w14:paraId="2A3FB55B" w14:textId="77777777" w:rsidR="002D79D0" w:rsidRPr="0008440F" w:rsidRDefault="002D79D0" w:rsidP="002901DB">
            <w:pPr>
              <w:spacing w:after="0" w:line="240" w:lineRule="auto"/>
              <w:jc w:val="center"/>
              <w:rPr>
                <w:rFonts w:ascii="Arial" w:hAnsi="Arial" w:cs="Arial"/>
                <w:color w:val="005D00"/>
                <w:sz w:val="16"/>
                <w:szCs w:val="16"/>
              </w:rPr>
            </w:pPr>
          </w:p>
        </w:tc>
        <w:tc>
          <w:tcPr>
            <w:tcW w:w="851" w:type="dxa"/>
            <w:shd w:val="clear" w:color="auto" w:fill="BDD6EE" w:themeFill="accent1" w:themeFillTint="66"/>
            <w:noWrap/>
            <w:vAlign w:val="center"/>
          </w:tcPr>
          <w:p w14:paraId="691D1D3A" w14:textId="77777777" w:rsidR="002D79D0" w:rsidRPr="0008440F" w:rsidRDefault="002D79D0" w:rsidP="002901DB">
            <w:pPr>
              <w:spacing w:after="0" w:line="240" w:lineRule="auto"/>
              <w:jc w:val="center"/>
              <w:rPr>
                <w:rFonts w:ascii="Arial" w:hAnsi="Arial" w:cs="Arial"/>
                <w:color w:val="005D00"/>
                <w:sz w:val="16"/>
                <w:szCs w:val="16"/>
              </w:rPr>
            </w:pPr>
          </w:p>
        </w:tc>
        <w:tc>
          <w:tcPr>
            <w:tcW w:w="1134" w:type="dxa"/>
            <w:shd w:val="clear" w:color="auto" w:fill="BDD6EE" w:themeFill="accent1" w:themeFillTint="66"/>
            <w:noWrap/>
            <w:vAlign w:val="center"/>
          </w:tcPr>
          <w:p w14:paraId="1CF72A9D" w14:textId="77777777" w:rsidR="002D79D0" w:rsidRPr="0008440F" w:rsidRDefault="002D79D0" w:rsidP="002901DB">
            <w:pPr>
              <w:spacing w:after="0" w:line="240" w:lineRule="auto"/>
              <w:rPr>
                <w:rFonts w:ascii="Arial" w:hAnsi="Arial" w:cs="Arial"/>
                <w:color w:val="005D00"/>
                <w:sz w:val="16"/>
                <w:szCs w:val="16"/>
              </w:rPr>
            </w:pPr>
          </w:p>
        </w:tc>
        <w:tc>
          <w:tcPr>
            <w:tcW w:w="1220" w:type="dxa"/>
            <w:shd w:val="clear" w:color="auto" w:fill="BDD6EE" w:themeFill="accent1" w:themeFillTint="66"/>
            <w:noWrap/>
            <w:vAlign w:val="center"/>
          </w:tcPr>
          <w:p w14:paraId="512A9C21" w14:textId="77777777" w:rsidR="002D79D0" w:rsidRPr="0008440F" w:rsidRDefault="002D79D0" w:rsidP="002901DB">
            <w:pPr>
              <w:spacing w:after="0" w:line="240" w:lineRule="auto"/>
              <w:rPr>
                <w:rFonts w:ascii="Arial" w:hAnsi="Arial" w:cs="Arial"/>
                <w:color w:val="005D00"/>
                <w:sz w:val="16"/>
                <w:szCs w:val="16"/>
              </w:rPr>
            </w:pPr>
          </w:p>
        </w:tc>
        <w:tc>
          <w:tcPr>
            <w:tcW w:w="567" w:type="dxa"/>
            <w:shd w:val="clear" w:color="auto" w:fill="BDD6EE" w:themeFill="accent1" w:themeFillTint="66"/>
            <w:noWrap/>
          </w:tcPr>
          <w:p w14:paraId="6AB488AF" w14:textId="77777777" w:rsidR="002D79D0" w:rsidRPr="0008440F" w:rsidRDefault="002D79D0" w:rsidP="002901DB">
            <w:pPr>
              <w:spacing w:after="0" w:line="240" w:lineRule="auto"/>
              <w:jc w:val="center"/>
              <w:rPr>
                <w:rFonts w:ascii="Arial" w:eastAsia="Times New Roman" w:hAnsi="Arial" w:cs="Arial"/>
                <w:color w:val="005D00"/>
                <w:sz w:val="16"/>
                <w:szCs w:val="16"/>
                <w:lang w:eastAsia="en-GB"/>
              </w:rPr>
            </w:pPr>
            <w:r w:rsidRPr="00312B39">
              <w:rPr>
                <w:rFonts w:ascii="Arial" w:eastAsia="Times New Roman" w:hAnsi="Arial" w:cs="Arial"/>
                <w:b/>
                <w:color w:val="000000" w:themeColor="text1"/>
                <w:sz w:val="16"/>
                <w:szCs w:val="16"/>
                <w:lang w:eastAsia="en-GB"/>
              </w:rPr>
              <w:t>Unit</w:t>
            </w:r>
          </w:p>
        </w:tc>
        <w:tc>
          <w:tcPr>
            <w:tcW w:w="708" w:type="dxa"/>
            <w:shd w:val="clear" w:color="auto" w:fill="BDD6EE" w:themeFill="accent1" w:themeFillTint="66"/>
            <w:noWrap/>
          </w:tcPr>
          <w:p w14:paraId="2AEC9497" w14:textId="77777777" w:rsidR="002D79D0" w:rsidRPr="0008440F" w:rsidRDefault="002D79D0" w:rsidP="002901DB">
            <w:pPr>
              <w:spacing w:after="0" w:line="240" w:lineRule="auto"/>
              <w:jc w:val="center"/>
              <w:rPr>
                <w:rFonts w:ascii="Arial" w:eastAsia="Times New Roman" w:hAnsi="Arial" w:cs="Arial"/>
                <w:color w:val="005D00"/>
                <w:sz w:val="16"/>
                <w:szCs w:val="16"/>
                <w:lang w:eastAsia="en-GB"/>
              </w:rPr>
            </w:pPr>
            <w:r w:rsidRPr="00312B39">
              <w:rPr>
                <w:rFonts w:ascii="Arial" w:eastAsia="Times New Roman" w:hAnsi="Arial" w:cs="Arial"/>
                <w:b/>
                <w:color w:val="000000" w:themeColor="text1"/>
                <w:sz w:val="16"/>
                <w:szCs w:val="16"/>
                <w:lang w:eastAsia="en-GB"/>
              </w:rPr>
              <w:t>Baseline</w:t>
            </w:r>
          </w:p>
        </w:tc>
        <w:tc>
          <w:tcPr>
            <w:tcW w:w="675" w:type="dxa"/>
            <w:shd w:val="clear" w:color="auto" w:fill="BDD6EE" w:themeFill="accent1" w:themeFillTint="66"/>
            <w:noWrap/>
          </w:tcPr>
          <w:p w14:paraId="510D37BA" w14:textId="77777777" w:rsidR="002D79D0" w:rsidRPr="0008440F" w:rsidRDefault="002D79D0" w:rsidP="002901DB">
            <w:pPr>
              <w:spacing w:after="0" w:line="240" w:lineRule="auto"/>
              <w:jc w:val="center"/>
              <w:rPr>
                <w:rFonts w:ascii="Arial" w:eastAsia="Times New Roman" w:hAnsi="Arial" w:cs="Arial"/>
                <w:color w:val="005D00"/>
                <w:sz w:val="16"/>
                <w:szCs w:val="16"/>
                <w:lang w:eastAsia="en-GB"/>
              </w:rPr>
            </w:pPr>
            <w:r w:rsidRPr="00312B39">
              <w:rPr>
                <w:rFonts w:ascii="Arial" w:eastAsia="Times New Roman" w:hAnsi="Arial" w:cs="Arial"/>
                <w:b/>
                <w:color w:val="000000" w:themeColor="text1"/>
                <w:sz w:val="16"/>
                <w:szCs w:val="16"/>
                <w:lang w:eastAsia="en-GB"/>
              </w:rPr>
              <w:t>Goal</w:t>
            </w:r>
          </w:p>
        </w:tc>
        <w:tc>
          <w:tcPr>
            <w:tcW w:w="187" w:type="dxa"/>
            <w:shd w:val="clear" w:color="auto" w:fill="BDD6EE" w:themeFill="accent1" w:themeFillTint="66"/>
            <w:noWrap/>
          </w:tcPr>
          <w:p w14:paraId="031FB05E" w14:textId="77777777" w:rsidR="002D79D0" w:rsidRPr="0008440F" w:rsidRDefault="002D79D0" w:rsidP="002901DB">
            <w:pPr>
              <w:spacing w:after="0" w:line="240" w:lineRule="auto"/>
              <w:jc w:val="center"/>
              <w:rPr>
                <w:rFonts w:ascii="Arial" w:hAnsi="Arial" w:cs="Arial"/>
                <w:color w:val="005D00"/>
                <w:sz w:val="16"/>
                <w:szCs w:val="16"/>
              </w:rPr>
            </w:pPr>
            <w:r w:rsidRPr="00312B39">
              <w:rPr>
                <w:rFonts w:ascii="Arial" w:eastAsia="Times New Roman" w:hAnsi="Arial" w:cs="Arial"/>
                <w:b/>
                <w:color w:val="000000" w:themeColor="text1"/>
                <w:sz w:val="16"/>
                <w:szCs w:val="16"/>
                <w:lang w:eastAsia="en-GB"/>
              </w:rPr>
              <w:t>Q</w:t>
            </w:r>
          </w:p>
        </w:tc>
        <w:tc>
          <w:tcPr>
            <w:tcW w:w="560" w:type="dxa"/>
            <w:shd w:val="clear" w:color="auto" w:fill="BDD6EE" w:themeFill="accent1" w:themeFillTint="66"/>
            <w:noWrap/>
          </w:tcPr>
          <w:p w14:paraId="71BDB8CC" w14:textId="77777777" w:rsidR="002D79D0" w:rsidRPr="0008440F" w:rsidRDefault="002D79D0" w:rsidP="002901DB">
            <w:pPr>
              <w:spacing w:after="0" w:line="240" w:lineRule="auto"/>
              <w:jc w:val="center"/>
              <w:rPr>
                <w:rFonts w:ascii="Arial" w:hAnsi="Arial" w:cs="Arial"/>
                <w:color w:val="005D00"/>
                <w:sz w:val="16"/>
                <w:szCs w:val="16"/>
              </w:rPr>
            </w:pPr>
            <w:r w:rsidRPr="00312B39">
              <w:rPr>
                <w:rFonts w:ascii="Arial" w:eastAsia="Times New Roman" w:hAnsi="Arial" w:cs="Arial"/>
                <w:b/>
                <w:color w:val="000000" w:themeColor="text1"/>
                <w:sz w:val="16"/>
                <w:szCs w:val="16"/>
                <w:lang w:eastAsia="en-GB"/>
              </w:rPr>
              <w:t>Year</w:t>
            </w:r>
          </w:p>
        </w:tc>
        <w:tc>
          <w:tcPr>
            <w:tcW w:w="1130" w:type="dxa"/>
            <w:shd w:val="clear" w:color="auto" w:fill="BDD6EE" w:themeFill="accent1" w:themeFillTint="66"/>
            <w:vAlign w:val="center"/>
          </w:tcPr>
          <w:p w14:paraId="1667623A" w14:textId="77777777" w:rsidR="002D79D0" w:rsidRPr="0008440F" w:rsidRDefault="002D79D0" w:rsidP="002901DB">
            <w:pPr>
              <w:spacing w:after="0" w:line="240" w:lineRule="auto"/>
              <w:rPr>
                <w:rFonts w:ascii="Arial" w:eastAsia="Times New Roman" w:hAnsi="Arial" w:cs="Arial"/>
                <w:color w:val="005D00"/>
                <w:sz w:val="16"/>
                <w:szCs w:val="16"/>
                <w:lang w:eastAsia="en-GB"/>
              </w:rPr>
            </w:pPr>
          </w:p>
        </w:tc>
        <w:tc>
          <w:tcPr>
            <w:tcW w:w="764" w:type="dxa"/>
            <w:shd w:val="clear" w:color="auto" w:fill="BDD6EE" w:themeFill="accent1" w:themeFillTint="66"/>
            <w:vAlign w:val="center"/>
          </w:tcPr>
          <w:p w14:paraId="172FF5B5" w14:textId="77777777" w:rsidR="002D79D0" w:rsidRPr="0008440F" w:rsidRDefault="002D79D0" w:rsidP="002901DB">
            <w:pPr>
              <w:spacing w:after="0" w:line="240" w:lineRule="auto"/>
              <w:rPr>
                <w:rFonts w:ascii="Arial" w:eastAsia="Times New Roman" w:hAnsi="Arial" w:cs="Arial"/>
                <w:color w:val="005D00"/>
                <w:sz w:val="16"/>
                <w:szCs w:val="16"/>
                <w:lang w:eastAsia="en-GB"/>
              </w:rPr>
            </w:pPr>
          </w:p>
        </w:tc>
        <w:tc>
          <w:tcPr>
            <w:tcW w:w="2552" w:type="dxa"/>
            <w:shd w:val="clear" w:color="auto" w:fill="BDD6EE" w:themeFill="accent1" w:themeFillTint="66"/>
          </w:tcPr>
          <w:p w14:paraId="25F1E1CB" w14:textId="77777777" w:rsidR="002D79D0" w:rsidRPr="0008440F" w:rsidRDefault="002D79D0" w:rsidP="002901DB">
            <w:pPr>
              <w:spacing w:after="0" w:line="240" w:lineRule="auto"/>
              <w:rPr>
                <w:rFonts w:ascii="Arial" w:hAnsi="Arial" w:cs="Arial"/>
                <w:color w:val="005D00"/>
                <w:sz w:val="16"/>
                <w:szCs w:val="16"/>
              </w:rPr>
            </w:pPr>
            <w:r w:rsidRPr="00312B39">
              <w:rPr>
                <w:rFonts w:ascii="Arial" w:eastAsia="Times New Roman" w:hAnsi="Arial" w:cs="Arial"/>
                <w:b/>
                <w:color w:val="000000" w:themeColor="text1"/>
                <w:sz w:val="16"/>
                <w:szCs w:val="16"/>
                <w:lang w:eastAsia="en-GB"/>
              </w:rPr>
              <w:t>A. Evidence provided</w:t>
            </w:r>
          </w:p>
        </w:tc>
        <w:tc>
          <w:tcPr>
            <w:tcW w:w="4111" w:type="dxa"/>
            <w:shd w:val="clear" w:color="auto" w:fill="BDD6EE" w:themeFill="accent1" w:themeFillTint="66"/>
          </w:tcPr>
          <w:p w14:paraId="4B6FF5B2" w14:textId="77777777" w:rsidR="002D79D0" w:rsidRPr="0008440F" w:rsidRDefault="002D79D0" w:rsidP="002901DB">
            <w:pPr>
              <w:spacing w:after="0" w:line="240" w:lineRule="auto"/>
              <w:rPr>
                <w:rFonts w:ascii="Arial" w:hAnsi="Arial" w:cs="Arial"/>
                <w:color w:val="005D00"/>
                <w:sz w:val="16"/>
                <w:szCs w:val="16"/>
              </w:rPr>
            </w:pPr>
            <w:r w:rsidRPr="00312B39">
              <w:rPr>
                <w:rFonts w:ascii="Arial" w:eastAsia="Times New Roman" w:hAnsi="Arial" w:cs="Arial"/>
                <w:b/>
                <w:color w:val="000000" w:themeColor="text1"/>
                <w:sz w:val="16"/>
                <w:szCs w:val="16"/>
                <w:lang w:eastAsia="en-GB"/>
              </w:rPr>
              <w:t>B. Detailed justification</w:t>
            </w:r>
          </w:p>
        </w:tc>
        <w:tc>
          <w:tcPr>
            <w:tcW w:w="2377" w:type="dxa"/>
            <w:shd w:val="clear" w:color="auto" w:fill="BDD6EE" w:themeFill="accent1" w:themeFillTint="66"/>
          </w:tcPr>
          <w:p w14:paraId="21319C69" w14:textId="77777777" w:rsidR="002D79D0" w:rsidRPr="0008440F" w:rsidRDefault="002D79D0" w:rsidP="002901DB">
            <w:pPr>
              <w:spacing w:after="0" w:line="240" w:lineRule="auto"/>
              <w:rPr>
                <w:rFonts w:ascii="Arial" w:hAnsi="Arial" w:cs="Arial"/>
                <w:color w:val="005D00"/>
                <w:sz w:val="16"/>
                <w:szCs w:val="16"/>
              </w:rPr>
            </w:pPr>
            <w:r w:rsidRPr="00312B39">
              <w:rPr>
                <w:rFonts w:ascii="Arial" w:eastAsia="Times New Roman" w:hAnsi="Arial" w:cs="Arial"/>
                <w:b/>
                <w:color w:val="000000" w:themeColor="text1"/>
                <w:sz w:val="16"/>
                <w:szCs w:val="16"/>
                <w:lang w:eastAsia="en-GB"/>
              </w:rPr>
              <w:t>C. Contribution to achievement of the objectives (link)</w:t>
            </w:r>
          </w:p>
        </w:tc>
        <w:tc>
          <w:tcPr>
            <w:tcW w:w="1398" w:type="dxa"/>
            <w:gridSpan w:val="2"/>
            <w:shd w:val="clear" w:color="auto" w:fill="BDD6EE" w:themeFill="accent1" w:themeFillTint="66"/>
            <w:vAlign w:val="center"/>
          </w:tcPr>
          <w:p w14:paraId="074A2D75" w14:textId="77777777" w:rsidR="002D79D0" w:rsidRPr="0008440F" w:rsidRDefault="002D79D0" w:rsidP="002901DB">
            <w:pPr>
              <w:spacing w:after="0" w:line="240" w:lineRule="auto"/>
              <w:rPr>
                <w:rFonts w:ascii="Arial" w:hAnsi="Arial" w:cs="Arial"/>
                <w:color w:val="005D00"/>
                <w:sz w:val="16"/>
                <w:szCs w:val="16"/>
              </w:rPr>
            </w:pPr>
          </w:p>
        </w:tc>
        <w:tc>
          <w:tcPr>
            <w:tcW w:w="710" w:type="dxa"/>
            <w:gridSpan w:val="2"/>
            <w:shd w:val="clear" w:color="auto" w:fill="BDD6EE" w:themeFill="accent1" w:themeFillTint="66"/>
            <w:vAlign w:val="center"/>
          </w:tcPr>
          <w:p w14:paraId="43BE95A7" w14:textId="77777777" w:rsidR="002D79D0" w:rsidRPr="0008440F" w:rsidRDefault="002D79D0" w:rsidP="002901DB">
            <w:pPr>
              <w:spacing w:after="0" w:line="240" w:lineRule="auto"/>
              <w:rPr>
                <w:rFonts w:ascii="Arial" w:hAnsi="Arial" w:cs="Arial"/>
                <w:color w:val="005D00"/>
                <w:sz w:val="16"/>
                <w:szCs w:val="16"/>
              </w:rPr>
            </w:pPr>
          </w:p>
        </w:tc>
        <w:tc>
          <w:tcPr>
            <w:tcW w:w="825" w:type="dxa"/>
            <w:gridSpan w:val="2"/>
            <w:shd w:val="clear" w:color="auto" w:fill="BDD6EE" w:themeFill="accent1" w:themeFillTint="66"/>
            <w:vAlign w:val="center"/>
          </w:tcPr>
          <w:p w14:paraId="018011B2" w14:textId="77777777" w:rsidR="002D79D0" w:rsidRPr="0008440F" w:rsidRDefault="002D79D0" w:rsidP="002901DB">
            <w:pPr>
              <w:spacing w:after="0" w:line="240" w:lineRule="auto"/>
              <w:rPr>
                <w:rFonts w:ascii="Arial" w:hAnsi="Arial" w:cs="Arial"/>
                <w:color w:val="005D00"/>
                <w:sz w:val="16"/>
                <w:szCs w:val="16"/>
              </w:rPr>
            </w:pPr>
          </w:p>
        </w:tc>
        <w:tc>
          <w:tcPr>
            <w:tcW w:w="1280" w:type="dxa"/>
            <w:gridSpan w:val="2"/>
            <w:shd w:val="clear" w:color="auto" w:fill="BDD6EE" w:themeFill="accent1" w:themeFillTint="66"/>
            <w:vAlign w:val="center"/>
          </w:tcPr>
          <w:p w14:paraId="29338DF7" w14:textId="77777777" w:rsidR="002D79D0" w:rsidRPr="0008440F" w:rsidRDefault="002D79D0" w:rsidP="002901DB">
            <w:pPr>
              <w:spacing w:after="0" w:line="240" w:lineRule="auto"/>
              <w:rPr>
                <w:rFonts w:ascii="Arial" w:hAnsi="Arial" w:cs="Arial"/>
                <w:color w:val="005D00"/>
                <w:sz w:val="16"/>
                <w:szCs w:val="16"/>
              </w:rPr>
            </w:pPr>
          </w:p>
        </w:tc>
      </w:tr>
      <w:tr w:rsidR="00D05FA5" w:rsidRPr="0008440F" w14:paraId="7A06663B" w14:textId="77777777" w:rsidTr="506F4F75">
        <w:trPr>
          <w:gridAfter w:val="1"/>
          <w:wAfter w:w="15" w:type="dxa"/>
          <w:trHeight w:val="303"/>
        </w:trPr>
        <w:tc>
          <w:tcPr>
            <w:tcW w:w="360" w:type="dxa"/>
            <w:shd w:val="clear" w:color="auto" w:fill="D6E3C6"/>
            <w:noWrap/>
          </w:tcPr>
          <w:p w14:paraId="7D648A6F"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Pr>
                <w:rFonts w:ascii="Arial" w:eastAsia="Times New Roman" w:hAnsi="Arial" w:cs="Arial"/>
                <w:color w:val="005D00"/>
                <w:sz w:val="16"/>
                <w:szCs w:val="16"/>
                <w:lang w:eastAsia="en-GB"/>
              </w:rPr>
              <w:t>24</w:t>
            </w:r>
          </w:p>
        </w:tc>
        <w:tc>
          <w:tcPr>
            <w:tcW w:w="1200" w:type="dxa"/>
            <w:shd w:val="clear" w:color="auto" w:fill="D6E3C6"/>
            <w:noWrap/>
          </w:tcPr>
          <w:p w14:paraId="151FCBA6"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C2.R1: Common policy for the development of research and innovation</w:t>
            </w:r>
          </w:p>
        </w:tc>
        <w:tc>
          <w:tcPr>
            <w:tcW w:w="851" w:type="dxa"/>
            <w:shd w:val="clear" w:color="auto" w:fill="D6E3C6"/>
            <w:noWrap/>
          </w:tcPr>
          <w:p w14:paraId="7FD45493"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0FBD913A"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Provisions in the law indicating the entry into force of new Research and Innovation Act and screening of amendments to other legislative acts required</w:t>
            </w:r>
          </w:p>
        </w:tc>
        <w:tc>
          <w:tcPr>
            <w:tcW w:w="1220" w:type="dxa"/>
            <w:shd w:val="clear" w:color="auto" w:fill="D6E3C6"/>
            <w:noWrap/>
          </w:tcPr>
          <w:p w14:paraId="7679216E"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Provisions in the law indicating the entry into force of the Research and Innovation Act, finalised report on the need for amendments to other legislative acts required</w:t>
            </w:r>
          </w:p>
        </w:tc>
        <w:tc>
          <w:tcPr>
            <w:tcW w:w="567" w:type="dxa"/>
            <w:shd w:val="clear" w:color="auto" w:fill="D6E3C6"/>
            <w:noWrap/>
          </w:tcPr>
          <w:p w14:paraId="20045E1E"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629B60C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675" w:type="dxa"/>
            <w:shd w:val="clear" w:color="auto" w:fill="D6E3C6"/>
            <w:noWrap/>
          </w:tcPr>
          <w:p w14:paraId="7DDC1E0F"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187" w:type="dxa"/>
            <w:shd w:val="clear" w:color="auto" w:fill="D6E3C6"/>
            <w:noWrap/>
          </w:tcPr>
          <w:p w14:paraId="007A2402"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60" w:type="dxa"/>
            <w:shd w:val="clear" w:color="auto" w:fill="D6E3C6"/>
            <w:noWrap/>
          </w:tcPr>
          <w:p w14:paraId="68C40C42"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44172E46"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64" w:type="dxa"/>
            <w:shd w:val="clear" w:color="auto" w:fill="D6E3C6"/>
          </w:tcPr>
          <w:p w14:paraId="485700C1"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4CC4D756" w14:textId="77777777" w:rsidR="00D05FA5" w:rsidRPr="0008440F" w:rsidRDefault="00D05FA5" w:rsidP="00D05FA5">
            <w:pPr>
              <w:pStyle w:val="ListParagraph"/>
              <w:numPr>
                <w:ilvl w:val="0"/>
                <w:numId w:val="13"/>
              </w:numPr>
              <w:spacing w:line="240" w:lineRule="auto"/>
              <w:rPr>
                <w:rFonts w:ascii="Arial" w:hAnsi="Arial" w:cs="Arial"/>
                <w:color w:val="005D00"/>
                <w:sz w:val="16"/>
                <w:szCs w:val="16"/>
                <w:lang w:eastAsia="en-GB"/>
              </w:rPr>
            </w:pPr>
            <w:r w:rsidRPr="0008440F">
              <w:rPr>
                <w:rFonts w:ascii="Arial" w:hAnsi="Arial" w:cs="Arial"/>
                <w:color w:val="005D00"/>
                <w:sz w:val="16"/>
                <w:szCs w:val="16"/>
              </w:rPr>
              <w:t>A detailed explanatory document that explains for each of the elements listed in the description of the milestone that concern the content of the Research and Innovation Act, an explanation how the Act covers the element, including references to the relevant provisions indicating the entry into force and to the provisions which fulfil the relevant elements of the milestone, with appropriate links to or copies of any other document(s) mentioned in the explanatory document.</w:t>
            </w:r>
          </w:p>
          <w:p w14:paraId="3685D54F" w14:textId="77777777" w:rsidR="00D05FA5" w:rsidRDefault="00D05FA5" w:rsidP="00D05FA5">
            <w:pPr>
              <w:pStyle w:val="ListParagraph"/>
              <w:numPr>
                <w:ilvl w:val="0"/>
                <w:numId w:val="13"/>
              </w:numPr>
              <w:spacing w:line="240" w:lineRule="auto"/>
              <w:rPr>
                <w:rFonts w:ascii="Arial" w:hAnsi="Arial" w:cs="Arial"/>
                <w:color w:val="005D00"/>
                <w:sz w:val="16"/>
                <w:szCs w:val="16"/>
                <w:lang w:eastAsia="en-GB"/>
              </w:rPr>
            </w:pPr>
            <w:r w:rsidRPr="0008440F">
              <w:rPr>
                <w:rFonts w:ascii="Arial" w:hAnsi="Arial" w:cs="Arial"/>
                <w:color w:val="005D00"/>
                <w:sz w:val="16"/>
                <w:szCs w:val="16"/>
              </w:rPr>
              <w:t>Evidence on the consultation of the relevant ministries, agencies, and stakeholders, including higher education institutions and representatives of the private sector in the preparation of the Act and an explanation how their views were taken into account.</w:t>
            </w:r>
          </w:p>
          <w:p w14:paraId="47551416" w14:textId="77777777" w:rsidR="00D05FA5" w:rsidRPr="002D7F24" w:rsidRDefault="00D05FA5" w:rsidP="00D05FA5">
            <w:pPr>
              <w:pStyle w:val="ListParagraph"/>
              <w:numPr>
                <w:ilvl w:val="0"/>
                <w:numId w:val="13"/>
              </w:numPr>
              <w:spacing w:line="240" w:lineRule="auto"/>
              <w:rPr>
                <w:rFonts w:ascii="Arial" w:hAnsi="Arial" w:cs="Arial"/>
                <w:color w:val="005D00"/>
                <w:sz w:val="16"/>
                <w:szCs w:val="16"/>
                <w:lang w:eastAsia="en-GB"/>
              </w:rPr>
            </w:pPr>
            <w:r w:rsidRPr="002D7F24">
              <w:rPr>
                <w:rFonts w:ascii="Arial" w:hAnsi="Arial" w:cs="Arial"/>
                <w:color w:val="005D00"/>
                <w:sz w:val="16"/>
                <w:szCs w:val="16"/>
              </w:rPr>
              <w:t>The report on the amendments to other legislative acts as specified in the milestone.</w:t>
            </w:r>
          </w:p>
        </w:tc>
        <w:tc>
          <w:tcPr>
            <w:tcW w:w="4111" w:type="dxa"/>
            <w:shd w:val="clear" w:color="auto" w:fill="D6E3C6"/>
          </w:tcPr>
          <w:p w14:paraId="25F06869"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12E24483" w14:textId="77777777" w:rsidR="00D05FA5" w:rsidRPr="00312B39" w:rsidRDefault="00D05FA5" w:rsidP="00D05FA5">
            <w:pPr>
              <w:spacing w:after="0"/>
              <w:rPr>
                <w:rFonts w:ascii="Arial" w:hAnsi="Arial" w:cs="Arial"/>
                <w:color w:val="006100"/>
                <w:sz w:val="16"/>
                <w:szCs w:val="16"/>
              </w:rPr>
            </w:pPr>
          </w:p>
          <w:p w14:paraId="0D6B0A31"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Provisions in the law indicating the entry into force of new Research and Innovation Act and screening of amendments to other legislative acts required</w:t>
            </w:r>
            <w:r w:rsidRPr="00312B39">
              <w:rPr>
                <w:rFonts w:ascii="Arial" w:hAnsi="Arial" w:cs="Arial"/>
                <w:color w:val="006100"/>
                <w:sz w:val="16"/>
                <w:szCs w:val="16"/>
              </w:rPr>
              <w:t xml:space="preserve"> (a</w:t>
            </w:r>
            <w:r>
              <w:rPr>
                <w:rFonts w:ascii="Arial" w:hAnsi="Arial" w:cs="Arial"/>
                <w:color w:val="006100"/>
                <w:sz w:val="16"/>
                <w:szCs w:val="16"/>
              </w:rPr>
              <w:t xml:space="preserve"> and c</w:t>
            </w:r>
            <w:r w:rsidRPr="00312B39">
              <w:rPr>
                <w:rFonts w:ascii="Arial" w:hAnsi="Arial" w:cs="Arial"/>
                <w:color w:val="006100"/>
                <w:sz w:val="16"/>
                <w:szCs w:val="16"/>
              </w:rPr>
              <w:t>)</w:t>
            </w:r>
          </w:p>
          <w:p w14:paraId="5E72C0E8" w14:textId="77777777" w:rsidR="00D05FA5" w:rsidRPr="00312B39" w:rsidRDefault="00D05FA5" w:rsidP="00D05FA5">
            <w:pPr>
              <w:spacing w:after="0"/>
              <w:rPr>
                <w:rFonts w:ascii="Arial" w:hAnsi="Arial" w:cs="Arial"/>
                <w:color w:val="006100"/>
                <w:sz w:val="16"/>
                <w:szCs w:val="16"/>
              </w:rPr>
            </w:pPr>
          </w:p>
          <w:p w14:paraId="735F6C94"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 xml:space="preserve">development and consultation (b), </w:t>
            </w:r>
            <w:r w:rsidRPr="00312B39">
              <w:rPr>
                <w:rFonts w:ascii="Arial" w:hAnsi="Arial" w:cs="Arial"/>
                <w:color w:val="006100"/>
                <w:sz w:val="16"/>
                <w:szCs w:val="16"/>
              </w:rPr>
              <w:t>entry into force</w:t>
            </w:r>
            <w:r>
              <w:rPr>
                <w:rFonts w:ascii="Arial" w:hAnsi="Arial" w:cs="Arial"/>
                <w:color w:val="006100"/>
                <w:sz w:val="16"/>
                <w:szCs w:val="16"/>
              </w:rPr>
              <w:t xml:space="preserve"> and reporting</w:t>
            </w:r>
            <w:r w:rsidRPr="00312B39">
              <w:rPr>
                <w:rFonts w:ascii="Arial" w:hAnsi="Arial" w:cs="Arial"/>
                <w:color w:val="006100"/>
                <w:sz w:val="16"/>
                <w:szCs w:val="16"/>
              </w:rPr>
              <w:t xml:space="preserve"> (evidenced by </w:t>
            </w:r>
            <w:r>
              <w:rPr>
                <w:rFonts w:ascii="Arial" w:hAnsi="Arial" w:cs="Arial"/>
                <w:color w:val="006100"/>
                <w:sz w:val="16"/>
                <w:szCs w:val="16"/>
              </w:rPr>
              <w:t>a and c</w:t>
            </w:r>
            <w:r w:rsidRPr="00312B39">
              <w:rPr>
                <w:rFonts w:ascii="Arial" w:hAnsi="Arial" w:cs="Arial"/>
                <w:color w:val="006100"/>
                <w:sz w:val="16"/>
                <w:szCs w:val="16"/>
              </w:rPr>
              <w:t>)</w:t>
            </w:r>
            <w:r>
              <w:rPr>
                <w:rFonts w:ascii="Arial" w:hAnsi="Arial" w:cs="Arial"/>
                <w:color w:val="006100"/>
                <w:sz w:val="16"/>
                <w:szCs w:val="16"/>
              </w:rPr>
              <w:t xml:space="preserve"> </w:t>
            </w:r>
          </w:p>
          <w:p w14:paraId="2ED563FA" w14:textId="77777777" w:rsidR="00D05FA5" w:rsidRPr="00312B39" w:rsidRDefault="00D05FA5" w:rsidP="00D05FA5">
            <w:pPr>
              <w:spacing w:after="0"/>
              <w:rPr>
                <w:rFonts w:ascii="Arial" w:hAnsi="Arial" w:cs="Arial"/>
                <w:color w:val="006100"/>
                <w:sz w:val="16"/>
                <w:szCs w:val="16"/>
              </w:rPr>
            </w:pPr>
          </w:p>
          <w:p w14:paraId="4B692B30"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 xml:space="preserve">The Research and Innovation Act (the ‘Act’) shall enter into force. The Act shall set out the legislative framework of the new policy for the of research and innovation. </w:t>
            </w:r>
          </w:p>
          <w:p w14:paraId="1CAAA136"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The Act shall:</w:t>
            </w:r>
          </w:p>
          <w:p w14:paraId="58F7671D"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 define the legislative parameters of the national policy for the development and financing of research and innovation;</w:t>
            </w:r>
          </w:p>
          <w:p w14:paraId="263B9CDA"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 regulate the role and responsibilities of each of the institutions involved in the process of policy design, implementation, monitoring and evaluation in the field of research and innovation;</w:t>
            </w:r>
          </w:p>
          <w:p w14:paraId="57FD1E73"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 xml:space="preserve">• define the instruments and mechanisms for policy implementation in the field of research and innovation policy. </w:t>
            </w:r>
          </w:p>
          <w:p w14:paraId="24861804"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With regard to technology transfer policy, the Act shall define:</w:t>
            </w:r>
          </w:p>
          <w:p w14:paraId="47541D0E"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 xml:space="preserve">• the principles and rules governing the development and funding of technology and knowledge transfer policy; </w:t>
            </w:r>
          </w:p>
          <w:p w14:paraId="00EB867E"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 xml:space="preserve">• the role and functions of each of the institutions involved in the preparation, implementation, monitoring and evaluation of the policy for technology transfer. </w:t>
            </w:r>
          </w:p>
          <w:p w14:paraId="66935288"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The Act shall replace the Research Promotion Act. The Act shall also amend intellectual property rights legislation to enhance the coherence of the national framework for intellectual property rights and technology transfer taking into account the recommendations of the World Bank ‘Enhancing the Contribution of Bulgaria’s Public Research to Innovation: A Survey-based Diagnostic BULGARIA COUNTRY NOTE’, the World Bank, 2020 and on the recommendations of the Joint Research Centre ’Strategic Evaluation of the Bulgarian Centres of Competence and Centres of Excellence and Recommendations for their Further Development’, European Commission Joint Research Centre, 2021.</w:t>
            </w:r>
          </w:p>
          <w:p w14:paraId="3CD2258B" w14:textId="77777777" w:rsidR="00D05FA5" w:rsidRPr="00312B39" w:rsidRDefault="00D05FA5" w:rsidP="00D05FA5">
            <w:pPr>
              <w:spacing w:after="0"/>
              <w:rPr>
                <w:rFonts w:ascii="Arial" w:hAnsi="Arial" w:cs="Arial"/>
                <w:color w:val="006100"/>
                <w:sz w:val="16"/>
                <w:szCs w:val="16"/>
              </w:rPr>
            </w:pPr>
            <w:r w:rsidRPr="0008440F">
              <w:rPr>
                <w:rFonts w:ascii="Arial" w:hAnsi="Arial" w:cs="Arial"/>
                <w:color w:val="005D00"/>
                <w:sz w:val="16"/>
                <w:szCs w:val="16"/>
              </w:rPr>
              <w:t>The preparation of the Act shall be carried out with the involvement of the relevant ministries, agencies, and stakeholders, including higher education institutions and representatives of the private sector. The report on the amendments to other legislative acts shall summarise the findings of an exhaustive screening of all relevant primary and secondary legislation, including the Bulgarian Academy of Sciences Act, the Higher Education Act, and the Academic Staff Development Act, that require amendments for the entry into force of the Research and Innovation Act. The report shall list the legislative acts to be amended, the required changes and a timetable for the amendments.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4F70748" w14:textId="77777777" w:rsidR="00D05FA5" w:rsidRPr="00312B39" w:rsidRDefault="00D05FA5" w:rsidP="00D05FA5">
            <w:pPr>
              <w:spacing w:after="0"/>
              <w:rPr>
                <w:rFonts w:ascii="Arial" w:hAnsi="Arial" w:cs="Arial"/>
                <w:color w:val="006100"/>
                <w:sz w:val="16"/>
                <w:szCs w:val="16"/>
              </w:rPr>
            </w:pPr>
          </w:p>
          <w:p w14:paraId="73DF416D"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When: specify the dates of development</w:t>
            </w:r>
            <w:r>
              <w:rPr>
                <w:rFonts w:ascii="Arial" w:hAnsi="Arial" w:cs="Arial"/>
                <w:color w:val="006100"/>
                <w:sz w:val="16"/>
                <w:szCs w:val="16"/>
              </w:rPr>
              <w:t>, consultation,</w:t>
            </w:r>
            <w:r w:rsidRPr="00312B39">
              <w:rPr>
                <w:rFonts w:ascii="Arial" w:hAnsi="Arial" w:cs="Arial"/>
                <w:color w:val="006100"/>
                <w:sz w:val="16"/>
                <w:szCs w:val="16"/>
              </w:rPr>
              <w:t xml:space="preserve"> and entry into force</w:t>
            </w:r>
          </w:p>
        </w:tc>
        <w:tc>
          <w:tcPr>
            <w:tcW w:w="2377" w:type="dxa"/>
            <w:shd w:val="clear" w:color="auto" w:fill="D6E3C6"/>
          </w:tcPr>
          <w:p w14:paraId="56DDDE7E" w14:textId="77777777" w:rsidR="00D05FA5" w:rsidRDefault="00D05FA5" w:rsidP="00D05FA5">
            <w:pPr>
              <w:spacing w:after="0" w:line="240" w:lineRule="auto"/>
              <w:rPr>
                <w:rFonts w:ascii="Arial" w:hAnsi="Arial" w:cs="Arial"/>
                <w:color w:val="005D00"/>
                <w:sz w:val="16"/>
                <w:szCs w:val="16"/>
              </w:rPr>
            </w:pPr>
            <w:r w:rsidRPr="008C4967">
              <w:rPr>
                <w:rFonts w:ascii="Arial" w:hAnsi="Arial" w:cs="Arial"/>
                <w:color w:val="005D00"/>
                <w:sz w:val="16"/>
                <w:szCs w:val="16"/>
              </w:rPr>
              <w:t>The objective of the reform is to foster an efficient policy coordination in all phases of research and innovation and to spur the Bulgarian innovation outcome. This will be done through the creation of a research and innovation ecosystem that ensures close links between academia and the business sectors.</w:t>
            </w:r>
          </w:p>
          <w:p w14:paraId="18AD7732" w14:textId="77777777" w:rsidR="00D05FA5" w:rsidRDefault="00D05FA5" w:rsidP="00D05FA5">
            <w:pPr>
              <w:spacing w:after="0" w:line="240" w:lineRule="auto"/>
              <w:rPr>
                <w:rFonts w:ascii="Arial" w:hAnsi="Arial" w:cs="Arial"/>
                <w:color w:val="005D00"/>
                <w:sz w:val="16"/>
                <w:szCs w:val="16"/>
              </w:rPr>
            </w:pPr>
          </w:p>
          <w:p w14:paraId="51C27076" w14:textId="77777777" w:rsidR="00D05FA5" w:rsidRPr="004135C9" w:rsidRDefault="00D05FA5" w:rsidP="00D05FA5">
            <w:pPr>
              <w:spacing w:after="0" w:line="240" w:lineRule="auto"/>
              <w:rPr>
                <w:rFonts w:ascii="Arial" w:hAnsi="Arial" w:cs="Arial"/>
                <w:color w:val="005D00"/>
                <w:sz w:val="16"/>
                <w:szCs w:val="16"/>
              </w:rPr>
            </w:pPr>
            <w:r w:rsidRPr="004135C9">
              <w:rPr>
                <w:rFonts w:ascii="Arial" w:hAnsi="Arial" w:cs="Arial"/>
                <w:color w:val="005D00"/>
                <w:sz w:val="16"/>
                <w:szCs w:val="16"/>
              </w:rPr>
              <w:t>The Research and Innovation Act shall:</w:t>
            </w:r>
          </w:p>
          <w:p w14:paraId="2B613AA8" w14:textId="77777777" w:rsidR="00D05FA5" w:rsidRPr="004135C9" w:rsidRDefault="00D05FA5" w:rsidP="00D05FA5">
            <w:pPr>
              <w:spacing w:after="0" w:line="240" w:lineRule="auto"/>
              <w:rPr>
                <w:rFonts w:ascii="Arial" w:hAnsi="Arial" w:cs="Arial"/>
                <w:color w:val="005D00"/>
                <w:sz w:val="16"/>
                <w:szCs w:val="16"/>
              </w:rPr>
            </w:pPr>
            <w:r w:rsidRPr="004135C9">
              <w:rPr>
                <w:rFonts w:ascii="Arial" w:hAnsi="Arial" w:cs="Arial"/>
                <w:color w:val="005D00"/>
                <w:sz w:val="16"/>
                <w:szCs w:val="16"/>
              </w:rPr>
              <w:t>-</w:t>
            </w:r>
            <w:r>
              <w:rPr>
                <w:rFonts w:ascii="Arial" w:hAnsi="Arial" w:cs="Arial"/>
                <w:color w:val="005D00"/>
                <w:sz w:val="16"/>
                <w:szCs w:val="16"/>
              </w:rPr>
              <w:t xml:space="preserve"> </w:t>
            </w:r>
            <w:r w:rsidRPr="004135C9">
              <w:rPr>
                <w:rFonts w:ascii="Arial" w:hAnsi="Arial" w:cs="Arial"/>
                <w:color w:val="005D00"/>
                <w:sz w:val="16"/>
                <w:szCs w:val="16"/>
              </w:rPr>
              <w:t xml:space="preserve">define the legislative parameters of the national policy for the development and financing of research and innovation; </w:t>
            </w:r>
          </w:p>
          <w:p w14:paraId="4C140610" w14:textId="77777777" w:rsidR="00D05FA5" w:rsidRPr="004135C9" w:rsidRDefault="00D05FA5" w:rsidP="00D05FA5">
            <w:pPr>
              <w:spacing w:after="0" w:line="240" w:lineRule="auto"/>
              <w:rPr>
                <w:rFonts w:ascii="Arial" w:hAnsi="Arial" w:cs="Arial"/>
                <w:color w:val="005D00"/>
                <w:sz w:val="16"/>
                <w:szCs w:val="16"/>
              </w:rPr>
            </w:pPr>
            <w:r w:rsidRPr="004135C9">
              <w:rPr>
                <w:rFonts w:ascii="Arial" w:hAnsi="Arial" w:cs="Arial"/>
                <w:color w:val="005D00"/>
                <w:sz w:val="16"/>
                <w:szCs w:val="16"/>
              </w:rPr>
              <w:t>-</w:t>
            </w:r>
            <w:r>
              <w:rPr>
                <w:rFonts w:ascii="Arial" w:hAnsi="Arial" w:cs="Arial"/>
                <w:color w:val="005D00"/>
                <w:sz w:val="16"/>
                <w:szCs w:val="16"/>
              </w:rPr>
              <w:t xml:space="preserve"> </w:t>
            </w:r>
            <w:r w:rsidRPr="004135C9">
              <w:rPr>
                <w:rFonts w:ascii="Arial" w:hAnsi="Arial" w:cs="Arial"/>
                <w:color w:val="005D00"/>
                <w:sz w:val="16"/>
                <w:szCs w:val="16"/>
              </w:rPr>
              <w:t xml:space="preserve">regulate the role and responsibilities of each of the institutions involved in the process of policy design, implementation, monitoring and evaluation in the field of research and innovation; </w:t>
            </w:r>
          </w:p>
          <w:p w14:paraId="37397525" w14:textId="77777777" w:rsidR="00D05FA5" w:rsidRPr="004135C9" w:rsidRDefault="00D05FA5" w:rsidP="00D05FA5">
            <w:pPr>
              <w:spacing w:after="0" w:line="240" w:lineRule="auto"/>
              <w:rPr>
                <w:rFonts w:ascii="Arial" w:hAnsi="Arial" w:cs="Arial"/>
                <w:color w:val="005D00"/>
                <w:sz w:val="16"/>
                <w:szCs w:val="16"/>
              </w:rPr>
            </w:pPr>
            <w:r w:rsidRPr="004135C9">
              <w:rPr>
                <w:rFonts w:ascii="Arial" w:hAnsi="Arial" w:cs="Arial"/>
                <w:color w:val="005D00"/>
                <w:sz w:val="16"/>
                <w:szCs w:val="16"/>
              </w:rPr>
              <w:t>-</w:t>
            </w:r>
            <w:r>
              <w:rPr>
                <w:rFonts w:ascii="Arial" w:hAnsi="Arial" w:cs="Arial"/>
                <w:color w:val="005D00"/>
                <w:sz w:val="16"/>
                <w:szCs w:val="16"/>
              </w:rPr>
              <w:t xml:space="preserve"> </w:t>
            </w:r>
            <w:r w:rsidRPr="004135C9">
              <w:rPr>
                <w:rFonts w:ascii="Arial" w:hAnsi="Arial" w:cs="Arial"/>
                <w:color w:val="005D00"/>
                <w:sz w:val="16"/>
                <w:szCs w:val="16"/>
              </w:rPr>
              <w:t xml:space="preserve">regulate technology transfer activities; </w:t>
            </w:r>
          </w:p>
          <w:p w14:paraId="324FE469" w14:textId="77777777" w:rsidR="00D05FA5" w:rsidRPr="004135C9" w:rsidRDefault="00D05FA5" w:rsidP="00D05FA5">
            <w:pPr>
              <w:spacing w:after="0" w:line="240" w:lineRule="auto"/>
              <w:rPr>
                <w:rFonts w:ascii="Arial" w:hAnsi="Arial" w:cs="Arial"/>
                <w:color w:val="005D00"/>
                <w:sz w:val="16"/>
                <w:szCs w:val="16"/>
              </w:rPr>
            </w:pPr>
            <w:r w:rsidRPr="004135C9">
              <w:rPr>
                <w:rFonts w:ascii="Arial" w:hAnsi="Arial" w:cs="Arial"/>
                <w:color w:val="005D00"/>
                <w:sz w:val="16"/>
                <w:szCs w:val="16"/>
              </w:rPr>
              <w:t>-</w:t>
            </w:r>
            <w:r>
              <w:rPr>
                <w:rFonts w:ascii="Arial" w:hAnsi="Arial" w:cs="Arial"/>
                <w:color w:val="005D00"/>
                <w:sz w:val="16"/>
                <w:szCs w:val="16"/>
              </w:rPr>
              <w:t xml:space="preserve"> </w:t>
            </w:r>
            <w:r w:rsidRPr="004135C9">
              <w:rPr>
                <w:rFonts w:ascii="Arial" w:hAnsi="Arial" w:cs="Arial"/>
                <w:color w:val="005D00"/>
                <w:sz w:val="16"/>
                <w:szCs w:val="16"/>
              </w:rPr>
              <w:t xml:space="preserve">amend the legislation on intellectual property rights, building on the recommendations of the World Bank received in the country report on knowledge transfer, as well as on the recommendations of the Joint Research Centre. </w:t>
            </w:r>
          </w:p>
          <w:p w14:paraId="3DFA4D10" w14:textId="77777777" w:rsidR="00D05FA5" w:rsidRPr="004135C9" w:rsidRDefault="00D05FA5" w:rsidP="00D05FA5">
            <w:pPr>
              <w:spacing w:after="0" w:line="240" w:lineRule="auto"/>
              <w:rPr>
                <w:rFonts w:ascii="Arial" w:hAnsi="Arial" w:cs="Arial"/>
                <w:color w:val="005D00"/>
                <w:sz w:val="16"/>
                <w:szCs w:val="16"/>
              </w:rPr>
            </w:pPr>
          </w:p>
          <w:p w14:paraId="466B2C23" w14:textId="77777777" w:rsidR="00D05FA5" w:rsidRPr="0008440F" w:rsidRDefault="00D05FA5" w:rsidP="00D05FA5">
            <w:pPr>
              <w:spacing w:after="0" w:line="240" w:lineRule="auto"/>
              <w:rPr>
                <w:rFonts w:ascii="Arial" w:hAnsi="Arial" w:cs="Arial"/>
                <w:color w:val="005D00"/>
                <w:sz w:val="16"/>
                <w:szCs w:val="16"/>
              </w:rPr>
            </w:pPr>
            <w:r w:rsidRPr="004135C9">
              <w:rPr>
                <w:rFonts w:ascii="Arial" w:hAnsi="Arial" w:cs="Arial"/>
                <w:color w:val="005D00"/>
                <w:sz w:val="16"/>
                <w:szCs w:val="16"/>
              </w:rPr>
              <w:t>The preparation of the Act shall be carried out with the involvement of the relevant ministries, agencies, and stakeholders, including higher education institutions and representatives of the private sector.</w:t>
            </w:r>
          </w:p>
        </w:tc>
        <w:tc>
          <w:tcPr>
            <w:tcW w:w="1398" w:type="dxa"/>
            <w:gridSpan w:val="2"/>
            <w:shd w:val="clear" w:color="auto" w:fill="D6E3C6"/>
          </w:tcPr>
          <w:p w14:paraId="188925F1" w14:textId="77777777" w:rsidR="00D05FA5" w:rsidRPr="0008440F" w:rsidRDefault="00D05FA5" w:rsidP="00D05FA5">
            <w:pPr>
              <w:spacing w:after="0" w:line="240" w:lineRule="auto"/>
              <w:rPr>
                <w:rFonts w:ascii="Arial" w:hAnsi="Arial" w:cs="Arial"/>
                <w:color w:val="005D00"/>
                <w:sz w:val="16"/>
                <w:szCs w:val="16"/>
                <w:lang w:val="bg-BG"/>
              </w:rPr>
            </w:pPr>
            <w:r w:rsidRPr="0008440F">
              <w:rPr>
                <w:rFonts w:ascii="Arial" w:hAnsi="Arial" w:cs="Arial"/>
                <w:color w:val="005D00"/>
                <w:sz w:val="16"/>
                <w:szCs w:val="16"/>
              </w:rPr>
              <w:t xml:space="preserve">Delays in the preparation and submission of the bill for the new Research and Innovation Act </w:t>
            </w:r>
          </w:p>
        </w:tc>
        <w:tc>
          <w:tcPr>
            <w:tcW w:w="710" w:type="dxa"/>
            <w:gridSpan w:val="2"/>
            <w:shd w:val="clear" w:color="auto" w:fill="D6E3C6"/>
          </w:tcPr>
          <w:p w14:paraId="60813F41"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59647D00"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7F1C4169" w14:textId="3A5CCC95" w:rsidR="00D05FA5" w:rsidRPr="0008440F" w:rsidRDefault="00D05FA5" w:rsidP="00D05FA5">
            <w:pPr>
              <w:spacing w:after="0" w:line="240" w:lineRule="auto"/>
              <w:rPr>
                <w:rFonts w:ascii="Arial" w:hAnsi="Arial" w:cs="Arial"/>
                <w:color w:val="005D00"/>
                <w:sz w:val="16"/>
                <w:szCs w:val="16"/>
              </w:rPr>
            </w:pPr>
            <w:r w:rsidRPr="00E86454">
              <w:rPr>
                <w:rFonts w:ascii="Arial" w:hAnsi="Arial" w:cs="Arial"/>
                <w:color w:val="005D00"/>
                <w:sz w:val="16"/>
                <w:szCs w:val="16"/>
              </w:rPr>
              <w:t xml:space="preserve">The milestone will likely have an interim step: </w:t>
            </w:r>
            <w:r w:rsidRPr="003A42FB">
              <w:rPr>
                <w:rFonts w:ascii="Arial" w:hAnsi="Arial" w:cs="Arial"/>
                <w:color w:val="005D00"/>
                <w:sz w:val="16"/>
                <w:szCs w:val="16"/>
              </w:rPr>
              <w:t>Research and Innovation Act as adopted by the Council of Ministers submitted to the Parliament</w:t>
            </w:r>
            <w:r w:rsidRPr="00E86454">
              <w:rPr>
                <w:rFonts w:ascii="Arial" w:hAnsi="Arial" w:cs="Arial"/>
                <w:color w:val="005D00"/>
                <w:sz w:val="16"/>
                <w:szCs w:val="16"/>
              </w:rPr>
              <w:t xml:space="preserve"> (Q</w:t>
            </w:r>
            <w:r>
              <w:rPr>
                <w:rFonts w:ascii="Arial" w:hAnsi="Arial" w:cs="Arial"/>
                <w:color w:val="005D00"/>
                <w:sz w:val="16"/>
                <w:szCs w:val="16"/>
              </w:rPr>
              <w:t>4</w:t>
            </w:r>
            <w:r w:rsidRPr="00E86454">
              <w:rPr>
                <w:rFonts w:ascii="Arial" w:hAnsi="Arial" w:cs="Arial"/>
                <w:color w:val="005D00"/>
                <w:sz w:val="16"/>
                <w:szCs w:val="16"/>
              </w:rPr>
              <w:t xml:space="preserve"> 202</w:t>
            </w:r>
            <w:r>
              <w:rPr>
                <w:rFonts w:ascii="Arial" w:hAnsi="Arial" w:cs="Arial"/>
                <w:color w:val="005D00"/>
                <w:sz w:val="16"/>
                <w:szCs w:val="16"/>
              </w:rPr>
              <w:t>2</w:t>
            </w:r>
            <w:r w:rsidRPr="00E86454">
              <w:rPr>
                <w:rFonts w:ascii="Arial" w:hAnsi="Arial" w:cs="Arial"/>
                <w:color w:val="005D00"/>
                <w:sz w:val="16"/>
                <w:szCs w:val="16"/>
              </w:rPr>
              <w:t>)</w:t>
            </w:r>
          </w:p>
        </w:tc>
      </w:tr>
      <w:tr w:rsidR="00D05FA5" w:rsidRPr="0008440F" w14:paraId="50AEAA1C" w14:textId="77777777" w:rsidTr="506F4F75">
        <w:trPr>
          <w:gridAfter w:val="1"/>
          <w:wAfter w:w="15" w:type="dxa"/>
          <w:trHeight w:val="303"/>
        </w:trPr>
        <w:tc>
          <w:tcPr>
            <w:tcW w:w="360" w:type="dxa"/>
            <w:shd w:val="clear" w:color="auto" w:fill="D6E3C6"/>
            <w:noWrap/>
          </w:tcPr>
          <w:p w14:paraId="628CE6D5"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lastRenderedPageBreak/>
              <w:t>25</w:t>
            </w:r>
          </w:p>
        </w:tc>
        <w:tc>
          <w:tcPr>
            <w:tcW w:w="1200" w:type="dxa"/>
            <w:shd w:val="clear" w:color="auto" w:fill="D6E3C6"/>
            <w:noWrap/>
          </w:tcPr>
          <w:p w14:paraId="52806DE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C2.R1: Common policy for the development of research and innovation</w:t>
            </w:r>
          </w:p>
        </w:tc>
        <w:tc>
          <w:tcPr>
            <w:tcW w:w="851" w:type="dxa"/>
            <w:shd w:val="clear" w:color="auto" w:fill="D6E3C6"/>
            <w:noWrap/>
          </w:tcPr>
          <w:p w14:paraId="2404AEFA"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62B97CEB"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Establishment of the Innovation Board</w:t>
            </w:r>
          </w:p>
        </w:tc>
        <w:tc>
          <w:tcPr>
            <w:tcW w:w="1220" w:type="dxa"/>
            <w:shd w:val="clear" w:color="auto" w:fill="D6E3C6"/>
            <w:noWrap/>
          </w:tcPr>
          <w:p w14:paraId="00FA23E2"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Operational Innovation Board and first meeting has taken place. Internal regulation of the Board published</w:t>
            </w:r>
          </w:p>
        </w:tc>
        <w:tc>
          <w:tcPr>
            <w:tcW w:w="567" w:type="dxa"/>
            <w:shd w:val="clear" w:color="auto" w:fill="D6E3C6"/>
            <w:noWrap/>
          </w:tcPr>
          <w:p w14:paraId="173F46C8"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718B2A8A"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675" w:type="dxa"/>
            <w:shd w:val="clear" w:color="auto" w:fill="D6E3C6"/>
            <w:noWrap/>
          </w:tcPr>
          <w:p w14:paraId="02EBEB35"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187" w:type="dxa"/>
            <w:shd w:val="clear" w:color="auto" w:fill="D6E3C6"/>
            <w:noWrap/>
          </w:tcPr>
          <w:p w14:paraId="2FAAFDE3"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Q3</w:t>
            </w:r>
          </w:p>
        </w:tc>
        <w:tc>
          <w:tcPr>
            <w:tcW w:w="560" w:type="dxa"/>
            <w:shd w:val="clear" w:color="auto" w:fill="D6E3C6"/>
            <w:noWrap/>
          </w:tcPr>
          <w:p w14:paraId="4DDAB8B2"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5AEC5D3A"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Innovation and Growth</w:t>
            </w:r>
          </w:p>
        </w:tc>
        <w:tc>
          <w:tcPr>
            <w:tcW w:w="764" w:type="dxa"/>
            <w:shd w:val="clear" w:color="auto" w:fill="D6E3C6"/>
          </w:tcPr>
          <w:p w14:paraId="38C16EBC"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6FC1F504" w14:textId="77777777" w:rsidR="00D05FA5" w:rsidRPr="0008440F" w:rsidRDefault="00D05FA5" w:rsidP="00D05FA5">
            <w:pPr>
              <w:pStyle w:val="ListParagraph"/>
              <w:numPr>
                <w:ilvl w:val="0"/>
                <w:numId w:val="14"/>
              </w:numPr>
              <w:spacing w:line="240" w:lineRule="auto"/>
              <w:ind w:left="357" w:hanging="357"/>
              <w:rPr>
                <w:rFonts w:ascii="Arial" w:hAnsi="Arial" w:cs="Arial"/>
                <w:color w:val="005D00"/>
                <w:sz w:val="16"/>
                <w:szCs w:val="16"/>
                <w:lang w:eastAsia="en-GB"/>
              </w:rPr>
            </w:pPr>
            <w:r w:rsidRPr="0008440F">
              <w:rPr>
                <w:rFonts w:ascii="Arial" w:hAnsi="Arial" w:cs="Arial"/>
                <w:color w:val="005D00"/>
                <w:sz w:val="16"/>
                <w:szCs w:val="16"/>
                <w:lang w:eastAsia="en-GB"/>
              </w:rPr>
              <w:t xml:space="preserve">Ministerial order or equivalent document proving the establishment of the Innovation Board </w:t>
            </w:r>
          </w:p>
          <w:p w14:paraId="7EE188AB" w14:textId="77777777" w:rsidR="00D05FA5" w:rsidRPr="0008440F" w:rsidRDefault="00D05FA5" w:rsidP="00D05FA5">
            <w:pPr>
              <w:pStyle w:val="ListParagraph"/>
              <w:numPr>
                <w:ilvl w:val="0"/>
                <w:numId w:val="14"/>
              </w:numPr>
              <w:spacing w:line="240" w:lineRule="auto"/>
              <w:rPr>
                <w:rFonts w:ascii="Arial" w:hAnsi="Arial" w:cs="Arial"/>
                <w:color w:val="005D00"/>
                <w:sz w:val="16"/>
                <w:szCs w:val="16"/>
                <w:lang w:eastAsia="en-GB"/>
              </w:rPr>
            </w:pPr>
            <w:r w:rsidRPr="0008440F">
              <w:rPr>
                <w:rFonts w:ascii="Arial" w:hAnsi="Arial" w:cs="Arial"/>
                <w:color w:val="005D00"/>
                <w:sz w:val="16"/>
                <w:szCs w:val="16"/>
                <w:lang w:eastAsia="en-GB"/>
              </w:rPr>
              <w:t>A list of the Board Members, and for each Member information on the organisation the members representing, the nationality of the Board Member.</w:t>
            </w:r>
          </w:p>
          <w:p w14:paraId="2D450FD1" w14:textId="77777777" w:rsidR="00D05FA5" w:rsidRDefault="00D05FA5" w:rsidP="00D05FA5">
            <w:pPr>
              <w:pStyle w:val="ListParagraph"/>
              <w:numPr>
                <w:ilvl w:val="0"/>
                <w:numId w:val="14"/>
              </w:numPr>
              <w:spacing w:line="240" w:lineRule="auto"/>
              <w:rPr>
                <w:rFonts w:ascii="Arial" w:hAnsi="Arial" w:cs="Arial"/>
                <w:color w:val="005D00"/>
                <w:sz w:val="16"/>
                <w:szCs w:val="16"/>
                <w:lang w:eastAsia="en-GB"/>
              </w:rPr>
            </w:pPr>
            <w:r w:rsidRPr="0008440F">
              <w:rPr>
                <w:rFonts w:ascii="Arial" w:hAnsi="Arial" w:cs="Arial"/>
                <w:color w:val="005D00"/>
                <w:sz w:val="16"/>
                <w:szCs w:val="16"/>
                <w:lang w:eastAsia="en-GB"/>
              </w:rPr>
              <w:t>a description of the transparent procedure through which the Members were selected, showing that Bulgarian and international scientists as well as business representatives were considered, in compliance with the description in the CID annex</w:t>
            </w:r>
          </w:p>
          <w:p w14:paraId="4D7C9CF7" w14:textId="77777777" w:rsidR="00D05FA5" w:rsidRPr="00A1360A" w:rsidRDefault="00D05FA5" w:rsidP="00D05FA5">
            <w:pPr>
              <w:pStyle w:val="ListParagraph"/>
              <w:numPr>
                <w:ilvl w:val="0"/>
                <w:numId w:val="14"/>
              </w:numPr>
              <w:spacing w:line="240" w:lineRule="auto"/>
              <w:rPr>
                <w:rFonts w:ascii="Arial" w:hAnsi="Arial" w:cs="Arial"/>
                <w:color w:val="005D00"/>
                <w:sz w:val="16"/>
                <w:szCs w:val="16"/>
                <w:lang w:eastAsia="en-GB"/>
              </w:rPr>
            </w:pPr>
            <w:r w:rsidRPr="00A1360A">
              <w:rPr>
                <w:rFonts w:ascii="Arial" w:hAnsi="Arial" w:cs="Arial"/>
                <w:color w:val="005D00"/>
                <w:sz w:val="16"/>
                <w:szCs w:val="16"/>
                <w:lang w:eastAsia="en-GB"/>
              </w:rPr>
              <w:t xml:space="preserve">Copy of or link to the internal regulation of the Board, specifying its </w:t>
            </w:r>
            <w:r w:rsidRPr="00A1360A">
              <w:rPr>
                <w:rFonts w:ascii="Arial" w:hAnsi="Arial" w:cs="Arial"/>
                <w:color w:val="005D00"/>
                <w:sz w:val="16"/>
                <w:szCs w:val="16"/>
              </w:rPr>
              <w:t xml:space="preserve">mandate, composition, function and other internal rules, in accordance with the description of the milestone, and link to its publication. </w:t>
            </w:r>
            <w:r w:rsidRPr="00A1360A">
              <w:rPr>
                <w:rFonts w:ascii="Arial" w:hAnsi="Arial" w:cs="Arial"/>
                <w:color w:val="005D00"/>
                <w:sz w:val="16"/>
                <w:szCs w:val="16"/>
                <w:lang w:eastAsia="en-GB"/>
              </w:rPr>
              <w:t>Minutes of the first meeting of the Innovation Board</w:t>
            </w:r>
          </w:p>
        </w:tc>
        <w:tc>
          <w:tcPr>
            <w:tcW w:w="4111" w:type="dxa"/>
            <w:shd w:val="clear" w:color="auto" w:fill="D6E3C6"/>
          </w:tcPr>
          <w:p w14:paraId="409E99FB"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484404">
              <w:rPr>
                <w:rFonts w:ascii="Arial" w:eastAsia="Times New Roman" w:hAnsi="Arial" w:cs="Arial"/>
                <w:color w:val="005D00"/>
                <w:sz w:val="16"/>
                <w:szCs w:val="16"/>
                <w:lang w:eastAsia="en-GB"/>
              </w:rPr>
              <w:t>Ministry of Innovation and Growth</w:t>
            </w:r>
          </w:p>
          <w:p w14:paraId="1F85FB64" w14:textId="77777777" w:rsidR="00D05FA5" w:rsidRPr="00312B39" w:rsidRDefault="00D05FA5" w:rsidP="00D05FA5">
            <w:pPr>
              <w:spacing w:after="0"/>
              <w:rPr>
                <w:rFonts w:ascii="Arial" w:hAnsi="Arial" w:cs="Arial"/>
                <w:color w:val="006100"/>
                <w:sz w:val="16"/>
                <w:szCs w:val="16"/>
              </w:rPr>
            </w:pPr>
          </w:p>
          <w:p w14:paraId="7209F08F"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What: </w:t>
            </w:r>
            <w:r w:rsidRPr="003D16F0">
              <w:rPr>
                <w:rFonts w:ascii="Arial" w:hAnsi="Arial" w:cs="Arial"/>
                <w:color w:val="005D00"/>
                <w:sz w:val="16"/>
                <w:szCs w:val="16"/>
              </w:rPr>
              <w:t>Establishment of the Innovation Board</w:t>
            </w:r>
            <w:r w:rsidRPr="00312B39">
              <w:rPr>
                <w:rFonts w:ascii="Arial" w:hAnsi="Arial" w:cs="Arial"/>
                <w:color w:val="006100"/>
                <w:sz w:val="16"/>
                <w:szCs w:val="16"/>
              </w:rPr>
              <w:t xml:space="preserve"> (a)</w:t>
            </w:r>
          </w:p>
          <w:p w14:paraId="025E97DD" w14:textId="77777777" w:rsidR="00D05FA5" w:rsidRPr="00312B39" w:rsidRDefault="00D05FA5" w:rsidP="00D05FA5">
            <w:pPr>
              <w:spacing w:after="0"/>
              <w:rPr>
                <w:rFonts w:ascii="Arial" w:hAnsi="Arial" w:cs="Arial"/>
                <w:color w:val="006100"/>
                <w:sz w:val="16"/>
                <w:szCs w:val="16"/>
              </w:rPr>
            </w:pPr>
          </w:p>
          <w:p w14:paraId="01F49AC8"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establish (a), staff (b and c), establish procedures (d)</w:t>
            </w:r>
          </w:p>
          <w:p w14:paraId="1FE2A58E" w14:textId="77777777" w:rsidR="00D05FA5" w:rsidRPr="00312B39" w:rsidRDefault="00D05FA5" w:rsidP="00D05FA5">
            <w:pPr>
              <w:spacing w:after="0"/>
              <w:rPr>
                <w:rFonts w:ascii="Arial" w:hAnsi="Arial" w:cs="Arial"/>
                <w:color w:val="006100"/>
                <w:sz w:val="16"/>
                <w:szCs w:val="16"/>
              </w:rPr>
            </w:pPr>
          </w:p>
          <w:p w14:paraId="54F5FA38"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The Innovation Board shall be an advisory body to the Ministry of Education and Science and the Ministry of Innovation and Growth, and co-chaired by the two ministers. It shall advise on and propose policies for the development of research and innovation. The members of the Innovation Board shall be selected among Bulgarian and international scientists and business representatives. Representatives of the business sector shall amount to at least 1/3 of the total members of the Innovation Board. All members shall be selected on the basis of a transparent procedure, and shall be appointed for a period of at least five years. The Innovation Board shall be permanent and its internal regulation shall specify that it meets at least six times a year. The Innovation Board shall be tasked to support consistency of the policy in the field of research and innovation with other national policies and strategies, including the Integrated Energy and Climate Plan, the Higher Education Strategy, the National Roadmap for Improving the Potential for the Development of Hydrogen Technologies, Industry 4.0 Strategy. The mandate, composition, function and internal rules of the Innovation Board shall be laid out in its internal regulation, which shall be made public.</w:t>
            </w:r>
          </w:p>
          <w:p w14:paraId="7B8D0D08"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D39F22D" w14:textId="77777777" w:rsidR="00D05FA5" w:rsidRPr="00312B39" w:rsidRDefault="00D05FA5" w:rsidP="00D05FA5">
            <w:pPr>
              <w:spacing w:after="0"/>
              <w:rPr>
                <w:rFonts w:ascii="Arial" w:hAnsi="Arial" w:cs="Arial"/>
                <w:color w:val="006100"/>
                <w:sz w:val="16"/>
                <w:szCs w:val="16"/>
              </w:rPr>
            </w:pPr>
          </w:p>
          <w:p w14:paraId="630C955E"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establishment and operationalising</w:t>
            </w:r>
          </w:p>
        </w:tc>
        <w:tc>
          <w:tcPr>
            <w:tcW w:w="2377" w:type="dxa"/>
            <w:shd w:val="clear" w:color="auto" w:fill="D6E3C6"/>
          </w:tcPr>
          <w:p w14:paraId="74CB1C13" w14:textId="77777777" w:rsidR="00D05FA5" w:rsidRDefault="00D05FA5" w:rsidP="00D05FA5">
            <w:pPr>
              <w:spacing w:after="0" w:line="240" w:lineRule="auto"/>
              <w:rPr>
                <w:rFonts w:ascii="Arial" w:hAnsi="Arial" w:cs="Arial"/>
                <w:color w:val="005D00"/>
                <w:sz w:val="16"/>
                <w:szCs w:val="16"/>
              </w:rPr>
            </w:pPr>
            <w:r w:rsidRPr="0096430B">
              <w:rPr>
                <w:rFonts w:ascii="Arial" w:hAnsi="Arial" w:cs="Arial"/>
                <w:color w:val="005D00"/>
                <w:sz w:val="16"/>
                <w:szCs w:val="16"/>
              </w:rPr>
              <w:t>The objective of the reform is to foster an efficient policy coordination in all phases of research and innovation and to spur the Bulgarian innovation outcome. This will be done through the creation of a research and innovation ecosystem that ensures close links between academia and the business sectors.</w:t>
            </w:r>
          </w:p>
          <w:p w14:paraId="2F00F871" w14:textId="77777777" w:rsidR="00D05FA5" w:rsidRDefault="00D05FA5" w:rsidP="00D05FA5">
            <w:pPr>
              <w:spacing w:after="0" w:line="240" w:lineRule="auto"/>
              <w:rPr>
                <w:rFonts w:ascii="Arial" w:hAnsi="Arial" w:cs="Arial"/>
                <w:color w:val="005D00"/>
                <w:sz w:val="16"/>
                <w:szCs w:val="16"/>
              </w:rPr>
            </w:pPr>
          </w:p>
          <w:p w14:paraId="5347E47C" w14:textId="77777777" w:rsidR="00D05FA5" w:rsidRPr="00EC59FD" w:rsidRDefault="00D05FA5" w:rsidP="00D05FA5">
            <w:pPr>
              <w:spacing w:after="0" w:line="240" w:lineRule="auto"/>
              <w:rPr>
                <w:rFonts w:ascii="Arial" w:hAnsi="Arial" w:cs="Arial"/>
                <w:color w:val="005D00"/>
                <w:sz w:val="16"/>
                <w:szCs w:val="16"/>
              </w:rPr>
            </w:pPr>
            <w:r w:rsidRPr="00EC59FD">
              <w:rPr>
                <w:rFonts w:ascii="Arial" w:hAnsi="Arial" w:cs="Arial"/>
                <w:color w:val="005D00"/>
                <w:sz w:val="16"/>
                <w:szCs w:val="16"/>
              </w:rPr>
              <w:t xml:space="preserve">The Innovation Board shall be an advisory body to the Ministry of Education and Science and the Ministry of Innovation and Growth, co-chaired by the two ministers. </w:t>
            </w:r>
          </w:p>
          <w:p w14:paraId="0815564C" w14:textId="77777777" w:rsidR="00D05FA5" w:rsidRPr="00EC59FD" w:rsidRDefault="00D05FA5" w:rsidP="00D05FA5">
            <w:pPr>
              <w:spacing w:after="0" w:line="240" w:lineRule="auto"/>
              <w:rPr>
                <w:rFonts w:ascii="Arial" w:hAnsi="Arial" w:cs="Arial"/>
                <w:color w:val="005D00"/>
                <w:sz w:val="16"/>
                <w:szCs w:val="16"/>
              </w:rPr>
            </w:pPr>
          </w:p>
          <w:p w14:paraId="359C4EA4" w14:textId="77777777" w:rsidR="00D05FA5" w:rsidRPr="00EC59FD" w:rsidRDefault="00D05FA5" w:rsidP="00D05FA5">
            <w:pPr>
              <w:spacing w:after="0" w:line="240" w:lineRule="auto"/>
              <w:rPr>
                <w:rFonts w:ascii="Arial" w:hAnsi="Arial" w:cs="Arial"/>
                <w:color w:val="005D00"/>
                <w:sz w:val="16"/>
                <w:szCs w:val="16"/>
              </w:rPr>
            </w:pPr>
            <w:r w:rsidRPr="00EC59FD">
              <w:rPr>
                <w:rFonts w:ascii="Arial" w:hAnsi="Arial" w:cs="Arial"/>
                <w:color w:val="005D00"/>
                <w:sz w:val="16"/>
                <w:szCs w:val="16"/>
              </w:rPr>
              <w:t>The members of the Innovation Board shall be selected among Bulgarian and international scientists and business representatives. The Board shall include at least 17 representatives of the business sector. They shall be selected based on a transparent procedure and appointed for a period of at least 5 years.</w:t>
            </w:r>
          </w:p>
          <w:p w14:paraId="4881C9C9" w14:textId="77777777" w:rsidR="00D05FA5" w:rsidRPr="0008440F" w:rsidRDefault="00D05FA5" w:rsidP="00D05FA5">
            <w:pPr>
              <w:spacing w:after="0" w:line="240" w:lineRule="auto"/>
              <w:rPr>
                <w:rFonts w:ascii="Arial" w:hAnsi="Arial" w:cs="Arial"/>
                <w:color w:val="005D00"/>
                <w:sz w:val="16"/>
                <w:szCs w:val="16"/>
              </w:rPr>
            </w:pPr>
            <w:r w:rsidRPr="00EC59FD">
              <w:rPr>
                <w:rFonts w:ascii="Arial" w:hAnsi="Arial" w:cs="Arial"/>
                <w:color w:val="005D00"/>
                <w:sz w:val="16"/>
                <w:szCs w:val="16"/>
              </w:rPr>
              <w:t>The Innovation Board shall be permanent and meet at least 6 times a year. It shall advise the Ministry of Education and Science and the Ministry of Innovation and Growth on all the matters related to the research and innovation policy.</w:t>
            </w:r>
          </w:p>
        </w:tc>
        <w:tc>
          <w:tcPr>
            <w:tcW w:w="1398" w:type="dxa"/>
            <w:gridSpan w:val="2"/>
            <w:shd w:val="clear" w:color="auto" w:fill="D6E3C6"/>
          </w:tcPr>
          <w:p w14:paraId="3627068D"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Delays in the drafting of the Ministerial order and the internal procedures of the Innovation Board</w:t>
            </w:r>
          </w:p>
        </w:tc>
        <w:tc>
          <w:tcPr>
            <w:tcW w:w="710" w:type="dxa"/>
            <w:gridSpan w:val="2"/>
            <w:shd w:val="clear" w:color="auto" w:fill="D6E3C6"/>
          </w:tcPr>
          <w:p w14:paraId="12332398"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4EE945ED"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662C686A" w14:textId="3873088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D05FA5" w:rsidRPr="0008440F" w14:paraId="7BE5DA9B" w14:textId="77777777" w:rsidTr="506F4F75">
        <w:trPr>
          <w:gridAfter w:val="1"/>
          <w:wAfter w:w="15" w:type="dxa"/>
          <w:trHeight w:val="303"/>
        </w:trPr>
        <w:tc>
          <w:tcPr>
            <w:tcW w:w="360" w:type="dxa"/>
            <w:shd w:val="clear" w:color="auto" w:fill="D6E3C6"/>
            <w:noWrap/>
          </w:tcPr>
          <w:p w14:paraId="57C0DAD3"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26</w:t>
            </w:r>
          </w:p>
        </w:tc>
        <w:tc>
          <w:tcPr>
            <w:tcW w:w="1200" w:type="dxa"/>
            <w:shd w:val="clear" w:color="auto" w:fill="D6E3C6"/>
            <w:noWrap/>
          </w:tcPr>
          <w:p w14:paraId="1C97A4A6"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C2.R1: Common policy for the development of research and innovation</w:t>
            </w:r>
          </w:p>
        </w:tc>
        <w:tc>
          <w:tcPr>
            <w:tcW w:w="851" w:type="dxa"/>
            <w:shd w:val="clear" w:color="auto" w:fill="D6E3C6"/>
            <w:noWrap/>
          </w:tcPr>
          <w:p w14:paraId="00943F89"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52562C55"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Legislative acts identified in the report on the amendments to other legislative acts amended and entered into force/ secondary legislative acts entered into force</w:t>
            </w:r>
          </w:p>
        </w:tc>
        <w:tc>
          <w:tcPr>
            <w:tcW w:w="1220" w:type="dxa"/>
            <w:shd w:val="clear" w:color="auto" w:fill="D6E3C6"/>
            <w:noWrap/>
          </w:tcPr>
          <w:p w14:paraId="4EEF903F"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Provisions in the law indicating the entry into force of all the legislative acts identified in the report on the amendments to  legislative acts (milestone 24) and of all the necessary secondary legislative acts related to the Research and Innovation Act</w:t>
            </w:r>
          </w:p>
        </w:tc>
        <w:tc>
          <w:tcPr>
            <w:tcW w:w="567" w:type="dxa"/>
            <w:shd w:val="clear" w:color="auto" w:fill="D6E3C6"/>
            <w:noWrap/>
          </w:tcPr>
          <w:p w14:paraId="577D9E3F"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092CBD2B"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675" w:type="dxa"/>
            <w:shd w:val="clear" w:color="auto" w:fill="D6E3C6"/>
            <w:noWrap/>
          </w:tcPr>
          <w:p w14:paraId="1461CBC7"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187" w:type="dxa"/>
            <w:shd w:val="clear" w:color="auto" w:fill="D6E3C6"/>
            <w:noWrap/>
          </w:tcPr>
          <w:p w14:paraId="06D34AC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60" w:type="dxa"/>
            <w:shd w:val="clear" w:color="auto" w:fill="D6E3C6"/>
            <w:noWrap/>
          </w:tcPr>
          <w:p w14:paraId="72E800E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2024</w:t>
            </w:r>
          </w:p>
        </w:tc>
        <w:tc>
          <w:tcPr>
            <w:tcW w:w="1130" w:type="dxa"/>
            <w:shd w:val="clear" w:color="auto" w:fill="D6E3C6"/>
          </w:tcPr>
          <w:p w14:paraId="497713CD"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64" w:type="dxa"/>
            <w:shd w:val="clear" w:color="auto" w:fill="D6E3C6"/>
          </w:tcPr>
          <w:p w14:paraId="783F8BBE"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38E0E3EC" w14:textId="77777777" w:rsidR="00D05FA5" w:rsidRPr="0055602A" w:rsidRDefault="00D05FA5" w:rsidP="00D05FA5">
            <w:pPr>
              <w:pStyle w:val="ListParagraph"/>
              <w:numPr>
                <w:ilvl w:val="0"/>
                <w:numId w:val="21"/>
              </w:numPr>
              <w:spacing w:after="0" w:line="240" w:lineRule="auto"/>
              <w:ind w:left="394"/>
              <w:rPr>
                <w:rFonts w:ascii="Arial" w:hAnsi="Arial" w:cs="Arial"/>
                <w:color w:val="005D00"/>
                <w:sz w:val="16"/>
                <w:szCs w:val="16"/>
                <w:lang w:eastAsia="en-GB"/>
              </w:rPr>
            </w:pPr>
            <w:r w:rsidRPr="0055602A">
              <w:rPr>
                <w:rFonts w:ascii="Arial" w:hAnsi="Arial" w:cs="Arial"/>
                <w:color w:val="005D00"/>
                <w:sz w:val="16"/>
                <w:szCs w:val="16"/>
                <w:lang w:eastAsia="en-GB"/>
              </w:rPr>
              <w:t xml:space="preserve">Copy of the publications in the State Gazette (in regard primary legislation) </w:t>
            </w:r>
          </w:p>
          <w:p w14:paraId="26949DCB" w14:textId="77777777" w:rsidR="00D05FA5" w:rsidRPr="0055602A" w:rsidRDefault="00D05FA5" w:rsidP="00D05FA5">
            <w:pPr>
              <w:pStyle w:val="ListParagraph"/>
              <w:numPr>
                <w:ilvl w:val="0"/>
                <w:numId w:val="21"/>
              </w:numPr>
              <w:spacing w:after="0" w:line="240" w:lineRule="auto"/>
              <w:ind w:left="394"/>
              <w:rPr>
                <w:rFonts w:ascii="Arial" w:hAnsi="Arial" w:cs="Arial"/>
                <w:color w:val="005D00"/>
                <w:sz w:val="16"/>
                <w:szCs w:val="16"/>
                <w:lang w:eastAsia="en-GB"/>
              </w:rPr>
            </w:pPr>
            <w:r w:rsidRPr="0055602A">
              <w:rPr>
                <w:rFonts w:ascii="Arial" w:hAnsi="Arial" w:cs="Arial"/>
                <w:color w:val="005D00"/>
                <w:sz w:val="16"/>
                <w:szCs w:val="16"/>
                <w:lang w:eastAsia="en-GB"/>
              </w:rPr>
              <w:t>Council of Ministers’ Decisions (in regards to secondary legislation)</w:t>
            </w:r>
          </w:p>
          <w:p w14:paraId="2E762C0B" w14:textId="77777777" w:rsidR="00D05FA5" w:rsidRPr="0055602A" w:rsidRDefault="00D05FA5" w:rsidP="00D05FA5">
            <w:pPr>
              <w:pStyle w:val="ListParagraph"/>
              <w:numPr>
                <w:ilvl w:val="0"/>
                <w:numId w:val="21"/>
              </w:numPr>
              <w:spacing w:after="0" w:line="240" w:lineRule="auto"/>
              <w:ind w:left="394"/>
              <w:rPr>
                <w:rFonts w:ascii="Arial" w:hAnsi="Arial" w:cs="Arial"/>
                <w:color w:val="005D00"/>
                <w:sz w:val="16"/>
                <w:szCs w:val="16"/>
              </w:rPr>
            </w:pPr>
            <w:r w:rsidRPr="0055602A">
              <w:rPr>
                <w:rFonts w:ascii="Arial" w:hAnsi="Arial" w:cs="Arial"/>
                <w:color w:val="005D00"/>
                <w:sz w:val="16"/>
                <w:szCs w:val="16"/>
                <w:lang w:eastAsia="en-GB"/>
              </w:rPr>
              <w:t>References duly justifying how the milestone was satisfactorily fulfilled (references to the relevant provisions indicating the entry into force and to the provisions which fulfil the relevant elements of the milestone (notably, the different amendments identified in the report on amendments to other legislative acts (milestone 24))</w:t>
            </w:r>
          </w:p>
        </w:tc>
        <w:tc>
          <w:tcPr>
            <w:tcW w:w="4111" w:type="dxa"/>
            <w:shd w:val="clear" w:color="auto" w:fill="D6E3C6"/>
          </w:tcPr>
          <w:p w14:paraId="06847DC9"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01119">
              <w:rPr>
                <w:rFonts w:ascii="Arial" w:eastAsia="Times New Roman" w:hAnsi="Arial" w:cs="Arial"/>
                <w:color w:val="005D00"/>
                <w:sz w:val="16"/>
                <w:szCs w:val="16"/>
                <w:lang w:eastAsia="en-GB"/>
              </w:rPr>
              <w:t>Ministry of Education and Science</w:t>
            </w:r>
          </w:p>
          <w:p w14:paraId="23DA4F0E" w14:textId="77777777" w:rsidR="00D05FA5" w:rsidRPr="00312B39" w:rsidRDefault="00D05FA5" w:rsidP="00D05FA5">
            <w:pPr>
              <w:spacing w:after="0"/>
              <w:rPr>
                <w:rFonts w:ascii="Arial" w:hAnsi="Arial" w:cs="Arial"/>
                <w:color w:val="006100"/>
                <w:sz w:val="16"/>
                <w:szCs w:val="16"/>
              </w:rPr>
            </w:pPr>
          </w:p>
          <w:p w14:paraId="0917870F"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What: </w:t>
            </w:r>
            <w:r w:rsidRPr="00001119">
              <w:rPr>
                <w:rFonts w:ascii="Arial" w:hAnsi="Arial" w:cs="Arial"/>
                <w:color w:val="005D00"/>
                <w:sz w:val="16"/>
                <w:szCs w:val="16"/>
              </w:rPr>
              <w:t xml:space="preserve">Provisions in the law indicating the entry into force of all the legislative acts identified in the report on the amendments to  legislative acts (milestone 24) and of all the necessary secondary legislative acts related to the Research and Innovation Act </w:t>
            </w:r>
            <w:r w:rsidRPr="00312B39">
              <w:rPr>
                <w:rFonts w:ascii="Arial" w:hAnsi="Arial" w:cs="Arial"/>
                <w:color w:val="006100"/>
                <w:sz w:val="16"/>
                <w:szCs w:val="16"/>
              </w:rPr>
              <w:t>(a</w:t>
            </w:r>
            <w:r>
              <w:rPr>
                <w:rFonts w:ascii="Arial" w:hAnsi="Arial" w:cs="Arial"/>
                <w:color w:val="006100"/>
                <w:sz w:val="16"/>
                <w:szCs w:val="16"/>
              </w:rPr>
              <w:t xml:space="preserve"> and b</w:t>
            </w:r>
            <w:r w:rsidRPr="00312B39">
              <w:rPr>
                <w:rFonts w:ascii="Arial" w:hAnsi="Arial" w:cs="Arial"/>
                <w:color w:val="006100"/>
                <w:sz w:val="16"/>
                <w:szCs w:val="16"/>
              </w:rPr>
              <w:t>)</w:t>
            </w:r>
          </w:p>
          <w:p w14:paraId="66A4FC0D" w14:textId="77777777" w:rsidR="00D05FA5" w:rsidRPr="00312B39" w:rsidRDefault="00D05FA5" w:rsidP="00D05FA5">
            <w:pPr>
              <w:spacing w:after="0"/>
              <w:rPr>
                <w:rFonts w:ascii="Arial" w:hAnsi="Arial" w:cs="Arial"/>
                <w:color w:val="006100"/>
                <w:sz w:val="16"/>
                <w:szCs w:val="16"/>
              </w:rPr>
            </w:pPr>
          </w:p>
          <w:p w14:paraId="62666200"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development and adoption of primary legislation (a), Council of Ministers’ Decisions (b), reporting (c)</w:t>
            </w:r>
          </w:p>
          <w:p w14:paraId="0CCA8DB1" w14:textId="77777777" w:rsidR="00D05FA5" w:rsidRPr="00312B39" w:rsidRDefault="00D05FA5" w:rsidP="00D05FA5">
            <w:pPr>
              <w:spacing w:after="0"/>
              <w:rPr>
                <w:rFonts w:ascii="Arial" w:hAnsi="Arial" w:cs="Arial"/>
                <w:color w:val="006100"/>
                <w:sz w:val="16"/>
                <w:szCs w:val="16"/>
              </w:rPr>
            </w:pPr>
          </w:p>
          <w:p w14:paraId="51AA8429"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All the relevant legislative acts identified in the report on the need for amendments to other legislative acts under milestone 24 shall be amended as required and enter into force. All the necessary secondary legislative acts related to the Research and Innovation Act shall enter into force.</w:t>
            </w:r>
          </w:p>
          <w:p w14:paraId="159CEFF7"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40AE8CC1" w14:textId="77777777" w:rsidR="00D05FA5" w:rsidRPr="00312B39" w:rsidRDefault="00D05FA5" w:rsidP="00D05FA5">
            <w:pPr>
              <w:spacing w:after="0"/>
              <w:rPr>
                <w:rFonts w:ascii="Arial" w:hAnsi="Arial" w:cs="Arial"/>
                <w:color w:val="006100"/>
                <w:sz w:val="16"/>
                <w:szCs w:val="16"/>
              </w:rPr>
            </w:pPr>
          </w:p>
          <w:p w14:paraId="035AA088"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establishment and operationalising</w:t>
            </w:r>
          </w:p>
        </w:tc>
        <w:tc>
          <w:tcPr>
            <w:tcW w:w="2377" w:type="dxa"/>
            <w:shd w:val="clear" w:color="auto" w:fill="D6E3C6"/>
          </w:tcPr>
          <w:p w14:paraId="46CD41C5" w14:textId="77777777" w:rsidR="00D05FA5" w:rsidRDefault="00D05FA5" w:rsidP="00D05FA5">
            <w:pPr>
              <w:spacing w:after="0" w:line="240" w:lineRule="auto"/>
              <w:rPr>
                <w:rFonts w:ascii="Arial" w:hAnsi="Arial" w:cs="Arial"/>
                <w:color w:val="005D00"/>
                <w:sz w:val="16"/>
                <w:szCs w:val="16"/>
              </w:rPr>
            </w:pPr>
            <w:r w:rsidRPr="00590A37">
              <w:rPr>
                <w:rFonts w:ascii="Arial" w:hAnsi="Arial" w:cs="Arial"/>
                <w:color w:val="005D00"/>
                <w:sz w:val="16"/>
                <w:szCs w:val="16"/>
              </w:rPr>
              <w:t>The objective of the reform is to foster an efficient policy coordination in all phases of research and innovation and to spur the Bulgarian innovation outcome. This will be done through the creation of a research and innovation ecosystem that ensures close links between academia and the business sectors.</w:t>
            </w:r>
          </w:p>
          <w:p w14:paraId="4B60FD87" w14:textId="77777777" w:rsidR="00D05FA5" w:rsidRDefault="00D05FA5" w:rsidP="00D05FA5">
            <w:pPr>
              <w:spacing w:after="0" w:line="240" w:lineRule="auto"/>
              <w:rPr>
                <w:rFonts w:ascii="Arial" w:hAnsi="Arial" w:cs="Arial"/>
                <w:color w:val="005D00"/>
                <w:sz w:val="16"/>
                <w:szCs w:val="16"/>
              </w:rPr>
            </w:pPr>
          </w:p>
          <w:p w14:paraId="62EB1183" w14:textId="77777777" w:rsidR="00D05FA5" w:rsidRPr="0008440F" w:rsidRDefault="00D05FA5" w:rsidP="00D05FA5">
            <w:pPr>
              <w:spacing w:after="0" w:line="240" w:lineRule="auto"/>
              <w:rPr>
                <w:rFonts w:ascii="Arial" w:hAnsi="Arial" w:cs="Arial"/>
                <w:color w:val="005D00"/>
                <w:sz w:val="16"/>
                <w:szCs w:val="16"/>
              </w:rPr>
            </w:pPr>
            <w:r w:rsidRPr="00F84B4C">
              <w:rPr>
                <w:rFonts w:ascii="Arial" w:hAnsi="Arial" w:cs="Arial"/>
                <w:color w:val="005D00"/>
                <w:sz w:val="16"/>
                <w:szCs w:val="16"/>
              </w:rPr>
              <w:t>Entry into force of the Research and Innovation Act and related legislative acts;</w:t>
            </w:r>
          </w:p>
        </w:tc>
        <w:tc>
          <w:tcPr>
            <w:tcW w:w="1398" w:type="dxa"/>
            <w:gridSpan w:val="2"/>
            <w:shd w:val="clear" w:color="auto" w:fill="D6E3C6"/>
          </w:tcPr>
          <w:p w14:paraId="6F0BB6E3"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Delays in milestone 24 and the identification of secondary acts</w:t>
            </w:r>
          </w:p>
        </w:tc>
        <w:tc>
          <w:tcPr>
            <w:tcW w:w="710" w:type="dxa"/>
            <w:gridSpan w:val="2"/>
            <w:shd w:val="clear" w:color="auto" w:fill="D6E3C6"/>
          </w:tcPr>
          <w:p w14:paraId="2F741CAD"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147CD638"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1432CCC2" w14:textId="1322A148"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D05FA5" w:rsidRPr="0008440F" w14:paraId="23E3F9AA" w14:textId="77777777" w:rsidTr="506F4F75">
        <w:trPr>
          <w:gridAfter w:val="1"/>
          <w:wAfter w:w="15" w:type="dxa"/>
          <w:trHeight w:val="303"/>
        </w:trPr>
        <w:tc>
          <w:tcPr>
            <w:tcW w:w="360" w:type="dxa"/>
            <w:shd w:val="clear" w:color="auto" w:fill="D6E3C6"/>
            <w:noWrap/>
          </w:tcPr>
          <w:p w14:paraId="3C006BFD"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27</w:t>
            </w:r>
          </w:p>
        </w:tc>
        <w:tc>
          <w:tcPr>
            <w:tcW w:w="1200" w:type="dxa"/>
            <w:shd w:val="clear" w:color="auto" w:fill="D6E3C6"/>
            <w:noWrap/>
          </w:tcPr>
          <w:p w14:paraId="773B902A"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 xml:space="preserve">C2.I1: Programme to accelerate economic recovery and transformation </w:t>
            </w:r>
            <w:r w:rsidRPr="0008440F">
              <w:rPr>
                <w:rFonts w:ascii="Arial" w:hAnsi="Arial" w:cs="Arial"/>
                <w:color w:val="005D00"/>
                <w:sz w:val="16"/>
                <w:szCs w:val="16"/>
              </w:rPr>
              <w:lastRenderedPageBreak/>
              <w:t>through research and innovation</w:t>
            </w:r>
          </w:p>
        </w:tc>
        <w:tc>
          <w:tcPr>
            <w:tcW w:w="851" w:type="dxa"/>
            <w:shd w:val="clear" w:color="auto" w:fill="D6E3C6"/>
            <w:noWrap/>
          </w:tcPr>
          <w:p w14:paraId="4316917F"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lastRenderedPageBreak/>
              <w:t>Milestone</w:t>
            </w:r>
          </w:p>
        </w:tc>
        <w:tc>
          <w:tcPr>
            <w:tcW w:w="1134" w:type="dxa"/>
            <w:shd w:val="clear" w:color="auto" w:fill="D6E3C6"/>
            <w:noWrap/>
          </w:tcPr>
          <w:p w14:paraId="53D880E3"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 xml:space="preserve">Notifications awarding projects by innovative SMEs and higher </w:t>
            </w:r>
            <w:r w:rsidRPr="0008440F">
              <w:rPr>
                <w:rFonts w:ascii="Arial" w:hAnsi="Arial" w:cs="Arial"/>
                <w:color w:val="005D00"/>
                <w:sz w:val="16"/>
                <w:szCs w:val="16"/>
              </w:rPr>
              <w:lastRenderedPageBreak/>
              <w:t>education institutions and research organisations</w:t>
            </w:r>
          </w:p>
        </w:tc>
        <w:tc>
          <w:tcPr>
            <w:tcW w:w="1220" w:type="dxa"/>
            <w:shd w:val="clear" w:color="auto" w:fill="D6E3C6"/>
            <w:noWrap/>
          </w:tcPr>
          <w:p w14:paraId="33D576CE"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lastRenderedPageBreak/>
              <w:t>Notification of the award</w:t>
            </w:r>
          </w:p>
        </w:tc>
        <w:tc>
          <w:tcPr>
            <w:tcW w:w="567" w:type="dxa"/>
            <w:shd w:val="clear" w:color="auto" w:fill="D6E3C6"/>
            <w:noWrap/>
          </w:tcPr>
          <w:p w14:paraId="1F3B9DB8"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4D1E705D"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675" w:type="dxa"/>
            <w:shd w:val="clear" w:color="auto" w:fill="D6E3C6"/>
            <w:noWrap/>
          </w:tcPr>
          <w:p w14:paraId="23C9756E"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187" w:type="dxa"/>
            <w:shd w:val="clear" w:color="auto" w:fill="D6E3C6"/>
            <w:noWrap/>
          </w:tcPr>
          <w:p w14:paraId="02AAC80B"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60" w:type="dxa"/>
            <w:shd w:val="clear" w:color="auto" w:fill="D6E3C6"/>
            <w:noWrap/>
          </w:tcPr>
          <w:p w14:paraId="6CC9019F"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7650105F"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Innovation and Growth (MIG) and</w:t>
            </w:r>
          </w:p>
          <w:p w14:paraId="7890F4BC"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 xml:space="preserve">Ministry of Education and </w:t>
            </w:r>
            <w:r w:rsidRPr="0008440F">
              <w:rPr>
                <w:rFonts w:ascii="Arial" w:eastAsia="Times New Roman" w:hAnsi="Arial" w:cs="Arial"/>
                <w:color w:val="005D00"/>
                <w:sz w:val="16"/>
                <w:szCs w:val="16"/>
                <w:lang w:eastAsia="en-GB"/>
              </w:rPr>
              <w:lastRenderedPageBreak/>
              <w:t>Science (MoES)</w:t>
            </w:r>
          </w:p>
        </w:tc>
        <w:tc>
          <w:tcPr>
            <w:tcW w:w="764" w:type="dxa"/>
            <w:shd w:val="clear" w:color="auto" w:fill="D6E3C6"/>
          </w:tcPr>
          <w:p w14:paraId="6C09C39C"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lastRenderedPageBreak/>
              <w:t>MIG is responsible for SMEs projects,</w:t>
            </w:r>
          </w:p>
          <w:p w14:paraId="4DA2267E"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lastRenderedPageBreak/>
              <w:t>MoES is responsible for higher education institutions and research organisations’ projects</w:t>
            </w:r>
          </w:p>
        </w:tc>
        <w:tc>
          <w:tcPr>
            <w:tcW w:w="2552" w:type="dxa"/>
            <w:shd w:val="clear" w:color="auto" w:fill="D6E3C6"/>
          </w:tcPr>
          <w:p w14:paraId="60AB7C20" w14:textId="77777777" w:rsidR="00D05FA5" w:rsidRPr="0008440F" w:rsidRDefault="00D05FA5" w:rsidP="00D05FA5">
            <w:pPr>
              <w:pStyle w:val="ListParagraph"/>
              <w:numPr>
                <w:ilvl w:val="0"/>
                <w:numId w:val="22"/>
              </w:numPr>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IE" w:eastAsia="en-GB"/>
              </w:rPr>
              <w:lastRenderedPageBreak/>
              <w:t xml:space="preserve">In regard the SMEs’ projects a copy of the </w:t>
            </w:r>
            <w:r w:rsidRPr="0008440F">
              <w:rPr>
                <w:rFonts w:ascii="Arial" w:hAnsi="Arial" w:cs="Arial"/>
                <w:color w:val="005D00"/>
                <w:sz w:val="16"/>
                <w:szCs w:val="16"/>
              </w:rPr>
              <w:t xml:space="preserve">selection criteria, ensuring the priority to green and digital projects and that selected projects comply with </w:t>
            </w:r>
            <w:r w:rsidRPr="0008440F">
              <w:rPr>
                <w:rFonts w:ascii="Arial" w:hAnsi="Arial" w:cs="Arial"/>
                <w:color w:val="005D00"/>
                <w:sz w:val="16"/>
                <w:szCs w:val="16"/>
              </w:rPr>
              <w:lastRenderedPageBreak/>
              <w:t xml:space="preserve">the DNSH Technical Guidelines. </w:t>
            </w:r>
          </w:p>
          <w:p w14:paraId="2DC5B4FD" w14:textId="77777777" w:rsidR="00D05FA5" w:rsidRPr="0008440F" w:rsidRDefault="00D05FA5" w:rsidP="00D05FA5">
            <w:pPr>
              <w:pStyle w:val="ListParagraph"/>
              <w:numPr>
                <w:ilvl w:val="0"/>
                <w:numId w:val="22"/>
              </w:numPr>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rPr>
              <w:t>In regard the higher education institution and research organisations’ projects a copy of a guidance for call of proposals respecting the DNSH principal.</w:t>
            </w:r>
          </w:p>
          <w:p w14:paraId="14BD0DD4" w14:textId="77777777" w:rsidR="00D05FA5" w:rsidRPr="00BD5ED2" w:rsidRDefault="00D05FA5" w:rsidP="00D05FA5">
            <w:pPr>
              <w:pStyle w:val="ListParagraph"/>
              <w:numPr>
                <w:ilvl w:val="0"/>
                <w:numId w:val="22"/>
              </w:numPr>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IE" w:eastAsia="en-GB"/>
              </w:rPr>
              <w:t xml:space="preserve">copy of the award notifications extract of the relevant parts of the notifications of award confirming that </w:t>
            </w:r>
            <w:r w:rsidRPr="0008440F">
              <w:rPr>
                <w:rFonts w:ascii="Arial" w:hAnsi="Arial" w:cs="Arial"/>
                <w:color w:val="005D00"/>
                <w:sz w:val="16"/>
                <w:szCs w:val="16"/>
                <w:lang w:val="en-US" w:eastAsia="en-GB"/>
              </w:rPr>
              <w:t> </w:t>
            </w:r>
            <w:r w:rsidRPr="0008440F">
              <w:rPr>
                <w:rFonts w:ascii="Arial" w:hAnsi="Arial" w:cs="Arial"/>
                <w:color w:val="005D00"/>
                <w:sz w:val="16"/>
                <w:szCs w:val="16"/>
                <w:lang w:val="en-IE" w:eastAsia="en-GB"/>
              </w:rPr>
              <w:t xml:space="preserve">SMEs, higher education institutions and research organizations awarded did not receive funding under Horizon 2020 or Horizon Europe </w:t>
            </w:r>
          </w:p>
          <w:p w14:paraId="33C82F2B" w14:textId="77777777" w:rsidR="00D05FA5" w:rsidRPr="00BD5ED2" w:rsidRDefault="00D05FA5" w:rsidP="00D05FA5">
            <w:pPr>
              <w:pStyle w:val="ListParagraph"/>
              <w:numPr>
                <w:ilvl w:val="0"/>
                <w:numId w:val="22"/>
              </w:numPr>
              <w:spacing w:line="240" w:lineRule="auto"/>
              <w:ind w:left="394"/>
              <w:jc w:val="both"/>
              <w:rPr>
                <w:rFonts w:ascii="Arial" w:hAnsi="Arial" w:cs="Arial"/>
                <w:color w:val="005D00"/>
                <w:sz w:val="16"/>
                <w:szCs w:val="16"/>
                <w:lang w:val="en-US" w:eastAsia="en-GB"/>
              </w:rPr>
            </w:pPr>
            <w:r w:rsidRPr="00BD5ED2">
              <w:rPr>
                <w:rFonts w:ascii="Arial" w:hAnsi="Arial" w:cs="Arial"/>
                <w:color w:val="005D00"/>
                <w:sz w:val="16"/>
                <w:szCs w:val="16"/>
                <w:lang w:val="en-IE" w:eastAsia="en-GB"/>
              </w:rPr>
              <w:t>the list of SMEs, higher education institutions and research organizations awarded</w:t>
            </w:r>
            <w:r w:rsidRPr="00BD5ED2">
              <w:rPr>
                <w:rFonts w:ascii="Arial" w:hAnsi="Arial" w:cs="Arial"/>
                <w:color w:val="005D00"/>
                <w:sz w:val="16"/>
                <w:szCs w:val="16"/>
                <w:lang w:val="en-US" w:eastAsia="en-GB"/>
              </w:rPr>
              <w:t> </w:t>
            </w:r>
          </w:p>
        </w:tc>
        <w:tc>
          <w:tcPr>
            <w:tcW w:w="4111" w:type="dxa"/>
            <w:shd w:val="clear" w:color="auto" w:fill="D6E3C6"/>
          </w:tcPr>
          <w:p w14:paraId="21C66475" w14:textId="77777777" w:rsidR="00D05FA5" w:rsidRPr="00312B39" w:rsidRDefault="00D05FA5" w:rsidP="00D05FA5">
            <w:pPr>
              <w:spacing w:after="0" w:line="240" w:lineRule="auto"/>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08440F">
              <w:rPr>
                <w:rFonts w:ascii="Arial" w:eastAsia="Times New Roman" w:hAnsi="Arial" w:cs="Arial"/>
                <w:color w:val="005D00"/>
                <w:sz w:val="16"/>
                <w:szCs w:val="16"/>
                <w:lang w:eastAsia="en-GB"/>
              </w:rPr>
              <w:t>Ministry of Innovation and Growth (MIG) and</w:t>
            </w:r>
            <w:r>
              <w:rPr>
                <w:rFonts w:ascii="Arial" w:eastAsia="Times New Roman" w:hAnsi="Arial" w:cs="Arial"/>
                <w:color w:val="005D00"/>
                <w:sz w:val="16"/>
                <w:szCs w:val="16"/>
                <w:lang w:eastAsia="en-GB"/>
              </w:rPr>
              <w:t xml:space="preserve"> </w:t>
            </w:r>
            <w:r w:rsidRPr="0008440F">
              <w:rPr>
                <w:rFonts w:ascii="Arial" w:eastAsia="Times New Roman" w:hAnsi="Arial" w:cs="Arial"/>
                <w:color w:val="005D00"/>
                <w:sz w:val="16"/>
                <w:szCs w:val="16"/>
                <w:lang w:eastAsia="en-GB"/>
              </w:rPr>
              <w:t>Ministry of Education and Science (MoES)</w:t>
            </w:r>
          </w:p>
          <w:p w14:paraId="53089C31" w14:textId="77777777" w:rsidR="00D05FA5" w:rsidRPr="00312B39" w:rsidRDefault="00D05FA5" w:rsidP="00D05FA5">
            <w:pPr>
              <w:spacing w:after="0"/>
              <w:rPr>
                <w:rFonts w:ascii="Arial" w:hAnsi="Arial" w:cs="Arial"/>
                <w:color w:val="006100"/>
                <w:sz w:val="16"/>
                <w:szCs w:val="16"/>
              </w:rPr>
            </w:pPr>
          </w:p>
          <w:p w14:paraId="0C5CECC7"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9368EB">
              <w:rPr>
                <w:rFonts w:ascii="Arial" w:hAnsi="Arial" w:cs="Arial"/>
                <w:color w:val="006100"/>
                <w:sz w:val="16"/>
                <w:szCs w:val="16"/>
              </w:rPr>
              <w:t>Notifications awarding projects by innovative SMEs and higher education institutions and research organisations</w:t>
            </w:r>
            <w:r w:rsidRPr="00312B39">
              <w:rPr>
                <w:rFonts w:ascii="Arial" w:hAnsi="Arial" w:cs="Arial"/>
                <w:color w:val="006100"/>
                <w:sz w:val="16"/>
                <w:szCs w:val="16"/>
              </w:rPr>
              <w:t xml:space="preserve"> (</w:t>
            </w:r>
            <w:r>
              <w:rPr>
                <w:rFonts w:ascii="Arial" w:hAnsi="Arial" w:cs="Arial"/>
                <w:color w:val="006100"/>
                <w:sz w:val="16"/>
                <w:szCs w:val="16"/>
              </w:rPr>
              <w:t>c and d</w:t>
            </w:r>
            <w:r w:rsidRPr="00312B39">
              <w:rPr>
                <w:rFonts w:ascii="Arial" w:hAnsi="Arial" w:cs="Arial"/>
                <w:color w:val="006100"/>
                <w:sz w:val="16"/>
                <w:szCs w:val="16"/>
              </w:rPr>
              <w:t>)</w:t>
            </w:r>
          </w:p>
          <w:p w14:paraId="63F45420" w14:textId="77777777" w:rsidR="00D05FA5" w:rsidRPr="00312B39" w:rsidRDefault="00D05FA5" w:rsidP="00D05FA5">
            <w:pPr>
              <w:spacing w:after="0"/>
              <w:rPr>
                <w:rFonts w:ascii="Arial" w:hAnsi="Arial" w:cs="Arial"/>
                <w:color w:val="006100"/>
                <w:sz w:val="16"/>
                <w:szCs w:val="16"/>
              </w:rPr>
            </w:pPr>
          </w:p>
          <w:p w14:paraId="2F4C348E"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establishing selection criteria (a), guidance (b), awarding (c and d)</w:t>
            </w:r>
          </w:p>
          <w:p w14:paraId="1988F8C4" w14:textId="77777777" w:rsidR="00D05FA5" w:rsidRPr="00312B39" w:rsidRDefault="00D05FA5" w:rsidP="00D05FA5">
            <w:pPr>
              <w:spacing w:after="0"/>
              <w:rPr>
                <w:rFonts w:ascii="Arial" w:hAnsi="Arial" w:cs="Arial"/>
                <w:color w:val="006100"/>
                <w:sz w:val="16"/>
                <w:szCs w:val="16"/>
              </w:rPr>
            </w:pPr>
          </w:p>
          <w:p w14:paraId="36BC2E20"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Notifications of award shall be sent to the projects proposals by the innovative small and medium-sized enterprises awarded the Seal of Excellence quality label and project proposals by higher education institutions for Horizon Europe. Notifications of award shall be sent to innovative project proposals by Bulgarian higher education institutions and research organisations which did not receive European funding under the widening of participation and dissemination of the excellence component of Horizon Europe European Framework Programme for Research and Innovation, namely Twinning and European Research Area (ERA).The selection criteria shall ensure that priority is given to green and digital projects as well as that the selected projects comply with the Technical Guidelines “Do not cause significant harm” (2021/C58/01) through the use of the exclusion list specified in the description of the measure and the requirement to comply with relevant EU and national environmental legislation.</w:t>
            </w:r>
          </w:p>
          <w:p w14:paraId="6C4260EE"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498D8C76" w14:textId="77777777" w:rsidR="00D05FA5" w:rsidRPr="00312B39" w:rsidRDefault="00D05FA5" w:rsidP="00D05FA5">
            <w:pPr>
              <w:spacing w:after="0"/>
              <w:rPr>
                <w:rFonts w:ascii="Arial" w:hAnsi="Arial" w:cs="Arial"/>
                <w:color w:val="006100"/>
                <w:sz w:val="16"/>
                <w:szCs w:val="16"/>
              </w:rPr>
            </w:pPr>
          </w:p>
          <w:p w14:paraId="56526A66"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launching procedures and award notifications</w:t>
            </w:r>
          </w:p>
        </w:tc>
        <w:tc>
          <w:tcPr>
            <w:tcW w:w="2377" w:type="dxa"/>
            <w:shd w:val="clear" w:color="auto" w:fill="D6E3C6"/>
          </w:tcPr>
          <w:p w14:paraId="32C8BB99" w14:textId="77777777" w:rsidR="00D05FA5" w:rsidRPr="0008440F" w:rsidRDefault="00D05FA5" w:rsidP="00D05FA5">
            <w:pPr>
              <w:spacing w:after="0" w:line="240" w:lineRule="auto"/>
              <w:rPr>
                <w:rFonts w:ascii="Arial" w:hAnsi="Arial" w:cs="Arial"/>
                <w:color w:val="005D00"/>
                <w:sz w:val="16"/>
                <w:szCs w:val="16"/>
              </w:rPr>
            </w:pPr>
            <w:r w:rsidRPr="001067E5">
              <w:rPr>
                <w:rFonts w:ascii="Arial" w:hAnsi="Arial" w:cs="Arial"/>
                <w:color w:val="005D00"/>
                <w:sz w:val="16"/>
                <w:szCs w:val="16"/>
              </w:rPr>
              <w:lastRenderedPageBreak/>
              <w:t xml:space="preserve">The investment’s objective is to enhance Bulgaria’s research and innovation performance and the effectiveness of technology transfer and foster information-sharing among research </w:t>
            </w:r>
            <w:r w:rsidRPr="001067E5">
              <w:rPr>
                <w:rFonts w:ascii="Arial" w:hAnsi="Arial" w:cs="Arial"/>
                <w:color w:val="005D00"/>
                <w:sz w:val="16"/>
                <w:szCs w:val="16"/>
              </w:rPr>
              <w:lastRenderedPageBreak/>
              <w:t>universities in Bulgaria; the investment consists of putting in place an effective financing system of research and innovation activities that rewards project proposals by innovative small and medium enterprises and higher education institutions.</w:t>
            </w:r>
          </w:p>
        </w:tc>
        <w:tc>
          <w:tcPr>
            <w:tcW w:w="1398" w:type="dxa"/>
            <w:gridSpan w:val="2"/>
            <w:shd w:val="clear" w:color="auto" w:fill="D6E3C6"/>
          </w:tcPr>
          <w:p w14:paraId="59D1AFAD"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lastRenderedPageBreak/>
              <w:t>-</w:t>
            </w:r>
          </w:p>
        </w:tc>
        <w:tc>
          <w:tcPr>
            <w:tcW w:w="710" w:type="dxa"/>
            <w:gridSpan w:val="2"/>
            <w:shd w:val="clear" w:color="auto" w:fill="D6E3C6"/>
          </w:tcPr>
          <w:p w14:paraId="5C4D6A8B"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20FD4983"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2FF9F976" w14:textId="2617E13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D05FA5" w:rsidRPr="0008440F" w14:paraId="2907A08D" w14:textId="77777777" w:rsidTr="506F4F75">
        <w:trPr>
          <w:gridAfter w:val="1"/>
          <w:wAfter w:w="15" w:type="dxa"/>
          <w:trHeight w:val="303"/>
        </w:trPr>
        <w:tc>
          <w:tcPr>
            <w:tcW w:w="360" w:type="dxa"/>
            <w:shd w:val="clear" w:color="auto" w:fill="D6E3C6"/>
            <w:noWrap/>
          </w:tcPr>
          <w:p w14:paraId="7BEDA168"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28</w:t>
            </w:r>
          </w:p>
        </w:tc>
        <w:tc>
          <w:tcPr>
            <w:tcW w:w="1200" w:type="dxa"/>
            <w:shd w:val="clear" w:color="auto" w:fill="D6E3C6"/>
            <w:noWrap/>
          </w:tcPr>
          <w:p w14:paraId="66560AE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C2.I1: Programme to accelerate economic recovery and transformation through research and innovation</w:t>
            </w:r>
          </w:p>
        </w:tc>
        <w:tc>
          <w:tcPr>
            <w:tcW w:w="851" w:type="dxa"/>
            <w:shd w:val="clear" w:color="auto" w:fill="D6E3C6"/>
            <w:noWrap/>
          </w:tcPr>
          <w:p w14:paraId="0DECAD4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34" w:type="dxa"/>
            <w:shd w:val="clear" w:color="auto" w:fill="D6E3C6"/>
            <w:noWrap/>
          </w:tcPr>
          <w:p w14:paraId="4BBFB469"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Completed projects by innovative SMEs and higher education institutions and research organisations</w:t>
            </w:r>
          </w:p>
        </w:tc>
        <w:tc>
          <w:tcPr>
            <w:tcW w:w="1220" w:type="dxa"/>
            <w:shd w:val="clear" w:color="auto" w:fill="D6E3C6"/>
            <w:noWrap/>
          </w:tcPr>
          <w:p w14:paraId="14790E84"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567" w:type="dxa"/>
            <w:shd w:val="clear" w:color="auto" w:fill="D6E3C6"/>
            <w:noWrap/>
          </w:tcPr>
          <w:p w14:paraId="032EA6CA"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08" w:type="dxa"/>
            <w:shd w:val="clear" w:color="auto" w:fill="D6E3C6"/>
            <w:noWrap/>
          </w:tcPr>
          <w:p w14:paraId="2FC135C7"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675" w:type="dxa"/>
            <w:shd w:val="clear" w:color="auto" w:fill="D6E3C6"/>
            <w:noWrap/>
          </w:tcPr>
          <w:p w14:paraId="2238D516"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50</w:t>
            </w:r>
          </w:p>
        </w:tc>
        <w:tc>
          <w:tcPr>
            <w:tcW w:w="187" w:type="dxa"/>
            <w:shd w:val="clear" w:color="auto" w:fill="D6E3C6"/>
            <w:noWrap/>
          </w:tcPr>
          <w:p w14:paraId="79536389"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60" w:type="dxa"/>
            <w:shd w:val="clear" w:color="auto" w:fill="D6E3C6"/>
            <w:noWrap/>
          </w:tcPr>
          <w:p w14:paraId="0F1E87F7"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130" w:type="dxa"/>
            <w:shd w:val="clear" w:color="auto" w:fill="D6E3C6"/>
          </w:tcPr>
          <w:p w14:paraId="2152D8B0"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Innovation and Growth (MIG) and</w:t>
            </w:r>
          </w:p>
          <w:p w14:paraId="024F9622"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64" w:type="dxa"/>
            <w:shd w:val="clear" w:color="auto" w:fill="D6E3C6"/>
          </w:tcPr>
          <w:p w14:paraId="423F40B0"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MIG is responsible for SMEs projects,</w:t>
            </w:r>
          </w:p>
          <w:p w14:paraId="0FA16B79"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MoES is responsible for higher education institutions and research organisations’ projects</w:t>
            </w:r>
          </w:p>
        </w:tc>
        <w:tc>
          <w:tcPr>
            <w:tcW w:w="2552" w:type="dxa"/>
            <w:shd w:val="clear" w:color="auto" w:fill="D6E3C6"/>
          </w:tcPr>
          <w:p w14:paraId="3EA4A8AB" w14:textId="77777777" w:rsidR="00D05FA5" w:rsidRPr="00C457D3" w:rsidRDefault="00D05FA5" w:rsidP="00D05FA5">
            <w:pPr>
              <w:spacing w:line="240" w:lineRule="auto"/>
              <w:jc w:val="both"/>
              <w:rPr>
                <w:rFonts w:ascii="Arial" w:hAnsi="Arial" w:cs="Arial"/>
                <w:color w:val="005D00"/>
                <w:sz w:val="16"/>
                <w:szCs w:val="16"/>
                <w:lang w:val="en-US" w:eastAsia="en-GB"/>
              </w:rPr>
            </w:pPr>
            <w:r>
              <w:rPr>
                <w:rFonts w:ascii="Arial" w:hAnsi="Arial" w:cs="Arial"/>
                <w:color w:val="005D00"/>
                <w:sz w:val="16"/>
                <w:szCs w:val="16"/>
                <w:lang w:val="en-IE" w:eastAsia="en-GB"/>
              </w:rPr>
              <w:t xml:space="preserve">a) </w:t>
            </w:r>
            <w:r w:rsidRPr="00C457D3">
              <w:rPr>
                <w:rFonts w:ascii="Arial" w:hAnsi="Arial" w:cs="Arial"/>
                <w:color w:val="005D00"/>
                <w:sz w:val="16"/>
                <w:szCs w:val="16"/>
                <w:lang w:val="en-IE" w:eastAsia="en-GB"/>
              </w:rPr>
              <w:t>a list of 50 projects (</w:t>
            </w:r>
            <w:r w:rsidRPr="00C457D3">
              <w:rPr>
                <w:rFonts w:ascii="Arial" w:hAnsi="Arial" w:cs="Arial"/>
                <w:color w:val="005D00"/>
                <w:sz w:val="16"/>
                <w:szCs w:val="16"/>
              </w:rPr>
              <w:t>38 projects by innovative SMEs, 10 Twinning projects, and two ERA Chairs</w:t>
            </w:r>
            <w:r w:rsidRPr="00C457D3">
              <w:rPr>
                <w:rFonts w:ascii="Arial" w:hAnsi="Arial" w:cs="Arial"/>
                <w:color w:val="005D00"/>
                <w:sz w:val="16"/>
                <w:szCs w:val="16"/>
                <w:lang w:val="en-IE" w:eastAsia="en-GB"/>
              </w:rPr>
              <w:t>) and providing, for each of them, the following information: </w:t>
            </w:r>
            <w:r w:rsidRPr="00C457D3">
              <w:rPr>
                <w:rFonts w:ascii="Arial" w:hAnsi="Arial" w:cs="Arial"/>
                <w:color w:val="005D00"/>
                <w:sz w:val="16"/>
                <w:szCs w:val="16"/>
                <w:lang w:val="en-US" w:eastAsia="en-GB"/>
              </w:rPr>
              <w:t> </w:t>
            </w:r>
          </w:p>
          <w:p w14:paraId="4DE78C4D" w14:textId="77777777" w:rsidR="00D05FA5" w:rsidRPr="00C457D3" w:rsidRDefault="00D05FA5" w:rsidP="00D05FA5">
            <w:pPr>
              <w:pStyle w:val="ListParagraph"/>
              <w:numPr>
                <w:ilvl w:val="0"/>
                <w:numId w:val="20"/>
              </w:numPr>
              <w:spacing w:line="240" w:lineRule="auto"/>
              <w:jc w:val="both"/>
              <w:rPr>
                <w:rFonts w:ascii="Arial" w:hAnsi="Arial" w:cs="Arial"/>
                <w:color w:val="005D00"/>
                <w:sz w:val="16"/>
                <w:szCs w:val="16"/>
                <w:lang w:val="en-US" w:eastAsia="en-GB"/>
              </w:rPr>
            </w:pPr>
            <w:r w:rsidRPr="0008440F">
              <w:rPr>
                <w:rFonts w:ascii="Arial" w:hAnsi="Arial" w:cs="Arial"/>
                <w:color w:val="005D00"/>
                <w:sz w:val="16"/>
                <w:szCs w:val="16"/>
                <w:lang w:val="en-IE" w:eastAsia="en-GB"/>
              </w:rPr>
              <w:t>brief description;</w:t>
            </w:r>
            <w:r w:rsidRPr="0008440F">
              <w:rPr>
                <w:rFonts w:ascii="Arial" w:hAnsi="Arial" w:cs="Arial"/>
                <w:color w:val="005D00"/>
                <w:sz w:val="16"/>
                <w:szCs w:val="16"/>
                <w:lang w:val="en-US" w:eastAsia="en-GB"/>
              </w:rPr>
              <w:t> </w:t>
            </w:r>
            <w:r w:rsidRPr="0008440F">
              <w:rPr>
                <w:rFonts w:ascii="Arial" w:hAnsi="Arial" w:cs="Arial"/>
                <w:color w:val="005D00"/>
                <w:sz w:val="16"/>
                <w:szCs w:val="16"/>
                <w:lang w:val="en-IE" w:eastAsia="en-GB"/>
              </w:rPr>
              <w:t xml:space="preserve"> </w:t>
            </w:r>
          </w:p>
          <w:p w14:paraId="46FE3A31" w14:textId="77777777" w:rsidR="00D05FA5" w:rsidRPr="00C457D3" w:rsidRDefault="00D05FA5" w:rsidP="00D05FA5">
            <w:pPr>
              <w:pStyle w:val="ListParagraph"/>
              <w:numPr>
                <w:ilvl w:val="0"/>
                <w:numId w:val="20"/>
              </w:numPr>
              <w:spacing w:line="240" w:lineRule="auto"/>
              <w:jc w:val="both"/>
              <w:rPr>
                <w:rFonts w:ascii="Arial" w:hAnsi="Arial" w:cs="Arial"/>
                <w:color w:val="005D00"/>
                <w:sz w:val="16"/>
                <w:szCs w:val="16"/>
                <w:lang w:val="en-US" w:eastAsia="en-GB"/>
              </w:rPr>
            </w:pPr>
            <w:r w:rsidRPr="00C457D3">
              <w:rPr>
                <w:rFonts w:ascii="Arial" w:hAnsi="Arial" w:cs="Arial"/>
                <w:color w:val="005D00"/>
                <w:sz w:val="16"/>
                <w:szCs w:val="16"/>
                <w:lang w:val="en-IE" w:eastAsia="en-GB"/>
              </w:rPr>
              <w:t>official references  for completion</w:t>
            </w:r>
          </w:p>
        </w:tc>
        <w:tc>
          <w:tcPr>
            <w:tcW w:w="4111" w:type="dxa"/>
            <w:shd w:val="clear" w:color="auto" w:fill="D6E3C6"/>
          </w:tcPr>
          <w:p w14:paraId="220B49F0" w14:textId="77777777" w:rsidR="00D05FA5" w:rsidRPr="00312B39" w:rsidRDefault="00D05FA5" w:rsidP="00D05FA5">
            <w:pPr>
              <w:spacing w:after="0" w:line="240" w:lineRule="auto"/>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Innovation and Growth (MIG) and</w:t>
            </w:r>
            <w:r>
              <w:rPr>
                <w:rFonts w:ascii="Arial" w:eastAsia="Times New Roman" w:hAnsi="Arial" w:cs="Arial"/>
                <w:color w:val="005D00"/>
                <w:sz w:val="16"/>
                <w:szCs w:val="16"/>
                <w:lang w:eastAsia="en-GB"/>
              </w:rPr>
              <w:t xml:space="preserve"> </w:t>
            </w:r>
            <w:r w:rsidRPr="0008440F">
              <w:rPr>
                <w:rFonts w:ascii="Arial" w:eastAsia="Times New Roman" w:hAnsi="Arial" w:cs="Arial"/>
                <w:color w:val="005D00"/>
                <w:sz w:val="16"/>
                <w:szCs w:val="16"/>
                <w:lang w:eastAsia="en-GB"/>
              </w:rPr>
              <w:t>Ministry of Education and Science (MoES)</w:t>
            </w:r>
          </w:p>
          <w:p w14:paraId="26203163" w14:textId="77777777" w:rsidR="00D05FA5" w:rsidRPr="00312B39" w:rsidRDefault="00D05FA5" w:rsidP="00D05FA5">
            <w:pPr>
              <w:spacing w:after="0"/>
              <w:rPr>
                <w:rFonts w:ascii="Arial" w:hAnsi="Arial" w:cs="Arial"/>
                <w:color w:val="006100"/>
                <w:sz w:val="16"/>
                <w:szCs w:val="16"/>
              </w:rPr>
            </w:pPr>
          </w:p>
          <w:p w14:paraId="3C137B75"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A37124">
              <w:rPr>
                <w:rFonts w:ascii="Arial" w:hAnsi="Arial" w:cs="Arial"/>
                <w:color w:val="006100"/>
                <w:sz w:val="16"/>
                <w:szCs w:val="16"/>
              </w:rPr>
              <w:t xml:space="preserve">Completed projects by innovative SMEs and higher education institutions and research organisations </w:t>
            </w:r>
            <w:r w:rsidRPr="00312B39">
              <w:rPr>
                <w:rFonts w:ascii="Arial" w:hAnsi="Arial" w:cs="Arial"/>
                <w:color w:val="006100"/>
                <w:sz w:val="16"/>
                <w:szCs w:val="16"/>
              </w:rPr>
              <w:t>(</w:t>
            </w:r>
            <w:r>
              <w:rPr>
                <w:rFonts w:ascii="Arial" w:hAnsi="Arial" w:cs="Arial"/>
                <w:color w:val="006100"/>
                <w:sz w:val="16"/>
                <w:szCs w:val="16"/>
              </w:rPr>
              <w:t>a</w:t>
            </w:r>
            <w:r w:rsidRPr="00312B39">
              <w:rPr>
                <w:rFonts w:ascii="Arial" w:hAnsi="Arial" w:cs="Arial"/>
                <w:color w:val="006100"/>
                <w:sz w:val="16"/>
                <w:szCs w:val="16"/>
              </w:rPr>
              <w:t>)</w:t>
            </w:r>
          </w:p>
          <w:p w14:paraId="5273FED6" w14:textId="77777777" w:rsidR="00D05FA5" w:rsidRPr="00312B39" w:rsidRDefault="00D05FA5" w:rsidP="00D05FA5">
            <w:pPr>
              <w:spacing w:after="0"/>
              <w:rPr>
                <w:rFonts w:ascii="Arial" w:hAnsi="Arial" w:cs="Arial"/>
                <w:color w:val="006100"/>
                <w:sz w:val="16"/>
                <w:szCs w:val="16"/>
              </w:rPr>
            </w:pPr>
          </w:p>
          <w:p w14:paraId="47042E95"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following award (see milestone 27), implementation and completion (a)</w:t>
            </w:r>
          </w:p>
          <w:p w14:paraId="067BF7FA" w14:textId="77777777" w:rsidR="00D05FA5" w:rsidRPr="00312B39" w:rsidRDefault="00D05FA5" w:rsidP="00D05FA5">
            <w:pPr>
              <w:spacing w:after="0"/>
              <w:rPr>
                <w:rFonts w:ascii="Arial" w:hAnsi="Arial" w:cs="Arial"/>
                <w:color w:val="006100"/>
                <w:sz w:val="16"/>
                <w:szCs w:val="16"/>
              </w:rPr>
            </w:pPr>
          </w:p>
          <w:p w14:paraId="5CE4F03C"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Completed projects in compliance with the requirements under milestone 27. These shall include 38 projects by innovative SMEs, 10 Twinning projects, and two ERA Chairs.</w:t>
            </w:r>
          </w:p>
          <w:p w14:paraId="55E11366"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36B21595" w14:textId="77777777" w:rsidR="00D05FA5" w:rsidRPr="00312B39" w:rsidRDefault="00D05FA5" w:rsidP="00D05FA5">
            <w:pPr>
              <w:spacing w:after="0"/>
              <w:rPr>
                <w:rFonts w:ascii="Arial" w:hAnsi="Arial" w:cs="Arial"/>
                <w:color w:val="006100"/>
                <w:sz w:val="16"/>
                <w:szCs w:val="16"/>
              </w:rPr>
            </w:pPr>
          </w:p>
          <w:p w14:paraId="68F2D3B0"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completion</w:t>
            </w:r>
          </w:p>
        </w:tc>
        <w:tc>
          <w:tcPr>
            <w:tcW w:w="2377" w:type="dxa"/>
            <w:shd w:val="clear" w:color="auto" w:fill="D6E3C6"/>
          </w:tcPr>
          <w:p w14:paraId="46AFE99E" w14:textId="77777777" w:rsidR="00D05FA5" w:rsidRDefault="00D05FA5" w:rsidP="00D05FA5">
            <w:pPr>
              <w:spacing w:after="0" w:line="240" w:lineRule="auto"/>
              <w:rPr>
                <w:rFonts w:ascii="Arial" w:hAnsi="Arial" w:cs="Arial"/>
                <w:color w:val="005D00"/>
                <w:sz w:val="16"/>
                <w:szCs w:val="16"/>
              </w:rPr>
            </w:pPr>
            <w:r>
              <w:rPr>
                <w:rFonts w:ascii="Arial" w:hAnsi="Arial" w:cs="Arial"/>
                <w:color w:val="005D00"/>
                <w:sz w:val="16"/>
                <w:szCs w:val="16"/>
              </w:rPr>
              <w:t>As above</w:t>
            </w:r>
          </w:p>
          <w:p w14:paraId="65A234B4" w14:textId="77777777" w:rsidR="00D05FA5" w:rsidRDefault="00D05FA5" w:rsidP="00D05FA5">
            <w:pPr>
              <w:spacing w:after="0" w:line="240" w:lineRule="auto"/>
              <w:rPr>
                <w:rFonts w:ascii="Arial" w:hAnsi="Arial" w:cs="Arial"/>
                <w:color w:val="005D00"/>
                <w:sz w:val="16"/>
                <w:szCs w:val="16"/>
              </w:rPr>
            </w:pPr>
          </w:p>
          <w:p w14:paraId="1ACCC339" w14:textId="77777777" w:rsidR="00D05FA5" w:rsidRPr="00DF4E4F" w:rsidRDefault="00D05FA5" w:rsidP="00D05FA5">
            <w:pPr>
              <w:spacing w:after="0" w:line="240" w:lineRule="auto"/>
              <w:rPr>
                <w:rFonts w:ascii="Arial" w:hAnsi="Arial" w:cs="Arial"/>
                <w:color w:val="005D00"/>
                <w:sz w:val="16"/>
                <w:szCs w:val="16"/>
              </w:rPr>
            </w:pPr>
            <w:r w:rsidRPr="00DF4E4F">
              <w:rPr>
                <w:rFonts w:ascii="Arial" w:hAnsi="Arial" w:cs="Arial"/>
                <w:color w:val="005D00"/>
                <w:sz w:val="16"/>
                <w:szCs w:val="16"/>
              </w:rPr>
              <w:t>The investment shall include the following activities:</w:t>
            </w:r>
          </w:p>
          <w:p w14:paraId="3C6A0F6A" w14:textId="77777777" w:rsidR="00D05FA5" w:rsidRPr="00DF4E4F" w:rsidRDefault="00D05FA5" w:rsidP="00D05FA5">
            <w:pPr>
              <w:spacing w:after="0" w:line="240" w:lineRule="auto"/>
              <w:rPr>
                <w:rFonts w:ascii="Arial" w:hAnsi="Arial" w:cs="Arial"/>
                <w:color w:val="005D00"/>
                <w:sz w:val="16"/>
                <w:szCs w:val="16"/>
              </w:rPr>
            </w:pPr>
            <w:r w:rsidRPr="00DF4E4F">
              <w:rPr>
                <w:rFonts w:ascii="Arial" w:hAnsi="Arial" w:cs="Arial"/>
                <w:color w:val="005D00"/>
                <w:sz w:val="16"/>
                <w:szCs w:val="16"/>
              </w:rPr>
              <w:t xml:space="preserve"> </w:t>
            </w:r>
          </w:p>
          <w:p w14:paraId="4BDE27B4" w14:textId="77777777" w:rsidR="00D05FA5" w:rsidRPr="00DF4E4F" w:rsidRDefault="00D05FA5" w:rsidP="00D05FA5">
            <w:pPr>
              <w:spacing w:after="0" w:line="240" w:lineRule="auto"/>
              <w:rPr>
                <w:rFonts w:ascii="Arial" w:hAnsi="Arial" w:cs="Arial"/>
                <w:color w:val="005D00"/>
                <w:sz w:val="16"/>
                <w:szCs w:val="16"/>
              </w:rPr>
            </w:pPr>
            <w:r w:rsidRPr="00DF4E4F">
              <w:rPr>
                <w:rFonts w:ascii="Arial" w:hAnsi="Arial" w:cs="Arial"/>
                <w:color w:val="005D00"/>
                <w:sz w:val="16"/>
                <w:szCs w:val="16"/>
              </w:rPr>
              <w:t>-</w:t>
            </w:r>
            <w:r>
              <w:rPr>
                <w:rFonts w:ascii="Arial" w:hAnsi="Arial" w:cs="Arial"/>
                <w:color w:val="005D00"/>
                <w:sz w:val="16"/>
                <w:szCs w:val="16"/>
              </w:rPr>
              <w:t xml:space="preserve"> </w:t>
            </w:r>
            <w:r w:rsidRPr="00DF4E4F">
              <w:rPr>
                <w:rFonts w:ascii="Arial" w:hAnsi="Arial" w:cs="Arial"/>
                <w:color w:val="005D00"/>
                <w:sz w:val="16"/>
                <w:szCs w:val="16"/>
              </w:rPr>
              <w:t xml:space="preserve">Financing of 38 projects by Bulgarian small and medium enterprises which have been awarded the quality label "Seal of Excellence" under Horizon Europe; </w:t>
            </w:r>
          </w:p>
          <w:p w14:paraId="24A60832" w14:textId="77777777" w:rsidR="00D05FA5" w:rsidRPr="00DF4E4F" w:rsidRDefault="00D05FA5" w:rsidP="00D05FA5">
            <w:pPr>
              <w:spacing w:after="0" w:line="240" w:lineRule="auto"/>
              <w:rPr>
                <w:rFonts w:ascii="Arial" w:hAnsi="Arial" w:cs="Arial"/>
                <w:color w:val="005D00"/>
                <w:sz w:val="16"/>
                <w:szCs w:val="16"/>
              </w:rPr>
            </w:pPr>
            <w:r w:rsidRPr="00DF4E4F">
              <w:rPr>
                <w:rFonts w:ascii="Arial" w:hAnsi="Arial" w:cs="Arial"/>
                <w:color w:val="005D00"/>
                <w:sz w:val="16"/>
                <w:szCs w:val="16"/>
              </w:rPr>
              <w:t>-</w:t>
            </w:r>
            <w:r>
              <w:rPr>
                <w:rFonts w:ascii="Arial" w:hAnsi="Arial" w:cs="Arial"/>
                <w:color w:val="005D00"/>
                <w:sz w:val="16"/>
                <w:szCs w:val="16"/>
              </w:rPr>
              <w:t xml:space="preserve"> </w:t>
            </w:r>
            <w:r w:rsidRPr="00DF4E4F">
              <w:rPr>
                <w:rFonts w:ascii="Arial" w:hAnsi="Arial" w:cs="Arial"/>
                <w:color w:val="005D00"/>
                <w:sz w:val="16"/>
                <w:szCs w:val="16"/>
              </w:rPr>
              <w:t xml:space="preserve">Financing of 10 projects by Bulgarian higher education institutions which were given a high "above the threshold" evaluation (i.e. above 10 points) by the European Commission, but did not receive European budget funding in the area "Widening Participation and Spreading Excellence" of FP Horizon Europe; </w:t>
            </w:r>
          </w:p>
          <w:p w14:paraId="10953DE9" w14:textId="77777777" w:rsidR="00D05FA5" w:rsidRPr="0008440F" w:rsidRDefault="00D05FA5" w:rsidP="00D05FA5">
            <w:pPr>
              <w:spacing w:after="0" w:line="240" w:lineRule="auto"/>
              <w:rPr>
                <w:rFonts w:ascii="Arial" w:hAnsi="Arial" w:cs="Arial"/>
                <w:color w:val="005D00"/>
                <w:sz w:val="16"/>
                <w:szCs w:val="16"/>
              </w:rPr>
            </w:pPr>
            <w:r w:rsidRPr="00DF4E4F">
              <w:rPr>
                <w:rFonts w:ascii="Arial" w:hAnsi="Arial" w:cs="Arial"/>
                <w:color w:val="005D00"/>
                <w:sz w:val="16"/>
                <w:szCs w:val="16"/>
              </w:rPr>
              <w:t>-</w:t>
            </w:r>
            <w:r>
              <w:rPr>
                <w:rFonts w:ascii="Arial" w:hAnsi="Arial" w:cs="Arial"/>
                <w:color w:val="005D00"/>
                <w:sz w:val="16"/>
                <w:szCs w:val="16"/>
              </w:rPr>
              <w:t xml:space="preserve"> </w:t>
            </w:r>
            <w:r w:rsidRPr="00DF4E4F">
              <w:rPr>
                <w:rFonts w:ascii="Arial" w:hAnsi="Arial" w:cs="Arial"/>
                <w:color w:val="005D00"/>
                <w:sz w:val="16"/>
                <w:szCs w:val="16"/>
              </w:rPr>
              <w:t>Financing for two European Research Area (ERA) Chairs;</w:t>
            </w:r>
          </w:p>
        </w:tc>
        <w:tc>
          <w:tcPr>
            <w:tcW w:w="1398" w:type="dxa"/>
            <w:gridSpan w:val="2"/>
            <w:shd w:val="clear" w:color="auto" w:fill="D6E3C6"/>
          </w:tcPr>
          <w:p w14:paraId="4874BBA8"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Delays in milestone 27</w:t>
            </w:r>
          </w:p>
        </w:tc>
        <w:tc>
          <w:tcPr>
            <w:tcW w:w="710" w:type="dxa"/>
            <w:gridSpan w:val="2"/>
            <w:shd w:val="clear" w:color="auto" w:fill="D6E3C6"/>
          </w:tcPr>
          <w:p w14:paraId="414FF5B8"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Yes, sample-based</w:t>
            </w:r>
          </w:p>
        </w:tc>
        <w:tc>
          <w:tcPr>
            <w:tcW w:w="825" w:type="dxa"/>
            <w:gridSpan w:val="2"/>
            <w:shd w:val="clear" w:color="auto" w:fill="D6E3C6"/>
          </w:tcPr>
          <w:p w14:paraId="33927DF1"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6 (digital companies), 8 (researchers), 9 (companies supported), 14 (youth supported)</w:t>
            </w:r>
          </w:p>
        </w:tc>
        <w:tc>
          <w:tcPr>
            <w:tcW w:w="1280" w:type="dxa"/>
            <w:gridSpan w:val="2"/>
            <w:shd w:val="clear" w:color="auto" w:fill="D6E3C6"/>
          </w:tcPr>
          <w:p w14:paraId="15F6682F" w14:textId="77D23F5C" w:rsidR="00D05FA5" w:rsidRPr="0008440F" w:rsidRDefault="00D05FA5" w:rsidP="00D05FA5">
            <w:pPr>
              <w:spacing w:after="0" w:line="240" w:lineRule="auto"/>
              <w:rPr>
                <w:rFonts w:ascii="Arial" w:hAnsi="Arial" w:cs="Arial"/>
                <w:color w:val="005D00"/>
                <w:sz w:val="16"/>
                <w:szCs w:val="16"/>
              </w:rPr>
            </w:pPr>
            <w:r w:rsidRPr="00E86454">
              <w:rPr>
                <w:rFonts w:ascii="Arial" w:hAnsi="Arial" w:cs="Arial"/>
                <w:color w:val="005D00"/>
                <w:sz w:val="16"/>
                <w:szCs w:val="16"/>
              </w:rPr>
              <w:t xml:space="preserve">The </w:t>
            </w:r>
            <w:r>
              <w:rPr>
                <w:rFonts w:ascii="Arial" w:hAnsi="Arial" w:cs="Arial"/>
                <w:color w:val="005D00"/>
                <w:sz w:val="16"/>
                <w:szCs w:val="16"/>
              </w:rPr>
              <w:t>target</w:t>
            </w:r>
            <w:r w:rsidRPr="00E86454">
              <w:rPr>
                <w:rFonts w:ascii="Arial" w:hAnsi="Arial" w:cs="Arial"/>
                <w:color w:val="005D00"/>
                <w:sz w:val="16"/>
                <w:szCs w:val="16"/>
              </w:rPr>
              <w:t xml:space="preserve"> will likely have an interim step: </w:t>
            </w:r>
            <w:r w:rsidRPr="00FE2860">
              <w:rPr>
                <w:rFonts w:ascii="Arial" w:hAnsi="Arial" w:cs="Arial"/>
                <w:color w:val="005D00"/>
                <w:sz w:val="16"/>
                <w:szCs w:val="16"/>
              </w:rPr>
              <w:t xml:space="preserve">Progress report detailing the progress achieved towards fulfilling the target (what is the progress status of projects? How many were completed for SMEs, Twinning projects, ERA Chairs by Q2 2024) </w:t>
            </w:r>
            <w:r w:rsidRPr="00E86454">
              <w:rPr>
                <w:rFonts w:ascii="Arial" w:hAnsi="Arial" w:cs="Arial"/>
                <w:color w:val="005D00"/>
                <w:sz w:val="16"/>
                <w:szCs w:val="16"/>
              </w:rPr>
              <w:t>(Q</w:t>
            </w:r>
            <w:r>
              <w:rPr>
                <w:rFonts w:ascii="Arial" w:hAnsi="Arial" w:cs="Arial"/>
                <w:color w:val="005D00"/>
                <w:sz w:val="16"/>
                <w:szCs w:val="16"/>
              </w:rPr>
              <w:t>2</w:t>
            </w:r>
            <w:r w:rsidRPr="00E86454">
              <w:rPr>
                <w:rFonts w:ascii="Arial" w:hAnsi="Arial" w:cs="Arial"/>
                <w:color w:val="005D00"/>
                <w:sz w:val="16"/>
                <w:szCs w:val="16"/>
              </w:rPr>
              <w:t xml:space="preserve"> 202</w:t>
            </w:r>
            <w:r>
              <w:rPr>
                <w:rFonts w:ascii="Arial" w:hAnsi="Arial" w:cs="Arial"/>
                <w:color w:val="005D00"/>
                <w:sz w:val="16"/>
                <w:szCs w:val="16"/>
              </w:rPr>
              <w:t>4</w:t>
            </w:r>
            <w:r w:rsidRPr="00E86454">
              <w:rPr>
                <w:rFonts w:ascii="Arial" w:hAnsi="Arial" w:cs="Arial"/>
                <w:color w:val="005D00"/>
                <w:sz w:val="16"/>
                <w:szCs w:val="16"/>
              </w:rPr>
              <w:t>)</w:t>
            </w:r>
          </w:p>
        </w:tc>
      </w:tr>
      <w:tr w:rsidR="00D05FA5" w:rsidRPr="0008440F" w14:paraId="6530D3CD" w14:textId="77777777" w:rsidTr="506F4F75">
        <w:trPr>
          <w:gridAfter w:val="1"/>
          <w:wAfter w:w="15" w:type="dxa"/>
          <w:trHeight w:val="303"/>
        </w:trPr>
        <w:tc>
          <w:tcPr>
            <w:tcW w:w="360" w:type="dxa"/>
            <w:shd w:val="clear" w:color="auto" w:fill="D6E3C6"/>
            <w:noWrap/>
          </w:tcPr>
          <w:p w14:paraId="24A71405"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29</w:t>
            </w:r>
          </w:p>
        </w:tc>
        <w:tc>
          <w:tcPr>
            <w:tcW w:w="1200" w:type="dxa"/>
            <w:shd w:val="clear" w:color="auto" w:fill="D6E3C6"/>
            <w:noWrap/>
          </w:tcPr>
          <w:p w14:paraId="38B7D2A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C2.I1: Programme to accelerate economic recovery and transformation through research and innovation</w:t>
            </w:r>
          </w:p>
        </w:tc>
        <w:tc>
          <w:tcPr>
            <w:tcW w:w="851" w:type="dxa"/>
            <w:shd w:val="clear" w:color="auto" w:fill="D6E3C6"/>
            <w:noWrap/>
          </w:tcPr>
          <w:p w14:paraId="7F18BAB6"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34" w:type="dxa"/>
            <w:shd w:val="clear" w:color="auto" w:fill="D6E3C6"/>
            <w:noWrap/>
          </w:tcPr>
          <w:p w14:paraId="72BFCFDA"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Signature of contracts with research higher education institutions</w:t>
            </w:r>
          </w:p>
        </w:tc>
        <w:tc>
          <w:tcPr>
            <w:tcW w:w="1220" w:type="dxa"/>
            <w:shd w:val="clear" w:color="auto" w:fill="D6E3C6"/>
            <w:noWrap/>
          </w:tcPr>
          <w:p w14:paraId="4395C23A"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567" w:type="dxa"/>
            <w:shd w:val="clear" w:color="auto" w:fill="D6E3C6"/>
            <w:noWrap/>
          </w:tcPr>
          <w:p w14:paraId="6348F16D"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08" w:type="dxa"/>
            <w:shd w:val="clear" w:color="auto" w:fill="D6E3C6"/>
            <w:noWrap/>
          </w:tcPr>
          <w:p w14:paraId="0062D1F2"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675" w:type="dxa"/>
            <w:shd w:val="clear" w:color="auto" w:fill="D6E3C6"/>
            <w:noWrap/>
          </w:tcPr>
          <w:p w14:paraId="6A1CE13E"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9</w:t>
            </w:r>
          </w:p>
        </w:tc>
        <w:tc>
          <w:tcPr>
            <w:tcW w:w="187" w:type="dxa"/>
            <w:shd w:val="clear" w:color="auto" w:fill="D6E3C6"/>
            <w:noWrap/>
          </w:tcPr>
          <w:p w14:paraId="70F9E76E"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60" w:type="dxa"/>
            <w:shd w:val="clear" w:color="auto" w:fill="D6E3C6"/>
            <w:noWrap/>
          </w:tcPr>
          <w:p w14:paraId="3E30625E"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2022</w:t>
            </w:r>
          </w:p>
        </w:tc>
        <w:tc>
          <w:tcPr>
            <w:tcW w:w="1130" w:type="dxa"/>
            <w:shd w:val="clear" w:color="auto" w:fill="D6E3C6"/>
          </w:tcPr>
          <w:p w14:paraId="613A9048"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p w14:paraId="1EBDF5B9"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764" w:type="dxa"/>
            <w:shd w:val="clear" w:color="auto" w:fill="D6E3C6"/>
          </w:tcPr>
          <w:p w14:paraId="78886C55"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24B0E693" w14:textId="77777777" w:rsidR="00D05FA5" w:rsidRPr="0008440F" w:rsidRDefault="00D05FA5" w:rsidP="00D05FA5">
            <w:pPr>
              <w:pStyle w:val="ListParagraph"/>
              <w:numPr>
                <w:ilvl w:val="0"/>
                <w:numId w:val="23"/>
              </w:numPr>
              <w:tabs>
                <w:tab w:val="clear" w:pos="720"/>
                <w:tab w:val="num" w:pos="536"/>
              </w:tabs>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IE" w:eastAsia="en-GB"/>
              </w:rPr>
              <w:t>List of the nine selected research higher education institutions;</w:t>
            </w:r>
          </w:p>
          <w:p w14:paraId="318A6C3F" w14:textId="77777777" w:rsidR="00D05FA5" w:rsidRPr="0008440F" w:rsidRDefault="00D05FA5" w:rsidP="00D05FA5">
            <w:pPr>
              <w:pStyle w:val="ListParagraph"/>
              <w:numPr>
                <w:ilvl w:val="0"/>
                <w:numId w:val="23"/>
              </w:numPr>
              <w:tabs>
                <w:tab w:val="clear" w:pos="720"/>
                <w:tab w:val="num" w:pos="536"/>
              </w:tabs>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US" w:eastAsia="en-GB"/>
              </w:rPr>
              <w:t xml:space="preserve">Copies of </w:t>
            </w:r>
            <w:r w:rsidRPr="0008440F">
              <w:rPr>
                <w:rFonts w:ascii="Arial" w:hAnsi="Arial" w:cs="Arial"/>
                <w:color w:val="005D00"/>
                <w:sz w:val="16"/>
                <w:szCs w:val="16"/>
              </w:rPr>
              <w:t>Council of Ministers’ decisions;</w:t>
            </w:r>
          </w:p>
          <w:p w14:paraId="2667745F" w14:textId="77777777" w:rsidR="00D05FA5" w:rsidRPr="0008440F" w:rsidRDefault="00D05FA5" w:rsidP="00D05FA5">
            <w:pPr>
              <w:pStyle w:val="ListParagraph"/>
              <w:numPr>
                <w:ilvl w:val="0"/>
                <w:numId w:val="23"/>
              </w:numPr>
              <w:tabs>
                <w:tab w:val="clear" w:pos="720"/>
                <w:tab w:val="num" w:pos="536"/>
              </w:tabs>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US" w:eastAsia="en-GB"/>
              </w:rPr>
              <w:t xml:space="preserve">Guidance and requirements for preparation of Innovation Programs, </w:t>
            </w:r>
            <w:r w:rsidRPr="0008440F">
              <w:rPr>
                <w:rFonts w:ascii="Arial" w:hAnsi="Arial" w:cs="Arial"/>
                <w:color w:val="005D00"/>
                <w:sz w:val="16"/>
                <w:szCs w:val="16"/>
              </w:rPr>
              <w:t>laying down the conditions for the activities to be carried out with the funds,</w:t>
            </w:r>
            <w:r w:rsidRPr="0008440F">
              <w:rPr>
                <w:rFonts w:ascii="Arial" w:hAnsi="Arial" w:cs="Arial"/>
                <w:color w:val="005D00"/>
                <w:sz w:val="16"/>
                <w:szCs w:val="16"/>
                <w:lang w:val="en-US" w:eastAsia="en-GB"/>
              </w:rPr>
              <w:t xml:space="preserve"> including </w:t>
            </w:r>
            <w:r w:rsidRPr="0008440F">
              <w:rPr>
                <w:rFonts w:ascii="Arial" w:hAnsi="Arial" w:cs="Arial"/>
                <w:color w:val="005D00"/>
                <w:sz w:val="16"/>
                <w:szCs w:val="16"/>
              </w:rPr>
              <w:t xml:space="preserve">plan for research development and technology transfer, the participation in a </w:t>
            </w:r>
            <w:r w:rsidRPr="0008440F">
              <w:rPr>
                <w:rFonts w:ascii="Arial" w:hAnsi="Arial" w:cs="Arial"/>
                <w:color w:val="005D00"/>
                <w:sz w:val="16"/>
                <w:szCs w:val="16"/>
              </w:rPr>
              <w:lastRenderedPageBreak/>
              <w:t>network among the nine higher education institutions;</w:t>
            </w:r>
          </w:p>
          <w:p w14:paraId="69E81EED" w14:textId="77777777" w:rsidR="00D05FA5" w:rsidRPr="0008440F" w:rsidRDefault="00D05FA5" w:rsidP="00D05FA5">
            <w:pPr>
              <w:pStyle w:val="ListParagraph"/>
              <w:numPr>
                <w:ilvl w:val="0"/>
                <w:numId w:val="23"/>
              </w:numPr>
              <w:tabs>
                <w:tab w:val="clear" w:pos="720"/>
                <w:tab w:val="num" w:pos="536"/>
              </w:tabs>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rPr>
              <w:t>Copies of documents establishing (1) a peer-review committee and (2) a monitoring and evaluation committee within the MoES’s structures in charge of the procedures for selection and subsequent monitoring of the innovation programmes;</w:t>
            </w:r>
          </w:p>
          <w:p w14:paraId="08F74FB4" w14:textId="77777777" w:rsidR="00D05FA5" w:rsidRPr="00B86FBB" w:rsidRDefault="00D05FA5" w:rsidP="00D05FA5">
            <w:pPr>
              <w:pStyle w:val="ListParagraph"/>
              <w:numPr>
                <w:ilvl w:val="0"/>
                <w:numId w:val="23"/>
              </w:numPr>
              <w:tabs>
                <w:tab w:val="clear" w:pos="720"/>
                <w:tab w:val="num" w:pos="536"/>
              </w:tabs>
              <w:spacing w:line="240" w:lineRule="auto"/>
              <w:ind w:left="394"/>
              <w:rPr>
                <w:rFonts w:ascii="Arial" w:hAnsi="Arial" w:cs="Arial"/>
                <w:color w:val="005D00"/>
                <w:sz w:val="16"/>
                <w:szCs w:val="16"/>
                <w:lang w:val="en-US" w:eastAsia="en-GB"/>
              </w:rPr>
            </w:pPr>
            <w:r w:rsidRPr="0008440F">
              <w:rPr>
                <w:rFonts w:ascii="Arial" w:hAnsi="Arial" w:cs="Arial"/>
                <w:color w:val="005D00"/>
                <w:sz w:val="16"/>
                <w:szCs w:val="16"/>
                <w:lang w:val="en-US" w:eastAsia="en-GB"/>
              </w:rPr>
              <w:t>Copies of the peer-review reports.</w:t>
            </w:r>
            <w:r w:rsidRPr="0008440F">
              <w:rPr>
                <w:rFonts w:ascii="Arial" w:hAnsi="Arial" w:cs="Arial"/>
                <w:color w:val="005D00"/>
                <w:sz w:val="16"/>
                <w:szCs w:val="16"/>
                <w:lang w:val="en-IE" w:eastAsia="en-GB"/>
              </w:rPr>
              <w:t xml:space="preserve"> </w:t>
            </w:r>
          </w:p>
          <w:p w14:paraId="12B96B8F" w14:textId="77777777" w:rsidR="00D05FA5" w:rsidRPr="00B86FBB" w:rsidRDefault="00D05FA5" w:rsidP="00D05FA5">
            <w:pPr>
              <w:pStyle w:val="ListParagraph"/>
              <w:numPr>
                <w:ilvl w:val="0"/>
                <w:numId w:val="23"/>
              </w:numPr>
              <w:tabs>
                <w:tab w:val="clear" w:pos="720"/>
                <w:tab w:val="num" w:pos="536"/>
              </w:tabs>
              <w:spacing w:line="240" w:lineRule="auto"/>
              <w:ind w:left="394"/>
              <w:rPr>
                <w:rFonts w:ascii="Arial" w:hAnsi="Arial" w:cs="Arial"/>
                <w:color w:val="005D00"/>
                <w:sz w:val="16"/>
                <w:szCs w:val="16"/>
                <w:lang w:val="en-US" w:eastAsia="en-GB"/>
              </w:rPr>
            </w:pPr>
            <w:r w:rsidRPr="00B86FBB">
              <w:rPr>
                <w:rFonts w:ascii="Arial" w:hAnsi="Arial" w:cs="Arial"/>
                <w:color w:val="005D00"/>
                <w:sz w:val="16"/>
                <w:szCs w:val="16"/>
                <w:lang w:val="en-IE" w:eastAsia="en-GB"/>
              </w:rPr>
              <w:t>Copies of the signed contracts with innovation programs;</w:t>
            </w:r>
          </w:p>
        </w:tc>
        <w:tc>
          <w:tcPr>
            <w:tcW w:w="4111" w:type="dxa"/>
            <w:shd w:val="clear" w:color="auto" w:fill="D6E3C6"/>
          </w:tcPr>
          <w:p w14:paraId="6E600525"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lastRenderedPageBreak/>
              <w:t xml:space="preserve">Institution/s: </w:t>
            </w:r>
            <w:r w:rsidRPr="0008440F">
              <w:rPr>
                <w:rFonts w:ascii="Arial" w:eastAsia="Times New Roman" w:hAnsi="Arial" w:cs="Arial"/>
                <w:color w:val="005D00"/>
                <w:sz w:val="16"/>
                <w:szCs w:val="16"/>
                <w:lang w:eastAsia="en-GB"/>
              </w:rPr>
              <w:t>Ministry of Education and science</w:t>
            </w:r>
          </w:p>
          <w:p w14:paraId="74B23F1E" w14:textId="77777777" w:rsidR="00D05FA5" w:rsidRPr="00312B39" w:rsidRDefault="00D05FA5" w:rsidP="00D05FA5">
            <w:pPr>
              <w:spacing w:after="0"/>
              <w:rPr>
                <w:rFonts w:ascii="Arial" w:hAnsi="Arial" w:cs="Arial"/>
                <w:color w:val="006100"/>
                <w:sz w:val="16"/>
                <w:szCs w:val="16"/>
              </w:rPr>
            </w:pPr>
          </w:p>
          <w:p w14:paraId="752C6AA4"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08440F">
              <w:rPr>
                <w:rFonts w:ascii="Arial" w:hAnsi="Arial" w:cs="Arial"/>
                <w:color w:val="005D00"/>
                <w:sz w:val="16"/>
                <w:szCs w:val="16"/>
              </w:rPr>
              <w:t>Signature of contracts with research higher education institutions</w:t>
            </w:r>
            <w:r w:rsidRPr="00312B39">
              <w:rPr>
                <w:rFonts w:ascii="Arial" w:hAnsi="Arial" w:cs="Arial"/>
                <w:color w:val="006100"/>
                <w:sz w:val="16"/>
                <w:szCs w:val="16"/>
              </w:rPr>
              <w:t xml:space="preserve"> (</w:t>
            </w:r>
            <w:r>
              <w:rPr>
                <w:rFonts w:ascii="Arial" w:hAnsi="Arial" w:cs="Arial"/>
                <w:color w:val="006100"/>
                <w:sz w:val="16"/>
                <w:szCs w:val="16"/>
              </w:rPr>
              <w:t>f</w:t>
            </w:r>
            <w:r w:rsidRPr="00312B39">
              <w:rPr>
                <w:rFonts w:ascii="Arial" w:hAnsi="Arial" w:cs="Arial"/>
                <w:color w:val="006100"/>
                <w:sz w:val="16"/>
                <w:szCs w:val="16"/>
              </w:rPr>
              <w:t>)</w:t>
            </w:r>
          </w:p>
          <w:p w14:paraId="44040273" w14:textId="77777777" w:rsidR="00D05FA5" w:rsidRPr="00312B39" w:rsidRDefault="00D05FA5" w:rsidP="00D05FA5">
            <w:pPr>
              <w:spacing w:after="0"/>
              <w:rPr>
                <w:rFonts w:ascii="Arial" w:hAnsi="Arial" w:cs="Arial"/>
                <w:color w:val="006100"/>
                <w:sz w:val="16"/>
                <w:szCs w:val="16"/>
              </w:rPr>
            </w:pPr>
          </w:p>
          <w:p w14:paraId="68DECCC4"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selecting (a), deciding (b), providing guidance (c), procedures (d), peer-reviews (e), contracting (f)</w:t>
            </w:r>
          </w:p>
          <w:p w14:paraId="466276FC" w14:textId="77777777" w:rsidR="00D05FA5" w:rsidRPr="00312B39" w:rsidRDefault="00D05FA5" w:rsidP="00D05FA5">
            <w:pPr>
              <w:spacing w:after="0"/>
              <w:rPr>
                <w:rFonts w:ascii="Arial" w:hAnsi="Arial" w:cs="Arial"/>
                <w:color w:val="006100"/>
                <w:sz w:val="16"/>
                <w:szCs w:val="16"/>
              </w:rPr>
            </w:pPr>
          </w:p>
          <w:p w14:paraId="4A7B7E15"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 xml:space="preserve">Signature of contracts with 9 research higher education institutions based on a decision of the Council of Ministers. The procedure for the selection and subsequent monitoring of the innovation programmes, based on peer-review, shall be carried out by a </w:t>
            </w:r>
            <w:r w:rsidRPr="0008440F">
              <w:rPr>
                <w:rFonts w:ascii="Arial" w:hAnsi="Arial" w:cs="Arial"/>
                <w:color w:val="005D00"/>
                <w:sz w:val="16"/>
                <w:szCs w:val="16"/>
              </w:rPr>
              <w:lastRenderedPageBreak/>
              <w:t>monitoring and evaluation committee established within the Ministry of Education and Science. Each contract shall lay down the conditions for the activities to be carried out with the funds, based on the innovation programs submitted by the higher education institutions. These shall determine a concrete plan for research development and technology transfer, and shall specify the participation in a network among the nine research higher education institutions, taking into account gender equality and the importance of green innovations.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7EA0D1FA" w14:textId="77777777" w:rsidR="00D05FA5" w:rsidRPr="00312B39" w:rsidRDefault="00D05FA5" w:rsidP="00D05FA5">
            <w:pPr>
              <w:spacing w:after="0"/>
              <w:rPr>
                <w:rFonts w:ascii="Arial" w:hAnsi="Arial" w:cs="Arial"/>
                <w:color w:val="006100"/>
                <w:sz w:val="16"/>
                <w:szCs w:val="16"/>
              </w:rPr>
            </w:pPr>
          </w:p>
          <w:p w14:paraId="7AA468AA"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a, b, c, d, e, and f</w:t>
            </w:r>
          </w:p>
        </w:tc>
        <w:tc>
          <w:tcPr>
            <w:tcW w:w="2377" w:type="dxa"/>
            <w:shd w:val="clear" w:color="auto" w:fill="D6E3C6"/>
          </w:tcPr>
          <w:p w14:paraId="105043E9" w14:textId="77777777" w:rsidR="00D05FA5" w:rsidRDefault="00D05FA5" w:rsidP="00D05FA5">
            <w:pPr>
              <w:spacing w:after="0" w:line="240" w:lineRule="auto"/>
              <w:rPr>
                <w:rFonts w:ascii="Arial" w:hAnsi="Arial" w:cs="Arial"/>
                <w:color w:val="005D00"/>
                <w:sz w:val="16"/>
                <w:szCs w:val="16"/>
              </w:rPr>
            </w:pPr>
            <w:r>
              <w:rPr>
                <w:rFonts w:ascii="Arial" w:hAnsi="Arial" w:cs="Arial"/>
                <w:color w:val="005D00"/>
                <w:sz w:val="16"/>
                <w:szCs w:val="16"/>
              </w:rPr>
              <w:lastRenderedPageBreak/>
              <w:t>As above</w:t>
            </w:r>
          </w:p>
          <w:p w14:paraId="724A08C0" w14:textId="77777777" w:rsidR="00D05FA5" w:rsidRDefault="00D05FA5" w:rsidP="00D05FA5">
            <w:pPr>
              <w:spacing w:after="0" w:line="240" w:lineRule="auto"/>
              <w:rPr>
                <w:rFonts w:ascii="Arial" w:hAnsi="Arial" w:cs="Arial"/>
                <w:color w:val="005D00"/>
                <w:sz w:val="16"/>
                <w:szCs w:val="16"/>
              </w:rPr>
            </w:pPr>
          </w:p>
          <w:p w14:paraId="1D3E960D" w14:textId="77777777" w:rsidR="00D05FA5" w:rsidRPr="00DF4E4F" w:rsidRDefault="00D05FA5" w:rsidP="00D05FA5">
            <w:pPr>
              <w:spacing w:after="0" w:line="240" w:lineRule="auto"/>
              <w:rPr>
                <w:rFonts w:ascii="Arial" w:hAnsi="Arial" w:cs="Arial"/>
                <w:color w:val="005D00"/>
                <w:sz w:val="16"/>
                <w:szCs w:val="16"/>
              </w:rPr>
            </w:pPr>
            <w:r w:rsidRPr="00DF4E4F">
              <w:rPr>
                <w:rFonts w:ascii="Arial" w:hAnsi="Arial" w:cs="Arial"/>
                <w:color w:val="005D00"/>
                <w:sz w:val="16"/>
                <w:szCs w:val="16"/>
              </w:rPr>
              <w:t>The investment shall include the following activities:</w:t>
            </w:r>
          </w:p>
          <w:p w14:paraId="050F4492" w14:textId="77777777" w:rsidR="00D05FA5" w:rsidRPr="0008440F" w:rsidRDefault="00D05FA5" w:rsidP="00D05FA5">
            <w:pPr>
              <w:spacing w:after="0" w:line="240" w:lineRule="auto"/>
              <w:rPr>
                <w:rFonts w:ascii="Arial" w:hAnsi="Arial" w:cs="Arial"/>
                <w:color w:val="005D00"/>
                <w:sz w:val="16"/>
                <w:szCs w:val="16"/>
              </w:rPr>
            </w:pPr>
            <w:r w:rsidRPr="000C23BF">
              <w:rPr>
                <w:rFonts w:ascii="Arial" w:hAnsi="Arial" w:cs="Arial"/>
                <w:color w:val="005D00"/>
                <w:sz w:val="16"/>
                <w:szCs w:val="16"/>
              </w:rPr>
              <w:t>-</w:t>
            </w:r>
            <w:r>
              <w:rPr>
                <w:rFonts w:ascii="Arial" w:hAnsi="Arial" w:cs="Arial"/>
                <w:color w:val="005D00"/>
                <w:sz w:val="16"/>
                <w:szCs w:val="16"/>
              </w:rPr>
              <w:t xml:space="preserve"> </w:t>
            </w:r>
            <w:r w:rsidRPr="000C23BF">
              <w:rPr>
                <w:rFonts w:ascii="Arial" w:hAnsi="Arial" w:cs="Arial"/>
                <w:color w:val="005D00"/>
                <w:sz w:val="16"/>
                <w:szCs w:val="16"/>
              </w:rPr>
              <w:t>Funding the implementation of innovation programmes by nine research higher education institutions in Bulgaria.</w:t>
            </w:r>
          </w:p>
        </w:tc>
        <w:tc>
          <w:tcPr>
            <w:tcW w:w="1398" w:type="dxa"/>
            <w:gridSpan w:val="2"/>
            <w:shd w:val="clear" w:color="auto" w:fill="D6E3C6"/>
          </w:tcPr>
          <w:p w14:paraId="35C65255"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Delays in the establishment of a monitoring and evaluation committee</w:t>
            </w:r>
          </w:p>
        </w:tc>
        <w:tc>
          <w:tcPr>
            <w:tcW w:w="710" w:type="dxa"/>
            <w:gridSpan w:val="2"/>
            <w:shd w:val="clear" w:color="auto" w:fill="D6E3C6"/>
          </w:tcPr>
          <w:p w14:paraId="145150B0"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0E912032"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708CD0BD" w14:textId="3B6EC652"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Is number 5 really needed?</w:t>
            </w:r>
          </w:p>
        </w:tc>
      </w:tr>
      <w:tr w:rsidR="00D05FA5" w:rsidRPr="0008440F" w14:paraId="3E173DEA" w14:textId="77777777" w:rsidTr="506F4F75">
        <w:trPr>
          <w:gridAfter w:val="1"/>
          <w:wAfter w:w="15" w:type="dxa"/>
          <w:trHeight w:val="303"/>
        </w:trPr>
        <w:tc>
          <w:tcPr>
            <w:tcW w:w="360" w:type="dxa"/>
            <w:shd w:val="clear" w:color="auto" w:fill="D6E3C6"/>
            <w:noWrap/>
          </w:tcPr>
          <w:p w14:paraId="1D3A441B"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30</w:t>
            </w:r>
          </w:p>
        </w:tc>
        <w:tc>
          <w:tcPr>
            <w:tcW w:w="1200" w:type="dxa"/>
            <w:shd w:val="clear" w:color="auto" w:fill="D6E3C6"/>
            <w:noWrap/>
          </w:tcPr>
          <w:p w14:paraId="5F53711C"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C2.I1: Programme to accelerate economic recovery and transformation through research and innovation</w:t>
            </w:r>
          </w:p>
        </w:tc>
        <w:tc>
          <w:tcPr>
            <w:tcW w:w="851" w:type="dxa"/>
            <w:shd w:val="clear" w:color="auto" w:fill="D6E3C6"/>
            <w:noWrap/>
          </w:tcPr>
          <w:p w14:paraId="1F272CF2"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34" w:type="dxa"/>
            <w:shd w:val="clear" w:color="auto" w:fill="D6E3C6"/>
            <w:noWrap/>
          </w:tcPr>
          <w:p w14:paraId="3CF3F75D"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Reports on the implementation of the Innovation Programmes</w:t>
            </w:r>
          </w:p>
        </w:tc>
        <w:tc>
          <w:tcPr>
            <w:tcW w:w="1220" w:type="dxa"/>
            <w:shd w:val="clear" w:color="auto" w:fill="D6E3C6"/>
            <w:noWrap/>
          </w:tcPr>
          <w:p w14:paraId="76656E25"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567" w:type="dxa"/>
            <w:shd w:val="clear" w:color="auto" w:fill="D6E3C6"/>
            <w:noWrap/>
          </w:tcPr>
          <w:p w14:paraId="2C3F6699"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08" w:type="dxa"/>
            <w:shd w:val="clear" w:color="auto" w:fill="D6E3C6"/>
            <w:noWrap/>
          </w:tcPr>
          <w:p w14:paraId="174FB77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675" w:type="dxa"/>
            <w:shd w:val="clear" w:color="auto" w:fill="D6E3C6"/>
            <w:noWrap/>
          </w:tcPr>
          <w:p w14:paraId="683D95A2"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9</w:t>
            </w:r>
          </w:p>
        </w:tc>
        <w:tc>
          <w:tcPr>
            <w:tcW w:w="187" w:type="dxa"/>
            <w:shd w:val="clear" w:color="auto" w:fill="D6E3C6"/>
            <w:noWrap/>
          </w:tcPr>
          <w:p w14:paraId="1DA26668"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60" w:type="dxa"/>
            <w:shd w:val="clear" w:color="auto" w:fill="D6E3C6"/>
            <w:noWrap/>
          </w:tcPr>
          <w:p w14:paraId="7A3F759A"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2024</w:t>
            </w:r>
          </w:p>
        </w:tc>
        <w:tc>
          <w:tcPr>
            <w:tcW w:w="1130" w:type="dxa"/>
            <w:shd w:val="clear" w:color="auto" w:fill="D6E3C6"/>
          </w:tcPr>
          <w:p w14:paraId="6F8F7C45"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p w14:paraId="6E9F4F7C"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p w14:paraId="70B941F4"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764" w:type="dxa"/>
            <w:shd w:val="clear" w:color="auto" w:fill="D6E3C6"/>
          </w:tcPr>
          <w:p w14:paraId="0E241BDD"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1A4DA842" w14:textId="77777777" w:rsidR="00D05FA5" w:rsidRDefault="00D05FA5" w:rsidP="00D05FA5">
            <w:pPr>
              <w:pStyle w:val="ListParagraph"/>
              <w:numPr>
                <w:ilvl w:val="0"/>
                <w:numId w:val="24"/>
              </w:numPr>
              <w:spacing w:line="240" w:lineRule="auto"/>
              <w:rPr>
                <w:rFonts w:ascii="Arial" w:hAnsi="Arial" w:cs="Arial"/>
                <w:color w:val="005D00"/>
                <w:sz w:val="16"/>
                <w:szCs w:val="16"/>
                <w:lang w:eastAsia="en-GB"/>
              </w:rPr>
            </w:pPr>
            <w:r w:rsidRPr="0008440F">
              <w:rPr>
                <w:rFonts w:ascii="Arial" w:hAnsi="Arial" w:cs="Arial"/>
                <w:color w:val="005D00"/>
                <w:sz w:val="16"/>
                <w:szCs w:val="16"/>
              </w:rPr>
              <w:t>Reports on the implementation of the Innovation Programmes, approved by the Monitoring and Evaluation Committee and in line with the specifications included in the CID Annex;</w:t>
            </w:r>
          </w:p>
          <w:p w14:paraId="303C9D95" w14:textId="77777777" w:rsidR="00D05FA5" w:rsidRPr="00A10257" w:rsidRDefault="00D05FA5" w:rsidP="00D05FA5">
            <w:pPr>
              <w:pStyle w:val="ListParagraph"/>
              <w:numPr>
                <w:ilvl w:val="0"/>
                <w:numId w:val="24"/>
              </w:numPr>
              <w:spacing w:line="240" w:lineRule="auto"/>
              <w:rPr>
                <w:rFonts w:ascii="Arial" w:hAnsi="Arial" w:cs="Arial"/>
                <w:color w:val="005D00"/>
                <w:sz w:val="16"/>
                <w:szCs w:val="16"/>
                <w:lang w:eastAsia="en-GB"/>
              </w:rPr>
            </w:pPr>
            <w:r w:rsidRPr="00A10257">
              <w:rPr>
                <w:rFonts w:ascii="Arial" w:hAnsi="Arial" w:cs="Arial"/>
                <w:color w:val="005D00"/>
                <w:sz w:val="16"/>
                <w:szCs w:val="16"/>
              </w:rPr>
              <w:t>Reports by the Monitoring and Evaluation Committee including recommendations for future developments.</w:t>
            </w:r>
          </w:p>
        </w:tc>
        <w:tc>
          <w:tcPr>
            <w:tcW w:w="4111" w:type="dxa"/>
            <w:shd w:val="clear" w:color="auto" w:fill="D6E3C6"/>
          </w:tcPr>
          <w:p w14:paraId="20761A0C"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6DD20BAF" w14:textId="77777777" w:rsidR="00D05FA5" w:rsidRPr="00312B39" w:rsidRDefault="00D05FA5" w:rsidP="00D05FA5">
            <w:pPr>
              <w:spacing w:after="0"/>
              <w:rPr>
                <w:rFonts w:ascii="Arial" w:hAnsi="Arial" w:cs="Arial"/>
                <w:color w:val="006100"/>
                <w:sz w:val="16"/>
                <w:szCs w:val="16"/>
              </w:rPr>
            </w:pPr>
          </w:p>
          <w:p w14:paraId="2E1723CC"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08440F">
              <w:rPr>
                <w:rFonts w:ascii="Arial" w:hAnsi="Arial" w:cs="Arial"/>
                <w:color w:val="005D00"/>
                <w:sz w:val="16"/>
                <w:szCs w:val="16"/>
              </w:rPr>
              <w:t>Reports on the implementation of the Innovation Programmes</w:t>
            </w:r>
            <w:r w:rsidRPr="00312B39">
              <w:rPr>
                <w:rFonts w:ascii="Arial" w:hAnsi="Arial" w:cs="Arial"/>
                <w:color w:val="006100"/>
                <w:sz w:val="16"/>
                <w:szCs w:val="16"/>
              </w:rPr>
              <w:t xml:space="preserve"> (</w:t>
            </w:r>
            <w:r>
              <w:rPr>
                <w:rFonts w:ascii="Arial" w:hAnsi="Arial" w:cs="Arial"/>
                <w:color w:val="006100"/>
                <w:sz w:val="16"/>
                <w:szCs w:val="16"/>
              </w:rPr>
              <w:t>a and b</w:t>
            </w:r>
            <w:r w:rsidRPr="00312B39">
              <w:rPr>
                <w:rFonts w:ascii="Arial" w:hAnsi="Arial" w:cs="Arial"/>
                <w:color w:val="006100"/>
                <w:sz w:val="16"/>
                <w:szCs w:val="16"/>
              </w:rPr>
              <w:t>)</w:t>
            </w:r>
          </w:p>
          <w:p w14:paraId="48C52040" w14:textId="77777777" w:rsidR="00D05FA5" w:rsidRPr="00312B39" w:rsidRDefault="00D05FA5" w:rsidP="00D05FA5">
            <w:pPr>
              <w:spacing w:after="0"/>
              <w:rPr>
                <w:rFonts w:ascii="Arial" w:hAnsi="Arial" w:cs="Arial"/>
                <w:color w:val="006100"/>
                <w:sz w:val="16"/>
                <w:szCs w:val="16"/>
              </w:rPr>
            </w:pPr>
          </w:p>
          <w:p w14:paraId="4D731A9B"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reporting (a and b)</w:t>
            </w:r>
          </w:p>
          <w:p w14:paraId="53D0809A" w14:textId="77777777" w:rsidR="00D05FA5" w:rsidRPr="00312B39" w:rsidRDefault="00D05FA5" w:rsidP="00D05FA5">
            <w:pPr>
              <w:spacing w:after="0"/>
              <w:rPr>
                <w:rFonts w:ascii="Arial" w:hAnsi="Arial" w:cs="Arial"/>
                <w:color w:val="006100"/>
                <w:sz w:val="16"/>
                <w:szCs w:val="16"/>
              </w:rPr>
            </w:pPr>
          </w:p>
          <w:p w14:paraId="00E27B0D"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The reports shall present the results achieved by each of the research higher education institutions. The reports shall include information on the activities implemented and the indicators achieved for each sub-programme included in the strategic innovation agendas of each higher education institution. The reports shall be approved by a Monitoring and Evaluation Committee. The members of the Committee shall prepare a report on the progress of each of the research higher education institutions with implementing their innovation programmes and provide recommendations for their future development. The reports shall be published.</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0B9752CE" w14:textId="77777777" w:rsidR="00D05FA5" w:rsidRPr="00312B39" w:rsidRDefault="00D05FA5" w:rsidP="00D05FA5">
            <w:pPr>
              <w:spacing w:after="0"/>
              <w:rPr>
                <w:rFonts w:ascii="Arial" w:hAnsi="Arial" w:cs="Arial"/>
                <w:color w:val="006100"/>
                <w:sz w:val="16"/>
                <w:szCs w:val="16"/>
              </w:rPr>
            </w:pPr>
          </w:p>
          <w:p w14:paraId="47505B57"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present the results/recommendations as of Q3/Q4 2024</w:t>
            </w:r>
          </w:p>
        </w:tc>
        <w:tc>
          <w:tcPr>
            <w:tcW w:w="2377" w:type="dxa"/>
            <w:shd w:val="clear" w:color="auto" w:fill="D6E3C6"/>
          </w:tcPr>
          <w:p w14:paraId="70CCE7EA" w14:textId="77777777" w:rsidR="00D05FA5" w:rsidRPr="0008440F" w:rsidRDefault="00D05FA5" w:rsidP="00D05FA5">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gridSpan w:val="2"/>
            <w:shd w:val="clear" w:color="auto" w:fill="D6E3C6"/>
          </w:tcPr>
          <w:p w14:paraId="7FE9F34A"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Delays in milestone 29</w:t>
            </w:r>
          </w:p>
        </w:tc>
        <w:tc>
          <w:tcPr>
            <w:tcW w:w="710" w:type="dxa"/>
            <w:gridSpan w:val="2"/>
            <w:shd w:val="clear" w:color="auto" w:fill="D6E3C6"/>
          </w:tcPr>
          <w:p w14:paraId="4D2764AE"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7B4E385B"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8 (researchers)</w:t>
            </w:r>
          </w:p>
        </w:tc>
        <w:tc>
          <w:tcPr>
            <w:tcW w:w="1280" w:type="dxa"/>
            <w:gridSpan w:val="2"/>
            <w:shd w:val="clear" w:color="auto" w:fill="D6E3C6"/>
          </w:tcPr>
          <w:p w14:paraId="02D4F066" w14:textId="59F0C70C"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D05FA5" w:rsidRPr="0008440F" w14:paraId="79A205D3" w14:textId="77777777" w:rsidTr="506F4F75">
        <w:trPr>
          <w:gridAfter w:val="1"/>
          <w:wAfter w:w="15" w:type="dxa"/>
          <w:trHeight w:val="303"/>
        </w:trPr>
        <w:tc>
          <w:tcPr>
            <w:tcW w:w="360" w:type="dxa"/>
            <w:shd w:val="clear" w:color="auto" w:fill="D6E3C6"/>
            <w:noWrap/>
          </w:tcPr>
          <w:p w14:paraId="1CAF111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31</w:t>
            </w:r>
          </w:p>
        </w:tc>
        <w:tc>
          <w:tcPr>
            <w:tcW w:w="1200" w:type="dxa"/>
            <w:shd w:val="clear" w:color="auto" w:fill="D6E3C6"/>
            <w:noWrap/>
          </w:tcPr>
          <w:p w14:paraId="032EF94C"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C2.I2: Enhancing the innovation capacity of the Bulgarian Academy of Sciences</w:t>
            </w:r>
          </w:p>
        </w:tc>
        <w:tc>
          <w:tcPr>
            <w:tcW w:w="851" w:type="dxa"/>
            <w:shd w:val="clear" w:color="auto" w:fill="D6E3C6"/>
            <w:noWrap/>
          </w:tcPr>
          <w:p w14:paraId="3C1E8199"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795E8BC5"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Upgraded Joint Innovation Centre within the Bulgarian Academy of Sciences</w:t>
            </w:r>
          </w:p>
        </w:tc>
        <w:tc>
          <w:tcPr>
            <w:tcW w:w="1220" w:type="dxa"/>
            <w:shd w:val="clear" w:color="auto" w:fill="D6E3C6"/>
            <w:noWrap/>
          </w:tcPr>
          <w:p w14:paraId="3B24F675"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Upgraded Joint Innovation Centre operational</w:t>
            </w:r>
          </w:p>
        </w:tc>
        <w:tc>
          <w:tcPr>
            <w:tcW w:w="567" w:type="dxa"/>
            <w:shd w:val="clear" w:color="auto" w:fill="D6E3C6"/>
            <w:noWrap/>
          </w:tcPr>
          <w:p w14:paraId="140FC3F1"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3BDCBB6F"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675" w:type="dxa"/>
            <w:shd w:val="clear" w:color="auto" w:fill="D6E3C6"/>
            <w:noWrap/>
          </w:tcPr>
          <w:p w14:paraId="1E0F64B9"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187" w:type="dxa"/>
            <w:shd w:val="clear" w:color="auto" w:fill="D6E3C6"/>
            <w:noWrap/>
          </w:tcPr>
          <w:p w14:paraId="4F97C70D"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Q1</w:t>
            </w:r>
          </w:p>
        </w:tc>
        <w:tc>
          <w:tcPr>
            <w:tcW w:w="560" w:type="dxa"/>
            <w:shd w:val="clear" w:color="auto" w:fill="D6E3C6"/>
            <w:noWrap/>
          </w:tcPr>
          <w:p w14:paraId="0CBC2042"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282E31FC"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Bulgarian Academy of Science</w:t>
            </w:r>
          </w:p>
        </w:tc>
        <w:tc>
          <w:tcPr>
            <w:tcW w:w="764" w:type="dxa"/>
            <w:shd w:val="clear" w:color="auto" w:fill="D6E3C6"/>
          </w:tcPr>
          <w:p w14:paraId="0F405842"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328688EF" w14:textId="77777777" w:rsidR="00D05FA5" w:rsidRPr="0008440F" w:rsidRDefault="00D05FA5" w:rsidP="00D05FA5">
            <w:pPr>
              <w:pStyle w:val="ListParagraph"/>
              <w:numPr>
                <w:ilvl w:val="1"/>
                <w:numId w:val="15"/>
              </w:numPr>
              <w:spacing w:line="240" w:lineRule="auto"/>
              <w:ind w:left="394"/>
              <w:rPr>
                <w:rFonts w:ascii="Arial" w:hAnsi="Arial" w:cs="Arial"/>
                <w:color w:val="005D00"/>
                <w:sz w:val="16"/>
                <w:szCs w:val="16"/>
                <w:lang w:val="en-IE" w:eastAsia="en-GB"/>
              </w:rPr>
            </w:pPr>
            <w:r w:rsidRPr="0008440F">
              <w:rPr>
                <w:rFonts w:ascii="Arial" w:hAnsi="Arial" w:cs="Arial"/>
                <w:color w:val="005D00"/>
                <w:sz w:val="16"/>
                <w:szCs w:val="16"/>
                <w:lang w:val="en-IE" w:eastAsia="en-GB"/>
              </w:rPr>
              <w:t>Signed contracts and job descriptions of experts engaged in four fields, in conformity with the description in the CID annex;</w:t>
            </w:r>
          </w:p>
          <w:p w14:paraId="6E401210" w14:textId="77777777" w:rsidR="00D05FA5" w:rsidRDefault="00D05FA5" w:rsidP="00D05FA5">
            <w:pPr>
              <w:pStyle w:val="ListParagraph"/>
              <w:numPr>
                <w:ilvl w:val="1"/>
                <w:numId w:val="15"/>
              </w:numPr>
              <w:spacing w:line="240" w:lineRule="auto"/>
              <w:ind w:left="394"/>
              <w:rPr>
                <w:rFonts w:ascii="Arial" w:hAnsi="Arial" w:cs="Arial"/>
                <w:color w:val="005D00"/>
                <w:sz w:val="16"/>
                <w:szCs w:val="16"/>
                <w:lang w:val="en-IE" w:eastAsia="en-GB"/>
              </w:rPr>
            </w:pPr>
            <w:r w:rsidRPr="0008440F">
              <w:rPr>
                <w:rFonts w:ascii="Arial" w:hAnsi="Arial" w:cs="Arial"/>
                <w:color w:val="005D00"/>
                <w:sz w:val="16"/>
                <w:szCs w:val="16"/>
                <w:lang w:val="en-IE" w:eastAsia="en-GB"/>
              </w:rPr>
              <w:t>Proof of establishment of three Science and Innovation councils in line with the description in the CID annex;</w:t>
            </w:r>
          </w:p>
          <w:p w14:paraId="2B01D677" w14:textId="77777777" w:rsidR="00D05FA5" w:rsidRPr="0081000E" w:rsidRDefault="00D05FA5" w:rsidP="00D05FA5">
            <w:pPr>
              <w:pStyle w:val="ListParagraph"/>
              <w:numPr>
                <w:ilvl w:val="1"/>
                <w:numId w:val="15"/>
              </w:numPr>
              <w:spacing w:line="240" w:lineRule="auto"/>
              <w:ind w:left="394"/>
              <w:rPr>
                <w:rFonts w:ascii="Arial" w:hAnsi="Arial" w:cs="Arial"/>
                <w:color w:val="005D00"/>
                <w:sz w:val="16"/>
                <w:szCs w:val="16"/>
                <w:lang w:val="en-IE" w:eastAsia="en-GB"/>
              </w:rPr>
            </w:pPr>
            <w:r w:rsidRPr="0081000E">
              <w:rPr>
                <w:rFonts w:ascii="Arial" w:hAnsi="Arial" w:cs="Arial"/>
                <w:color w:val="005D00"/>
                <w:sz w:val="16"/>
                <w:szCs w:val="16"/>
                <w:lang w:val="en-IE" w:eastAsia="en-GB"/>
              </w:rPr>
              <w:t>Certificate of completion of works confirmed by the relevant Ministry justifying setting up an operational electronic</w:t>
            </w:r>
            <w:r w:rsidRPr="0081000E">
              <w:rPr>
                <w:rFonts w:ascii="Arial" w:hAnsi="Arial" w:cs="Arial"/>
                <w:color w:val="005D00"/>
                <w:sz w:val="16"/>
                <w:szCs w:val="16"/>
              </w:rPr>
              <w:t xml:space="preserve"> portal for communication with businesses and stakeholders and link to the portal</w:t>
            </w:r>
          </w:p>
        </w:tc>
        <w:tc>
          <w:tcPr>
            <w:tcW w:w="4111" w:type="dxa"/>
            <w:shd w:val="clear" w:color="auto" w:fill="D6E3C6"/>
          </w:tcPr>
          <w:p w14:paraId="008D6761"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Bulgarian Academy of Science</w:t>
            </w:r>
          </w:p>
          <w:p w14:paraId="4BC3A70A" w14:textId="77777777" w:rsidR="00D05FA5" w:rsidRPr="00312B39" w:rsidRDefault="00D05FA5" w:rsidP="00D05FA5">
            <w:pPr>
              <w:spacing w:after="0"/>
              <w:rPr>
                <w:rFonts w:ascii="Arial" w:hAnsi="Arial" w:cs="Arial"/>
                <w:color w:val="006100"/>
                <w:sz w:val="16"/>
                <w:szCs w:val="16"/>
              </w:rPr>
            </w:pPr>
          </w:p>
          <w:p w14:paraId="2BEC0A52"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08440F">
              <w:rPr>
                <w:rFonts w:ascii="Arial" w:hAnsi="Arial" w:cs="Arial"/>
                <w:color w:val="005D00"/>
                <w:sz w:val="16"/>
                <w:szCs w:val="16"/>
              </w:rPr>
              <w:t>Upgraded Joint Innovation Centre within the Bulgarian Academy of Sciences</w:t>
            </w:r>
            <w:r w:rsidRPr="00312B39">
              <w:rPr>
                <w:rFonts w:ascii="Arial" w:hAnsi="Arial" w:cs="Arial"/>
                <w:color w:val="006100"/>
                <w:sz w:val="16"/>
                <w:szCs w:val="16"/>
              </w:rPr>
              <w:t xml:space="preserve"> (</w:t>
            </w:r>
            <w:r>
              <w:rPr>
                <w:rFonts w:ascii="Arial" w:hAnsi="Arial" w:cs="Arial"/>
                <w:color w:val="006100"/>
                <w:sz w:val="16"/>
                <w:szCs w:val="16"/>
              </w:rPr>
              <w:t>a, b, and c</w:t>
            </w:r>
            <w:r w:rsidRPr="00312B39">
              <w:rPr>
                <w:rFonts w:ascii="Arial" w:hAnsi="Arial" w:cs="Arial"/>
                <w:color w:val="006100"/>
                <w:sz w:val="16"/>
                <w:szCs w:val="16"/>
              </w:rPr>
              <w:t>)</w:t>
            </w:r>
          </w:p>
          <w:p w14:paraId="1954A902" w14:textId="77777777" w:rsidR="00D05FA5" w:rsidRPr="00312B39" w:rsidRDefault="00D05FA5" w:rsidP="00D05FA5">
            <w:pPr>
              <w:spacing w:after="0"/>
              <w:rPr>
                <w:rFonts w:ascii="Arial" w:hAnsi="Arial" w:cs="Arial"/>
                <w:color w:val="006100"/>
                <w:sz w:val="16"/>
                <w:szCs w:val="16"/>
              </w:rPr>
            </w:pPr>
          </w:p>
          <w:p w14:paraId="5FE47490"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staffing (a), establishment of councils (b), completion of works (c)</w:t>
            </w:r>
          </w:p>
          <w:p w14:paraId="5A58930D" w14:textId="77777777" w:rsidR="00D05FA5" w:rsidRPr="00312B39" w:rsidRDefault="00D05FA5" w:rsidP="00D05FA5">
            <w:pPr>
              <w:spacing w:after="0"/>
              <w:rPr>
                <w:rFonts w:ascii="Arial" w:hAnsi="Arial" w:cs="Arial"/>
                <w:color w:val="006100"/>
                <w:sz w:val="16"/>
                <w:szCs w:val="16"/>
              </w:rPr>
            </w:pPr>
          </w:p>
          <w:p w14:paraId="130E324A"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 xml:space="preserve">The upgrade of the Centre shall be based on the Joint Research Centre recommendations Strategic Assessment of Bulgarian Competence Centres and Centres of Excellence and recommendations for their further development, 2021. The Centre shall serve as a focal point for Institutes of the Bulgarian Academy of Sciences to liaise with business representatives. The main elements of the upgrade shall include:- increasing the number and qualification of staff: four professionals, one  for each of the following areas of expertise: intellectual property rights, commercialization of innovation, one for technology transfer with a focus on green and digital technologies, one for information technology, relations with business and with scientific collectives and Centres of Excellence and Competence;- </w:t>
            </w:r>
            <w:r w:rsidRPr="0008440F">
              <w:rPr>
                <w:rFonts w:ascii="Arial" w:hAnsi="Arial" w:cs="Arial"/>
                <w:color w:val="005D00"/>
                <w:sz w:val="16"/>
                <w:szCs w:val="16"/>
              </w:rPr>
              <w:lastRenderedPageBreak/>
              <w:t>establishing three Science and Innovation councils, each with a different specialisation and composed by seven members, to coordinate the activities of the Centre. They shall be responsible for the selection of innovation projects and shall oversee their implementation;- setting up an operational electronic portal for communication with businesses and stakeholders.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2AC0F2F" w14:textId="77777777" w:rsidR="00D05FA5" w:rsidRPr="00312B39" w:rsidRDefault="00D05FA5" w:rsidP="00D05FA5">
            <w:pPr>
              <w:spacing w:after="0"/>
              <w:rPr>
                <w:rFonts w:ascii="Arial" w:hAnsi="Arial" w:cs="Arial"/>
                <w:color w:val="006100"/>
                <w:sz w:val="16"/>
                <w:szCs w:val="16"/>
              </w:rPr>
            </w:pPr>
          </w:p>
          <w:p w14:paraId="3DCF50CC"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completion of staffing, establishing councils, and works</w:t>
            </w:r>
          </w:p>
        </w:tc>
        <w:tc>
          <w:tcPr>
            <w:tcW w:w="2377" w:type="dxa"/>
            <w:shd w:val="clear" w:color="auto" w:fill="D6E3C6"/>
          </w:tcPr>
          <w:p w14:paraId="555B69F7" w14:textId="77777777" w:rsidR="00D05FA5" w:rsidRPr="00CA6700" w:rsidRDefault="00D05FA5" w:rsidP="00D05FA5">
            <w:pPr>
              <w:spacing w:after="0" w:line="240" w:lineRule="auto"/>
              <w:rPr>
                <w:rFonts w:ascii="Arial" w:hAnsi="Arial" w:cs="Arial"/>
                <w:color w:val="005D00"/>
                <w:sz w:val="16"/>
                <w:szCs w:val="16"/>
              </w:rPr>
            </w:pPr>
            <w:r w:rsidRPr="00CA6700">
              <w:rPr>
                <w:rFonts w:ascii="Arial" w:hAnsi="Arial" w:cs="Arial"/>
                <w:color w:val="005D00"/>
                <w:sz w:val="16"/>
                <w:szCs w:val="16"/>
              </w:rPr>
              <w:lastRenderedPageBreak/>
              <w:t xml:space="preserve">The investment aims to enhance the innovation capacity of the Bulgarian Academy of Sciences (BAS). The investment includes projects to: </w:t>
            </w:r>
          </w:p>
          <w:p w14:paraId="2EFD09FD" w14:textId="77777777" w:rsidR="00D05FA5" w:rsidRPr="00CA6700" w:rsidRDefault="00D05FA5" w:rsidP="00D05FA5">
            <w:pPr>
              <w:spacing w:after="0" w:line="240" w:lineRule="auto"/>
              <w:rPr>
                <w:rFonts w:ascii="Arial" w:hAnsi="Arial" w:cs="Arial"/>
                <w:color w:val="005D00"/>
                <w:sz w:val="16"/>
                <w:szCs w:val="16"/>
              </w:rPr>
            </w:pPr>
            <w:r w:rsidRPr="00CA6700">
              <w:rPr>
                <w:rFonts w:ascii="Arial" w:hAnsi="Arial" w:cs="Arial"/>
                <w:color w:val="005D00"/>
                <w:sz w:val="16"/>
                <w:szCs w:val="16"/>
              </w:rPr>
              <w:t>-</w:t>
            </w:r>
            <w:r>
              <w:rPr>
                <w:rFonts w:ascii="Arial" w:hAnsi="Arial" w:cs="Arial"/>
                <w:color w:val="005D00"/>
                <w:sz w:val="16"/>
                <w:szCs w:val="16"/>
              </w:rPr>
              <w:t xml:space="preserve"> </w:t>
            </w:r>
            <w:r w:rsidRPr="00CA6700">
              <w:rPr>
                <w:rFonts w:ascii="Arial" w:hAnsi="Arial" w:cs="Arial"/>
                <w:color w:val="005D00"/>
                <w:sz w:val="16"/>
                <w:szCs w:val="16"/>
              </w:rPr>
              <w:t>modernise the physical and digital infrastructure of BAS and in particular to renovate two buildings;</w:t>
            </w:r>
          </w:p>
          <w:p w14:paraId="3C74FFE8" w14:textId="77777777" w:rsidR="00D05FA5" w:rsidRPr="00CA6700" w:rsidRDefault="00D05FA5" w:rsidP="00D05FA5">
            <w:pPr>
              <w:spacing w:after="0" w:line="240" w:lineRule="auto"/>
              <w:rPr>
                <w:rFonts w:ascii="Arial" w:hAnsi="Arial" w:cs="Arial"/>
                <w:color w:val="005D00"/>
                <w:sz w:val="16"/>
                <w:szCs w:val="16"/>
              </w:rPr>
            </w:pPr>
            <w:r w:rsidRPr="00CA6700">
              <w:rPr>
                <w:rFonts w:ascii="Arial" w:hAnsi="Arial" w:cs="Arial"/>
                <w:color w:val="005D00"/>
                <w:sz w:val="16"/>
                <w:szCs w:val="16"/>
              </w:rPr>
              <w:t>-</w:t>
            </w:r>
            <w:r>
              <w:rPr>
                <w:rFonts w:ascii="Arial" w:hAnsi="Arial" w:cs="Arial"/>
                <w:color w:val="005D00"/>
                <w:sz w:val="16"/>
                <w:szCs w:val="16"/>
              </w:rPr>
              <w:t xml:space="preserve"> </w:t>
            </w:r>
            <w:r w:rsidRPr="00CA6700">
              <w:rPr>
                <w:rFonts w:ascii="Arial" w:hAnsi="Arial" w:cs="Arial"/>
                <w:color w:val="005D00"/>
                <w:sz w:val="16"/>
                <w:szCs w:val="16"/>
              </w:rPr>
              <w:t>restore the infrastructure at 14 BAS locations, upgrade the Joint Innovation Centre;</w:t>
            </w:r>
          </w:p>
          <w:p w14:paraId="6F8A4EAE" w14:textId="77777777" w:rsidR="00D05FA5" w:rsidRPr="00CA6700" w:rsidRDefault="00D05FA5" w:rsidP="00D05FA5">
            <w:pPr>
              <w:spacing w:after="0" w:line="240" w:lineRule="auto"/>
              <w:rPr>
                <w:rFonts w:ascii="Arial" w:hAnsi="Arial" w:cs="Arial"/>
                <w:color w:val="005D00"/>
                <w:sz w:val="16"/>
                <w:szCs w:val="16"/>
              </w:rPr>
            </w:pPr>
            <w:r w:rsidRPr="00CA6700">
              <w:rPr>
                <w:rFonts w:ascii="Arial" w:hAnsi="Arial" w:cs="Arial"/>
                <w:color w:val="005D00"/>
                <w:sz w:val="16"/>
                <w:szCs w:val="16"/>
              </w:rPr>
              <w:t>-</w:t>
            </w:r>
            <w:r>
              <w:rPr>
                <w:rFonts w:ascii="Arial" w:hAnsi="Arial" w:cs="Arial"/>
                <w:color w:val="005D00"/>
                <w:sz w:val="16"/>
                <w:szCs w:val="16"/>
              </w:rPr>
              <w:t xml:space="preserve"> </w:t>
            </w:r>
            <w:r w:rsidRPr="00CA6700">
              <w:rPr>
                <w:rFonts w:ascii="Arial" w:hAnsi="Arial" w:cs="Arial"/>
                <w:color w:val="005D00"/>
                <w:sz w:val="16"/>
                <w:szCs w:val="16"/>
              </w:rPr>
              <w:t xml:space="preserve">install fibre connectivity and deploy a Euro Quantum Communication Infrastructure (QCI) network. </w:t>
            </w:r>
          </w:p>
          <w:p w14:paraId="27F95C87" w14:textId="77777777" w:rsidR="00D05FA5" w:rsidRPr="00CA6700" w:rsidRDefault="00D05FA5" w:rsidP="00D05FA5">
            <w:pPr>
              <w:spacing w:after="0" w:line="240" w:lineRule="auto"/>
              <w:rPr>
                <w:rFonts w:ascii="Arial" w:hAnsi="Arial" w:cs="Arial"/>
                <w:color w:val="005D00"/>
                <w:sz w:val="16"/>
                <w:szCs w:val="16"/>
              </w:rPr>
            </w:pPr>
          </w:p>
          <w:p w14:paraId="245F6F80" w14:textId="77777777" w:rsidR="00D05FA5" w:rsidRPr="0008440F" w:rsidRDefault="00D05FA5" w:rsidP="00D05FA5">
            <w:pPr>
              <w:spacing w:after="0" w:line="240" w:lineRule="auto"/>
              <w:rPr>
                <w:rFonts w:ascii="Arial" w:hAnsi="Arial" w:cs="Arial"/>
                <w:color w:val="005D00"/>
                <w:sz w:val="16"/>
                <w:szCs w:val="16"/>
              </w:rPr>
            </w:pPr>
          </w:p>
        </w:tc>
        <w:tc>
          <w:tcPr>
            <w:tcW w:w="1398" w:type="dxa"/>
            <w:gridSpan w:val="2"/>
            <w:shd w:val="clear" w:color="auto" w:fill="D6E3C6"/>
          </w:tcPr>
          <w:p w14:paraId="7C454DC6"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contracts for experts and for works</w:t>
            </w:r>
          </w:p>
        </w:tc>
        <w:tc>
          <w:tcPr>
            <w:tcW w:w="710" w:type="dxa"/>
            <w:gridSpan w:val="2"/>
            <w:shd w:val="clear" w:color="auto" w:fill="D6E3C6"/>
          </w:tcPr>
          <w:p w14:paraId="09C5A1B0"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7DD8A10B" w14:textId="3829B29E"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8 (researchers)</w:t>
            </w:r>
          </w:p>
        </w:tc>
        <w:tc>
          <w:tcPr>
            <w:tcW w:w="1280" w:type="dxa"/>
            <w:gridSpan w:val="2"/>
            <w:shd w:val="clear" w:color="auto" w:fill="D6E3C6"/>
          </w:tcPr>
          <w:p w14:paraId="7AA72777" w14:textId="791E3F5F"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D05FA5" w:rsidRPr="0008440F" w14:paraId="3D3895A2" w14:textId="77777777" w:rsidTr="506F4F75">
        <w:trPr>
          <w:gridAfter w:val="1"/>
          <w:wAfter w:w="15" w:type="dxa"/>
          <w:trHeight w:val="303"/>
        </w:trPr>
        <w:tc>
          <w:tcPr>
            <w:tcW w:w="360" w:type="dxa"/>
            <w:shd w:val="clear" w:color="auto" w:fill="D6E3C6"/>
            <w:noWrap/>
          </w:tcPr>
          <w:p w14:paraId="57C66AC2"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32</w:t>
            </w:r>
          </w:p>
        </w:tc>
        <w:tc>
          <w:tcPr>
            <w:tcW w:w="1200" w:type="dxa"/>
            <w:shd w:val="clear" w:color="auto" w:fill="D6E3C6"/>
            <w:noWrap/>
          </w:tcPr>
          <w:p w14:paraId="71FA7F19"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C2.I2: Enhancing the innovation capacity of the Bulgarian Academy of Sciences</w:t>
            </w:r>
          </w:p>
        </w:tc>
        <w:tc>
          <w:tcPr>
            <w:tcW w:w="851" w:type="dxa"/>
            <w:shd w:val="clear" w:color="auto" w:fill="D6E3C6"/>
            <w:noWrap/>
          </w:tcPr>
          <w:p w14:paraId="31EACE21"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17F29F22"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Deployment of Quantum Communication Infrastructure network</w:t>
            </w:r>
          </w:p>
        </w:tc>
        <w:tc>
          <w:tcPr>
            <w:tcW w:w="1220" w:type="dxa"/>
            <w:shd w:val="clear" w:color="auto" w:fill="D6E3C6"/>
            <w:noWrap/>
          </w:tcPr>
          <w:p w14:paraId="51CF9858"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Quantum network and optical route operational</w:t>
            </w:r>
          </w:p>
        </w:tc>
        <w:tc>
          <w:tcPr>
            <w:tcW w:w="567" w:type="dxa"/>
            <w:shd w:val="clear" w:color="auto" w:fill="D6E3C6"/>
            <w:noWrap/>
          </w:tcPr>
          <w:p w14:paraId="24143C44"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3758BD71"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675" w:type="dxa"/>
            <w:shd w:val="clear" w:color="auto" w:fill="D6E3C6"/>
            <w:noWrap/>
          </w:tcPr>
          <w:p w14:paraId="62686F7E"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187" w:type="dxa"/>
            <w:shd w:val="clear" w:color="auto" w:fill="D6E3C6"/>
            <w:noWrap/>
          </w:tcPr>
          <w:p w14:paraId="5B8A0DA3"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60" w:type="dxa"/>
            <w:shd w:val="clear" w:color="auto" w:fill="D6E3C6"/>
            <w:noWrap/>
          </w:tcPr>
          <w:p w14:paraId="5A3A1063"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00938E92"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Bulgarian Academy of Science</w:t>
            </w:r>
          </w:p>
        </w:tc>
        <w:tc>
          <w:tcPr>
            <w:tcW w:w="764" w:type="dxa"/>
            <w:shd w:val="clear" w:color="auto" w:fill="D6E3C6"/>
          </w:tcPr>
          <w:p w14:paraId="37D11A08"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6BE07813" w14:textId="77777777" w:rsidR="00D05FA5" w:rsidRPr="0008440F" w:rsidRDefault="00D05FA5" w:rsidP="00D05FA5">
            <w:pPr>
              <w:pStyle w:val="ListParagraph"/>
              <w:numPr>
                <w:ilvl w:val="1"/>
                <w:numId w:val="10"/>
              </w:numPr>
              <w:spacing w:line="240" w:lineRule="auto"/>
              <w:ind w:left="540"/>
              <w:rPr>
                <w:rFonts w:ascii="Arial" w:hAnsi="Arial" w:cs="Arial"/>
                <w:color w:val="005D00"/>
                <w:sz w:val="16"/>
                <w:szCs w:val="16"/>
                <w:lang w:val="en-IE" w:eastAsia="en-GB"/>
              </w:rPr>
            </w:pPr>
            <w:r w:rsidRPr="0008440F">
              <w:rPr>
                <w:rFonts w:ascii="Arial" w:hAnsi="Arial" w:cs="Arial"/>
                <w:color w:val="005D00"/>
                <w:sz w:val="16"/>
                <w:szCs w:val="16"/>
                <w:lang w:val="en-US" w:eastAsia="en-GB"/>
              </w:rPr>
              <w:t xml:space="preserve">certificate of works completion in accordance with national legislation and in conformity with </w:t>
            </w:r>
            <w:r w:rsidRPr="0008440F">
              <w:rPr>
                <w:rFonts w:ascii="Arial" w:hAnsi="Arial" w:cs="Arial"/>
                <w:color w:val="005D00"/>
                <w:sz w:val="16"/>
                <w:szCs w:val="16"/>
              </w:rPr>
              <w:t xml:space="preserve">European QCI Action Plan and the National QCI Plan, </w:t>
            </w:r>
            <w:r w:rsidRPr="0008440F">
              <w:rPr>
                <w:rFonts w:ascii="Arial" w:hAnsi="Arial" w:cs="Arial"/>
                <w:color w:val="005D00"/>
                <w:sz w:val="16"/>
                <w:szCs w:val="16"/>
                <w:lang w:val="en-US" w:eastAsia="en-GB"/>
              </w:rPr>
              <w:t xml:space="preserve">signed by the contractor and the competent authority , </w:t>
            </w:r>
          </w:p>
          <w:p w14:paraId="1D6B6E09" w14:textId="77777777" w:rsidR="00D05FA5" w:rsidRPr="0008440F" w:rsidRDefault="00D05FA5" w:rsidP="00D05FA5">
            <w:pPr>
              <w:pStyle w:val="ListParagraph"/>
              <w:numPr>
                <w:ilvl w:val="1"/>
                <w:numId w:val="10"/>
              </w:numPr>
              <w:spacing w:line="240" w:lineRule="auto"/>
              <w:ind w:left="540"/>
              <w:rPr>
                <w:rFonts w:ascii="Arial" w:hAnsi="Arial" w:cs="Arial"/>
                <w:color w:val="005D00"/>
                <w:sz w:val="16"/>
                <w:szCs w:val="16"/>
              </w:rPr>
            </w:pPr>
            <w:r w:rsidRPr="0008440F">
              <w:rPr>
                <w:rFonts w:ascii="Arial" w:hAnsi="Arial" w:cs="Arial"/>
                <w:color w:val="005D00"/>
                <w:sz w:val="16"/>
                <w:szCs w:val="16"/>
              </w:rPr>
              <w:t>proof of operationalisation of the optical route of the first phase of Euro QCI.</w:t>
            </w:r>
          </w:p>
          <w:p w14:paraId="3D690FEF" w14:textId="77777777" w:rsidR="00D05FA5" w:rsidRPr="0008440F" w:rsidRDefault="00D05FA5" w:rsidP="00D05FA5">
            <w:pPr>
              <w:spacing w:after="0" w:line="240" w:lineRule="auto"/>
              <w:ind w:left="540"/>
              <w:rPr>
                <w:rFonts w:ascii="Arial" w:hAnsi="Arial" w:cs="Arial"/>
                <w:color w:val="005D00"/>
                <w:sz w:val="16"/>
                <w:szCs w:val="16"/>
              </w:rPr>
            </w:pPr>
          </w:p>
        </w:tc>
        <w:tc>
          <w:tcPr>
            <w:tcW w:w="4111" w:type="dxa"/>
            <w:shd w:val="clear" w:color="auto" w:fill="D6E3C6"/>
          </w:tcPr>
          <w:p w14:paraId="0295144D"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Bulgarian Academy of Science</w:t>
            </w:r>
          </w:p>
          <w:p w14:paraId="2C388499" w14:textId="77777777" w:rsidR="00D05FA5" w:rsidRPr="00312B39" w:rsidRDefault="00D05FA5" w:rsidP="00D05FA5">
            <w:pPr>
              <w:spacing w:after="0"/>
              <w:rPr>
                <w:rFonts w:ascii="Arial" w:hAnsi="Arial" w:cs="Arial"/>
                <w:color w:val="006100"/>
                <w:sz w:val="16"/>
                <w:szCs w:val="16"/>
              </w:rPr>
            </w:pPr>
          </w:p>
          <w:p w14:paraId="0F43A506"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08440F">
              <w:rPr>
                <w:rFonts w:ascii="Arial" w:hAnsi="Arial" w:cs="Arial"/>
                <w:color w:val="005D00"/>
                <w:sz w:val="16"/>
                <w:szCs w:val="16"/>
              </w:rPr>
              <w:t>Deployment of Quantum Communication Infrastructure network</w:t>
            </w:r>
            <w:r w:rsidRPr="00312B39">
              <w:rPr>
                <w:rFonts w:ascii="Arial" w:hAnsi="Arial" w:cs="Arial"/>
                <w:color w:val="006100"/>
                <w:sz w:val="16"/>
                <w:szCs w:val="16"/>
              </w:rPr>
              <w:t xml:space="preserve"> (</w:t>
            </w:r>
            <w:r>
              <w:rPr>
                <w:rFonts w:ascii="Arial" w:hAnsi="Arial" w:cs="Arial"/>
                <w:color w:val="006100"/>
                <w:sz w:val="16"/>
                <w:szCs w:val="16"/>
              </w:rPr>
              <w:t>a and b</w:t>
            </w:r>
            <w:r w:rsidRPr="00312B39">
              <w:rPr>
                <w:rFonts w:ascii="Arial" w:hAnsi="Arial" w:cs="Arial"/>
                <w:color w:val="006100"/>
                <w:sz w:val="16"/>
                <w:szCs w:val="16"/>
              </w:rPr>
              <w:t>)</w:t>
            </w:r>
          </w:p>
          <w:p w14:paraId="311E8D94" w14:textId="77777777" w:rsidR="00D05FA5" w:rsidRPr="00312B39" w:rsidRDefault="00D05FA5" w:rsidP="00D05FA5">
            <w:pPr>
              <w:spacing w:after="0"/>
              <w:rPr>
                <w:rFonts w:ascii="Arial" w:hAnsi="Arial" w:cs="Arial"/>
                <w:color w:val="006100"/>
                <w:sz w:val="16"/>
                <w:szCs w:val="16"/>
              </w:rPr>
            </w:pPr>
          </w:p>
          <w:p w14:paraId="7C2A3BA8"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implementation, works completion (a), and operationalisation (b)</w:t>
            </w:r>
          </w:p>
          <w:p w14:paraId="7B3F9483" w14:textId="77777777" w:rsidR="00D05FA5" w:rsidRPr="00312B39" w:rsidRDefault="00D05FA5" w:rsidP="00D05FA5">
            <w:pPr>
              <w:spacing w:after="0"/>
              <w:rPr>
                <w:rFonts w:ascii="Arial" w:hAnsi="Arial" w:cs="Arial"/>
                <w:color w:val="006100"/>
                <w:sz w:val="16"/>
                <w:szCs w:val="16"/>
              </w:rPr>
            </w:pPr>
          </w:p>
          <w:p w14:paraId="513168CA"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The deployment of the Euro Quantum Communication Infrastructure (QCI) network shall cover the completion of works and the operationalisation of the optical route of the first phase of Euro QCI. The implementation of the Quantum Network shall be based on the European QCI Action Plan and the National QCI Plan.</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F8DE951" w14:textId="77777777" w:rsidR="00D05FA5" w:rsidRPr="00312B39" w:rsidRDefault="00D05FA5" w:rsidP="00D05FA5">
            <w:pPr>
              <w:spacing w:after="0"/>
              <w:rPr>
                <w:rFonts w:ascii="Arial" w:hAnsi="Arial" w:cs="Arial"/>
                <w:color w:val="006100"/>
                <w:sz w:val="16"/>
                <w:szCs w:val="16"/>
              </w:rPr>
            </w:pPr>
          </w:p>
          <w:p w14:paraId="323CC3C2" w14:textId="77777777" w:rsidR="00D05FA5" w:rsidRPr="0008440F" w:rsidRDefault="00D05FA5" w:rsidP="00D05FA5">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operationalisation</w:t>
            </w:r>
          </w:p>
        </w:tc>
        <w:tc>
          <w:tcPr>
            <w:tcW w:w="2377" w:type="dxa"/>
            <w:shd w:val="clear" w:color="auto" w:fill="D6E3C6"/>
          </w:tcPr>
          <w:p w14:paraId="602EC2B7" w14:textId="77777777" w:rsidR="00D05FA5" w:rsidRPr="0008440F" w:rsidRDefault="00D05FA5" w:rsidP="00D05FA5">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gridSpan w:val="2"/>
            <w:shd w:val="clear" w:color="auto" w:fill="D6E3C6"/>
          </w:tcPr>
          <w:p w14:paraId="7CF0CD21"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Delays in contracting</w:t>
            </w:r>
          </w:p>
        </w:tc>
        <w:tc>
          <w:tcPr>
            <w:tcW w:w="710" w:type="dxa"/>
            <w:gridSpan w:val="2"/>
            <w:shd w:val="clear" w:color="auto" w:fill="D6E3C6"/>
          </w:tcPr>
          <w:p w14:paraId="3CFA6559"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Yes</w:t>
            </w:r>
          </w:p>
        </w:tc>
        <w:tc>
          <w:tcPr>
            <w:tcW w:w="825" w:type="dxa"/>
            <w:gridSpan w:val="2"/>
            <w:shd w:val="clear" w:color="auto" w:fill="D6E3C6"/>
          </w:tcPr>
          <w:p w14:paraId="6D0ED2A2" w14:textId="44DEC6F5" w:rsidR="00D05FA5" w:rsidRPr="0008440F" w:rsidRDefault="00A84BEA" w:rsidP="00D05FA5">
            <w:pPr>
              <w:spacing w:after="0" w:line="240" w:lineRule="auto"/>
              <w:rPr>
                <w:rFonts w:ascii="Arial" w:hAnsi="Arial" w:cs="Arial"/>
                <w:color w:val="005D00"/>
                <w:sz w:val="16"/>
                <w:szCs w:val="16"/>
              </w:rPr>
            </w:pPr>
            <w:r w:rsidRPr="0008440F">
              <w:rPr>
                <w:rFonts w:ascii="Arial" w:hAnsi="Arial" w:cs="Arial"/>
                <w:color w:val="005D00"/>
                <w:sz w:val="16"/>
                <w:szCs w:val="16"/>
              </w:rPr>
              <w:t>8 (researchers)</w:t>
            </w:r>
          </w:p>
        </w:tc>
        <w:tc>
          <w:tcPr>
            <w:tcW w:w="1280" w:type="dxa"/>
            <w:gridSpan w:val="2"/>
            <w:shd w:val="clear" w:color="auto" w:fill="D6E3C6"/>
          </w:tcPr>
          <w:p w14:paraId="6CB37FBE" w14:textId="6E8D91E9"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D05FA5" w:rsidRPr="0008440F" w14:paraId="38E0CEBA" w14:textId="77777777" w:rsidTr="506F4F75">
        <w:trPr>
          <w:gridAfter w:val="1"/>
          <w:wAfter w:w="15" w:type="dxa"/>
          <w:trHeight w:val="303"/>
        </w:trPr>
        <w:tc>
          <w:tcPr>
            <w:tcW w:w="360" w:type="dxa"/>
            <w:shd w:val="clear" w:color="auto" w:fill="D6E3C6"/>
            <w:noWrap/>
          </w:tcPr>
          <w:p w14:paraId="3ED13A33" w14:textId="77777777" w:rsidR="00D05FA5" w:rsidRPr="0008440F"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t>33</w:t>
            </w:r>
          </w:p>
        </w:tc>
        <w:tc>
          <w:tcPr>
            <w:tcW w:w="1200" w:type="dxa"/>
            <w:shd w:val="clear" w:color="auto" w:fill="D6E3C6"/>
            <w:noWrap/>
          </w:tcPr>
          <w:p w14:paraId="7BB281E7" w14:textId="77777777" w:rsidR="00D05FA5" w:rsidRPr="0008440F"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t>C2.I2: Enhancing the innovation capacity of the Bulgarian Academy of Sciences</w:t>
            </w:r>
          </w:p>
        </w:tc>
        <w:tc>
          <w:tcPr>
            <w:tcW w:w="851" w:type="dxa"/>
            <w:shd w:val="clear" w:color="auto" w:fill="D6E3C6"/>
            <w:noWrap/>
          </w:tcPr>
          <w:p w14:paraId="0A2E70C9" w14:textId="77777777" w:rsidR="00D05FA5" w:rsidRPr="0008440F"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t>Milestone</w:t>
            </w:r>
          </w:p>
        </w:tc>
        <w:tc>
          <w:tcPr>
            <w:tcW w:w="1134" w:type="dxa"/>
            <w:shd w:val="clear" w:color="auto" w:fill="D6E3C6"/>
            <w:noWrap/>
          </w:tcPr>
          <w:p w14:paraId="32A977DB" w14:textId="77777777" w:rsidR="00D05FA5" w:rsidRPr="0008440F" w:rsidRDefault="00D05FA5" w:rsidP="00D05FA5">
            <w:pPr>
              <w:spacing w:after="0" w:line="240" w:lineRule="auto"/>
              <w:rPr>
                <w:rFonts w:ascii="Arial" w:hAnsi="Arial" w:cs="Arial"/>
                <w:color w:val="005D00"/>
                <w:sz w:val="16"/>
                <w:szCs w:val="16"/>
              </w:rPr>
            </w:pPr>
            <w:r w:rsidRPr="005F5BAD">
              <w:rPr>
                <w:rFonts w:ascii="Arial" w:hAnsi="Arial" w:cs="Arial"/>
                <w:color w:val="005D00"/>
                <w:sz w:val="16"/>
                <w:szCs w:val="16"/>
              </w:rPr>
              <w:t>Refurbishment of the research infrastructure of the Bulgarian Academy of Sciences</w:t>
            </w:r>
          </w:p>
        </w:tc>
        <w:tc>
          <w:tcPr>
            <w:tcW w:w="1220" w:type="dxa"/>
            <w:shd w:val="clear" w:color="auto" w:fill="D6E3C6"/>
            <w:noWrap/>
          </w:tcPr>
          <w:p w14:paraId="2A67E62D" w14:textId="77777777" w:rsidR="00D05FA5" w:rsidRPr="0008440F" w:rsidRDefault="00D05FA5" w:rsidP="00D05FA5">
            <w:pPr>
              <w:spacing w:after="0" w:line="240" w:lineRule="auto"/>
              <w:rPr>
                <w:rFonts w:ascii="Arial" w:hAnsi="Arial" w:cs="Arial"/>
                <w:color w:val="005D00"/>
                <w:sz w:val="16"/>
                <w:szCs w:val="16"/>
              </w:rPr>
            </w:pPr>
            <w:r w:rsidRPr="005F5BAD">
              <w:rPr>
                <w:rFonts w:ascii="Arial" w:hAnsi="Arial" w:cs="Arial"/>
                <w:color w:val="005D00"/>
                <w:sz w:val="16"/>
                <w:szCs w:val="16"/>
              </w:rPr>
              <w:t>Completed construction works and operating and commissioning license issued</w:t>
            </w:r>
          </w:p>
        </w:tc>
        <w:tc>
          <w:tcPr>
            <w:tcW w:w="567" w:type="dxa"/>
            <w:shd w:val="clear" w:color="auto" w:fill="D6E3C6"/>
            <w:noWrap/>
          </w:tcPr>
          <w:p w14:paraId="6EF6091D"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6FC88349"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675" w:type="dxa"/>
            <w:shd w:val="clear" w:color="auto" w:fill="D6E3C6"/>
            <w:noWrap/>
          </w:tcPr>
          <w:p w14:paraId="7A617B21"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p>
        </w:tc>
        <w:tc>
          <w:tcPr>
            <w:tcW w:w="187" w:type="dxa"/>
            <w:shd w:val="clear" w:color="auto" w:fill="D6E3C6"/>
            <w:noWrap/>
          </w:tcPr>
          <w:p w14:paraId="08BDABAF" w14:textId="77777777" w:rsidR="00D05FA5" w:rsidRPr="0008440F"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t>Q3</w:t>
            </w:r>
          </w:p>
        </w:tc>
        <w:tc>
          <w:tcPr>
            <w:tcW w:w="560" w:type="dxa"/>
            <w:shd w:val="clear" w:color="auto" w:fill="D6E3C6"/>
            <w:noWrap/>
          </w:tcPr>
          <w:p w14:paraId="6F701470" w14:textId="77777777" w:rsidR="00D05FA5" w:rsidRPr="0008440F"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t>2025</w:t>
            </w:r>
          </w:p>
        </w:tc>
        <w:tc>
          <w:tcPr>
            <w:tcW w:w="1130" w:type="dxa"/>
            <w:shd w:val="clear" w:color="auto" w:fill="D6E3C6"/>
          </w:tcPr>
          <w:p w14:paraId="39CD11E9"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5F5BAD">
              <w:rPr>
                <w:rFonts w:ascii="Arial" w:eastAsia="Times New Roman" w:hAnsi="Arial" w:cs="Arial"/>
                <w:color w:val="005D00"/>
                <w:sz w:val="16"/>
                <w:szCs w:val="16"/>
                <w:lang w:eastAsia="en-GB"/>
              </w:rPr>
              <w:t>Bulgarian Academy of Science</w:t>
            </w:r>
          </w:p>
        </w:tc>
        <w:tc>
          <w:tcPr>
            <w:tcW w:w="764" w:type="dxa"/>
            <w:shd w:val="clear" w:color="auto" w:fill="D6E3C6"/>
          </w:tcPr>
          <w:p w14:paraId="0B34EFFD"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08E7764F" w14:textId="77777777" w:rsidR="00D05FA5" w:rsidRPr="005F5BAD" w:rsidRDefault="00D05FA5" w:rsidP="00D05FA5">
            <w:pPr>
              <w:pStyle w:val="ListParagraph"/>
              <w:numPr>
                <w:ilvl w:val="0"/>
                <w:numId w:val="25"/>
              </w:numPr>
              <w:rPr>
                <w:rFonts w:ascii="Arial" w:hAnsi="Arial" w:cs="Arial"/>
                <w:color w:val="005D00"/>
                <w:sz w:val="16"/>
                <w:szCs w:val="16"/>
                <w:lang w:eastAsia="en-GB"/>
              </w:rPr>
            </w:pPr>
            <w:r w:rsidRPr="005F5BAD">
              <w:rPr>
                <w:rFonts w:ascii="Arial" w:hAnsi="Arial" w:cs="Arial"/>
                <w:color w:val="005D00"/>
                <w:sz w:val="16"/>
                <w:szCs w:val="16"/>
                <w:lang w:eastAsia="en-GB"/>
              </w:rPr>
              <w:t xml:space="preserve">the list of individual renovations completed, the size of the renovations in m2, and the primary energy saving achieved; </w:t>
            </w:r>
          </w:p>
          <w:p w14:paraId="32B26D6C" w14:textId="77777777" w:rsidR="00D05FA5" w:rsidRPr="005F5BAD" w:rsidRDefault="00D05FA5" w:rsidP="00D05FA5">
            <w:pPr>
              <w:pStyle w:val="ListParagraph"/>
              <w:numPr>
                <w:ilvl w:val="0"/>
                <w:numId w:val="25"/>
              </w:numPr>
              <w:rPr>
                <w:rFonts w:ascii="Arial" w:hAnsi="Arial" w:cs="Arial"/>
                <w:color w:val="005D00"/>
                <w:sz w:val="16"/>
                <w:szCs w:val="16"/>
                <w:lang w:eastAsia="en-GB"/>
              </w:rPr>
            </w:pPr>
            <w:r w:rsidRPr="005F5BAD">
              <w:rPr>
                <w:rFonts w:ascii="Arial" w:hAnsi="Arial" w:cs="Arial"/>
                <w:color w:val="005D00"/>
                <w:sz w:val="16"/>
                <w:szCs w:val="16"/>
                <w:lang w:eastAsia="en-GB"/>
              </w:rPr>
              <w:t xml:space="preserve">the list of end-of-works certificates, certificates of acceptance of works, or equivalent supporting evidence issued in accordance with the national legislation; </w:t>
            </w:r>
          </w:p>
          <w:p w14:paraId="021C8EF9" w14:textId="77777777" w:rsidR="00D05FA5" w:rsidRPr="005F5BAD" w:rsidRDefault="00D05FA5" w:rsidP="00D05FA5">
            <w:pPr>
              <w:pStyle w:val="ListParagraph"/>
              <w:numPr>
                <w:ilvl w:val="0"/>
                <w:numId w:val="25"/>
              </w:numPr>
              <w:spacing w:line="256" w:lineRule="auto"/>
              <w:rPr>
                <w:rFonts w:ascii="Arial" w:hAnsi="Arial" w:cs="Arial"/>
                <w:color w:val="005D00"/>
                <w:sz w:val="16"/>
                <w:szCs w:val="16"/>
                <w:lang w:eastAsia="en-GB"/>
              </w:rPr>
            </w:pPr>
            <w:r w:rsidRPr="005F5BAD">
              <w:rPr>
                <w:rFonts w:ascii="Arial" w:hAnsi="Arial" w:cs="Arial"/>
                <w:color w:val="005D00"/>
                <w:sz w:val="16"/>
                <w:szCs w:val="16"/>
                <w:lang w:eastAsia="en-GB"/>
              </w:rPr>
              <w:t>the list of research equipment purchased, and for each equipment, the building/research institute where the equipment was delivered to and the reference to the proof of delivery;</w:t>
            </w:r>
          </w:p>
          <w:p w14:paraId="1CA5858E" w14:textId="77777777" w:rsidR="00D05FA5" w:rsidRPr="00873604" w:rsidRDefault="00D05FA5" w:rsidP="00D05FA5">
            <w:pPr>
              <w:pStyle w:val="ListParagraph"/>
              <w:numPr>
                <w:ilvl w:val="0"/>
                <w:numId w:val="25"/>
              </w:numPr>
              <w:rPr>
                <w:rFonts w:ascii="Arial" w:hAnsi="Arial" w:cs="Arial"/>
                <w:color w:val="005D00"/>
                <w:sz w:val="16"/>
                <w:szCs w:val="16"/>
                <w:lang w:eastAsia="en-GB"/>
              </w:rPr>
            </w:pPr>
            <w:r>
              <w:rPr>
                <w:rFonts w:ascii="Arial" w:hAnsi="Arial" w:cs="Arial"/>
                <w:color w:val="005D00"/>
                <w:sz w:val="16"/>
                <w:szCs w:val="16"/>
                <w:lang w:eastAsia="en-GB"/>
              </w:rPr>
              <w:t>a</w:t>
            </w:r>
            <w:r w:rsidRPr="005F5BAD">
              <w:rPr>
                <w:rFonts w:ascii="Arial" w:hAnsi="Arial" w:cs="Arial"/>
                <w:color w:val="005D00"/>
                <w:sz w:val="16"/>
                <w:szCs w:val="16"/>
                <w:lang w:eastAsia="en-GB"/>
              </w:rPr>
              <w:t>nd</w:t>
            </w:r>
            <w:r>
              <w:rPr>
                <w:rFonts w:ascii="Arial" w:hAnsi="Arial" w:cs="Arial"/>
                <w:color w:val="005D00"/>
                <w:sz w:val="16"/>
                <w:szCs w:val="16"/>
                <w:lang w:eastAsia="en-GB"/>
              </w:rPr>
              <w:t xml:space="preserve"> </w:t>
            </w:r>
            <w:r w:rsidRPr="00873604">
              <w:rPr>
                <w:rFonts w:ascii="Arial" w:hAnsi="Arial" w:cs="Arial"/>
                <w:color w:val="005D00"/>
                <w:sz w:val="16"/>
                <w:szCs w:val="16"/>
                <w:lang w:val="en-US" w:eastAsia="en-GB"/>
              </w:rPr>
              <w:t>the type of works undertaken (in line with the description of the measure in the CID annex);</w:t>
            </w:r>
          </w:p>
          <w:p w14:paraId="15015AAE" w14:textId="77777777" w:rsidR="00D05FA5" w:rsidRPr="005F4B5D" w:rsidRDefault="00D05FA5" w:rsidP="00D05FA5">
            <w:pPr>
              <w:pStyle w:val="ListParagraph"/>
              <w:numPr>
                <w:ilvl w:val="0"/>
                <w:numId w:val="25"/>
              </w:numPr>
              <w:rPr>
                <w:rFonts w:ascii="Arial" w:hAnsi="Arial" w:cs="Arial"/>
                <w:color w:val="005D00"/>
                <w:sz w:val="16"/>
                <w:szCs w:val="16"/>
                <w:lang w:val="en-US" w:eastAsia="en-GB"/>
              </w:rPr>
            </w:pPr>
            <w:r w:rsidRPr="005F5BAD">
              <w:rPr>
                <w:rFonts w:ascii="Arial" w:hAnsi="Arial" w:cs="Arial"/>
                <w:color w:val="005D00"/>
                <w:sz w:val="16"/>
                <w:szCs w:val="16"/>
                <w:lang w:val="en-US" w:eastAsia="en-GB"/>
              </w:rPr>
              <w:t xml:space="preserve">Proof of installation of </w:t>
            </w:r>
            <w:r w:rsidRPr="005F5BAD">
              <w:rPr>
                <w:rFonts w:ascii="Arial" w:hAnsi="Arial" w:cs="Arial"/>
                <w:color w:val="005D00"/>
                <w:sz w:val="16"/>
                <w:szCs w:val="16"/>
              </w:rPr>
              <w:t>high speed fibre network;</w:t>
            </w:r>
          </w:p>
          <w:p w14:paraId="70007144" w14:textId="77777777" w:rsidR="00D05FA5" w:rsidRPr="005F4B5D" w:rsidRDefault="00D05FA5" w:rsidP="00D05FA5">
            <w:pPr>
              <w:pStyle w:val="ListParagraph"/>
              <w:numPr>
                <w:ilvl w:val="0"/>
                <w:numId w:val="25"/>
              </w:numPr>
              <w:rPr>
                <w:rFonts w:ascii="Arial" w:hAnsi="Arial" w:cs="Arial"/>
                <w:color w:val="005D00"/>
                <w:sz w:val="16"/>
                <w:szCs w:val="16"/>
                <w:lang w:val="en-US" w:eastAsia="en-GB"/>
              </w:rPr>
            </w:pPr>
            <w:r w:rsidRPr="005F4B5D">
              <w:rPr>
                <w:rFonts w:ascii="Arial" w:hAnsi="Arial" w:cs="Arial"/>
                <w:color w:val="005D00"/>
                <w:sz w:val="16"/>
                <w:szCs w:val="16"/>
                <w:lang w:val="en-US" w:eastAsia="en-GB"/>
              </w:rPr>
              <w:t xml:space="preserve">Proof of installation </w:t>
            </w:r>
            <w:r w:rsidRPr="005F4B5D">
              <w:rPr>
                <w:rFonts w:ascii="Arial" w:hAnsi="Arial" w:cs="Arial"/>
                <w:color w:val="005D00"/>
                <w:sz w:val="16"/>
                <w:szCs w:val="16"/>
              </w:rPr>
              <w:t>of DDoS security platform.</w:t>
            </w:r>
          </w:p>
        </w:tc>
        <w:tc>
          <w:tcPr>
            <w:tcW w:w="4111" w:type="dxa"/>
            <w:shd w:val="clear" w:color="auto" w:fill="D6E3C6"/>
          </w:tcPr>
          <w:p w14:paraId="5C063669"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Bulgarian Academy of Science</w:t>
            </w:r>
          </w:p>
          <w:p w14:paraId="75624BF5" w14:textId="77777777" w:rsidR="00D05FA5" w:rsidRPr="00312B39" w:rsidRDefault="00D05FA5" w:rsidP="00D05FA5">
            <w:pPr>
              <w:spacing w:after="0"/>
              <w:rPr>
                <w:rFonts w:ascii="Arial" w:hAnsi="Arial" w:cs="Arial"/>
                <w:color w:val="006100"/>
                <w:sz w:val="16"/>
                <w:szCs w:val="16"/>
              </w:rPr>
            </w:pPr>
          </w:p>
          <w:p w14:paraId="5708F2D5"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5F5BAD">
              <w:rPr>
                <w:rFonts w:ascii="Arial" w:hAnsi="Arial" w:cs="Arial"/>
                <w:color w:val="005D00"/>
                <w:sz w:val="16"/>
                <w:szCs w:val="16"/>
              </w:rPr>
              <w:t>Refurbishment of the research infrastructure of the Bulgarian Academy of Sciences</w:t>
            </w:r>
            <w:r w:rsidRPr="00312B39">
              <w:rPr>
                <w:rFonts w:ascii="Arial" w:hAnsi="Arial" w:cs="Arial"/>
                <w:color w:val="006100"/>
                <w:sz w:val="16"/>
                <w:szCs w:val="16"/>
              </w:rPr>
              <w:t xml:space="preserve"> (</w:t>
            </w:r>
            <w:r>
              <w:rPr>
                <w:rFonts w:ascii="Arial" w:hAnsi="Arial" w:cs="Arial"/>
                <w:color w:val="006100"/>
                <w:sz w:val="16"/>
                <w:szCs w:val="16"/>
              </w:rPr>
              <w:t>a, c, d</w:t>
            </w:r>
            <w:r w:rsidRPr="00312B39">
              <w:rPr>
                <w:rFonts w:ascii="Arial" w:hAnsi="Arial" w:cs="Arial"/>
                <w:color w:val="006100"/>
                <w:sz w:val="16"/>
                <w:szCs w:val="16"/>
              </w:rPr>
              <w:t>)</w:t>
            </w:r>
          </w:p>
          <w:p w14:paraId="0D58C6E6" w14:textId="77777777" w:rsidR="00D05FA5" w:rsidRPr="00312B39" w:rsidRDefault="00D05FA5" w:rsidP="00D05FA5">
            <w:pPr>
              <w:spacing w:after="0"/>
              <w:rPr>
                <w:rFonts w:ascii="Arial" w:hAnsi="Arial" w:cs="Arial"/>
                <w:color w:val="006100"/>
                <w:sz w:val="16"/>
                <w:szCs w:val="16"/>
              </w:rPr>
            </w:pPr>
          </w:p>
          <w:p w14:paraId="21D32027"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implementation, works completion (a, c, d), and certification (b, e, f)</w:t>
            </w:r>
          </w:p>
          <w:p w14:paraId="3B852D4B" w14:textId="77777777" w:rsidR="00D05FA5" w:rsidRPr="00312B39" w:rsidRDefault="00D05FA5" w:rsidP="00D05FA5">
            <w:pPr>
              <w:spacing w:after="0"/>
              <w:rPr>
                <w:rFonts w:ascii="Arial" w:hAnsi="Arial" w:cs="Arial"/>
                <w:color w:val="006100"/>
                <w:sz w:val="16"/>
                <w:szCs w:val="16"/>
              </w:rPr>
            </w:pPr>
          </w:p>
          <w:p w14:paraId="7F2767C4"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5F5BAD">
              <w:rPr>
                <w:rFonts w:ascii="Arial" w:hAnsi="Arial" w:cs="Arial"/>
                <w:color w:val="005D00"/>
                <w:sz w:val="16"/>
                <w:szCs w:val="16"/>
              </w:rPr>
              <w:t>The refurbishment shall cover the following works: reconstruction and upgrading of an applied research building (Block 12 in campus at BAN 4km); the refurbishment of a demonstration centre building (b 29a in campus at BAN 4km); the purchase of research equipment, the rehabilitation of approximately 4 000 m² of research area covering 14 research institutes; and the improvement of the capacity, speed and security of internet connections (high speed fibre network) and the installation of a DDoS security platform to ensure the fast and secure transfer of large data within and between Institutes of the Bulgarian Academy of Sciences.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5C4BC05" w14:textId="77777777" w:rsidR="00D05FA5" w:rsidRPr="00312B39" w:rsidRDefault="00D05FA5" w:rsidP="00D05FA5">
            <w:pPr>
              <w:spacing w:after="0"/>
              <w:rPr>
                <w:rFonts w:ascii="Arial" w:hAnsi="Arial" w:cs="Arial"/>
                <w:color w:val="006100"/>
                <w:sz w:val="16"/>
                <w:szCs w:val="16"/>
              </w:rPr>
            </w:pPr>
          </w:p>
          <w:p w14:paraId="076DE25D" w14:textId="77777777" w:rsidR="00D05FA5" w:rsidRPr="00312B39" w:rsidRDefault="00D05FA5" w:rsidP="00D05FA5">
            <w:pPr>
              <w:spacing w:after="0" w:line="240" w:lineRule="auto"/>
              <w:rPr>
                <w:rFonts w:ascii="Arial" w:hAnsi="Arial" w:cs="Arial"/>
                <w:color w:val="0061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certification</w:t>
            </w:r>
          </w:p>
        </w:tc>
        <w:tc>
          <w:tcPr>
            <w:tcW w:w="2377" w:type="dxa"/>
            <w:shd w:val="clear" w:color="auto" w:fill="D6E3C6"/>
          </w:tcPr>
          <w:p w14:paraId="1D91B565" w14:textId="77777777" w:rsidR="00D05FA5" w:rsidRDefault="00D05FA5" w:rsidP="00D05FA5">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gridSpan w:val="2"/>
            <w:shd w:val="clear" w:color="auto" w:fill="D6E3C6"/>
          </w:tcPr>
          <w:p w14:paraId="79E8B296" w14:textId="77777777" w:rsidR="00D05FA5" w:rsidRPr="0008440F" w:rsidRDefault="00D05FA5" w:rsidP="00D05FA5">
            <w:pPr>
              <w:spacing w:after="0" w:line="240" w:lineRule="auto"/>
              <w:rPr>
                <w:rFonts w:ascii="Arial" w:hAnsi="Arial" w:cs="Arial"/>
                <w:color w:val="005D00"/>
                <w:sz w:val="16"/>
                <w:szCs w:val="16"/>
              </w:rPr>
            </w:pPr>
            <w:r w:rsidRPr="0008440F">
              <w:rPr>
                <w:rFonts w:ascii="Arial" w:hAnsi="Arial" w:cs="Arial"/>
                <w:color w:val="005D00"/>
                <w:sz w:val="16"/>
                <w:szCs w:val="16"/>
              </w:rPr>
              <w:t>Delays in contracting</w:t>
            </w:r>
          </w:p>
        </w:tc>
        <w:tc>
          <w:tcPr>
            <w:tcW w:w="710" w:type="dxa"/>
            <w:gridSpan w:val="2"/>
            <w:shd w:val="clear" w:color="auto" w:fill="D6E3C6"/>
          </w:tcPr>
          <w:p w14:paraId="6F182EF5" w14:textId="77777777" w:rsidR="00D05FA5" w:rsidRPr="0008440F" w:rsidRDefault="00D05FA5" w:rsidP="00D05FA5">
            <w:pPr>
              <w:spacing w:after="0" w:line="240" w:lineRule="auto"/>
              <w:rPr>
                <w:rFonts w:ascii="Arial" w:hAnsi="Arial" w:cs="Arial"/>
                <w:color w:val="005D00"/>
                <w:sz w:val="16"/>
                <w:szCs w:val="16"/>
              </w:rPr>
            </w:pPr>
            <w:r>
              <w:rPr>
                <w:rFonts w:ascii="Arial" w:hAnsi="Arial" w:cs="Arial"/>
                <w:color w:val="005D00"/>
                <w:sz w:val="16"/>
                <w:szCs w:val="16"/>
              </w:rPr>
              <w:t>Yes</w:t>
            </w:r>
          </w:p>
        </w:tc>
        <w:tc>
          <w:tcPr>
            <w:tcW w:w="825" w:type="dxa"/>
            <w:gridSpan w:val="2"/>
            <w:shd w:val="clear" w:color="auto" w:fill="D6E3C6"/>
          </w:tcPr>
          <w:p w14:paraId="0DCE609F" w14:textId="31837F85" w:rsidR="00D05FA5" w:rsidRPr="0008440F" w:rsidRDefault="005A00D8" w:rsidP="00D05FA5">
            <w:pPr>
              <w:spacing w:after="0" w:line="240" w:lineRule="auto"/>
              <w:rPr>
                <w:rFonts w:ascii="Arial" w:hAnsi="Arial" w:cs="Arial"/>
                <w:color w:val="005D00"/>
                <w:sz w:val="16"/>
                <w:szCs w:val="16"/>
              </w:rPr>
            </w:pPr>
            <w:r>
              <w:rPr>
                <w:rFonts w:ascii="Arial" w:hAnsi="Arial" w:cs="Arial"/>
                <w:color w:val="005D00"/>
                <w:sz w:val="16"/>
                <w:szCs w:val="16"/>
              </w:rPr>
              <w:t>8 (researchers)</w:t>
            </w:r>
          </w:p>
        </w:tc>
        <w:tc>
          <w:tcPr>
            <w:tcW w:w="1280" w:type="dxa"/>
            <w:gridSpan w:val="2"/>
            <w:shd w:val="clear" w:color="auto" w:fill="D6E3C6"/>
          </w:tcPr>
          <w:p w14:paraId="1609EE3D" w14:textId="77777777" w:rsidR="00D05FA5" w:rsidRPr="009877A1" w:rsidRDefault="00D05FA5" w:rsidP="00D05FA5">
            <w:pPr>
              <w:spacing w:after="0" w:line="240" w:lineRule="auto"/>
              <w:rPr>
                <w:rFonts w:ascii="Arial" w:hAnsi="Arial" w:cs="Arial"/>
                <w:color w:val="005D00"/>
                <w:sz w:val="16"/>
                <w:szCs w:val="16"/>
              </w:rPr>
            </w:pPr>
            <w:r w:rsidRPr="003B15E3">
              <w:rPr>
                <w:rFonts w:ascii="Arial" w:hAnsi="Arial" w:cs="Arial"/>
                <w:color w:val="005D00"/>
                <w:sz w:val="16"/>
                <w:szCs w:val="16"/>
              </w:rPr>
              <w:t xml:space="preserve">The </w:t>
            </w:r>
            <w:r>
              <w:rPr>
                <w:rFonts w:ascii="Arial" w:hAnsi="Arial" w:cs="Arial"/>
                <w:color w:val="005D00"/>
                <w:sz w:val="16"/>
                <w:szCs w:val="16"/>
              </w:rPr>
              <w:t>milestone</w:t>
            </w:r>
            <w:r w:rsidRPr="003B15E3">
              <w:rPr>
                <w:rFonts w:ascii="Arial" w:hAnsi="Arial" w:cs="Arial"/>
                <w:color w:val="005D00"/>
                <w:sz w:val="16"/>
                <w:szCs w:val="16"/>
              </w:rPr>
              <w:t xml:space="preserve"> will likely have an interim step: </w:t>
            </w:r>
            <w:r w:rsidRPr="009877A1">
              <w:rPr>
                <w:rFonts w:ascii="Arial" w:hAnsi="Arial" w:cs="Arial"/>
                <w:color w:val="005D00"/>
                <w:sz w:val="16"/>
                <w:szCs w:val="16"/>
              </w:rPr>
              <w:t>Signature of contracts for construction works (reconstruction and upgrading of an applied research building (Block 12 in campus at BAN 4km); the refurbishment of a demonstration centre building (block 29a in campus at BAN 4km); the purchase of research equipment, the rehabilitation of approximately 4 000 m² of research area covering 14 research institutes)</w:t>
            </w:r>
          </w:p>
          <w:p w14:paraId="16055129" w14:textId="77777777" w:rsidR="00D05FA5" w:rsidRPr="009877A1" w:rsidRDefault="00D05FA5" w:rsidP="00D05FA5">
            <w:pPr>
              <w:spacing w:after="0" w:line="240" w:lineRule="auto"/>
              <w:rPr>
                <w:rFonts w:ascii="Arial" w:hAnsi="Arial" w:cs="Arial"/>
                <w:color w:val="005D00"/>
                <w:sz w:val="16"/>
                <w:szCs w:val="16"/>
              </w:rPr>
            </w:pPr>
          </w:p>
          <w:p w14:paraId="415D71BA" w14:textId="650751CE" w:rsidR="00D05FA5" w:rsidRPr="0008440F" w:rsidRDefault="00D05FA5" w:rsidP="00D05FA5">
            <w:pPr>
              <w:spacing w:after="0" w:line="240" w:lineRule="auto"/>
              <w:rPr>
                <w:rFonts w:ascii="Arial" w:hAnsi="Arial" w:cs="Arial"/>
                <w:color w:val="005D00"/>
                <w:sz w:val="16"/>
                <w:szCs w:val="16"/>
              </w:rPr>
            </w:pPr>
            <w:r w:rsidRPr="009877A1">
              <w:rPr>
                <w:rFonts w:ascii="Arial" w:hAnsi="Arial" w:cs="Arial"/>
                <w:color w:val="005D00"/>
                <w:sz w:val="16"/>
                <w:szCs w:val="16"/>
              </w:rPr>
              <w:t xml:space="preserve">Progress report detailing the progress achieved towards fulfilling </w:t>
            </w:r>
            <w:r w:rsidRPr="009877A1">
              <w:rPr>
                <w:rFonts w:ascii="Arial" w:hAnsi="Arial" w:cs="Arial"/>
                <w:color w:val="005D00"/>
                <w:sz w:val="16"/>
                <w:szCs w:val="16"/>
              </w:rPr>
              <w:lastRenderedPageBreak/>
              <w:t>the milestone (status of advancement of construction works, installation of a DDoS security platform)</w:t>
            </w:r>
            <w:r w:rsidRPr="003B15E3">
              <w:rPr>
                <w:rFonts w:ascii="Arial" w:hAnsi="Arial" w:cs="Arial"/>
                <w:color w:val="005D00"/>
                <w:sz w:val="16"/>
                <w:szCs w:val="16"/>
              </w:rPr>
              <w:t xml:space="preserve"> (Q</w:t>
            </w:r>
            <w:r>
              <w:rPr>
                <w:rFonts w:ascii="Arial" w:hAnsi="Arial" w:cs="Arial"/>
                <w:color w:val="005D00"/>
                <w:sz w:val="16"/>
                <w:szCs w:val="16"/>
              </w:rPr>
              <w:t>4</w:t>
            </w:r>
            <w:r w:rsidRPr="003B15E3">
              <w:rPr>
                <w:rFonts w:ascii="Arial" w:hAnsi="Arial" w:cs="Arial"/>
                <w:color w:val="005D00"/>
                <w:sz w:val="16"/>
                <w:szCs w:val="16"/>
              </w:rPr>
              <w:t xml:space="preserve"> 202</w:t>
            </w:r>
            <w:r>
              <w:rPr>
                <w:rFonts w:ascii="Arial" w:hAnsi="Arial" w:cs="Arial"/>
                <w:color w:val="005D00"/>
                <w:sz w:val="16"/>
                <w:szCs w:val="16"/>
              </w:rPr>
              <w:t>3</w:t>
            </w:r>
            <w:r w:rsidRPr="003B15E3">
              <w:rPr>
                <w:rFonts w:ascii="Arial" w:hAnsi="Arial" w:cs="Arial"/>
                <w:color w:val="005D00"/>
                <w:sz w:val="16"/>
                <w:szCs w:val="16"/>
              </w:rPr>
              <w:t>)</w:t>
            </w:r>
          </w:p>
        </w:tc>
      </w:tr>
      <w:tr w:rsidR="00D05FA5" w:rsidRPr="0008440F" w14:paraId="61A455EC" w14:textId="77777777" w:rsidTr="506F4F75">
        <w:trPr>
          <w:gridAfter w:val="1"/>
          <w:wAfter w:w="15" w:type="dxa"/>
          <w:trHeight w:val="303"/>
        </w:trPr>
        <w:tc>
          <w:tcPr>
            <w:tcW w:w="360" w:type="dxa"/>
            <w:shd w:val="clear" w:color="auto" w:fill="D6E3C6"/>
            <w:noWrap/>
          </w:tcPr>
          <w:p w14:paraId="23678D77" w14:textId="77777777" w:rsidR="00D05FA5" w:rsidRPr="005F5BAD"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lastRenderedPageBreak/>
              <w:t>34</w:t>
            </w:r>
          </w:p>
        </w:tc>
        <w:tc>
          <w:tcPr>
            <w:tcW w:w="1200" w:type="dxa"/>
            <w:shd w:val="clear" w:color="auto" w:fill="D6E3C6"/>
            <w:noWrap/>
          </w:tcPr>
          <w:p w14:paraId="56AAC42E" w14:textId="77777777" w:rsidR="00D05FA5" w:rsidRPr="005F5BAD"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t>C2.I2: Enhancing the innovation capacity of the Bulgarian Academy of Sciences</w:t>
            </w:r>
          </w:p>
        </w:tc>
        <w:tc>
          <w:tcPr>
            <w:tcW w:w="851" w:type="dxa"/>
            <w:shd w:val="clear" w:color="auto" w:fill="D6E3C6"/>
            <w:noWrap/>
          </w:tcPr>
          <w:p w14:paraId="7034EA28" w14:textId="77777777" w:rsidR="00D05FA5" w:rsidRPr="005F5BAD"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t>Target</w:t>
            </w:r>
          </w:p>
        </w:tc>
        <w:tc>
          <w:tcPr>
            <w:tcW w:w="1134" w:type="dxa"/>
            <w:shd w:val="clear" w:color="auto" w:fill="D6E3C6"/>
            <w:noWrap/>
          </w:tcPr>
          <w:p w14:paraId="3907EB61" w14:textId="77777777" w:rsidR="00D05FA5" w:rsidRPr="005F5BAD" w:rsidRDefault="00D05FA5" w:rsidP="00D05FA5">
            <w:pPr>
              <w:spacing w:after="0" w:line="240" w:lineRule="auto"/>
              <w:rPr>
                <w:rFonts w:ascii="Arial" w:hAnsi="Arial" w:cs="Arial"/>
                <w:color w:val="005D00"/>
                <w:sz w:val="16"/>
                <w:szCs w:val="16"/>
              </w:rPr>
            </w:pPr>
            <w:r w:rsidRPr="005F5BAD">
              <w:rPr>
                <w:rFonts w:ascii="Arial" w:hAnsi="Arial" w:cs="Arial"/>
                <w:color w:val="005D00"/>
                <w:sz w:val="16"/>
                <w:szCs w:val="16"/>
              </w:rPr>
              <w:t>Completed research projects in the field of green and digital transition</w:t>
            </w:r>
          </w:p>
        </w:tc>
        <w:tc>
          <w:tcPr>
            <w:tcW w:w="1220" w:type="dxa"/>
            <w:shd w:val="clear" w:color="auto" w:fill="D6E3C6"/>
            <w:noWrap/>
          </w:tcPr>
          <w:p w14:paraId="7FDDC2F9" w14:textId="77777777" w:rsidR="00D05FA5" w:rsidRPr="005F5BAD" w:rsidRDefault="00D05FA5" w:rsidP="00D05FA5">
            <w:pPr>
              <w:spacing w:after="0" w:line="240" w:lineRule="auto"/>
              <w:rPr>
                <w:rFonts w:ascii="Arial" w:hAnsi="Arial" w:cs="Arial"/>
                <w:color w:val="005D00"/>
                <w:sz w:val="16"/>
                <w:szCs w:val="16"/>
              </w:rPr>
            </w:pPr>
          </w:p>
        </w:tc>
        <w:tc>
          <w:tcPr>
            <w:tcW w:w="567" w:type="dxa"/>
            <w:shd w:val="clear" w:color="auto" w:fill="D6E3C6"/>
            <w:noWrap/>
          </w:tcPr>
          <w:p w14:paraId="798DC962"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5F5BAD">
              <w:rPr>
                <w:rFonts w:ascii="Arial" w:hAnsi="Arial" w:cs="Arial"/>
                <w:color w:val="005D00"/>
                <w:sz w:val="16"/>
                <w:szCs w:val="16"/>
              </w:rPr>
              <w:t>Number</w:t>
            </w:r>
          </w:p>
        </w:tc>
        <w:tc>
          <w:tcPr>
            <w:tcW w:w="708" w:type="dxa"/>
            <w:shd w:val="clear" w:color="auto" w:fill="D6E3C6"/>
            <w:noWrap/>
          </w:tcPr>
          <w:p w14:paraId="4F73A96A"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5F5BAD">
              <w:rPr>
                <w:rFonts w:ascii="Arial" w:hAnsi="Arial" w:cs="Arial"/>
                <w:color w:val="005D00"/>
                <w:sz w:val="16"/>
                <w:szCs w:val="16"/>
              </w:rPr>
              <w:t>0</w:t>
            </w:r>
          </w:p>
        </w:tc>
        <w:tc>
          <w:tcPr>
            <w:tcW w:w="675" w:type="dxa"/>
            <w:shd w:val="clear" w:color="auto" w:fill="D6E3C6"/>
            <w:noWrap/>
          </w:tcPr>
          <w:p w14:paraId="2337283E" w14:textId="77777777" w:rsidR="00D05FA5" w:rsidRPr="0008440F" w:rsidRDefault="00D05FA5" w:rsidP="00D05FA5">
            <w:pPr>
              <w:spacing w:after="0" w:line="240" w:lineRule="auto"/>
              <w:jc w:val="center"/>
              <w:rPr>
                <w:rFonts w:ascii="Arial" w:eastAsia="Times New Roman" w:hAnsi="Arial" w:cs="Arial"/>
                <w:color w:val="005D00"/>
                <w:sz w:val="16"/>
                <w:szCs w:val="16"/>
                <w:lang w:eastAsia="en-GB"/>
              </w:rPr>
            </w:pPr>
            <w:r w:rsidRPr="005F5BAD">
              <w:rPr>
                <w:rFonts w:ascii="Arial" w:hAnsi="Arial" w:cs="Arial"/>
                <w:color w:val="005D00"/>
                <w:sz w:val="16"/>
                <w:szCs w:val="16"/>
              </w:rPr>
              <w:t>38</w:t>
            </w:r>
          </w:p>
        </w:tc>
        <w:tc>
          <w:tcPr>
            <w:tcW w:w="187" w:type="dxa"/>
            <w:shd w:val="clear" w:color="auto" w:fill="D6E3C6"/>
            <w:noWrap/>
          </w:tcPr>
          <w:p w14:paraId="160F991C" w14:textId="77777777" w:rsidR="00D05FA5" w:rsidRPr="005F5BAD"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t>Q2</w:t>
            </w:r>
          </w:p>
        </w:tc>
        <w:tc>
          <w:tcPr>
            <w:tcW w:w="560" w:type="dxa"/>
            <w:shd w:val="clear" w:color="auto" w:fill="D6E3C6"/>
            <w:noWrap/>
          </w:tcPr>
          <w:p w14:paraId="6F717EB1" w14:textId="77777777" w:rsidR="00D05FA5" w:rsidRPr="005F5BAD" w:rsidRDefault="00D05FA5" w:rsidP="00D05FA5">
            <w:pPr>
              <w:spacing w:after="0" w:line="240" w:lineRule="auto"/>
              <w:jc w:val="center"/>
              <w:rPr>
                <w:rFonts w:ascii="Arial" w:hAnsi="Arial" w:cs="Arial"/>
                <w:color w:val="005D00"/>
                <w:sz w:val="16"/>
                <w:szCs w:val="16"/>
              </w:rPr>
            </w:pPr>
            <w:r w:rsidRPr="005F5BAD">
              <w:rPr>
                <w:rFonts w:ascii="Arial" w:hAnsi="Arial" w:cs="Arial"/>
                <w:color w:val="005D00"/>
                <w:sz w:val="16"/>
                <w:szCs w:val="16"/>
              </w:rPr>
              <w:t>2026</w:t>
            </w:r>
          </w:p>
        </w:tc>
        <w:tc>
          <w:tcPr>
            <w:tcW w:w="1130" w:type="dxa"/>
            <w:shd w:val="clear" w:color="auto" w:fill="D6E3C6"/>
          </w:tcPr>
          <w:p w14:paraId="70163CFE" w14:textId="77777777" w:rsidR="00D05FA5" w:rsidRPr="005F5BAD" w:rsidRDefault="00D05FA5" w:rsidP="00D05FA5">
            <w:pPr>
              <w:spacing w:after="0" w:line="240" w:lineRule="auto"/>
              <w:rPr>
                <w:rFonts w:ascii="Arial" w:eastAsia="Times New Roman" w:hAnsi="Arial" w:cs="Arial"/>
                <w:color w:val="005D00"/>
                <w:sz w:val="16"/>
                <w:szCs w:val="16"/>
                <w:lang w:eastAsia="en-GB"/>
              </w:rPr>
            </w:pPr>
            <w:r w:rsidRPr="005F5BAD">
              <w:rPr>
                <w:rFonts w:ascii="Arial" w:eastAsia="Times New Roman" w:hAnsi="Arial" w:cs="Arial"/>
                <w:color w:val="005D00"/>
                <w:sz w:val="16"/>
                <w:szCs w:val="16"/>
                <w:lang w:eastAsia="en-GB"/>
              </w:rPr>
              <w:t>Bulgarian Academy of Science</w:t>
            </w:r>
          </w:p>
        </w:tc>
        <w:tc>
          <w:tcPr>
            <w:tcW w:w="764" w:type="dxa"/>
            <w:shd w:val="clear" w:color="auto" w:fill="D6E3C6"/>
          </w:tcPr>
          <w:p w14:paraId="202EBD4F" w14:textId="77777777" w:rsidR="00D05FA5" w:rsidRPr="0008440F" w:rsidRDefault="00D05FA5" w:rsidP="00D05FA5">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3C213BDE" w14:textId="77777777" w:rsidR="00D05FA5" w:rsidRPr="00C06A71" w:rsidRDefault="00D05FA5" w:rsidP="00D05FA5">
            <w:pPr>
              <w:rPr>
                <w:rFonts w:ascii="Arial" w:hAnsi="Arial" w:cs="Arial"/>
                <w:color w:val="005D00"/>
                <w:sz w:val="16"/>
                <w:szCs w:val="16"/>
                <w:lang w:eastAsia="en-GB"/>
              </w:rPr>
            </w:pPr>
            <w:r w:rsidRPr="00C06A71">
              <w:rPr>
                <w:rFonts w:ascii="Arial" w:hAnsi="Arial" w:cs="Arial"/>
                <w:color w:val="005D00"/>
                <w:sz w:val="16"/>
                <w:szCs w:val="16"/>
                <w:lang w:eastAsia="en-GB"/>
              </w:rPr>
              <w:t xml:space="preserve">a) a list of completed research projects and for each of them  </w:t>
            </w:r>
          </w:p>
          <w:p w14:paraId="62028804" w14:textId="77777777" w:rsidR="00D05FA5" w:rsidRPr="00C06A71" w:rsidRDefault="00D05FA5" w:rsidP="00D05FA5">
            <w:pPr>
              <w:rPr>
                <w:rFonts w:ascii="Arial" w:hAnsi="Arial" w:cs="Arial"/>
                <w:color w:val="005D00"/>
                <w:sz w:val="16"/>
                <w:szCs w:val="16"/>
                <w:lang w:eastAsia="en-GB"/>
              </w:rPr>
            </w:pPr>
            <w:r w:rsidRPr="00C06A71">
              <w:rPr>
                <w:rFonts w:ascii="Arial" w:hAnsi="Arial" w:cs="Arial"/>
                <w:color w:val="005D00"/>
                <w:sz w:val="16"/>
                <w:szCs w:val="16"/>
                <w:lang w:eastAsia="en-GB"/>
              </w:rPr>
              <w:t>- a brief description of the project,</w:t>
            </w:r>
          </w:p>
          <w:p w14:paraId="1628EF87" w14:textId="77777777" w:rsidR="00D05FA5" w:rsidRPr="00C06A71" w:rsidRDefault="00D05FA5" w:rsidP="00D05FA5">
            <w:pPr>
              <w:rPr>
                <w:rFonts w:ascii="Arial" w:hAnsi="Arial" w:cs="Arial"/>
                <w:color w:val="005D00"/>
                <w:sz w:val="16"/>
                <w:szCs w:val="16"/>
                <w:lang w:eastAsia="en-GB"/>
              </w:rPr>
            </w:pPr>
            <w:r w:rsidRPr="00C06A71">
              <w:rPr>
                <w:rFonts w:ascii="Arial" w:hAnsi="Arial" w:cs="Arial"/>
                <w:color w:val="005D00"/>
                <w:sz w:val="16"/>
                <w:szCs w:val="16"/>
                <w:lang w:eastAsia="en-GB"/>
              </w:rPr>
              <w:t xml:space="preserve">- the total amount awarded to the project. </w:t>
            </w:r>
          </w:p>
          <w:p w14:paraId="3B79BB00" w14:textId="77777777" w:rsidR="00D05FA5" w:rsidRPr="006F372A" w:rsidRDefault="00D05FA5" w:rsidP="00D05FA5">
            <w:pPr>
              <w:rPr>
                <w:rFonts w:ascii="Arial" w:hAnsi="Arial" w:cs="Arial"/>
                <w:color w:val="005D00"/>
                <w:sz w:val="16"/>
                <w:szCs w:val="16"/>
                <w:lang w:eastAsia="en-GB"/>
              </w:rPr>
            </w:pPr>
            <w:r w:rsidRPr="00C06A71">
              <w:rPr>
                <w:rFonts w:ascii="Arial" w:hAnsi="Arial" w:cs="Arial"/>
                <w:color w:val="005D00"/>
                <w:sz w:val="16"/>
                <w:szCs w:val="16"/>
                <w:lang w:eastAsia="en-GB"/>
              </w:rPr>
              <w:t>b) A report by peer-reviewers proving that the selection was open and competitive and in compliance with the Technical Guidelines “Do not cause significant harm” (2021/C58/01).</w:t>
            </w:r>
          </w:p>
        </w:tc>
        <w:tc>
          <w:tcPr>
            <w:tcW w:w="4111" w:type="dxa"/>
            <w:shd w:val="clear" w:color="auto" w:fill="D6E3C6"/>
          </w:tcPr>
          <w:p w14:paraId="4807C83D" w14:textId="77777777" w:rsidR="00D05FA5" w:rsidRPr="0008440F" w:rsidRDefault="00D05FA5" w:rsidP="00D05FA5">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Bulgarian Academy of Science</w:t>
            </w:r>
          </w:p>
          <w:p w14:paraId="6D99B2CF" w14:textId="77777777" w:rsidR="00D05FA5" w:rsidRPr="00312B39" w:rsidRDefault="00D05FA5" w:rsidP="00D05FA5">
            <w:pPr>
              <w:spacing w:after="0"/>
              <w:rPr>
                <w:rFonts w:ascii="Arial" w:hAnsi="Arial" w:cs="Arial"/>
                <w:color w:val="006100"/>
                <w:sz w:val="16"/>
                <w:szCs w:val="16"/>
              </w:rPr>
            </w:pPr>
          </w:p>
          <w:p w14:paraId="3C6DA98F"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5F5BAD">
              <w:rPr>
                <w:rFonts w:ascii="Arial" w:hAnsi="Arial" w:cs="Arial"/>
                <w:color w:val="005D00"/>
                <w:sz w:val="16"/>
                <w:szCs w:val="16"/>
              </w:rPr>
              <w:t>Completed research projects in the field of green and digital transition</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560E9E40" w14:textId="77777777" w:rsidR="00D05FA5" w:rsidRPr="00312B39" w:rsidRDefault="00D05FA5" w:rsidP="00D05FA5">
            <w:pPr>
              <w:spacing w:after="0"/>
              <w:rPr>
                <w:rFonts w:ascii="Arial" w:hAnsi="Arial" w:cs="Arial"/>
                <w:color w:val="006100"/>
                <w:sz w:val="16"/>
                <w:szCs w:val="16"/>
              </w:rPr>
            </w:pPr>
          </w:p>
          <w:p w14:paraId="09D9EC26"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implementation, project completion (a), peer-review and attesting a transparent selection and compliance (b)</w:t>
            </w:r>
          </w:p>
          <w:p w14:paraId="08451AB1" w14:textId="77777777" w:rsidR="00D05FA5" w:rsidRPr="00312B39" w:rsidRDefault="00D05FA5" w:rsidP="00D05FA5">
            <w:pPr>
              <w:spacing w:after="0"/>
              <w:rPr>
                <w:rFonts w:ascii="Arial" w:hAnsi="Arial" w:cs="Arial"/>
                <w:color w:val="006100"/>
                <w:sz w:val="16"/>
                <w:szCs w:val="16"/>
              </w:rPr>
            </w:pPr>
          </w:p>
          <w:p w14:paraId="5E1DA435" w14:textId="77777777" w:rsidR="00D05FA5" w:rsidRPr="00312B39" w:rsidRDefault="00D05FA5" w:rsidP="00D05FA5">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To complete r</w:t>
            </w:r>
            <w:r w:rsidRPr="005F5BAD">
              <w:rPr>
                <w:rFonts w:ascii="Arial" w:hAnsi="Arial" w:cs="Arial"/>
                <w:color w:val="005D00"/>
                <w:sz w:val="16"/>
                <w:szCs w:val="16"/>
              </w:rPr>
              <w:t>esearch projects in the field of green and digital transition to Technology Readiness Level 7. The selection of projects shall be open and competitive and will be carried out by the Scientific and Innovation Councils created and with the help of peer reviewers. The selection criteria shall ensure that the selected projects comply with the Technical Guidelines “Do not cause significant harm” (2021/C58/01) through the use of the exclusion list specified in the description of the measure and the requirement to comply with relevant EU and national environmental legislation. The total amount of funding shall be EUR 9.14 million, with 80% (EUR 7.31 million) for green transition projects and 20 % (EUR 1.82 million) for digital transformation projects.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32317007" w14:textId="77777777" w:rsidR="00D05FA5" w:rsidRPr="00312B39" w:rsidRDefault="00D05FA5" w:rsidP="00D05FA5">
            <w:pPr>
              <w:spacing w:after="0"/>
              <w:rPr>
                <w:rFonts w:ascii="Arial" w:hAnsi="Arial" w:cs="Arial"/>
                <w:color w:val="006100"/>
                <w:sz w:val="16"/>
                <w:szCs w:val="16"/>
              </w:rPr>
            </w:pPr>
          </w:p>
          <w:p w14:paraId="2DA3902A" w14:textId="77777777" w:rsidR="00D05FA5" w:rsidRPr="00312B39" w:rsidRDefault="00D05FA5" w:rsidP="00D05FA5">
            <w:pPr>
              <w:spacing w:after="0" w:line="240" w:lineRule="auto"/>
              <w:rPr>
                <w:rFonts w:ascii="Arial" w:hAnsi="Arial" w:cs="Arial"/>
                <w:color w:val="0061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peer-review (b)</w:t>
            </w:r>
          </w:p>
        </w:tc>
        <w:tc>
          <w:tcPr>
            <w:tcW w:w="2377" w:type="dxa"/>
            <w:shd w:val="clear" w:color="auto" w:fill="D6E3C6"/>
          </w:tcPr>
          <w:p w14:paraId="76DE6A01" w14:textId="77777777" w:rsidR="00D05FA5" w:rsidRDefault="00D05FA5" w:rsidP="00D05FA5">
            <w:pPr>
              <w:spacing w:after="0" w:line="240" w:lineRule="auto"/>
              <w:rPr>
                <w:rFonts w:ascii="Arial" w:hAnsi="Arial" w:cs="Arial"/>
                <w:color w:val="005D00"/>
                <w:sz w:val="16"/>
                <w:szCs w:val="16"/>
              </w:rPr>
            </w:pPr>
            <w:r>
              <w:rPr>
                <w:rFonts w:ascii="Arial" w:hAnsi="Arial" w:cs="Arial"/>
                <w:color w:val="005D00"/>
                <w:sz w:val="16"/>
                <w:szCs w:val="16"/>
              </w:rPr>
              <w:t>As above</w:t>
            </w:r>
          </w:p>
          <w:p w14:paraId="4D95A4E5" w14:textId="77777777" w:rsidR="00D05FA5" w:rsidRDefault="00D05FA5" w:rsidP="00D05FA5">
            <w:pPr>
              <w:spacing w:after="0" w:line="240" w:lineRule="auto"/>
              <w:rPr>
                <w:rFonts w:ascii="Arial" w:hAnsi="Arial" w:cs="Arial"/>
                <w:color w:val="005D00"/>
                <w:sz w:val="16"/>
                <w:szCs w:val="16"/>
              </w:rPr>
            </w:pPr>
          </w:p>
          <w:p w14:paraId="00E3BAD7" w14:textId="77777777" w:rsidR="00D05FA5" w:rsidRDefault="00D05FA5" w:rsidP="00D05FA5">
            <w:pPr>
              <w:spacing w:after="0" w:line="240" w:lineRule="auto"/>
              <w:rPr>
                <w:rFonts w:ascii="Arial" w:hAnsi="Arial" w:cs="Arial"/>
                <w:color w:val="005D00"/>
                <w:sz w:val="16"/>
                <w:szCs w:val="16"/>
              </w:rPr>
            </w:pPr>
            <w:r w:rsidRPr="00A14B72">
              <w:rPr>
                <w:rFonts w:ascii="Arial" w:hAnsi="Arial" w:cs="Arial"/>
                <w:color w:val="005D00"/>
                <w:sz w:val="16"/>
                <w:szCs w:val="16"/>
              </w:rPr>
              <w:t>Furthermore, it includes the financing of research projects to enhance the innovation output of BAS, with a particular focus in the field of green and digital technologies.</w:t>
            </w:r>
          </w:p>
        </w:tc>
        <w:tc>
          <w:tcPr>
            <w:tcW w:w="1398" w:type="dxa"/>
            <w:gridSpan w:val="2"/>
            <w:shd w:val="clear" w:color="auto" w:fill="D6E3C6"/>
          </w:tcPr>
          <w:p w14:paraId="3B836ED2" w14:textId="77777777" w:rsidR="00D05FA5" w:rsidRPr="0008440F" w:rsidRDefault="00D05FA5" w:rsidP="00D05FA5">
            <w:pPr>
              <w:spacing w:after="0" w:line="240" w:lineRule="auto"/>
              <w:rPr>
                <w:rFonts w:ascii="Arial" w:hAnsi="Arial" w:cs="Arial"/>
                <w:color w:val="005D00"/>
                <w:sz w:val="16"/>
                <w:szCs w:val="16"/>
              </w:rPr>
            </w:pPr>
            <w:r>
              <w:rPr>
                <w:rFonts w:ascii="Arial" w:hAnsi="Arial" w:cs="Arial"/>
                <w:color w:val="005D00"/>
                <w:sz w:val="16"/>
                <w:szCs w:val="16"/>
              </w:rPr>
              <w:t>Delays in the selection of projects</w:t>
            </w:r>
          </w:p>
        </w:tc>
        <w:tc>
          <w:tcPr>
            <w:tcW w:w="710" w:type="dxa"/>
            <w:gridSpan w:val="2"/>
            <w:shd w:val="clear" w:color="auto" w:fill="D6E3C6"/>
          </w:tcPr>
          <w:p w14:paraId="3C3F4848" w14:textId="77777777" w:rsidR="00D05FA5" w:rsidRDefault="00D05FA5" w:rsidP="00D05FA5">
            <w:pPr>
              <w:spacing w:after="0" w:line="240" w:lineRule="auto"/>
              <w:rPr>
                <w:rFonts w:ascii="Arial" w:hAnsi="Arial" w:cs="Arial"/>
                <w:color w:val="005D00"/>
                <w:sz w:val="16"/>
                <w:szCs w:val="16"/>
              </w:rPr>
            </w:pPr>
            <w:r>
              <w:rPr>
                <w:rFonts w:ascii="Arial" w:hAnsi="Arial" w:cs="Arial"/>
                <w:color w:val="005D00"/>
                <w:sz w:val="16"/>
                <w:szCs w:val="16"/>
              </w:rPr>
              <w:t>Yes, sample-based</w:t>
            </w:r>
          </w:p>
        </w:tc>
        <w:tc>
          <w:tcPr>
            <w:tcW w:w="825" w:type="dxa"/>
            <w:gridSpan w:val="2"/>
            <w:shd w:val="clear" w:color="auto" w:fill="D6E3C6"/>
          </w:tcPr>
          <w:p w14:paraId="62C4B6DD" w14:textId="77777777" w:rsidR="00D05FA5" w:rsidRDefault="00D05FA5" w:rsidP="00D05FA5">
            <w:pPr>
              <w:spacing w:after="0" w:line="240" w:lineRule="auto"/>
              <w:rPr>
                <w:rFonts w:ascii="Arial" w:hAnsi="Arial" w:cs="Arial"/>
                <w:color w:val="005D00"/>
                <w:sz w:val="16"/>
                <w:szCs w:val="16"/>
              </w:rPr>
            </w:pPr>
            <w:r>
              <w:rPr>
                <w:rFonts w:ascii="Arial" w:hAnsi="Arial" w:cs="Arial"/>
                <w:color w:val="005D00"/>
                <w:sz w:val="16"/>
                <w:szCs w:val="16"/>
              </w:rPr>
              <w:t>8 (researchers)</w:t>
            </w:r>
          </w:p>
        </w:tc>
        <w:tc>
          <w:tcPr>
            <w:tcW w:w="1280" w:type="dxa"/>
            <w:gridSpan w:val="2"/>
            <w:shd w:val="clear" w:color="auto" w:fill="D6E3C6"/>
          </w:tcPr>
          <w:p w14:paraId="2FA82BC8" w14:textId="254AD151" w:rsidR="00D05FA5" w:rsidRDefault="00D05FA5" w:rsidP="00D05FA5">
            <w:pPr>
              <w:spacing w:after="0" w:line="240" w:lineRule="auto"/>
              <w:rPr>
                <w:rFonts w:ascii="Arial" w:hAnsi="Arial" w:cs="Arial"/>
                <w:color w:val="005D00"/>
                <w:sz w:val="16"/>
                <w:szCs w:val="16"/>
              </w:rPr>
            </w:pPr>
            <w:r w:rsidRPr="003B15E3">
              <w:rPr>
                <w:rFonts w:ascii="Arial" w:hAnsi="Arial" w:cs="Arial"/>
                <w:color w:val="005D00"/>
                <w:sz w:val="16"/>
                <w:szCs w:val="16"/>
              </w:rPr>
              <w:t xml:space="preserve">The </w:t>
            </w:r>
            <w:r>
              <w:rPr>
                <w:rFonts w:ascii="Arial" w:hAnsi="Arial" w:cs="Arial"/>
                <w:color w:val="005D00"/>
                <w:sz w:val="16"/>
                <w:szCs w:val="16"/>
              </w:rPr>
              <w:t>target</w:t>
            </w:r>
            <w:r w:rsidRPr="003B15E3">
              <w:rPr>
                <w:rFonts w:ascii="Arial" w:hAnsi="Arial" w:cs="Arial"/>
                <w:color w:val="005D00"/>
                <w:sz w:val="16"/>
                <w:szCs w:val="16"/>
              </w:rPr>
              <w:t xml:space="preserve"> will likely have an interim step:</w:t>
            </w:r>
            <w:r>
              <w:rPr>
                <w:rFonts w:ascii="Arial" w:hAnsi="Arial" w:cs="Arial"/>
                <w:color w:val="005D00"/>
                <w:sz w:val="16"/>
                <w:szCs w:val="16"/>
              </w:rPr>
              <w:t xml:space="preserve"> </w:t>
            </w:r>
            <w:r w:rsidRPr="00C264FB">
              <w:rPr>
                <w:rFonts w:ascii="Arial" w:hAnsi="Arial" w:cs="Arial"/>
                <w:color w:val="005D00"/>
                <w:sz w:val="16"/>
                <w:szCs w:val="16"/>
              </w:rPr>
              <w:t>Progress report detailing the progress achieved towards fulfilling the target (what is the progress status of projects? How many were granted/completed?)</w:t>
            </w:r>
            <w:r>
              <w:rPr>
                <w:rFonts w:ascii="Arial" w:hAnsi="Arial" w:cs="Arial"/>
                <w:color w:val="005D00"/>
                <w:sz w:val="16"/>
                <w:szCs w:val="16"/>
              </w:rPr>
              <w:t xml:space="preserve"> (Q2 2024)</w:t>
            </w:r>
          </w:p>
        </w:tc>
      </w:tr>
    </w:tbl>
    <w:p w14:paraId="2C5FAE3E" w14:textId="77777777" w:rsidR="00EA0C19" w:rsidRPr="0073149B" w:rsidRDefault="00EA0C19" w:rsidP="00EA621A">
      <w:pPr>
        <w:rPr>
          <w:rFonts w:cstheme="minorHAnsi"/>
          <w:color w:val="005D00"/>
          <w:lang w:val="en-IE"/>
        </w:rPr>
      </w:pPr>
    </w:p>
    <w:sectPr w:rsidR="00EA0C19" w:rsidRPr="0073149B" w:rsidSect="006F3A5B">
      <w:headerReference w:type="even" r:id="rId11"/>
      <w:headerReference w:type="default" r:id="rId12"/>
      <w:footerReference w:type="even" r:id="rId13"/>
      <w:footerReference w:type="default" r:id="rId14"/>
      <w:headerReference w:type="first" r:id="rId15"/>
      <w:footerReference w:type="first" r:id="rId16"/>
      <w:pgSz w:w="23811" w:h="16838" w:orient="landscape" w:code="8"/>
      <w:pgMar w:top="1440" w:right="1440"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90C22" w14:textId="77777777" w:rsidR="00133694" w:rsidRDefault="00133694" w:rsidP="0011688C">
      <w:pPr>
        <w:spacing w:after="0" w:line="240" w:lineRule="auto"/>
      </w:pPr>
      <w:r>
        <w:separator/>
      </w:r>
    </w:p>
  </w:endnote>
  <w:endnote w:type="continuationSeparator" w:id="0">
    <w:p w14:paraId="04E96273" w14:textId="77777777" w:rsidR="00133694" w:rsidRDefault="00133694" w:rsidP="0011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90D0B" w14:textId="77777777" w:rsidR="0011688C" w:rsidRDefault="001168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E46FC" w14:textId="77777777" w:rsidR="0011688C" w:rsidRDefault="001168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AFEB5" w14:textId="77777777" w:rsidR="0011688C" w:rsidRDefault="001168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76DF0" w14:textId="77777777" w:rsidR="00133694" w:rsidRDefault="00133694" w:rsidP="0011688C">
      <w:pPr>
        <w:spacing w:after="0" w:line="240" w:lineRule="auto"/>
      </w:pPr>
      <w:r>
        <w:separator/>
      </w:r>
    </w:p>
  </w:footnote>
  <w:footnote w:type="continuationSeparator" w:id="0">
    <w:p w14:paraId="68D9EF28" w14:textId="77777777" w:rsidR="00133694" w:rsidRDefault="00133694" w:rsidP="00116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9B10" w14:textId="77777777" w:rsidR="0011688C" w:rsidRDefault="001168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F386D" w14:textId="77777777" w:rsidR="0011688C" w:rsidRDefault="001168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603DD" w14:textId="77777777" w:rsidR="0011688C" w:rsidRDefault="001168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7C88"/>
    <w:multiLevelType w:val="hybridMultilevel"/>
    <w:tmpl w:val="9E2687AC"/>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40C5D09"/>
    <w:multiLevelType w:val="hybridMultilevel"/>
    <w:tmpl w:val="6EEA98E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4AE5545"/>
    <w:multiLevelType w:val="multilevel"/>
    <w:tmpl w:val="F4A066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EC79A0"/>
    <w:multiLevelType w:val="multilevel"/>
    <w:tmpl w:val="BDB68D76"/>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4F16BD"/>
    <w:multiLevelType w:val="hybridMultilevel"/>
    <w:tmpl w:val="0380873A"/>
    <w:lvl w:ilvl="0" w:tplc="7660D45E">
      <w:start w:val="1"/>
      <w:numFmt w:val="lowerLetter"/>
      <w:lvlText w:val="%1)"/>
      <w:lvlJc w:val="left"/>
      <w:pPr>
        <w:ind w:left="720" w:hanging="360"/>
      </w:pPr>
    </w:lvl>
    <w:lvl w:ilvl="1" w:tplc="ACC46FF0">
      <w:start w:val="1"/>
      <w:numFmt w:val="lowerLetter"/>
      <w:lvlText w:val="%2."/>
      <w:lvlJc w:val="left"/>
      <w:pPr>
        <w:ind w:left="1440" w:hanging="360"/>
      </w:pPr>
    </w:lvl>
    <w:lvl w:ilvl="2" w:tplc="D664726E">
      <w:start w:val="1"/>
      <w:numFmt w:val="lowerRoman"/>
      <w:lvlText w:val="%3."/>
      <w:lvlJc w:val="right"/>
      <w:pPr>
        <w:ind w:left="2160" w:hanging="180"/>
      </w:pPr>
    </w:lvl>
    <w:lvl w:ilvl="3" w:tplc="71E84A1E">
      <w:start w:val="1"/>
      <w:numFmt w:val="decimal"/>
      <w:lvlText w:val="%4."/>
      <w:lvlJc w:val="left"/>
      <w:pPr>
        <w:ind w:left="2880" w:hanging="360"/>
      </w:pPr>
    </w:lvl>
    <w:lvl w:ilvl="4" w:tplc="ED4E5364">
      <w:start w:val="1"/>
      <w:numFmt w:val="lowerLetter"/>
      <w:lvlText w:val="%5."/>
      <w:lvlJc w:val="left"/>
      <w:pPr>
        <w:ind w:left="3600" w:hanging="360"/>
      </w:pPr>
    </w:lvl>
    <w:lvl w:ilvl="5" w:tplc="8B9AF450">
      <w:start w:val="1"/>
      <w:numFmt w:val="lowerRoman"/>
      <w:lvlText w:val="%6."/>
      <w:lvlJc w:val="right"/>
      <w:pPr>
        <w:ind w:left="4320" w:hanging="180"/>
      </w:pPr>
    </w:lvl>
    <w:lvl w:ilvl="6" w:tplc="61102B48">
      <w:start w:val="1"/>
      <w:numFmt w:val="decimal"/>
      <w:lvlText w:val="%7."/>
      <w:lvlJc w:val="left"/>
      <w:pPr>
        <w:ind w:left="5040" w:hanging="360"/>
      </w:pPr>
    </w:lvl>
    <w:lvl w:ilvl="7" w:tplc="C3122A2A">
      <w:start w:val="1"/>
      <w:numFmt w:val="lowerLetter"/>
      <w:lvlText w:val="%8."/>
      <w:lvlJc w:val="left"/>
      <w:pPr>
        <w:ind w:left="5760" w:hanging="360"/>
      </w:pPr>
    </w:lvl>
    <w:lvl w:ilvl="8" w:tplc="F39C30B8">
      <w:start w:val="1"/>
      <w:numFmt w:val="lowerRoman"/>
      <w:lvlText w:val="%9."/>
      <w:lvlJc w:val="right"/>
      <w:pPr>
        <w:ind w:left="6480" w:hanging="180"/>
      </w:pPr>
    </w:lvl>
  </w:abstractNum>
  <w:abstractNum w:abstractNumId="5" w15:restartNumberingAfterBreak="0">
    <w:nsid w:val="2D7403E3"/>
    <w:multiLevelType w:val="multilevel"/>
    <w:tmpl w:val="86CCD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782CD9"/>
    <w:multiLevelType w:val="multilevel"/>
    <w:tmpl w:val="80466C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422FB3"/>
    <w:multiLevelType w:val="multilevel"/>
    <w:tmpl w:val="4B8486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4D72BC"/>
    <w:multiLevelType w:val="multilevel"/>
    <w:tmpl w:val="8934270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656545"/>
    <w:multiLevelType w:val="hybridMultilevel"/>
    <w:tmpl w:val="10783972"/>
    <w:lvl w:ilvl="0" w:tplc="9C141266">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75F48D3"/>
    <w:multiLevelType w:val="multilevel"/>
    <w:tmpl w:val="0F7EB3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EC673B"/>
    <w:multiLevelType w:val="hybridMultilevel"/>
    <w:tmpl w:val="1B62D3F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542D01E9"/>
    <w:multiLevelType w:val="multilevel"/>
    <w:tmpl w:val="D5828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1822CA"/>
    <w:multiLevelType w:val="multilevel"/>
    <w:tmpl w:val="AB544244"/>
    <w:lvl w:ilvl="0">
      <w:start w:val="1"/>
      <w:numFmt w:val="decimal"/>
      <w:lvlText w:val="%1."/>
      <w:lvlJc w:val="left"/>
      <w:pPr>
        <w:tabs>
          <w:tab w:val="num" w:pos="360"/>
        </w:tabs>
        <w:ind w:left="360" w:hanging="360"/>
      </w:pPr>
      <w:rPr>
        <w:rFonts w:hint="default"/>
      </w:rPr>
    </w:lvl>
    <w:lvl w:ilvl="1">
      <w:start w:val="1"/>
      <w:numFmt w:val="lowerLetter"/>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56D15A9B"/>
    <w:multiLevelType w:val="hybridMultilevel"/>
    <w:tmpl w:val="FAF8AD4C"/>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6E71F0C"/>
    <w:multiLevelType w:val="hybridMultilevel"/>
    <w:tmpl w:val="6EEA98E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6382F2B"/>
    <w:multiLevelType w:val="multilevel"/>
    <w:tmpl w:val="EDA6AA5A"/>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6CE30FB7"/>
    <w:multiLevelType w:val="hybridMultilevel"/>
    <w:tmpl w:val="2564CDA8"/>
    <w:lvl w:ilvl="0" w:tplc="238ABCE8">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6903C2A"/>
    <w:multiLevelType w:val="multilevel"/>
    <w:tmpl w:val="C28AE2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AAD15AB"/>
    <w:multiLevelType w:val="hybridMultilevel"/>
    <w:tmpl w:val="0616CF78"/>
    <w:lvl w:ilvl="0" w:tplc="200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BD45528"/>
    <w:multiLevelType w:val="multilevel"/>
    <w:tmpl w:val="37503E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A64851"/>
    <w:multiLevelType w:val="multilevel"/>
    <w:tmpl w:val="A352EA0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1475483983">
    <w:abstractNumId w:val="16"/>
  </w:num>
  <w:num w:numId="2" w16cid:durableId="411391014">
    <w:abstractNumId w:val="5"/>
  </w:num>
  <w:num w:numId="3" w16cid:durableId="146820499">
    <w:abstractNumId w:val="22"/>
  </w:num>
  <w:num w:numId="4" w16cid:durableId="896166242">
    <w:abstractNumId w:val="19"/>
  </w:num>
  <w:num w:numId="5" w16cid:durableId="1158110742">
    <w:abstractNumId w:val="10"/>
  </w:num>
  <w:num w:numId="6" w16cid:durableId="760757878">
    <w:abstractNumId w:val="6"/>
  </w:num>
  <w:num w:numId="7" w16cid:durableId="471144942">
    <w:abstractNumId w:val="12"/>
  </w:num>
  <w:num w:numId="8" w16cid:durableId="327372283">
    <w:abstractNumId w:val="2"/>
  </w:num>
  <w:num w:numId="9" w16cid:durableId="1778089742">
    <w:abstractNumId w:val="21"/>
  </w:num>
  <w:num w:numId="10" w16cid:durableId="2127039655">
    <w:abstractNumId w:val="3"/>
  </w:num>
  <w:num w:numId="11" w16cid:durableId="1535967561">
    <w:abstractNumId w:val="7"/>
  </w:num>
  <w:num w:numId="12" w16cid:durableId="132600967">
    <w:abstractNumId w:val="4"/>
  </w:num>
  <w:num w:numId="13" w16cid:durableId="161624170">
    <w:abstractNumId w:val="14"/>
  </w:num>
  <w:num w:numId="14" w16cid:durableId="447088142">
    <w:abstractNumId w:val="1"/>
  </w:num>
  <w:num w:numId="15" w16cid:durableId="1734545666">
    <w:abstractNumId w:val="13"/>
  </w:num>
  <w:num w:numId="16" w16cid:durableId="1567255228">
    <w:abstractNumId w:val="15"/>
  </w:num>
  <w:num w:numId="17" w16cid:durableId="654650058">
    <w:abstractNumId w:val="4"/>
  </w:num>
  <w:num w:numId="18" w16cid:durableId="791481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0344845">
    <w:abstractNumId w:val="9"/>
  </w:num>
  <w:num w:numId="20" w16cid:durableId="127088104">
    <w:abstractNumId w:val="18"/>
  </w:num>
  <w:num w:numId="21" w16cid:durableId="1058090432">
    <w:abstractNumId w:val="11"/>
  </w:num>
  <w:num w:numId="22" w16cid:durableId="1779526646">
    <w:abstractNumId w:val="20"/>
  </w:num>
  <w:num w:numId="23" w16cid:durableId="179706917">
    <w:abstractNumId w:val="8"/>
  </w:num>
  <w:num w:numId="24" w16cid:durableId="1589653240">
    <w:abstractNumId w:val="17"/>
  </w:num>
  <w:num w:numId="25" w16cid:durableId="72765148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IE"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S1tDQzNzExNjQwMbdU0lEKTi0uzszPAykwrgUAN9hARywAAAA="/>
    <w:docVar w:name="LW_DocType" w:val="NORMAL"/>
  </w:docVars>
  <w:rsids>
    <w:rsidRoot w:val="00EA0C19"/>
    <w:rsid w:val="000007E1"/>
    <w:rsid w:val="0003017A"/>
    <w:rsid w:val="00045911"/>
    <w:rsid w:val="000619E6"/>
    <w:rsid w:val="00073250"/>
    <w:rsid w:val="000754C0"/>
    <w:rsid w:val="000801FE"/>
    <w:rsid w:val="000A2231"/>
    <w:rsid w:val="000B3F08"/>
    <w:rsid w:val="000C247F"/>
    <w:rsid w:val="000F1176"/>
    <w:rsid w:val="000F35F4"/>
    <w:rsid w:val="000F7A2D"/>
    <w:rsid w:val="00103070"/>
    <w:rsid w:val="0010D2A8"/>
    <w:rsid w:val="0011688C"/>
    <w:rsid w:val="001234C9"/>
    <w:rsid w:val="00131331"/>
    <w:rsid w:val="00133694"/>
    <w:rsid w:val="00135863"/>
    <w:rsid w:val="001665F4"/>
    <w:rsid w:val="001715CD"/>
    <w:rsid w:val="00177E7D"/>
    <w:rsid w:val="00181307"/>
    <w:rsid w:val="001949F4"/>
    <w:rsid w:val="00195A1E"/>
    <w:rsid w:val="0019790D"/>
    <w:rsid w:val="001A04D5"/>
    <w:rsid w:val="001C3DFA"/>
    <w:rsid w:val="001C42BA"/>
    <w:rsid w:val="001C7D87"/>
    <w:rsid w:val="001D0033"/>
    <w:rsid w:val="001D4705"/>
    <w:rsid w:val="001D7A74"/>
    <w:rsid w:val="001E7650"/>
    <w:rsid w:val="00201AA6"/>
    <w:rsid w:val="00203307"/>
    <w:rsid w:val="0022274C"/>
    <w:rsid w:val="00226480"/>
    <w:rsid w:val="0022739C"/>
    <w:rsid w:val="002564FB"/>
    <w:rsid w:val="002575AA"/>
    <w:rsid w:val="00257ACA"/>
    <w:rsid w:val="0026404F"/>
    <w:rsid w:val="00276500"/>
    <w:rsid w:val="00284FAD"/>
    <w:rsid w:val="00285165"/>
    <w:rsid w:val="002A11CF"/>
    <w:rsid w:val="002A15D1"/>
    <w:rsid w:val="002C3C0B"/>
    <w:rsid w:val="002D6A98"/>
    <w:rsid w:val="002D79D0"/>
    <w:rsid w:val="002F6438"/>
    <w:rsid w:val="002F72CC"/>
    <w:rsid w:val="00300542"/>
    <w:rsid w:val="00304336"/>
    <w:rsid w:val="0030542B"/>
    <w:rsid w:val="003066A4"/>
    <w:rsid w:val="00306A96"/>
    <w:rsid w:val="0032698C"/>
    <w:rsid w:val="00330097"/>
    <w:rsid w:val="0033575E"/>
    <w:rsid w:val="00340C05"/>
    <w:rsid w:val="00353D7C"/>
    <w:rsid w:val="00360CC3"/>
    <w:rsid w:val="003672A8"/>
    <w:rsid w:val="0037239B"/>
    <w:rsid w:val="003772B7"/>
    <w:rsid w:val="00396DB0"/>
    <w:rsid w:val="003A06EC"/>
    <w:rsid w:val="003A3CF0"/>
    <w:rsid w:val="003D5D37"/>
    <w:rsid w:val="003D5D63"/>
    <w:rsid w:val="003D621D"/>
    <w:rsid w:val="003F096A"/>
    <w:rsid w:val="00410691"/>
    <w:rsid w:val="00423EB1"/>
    <w:rsid w:val="00432F8B"/>
    <w:rsid w:val="004419C4"/>
    <w:rsid w:val="00454BC2"/>
    <w:rsid w:val="0046D176"/>
    <w:rsid w:val="0049752A"/>
    <w:rsid w:val="004A4BEE"/>
    <w:rsid w:val="004B5A9B"/>
    <w:rsid w:val="004C6985"/>
    <w:rsid w:val="004D1CEA"/>
    <w:rsid w:val="004D5036"/>
    <w:rsid w:val="004D71A7"/>
    <w:rsid w:val="004F338E"/>
    <w:rsid w:val="004F6C98"/>
    <w:rsid w:val="004F6FF4"/>
    <w:rsid w:val="00502941"/>
    <w:rsid w:val="005125DF"/>
    <w:rsid w:val="005214EA"/>
    <w:rsid w:val="0052521D"/>
    <w:rsid w:val="00530822"/>
    <w:rsid w:val="00534744"/>
    <w:rsid w:val="00542ECC"/>
    <w:rsid w:val="005446BF"/>
    <w:rsid w:val="005532B1"/>
    <w:rsid w:val="005560A5"/>
    <w:rsid w:val="00560033"/>
    <w:rsid w:val="00560224"/>
    <w:rsid w:val="00572C1D"/>
    <w:rsid w:val="00576CB3"/>
    <w:rsid w:val="00595D76"/>
    <w:rsid w:val="005A00D8"/>
    <w:rsid w:val="005A61DD"/>
    <w:rsid w:val="005B00B2"/>
    <w:rsid w:val="005B1D98"/>
    <w:rsid w:val="005D5E2D"/>
    <w:rsid w:val="005D7407"/>
    <w:rsid w:val="005F5BAD"/>
    <w:rsid w:val="00607205"/>
    <w:rsid w:val="00607528"/>
    <w:rsid w:val="00631E9B"/>
    <w:rsid w:val="006330B4"/>
    <w:rsid w:val="0063573B"/>
    <w:rsid w:val="00637F5F"/>
    <w:rsid w:val="006835B1"/>
    <w:rsid w:val="006835DD"/>
    <w:rsid w:val="006A6096"/>
    <w:rsid w:val="006B41FB"/>
    <w:rsid w:val="006C2774"/>
    <w:rsid w:val="006C7195"/>
    <w:rsid w:val="006D00DC"/>
    <w:rsid w:val="006E1CE1"/>
    <w:rsid w:val="006E4AB2"/>
    <w:rsid w:val="006E4E2A"/>
    <w:rsid w:val="006F378F"/>
    <w:rsid w:val="006F3A5B"/>
    <w:rsid w:val="00705012"/>
    <w:rsid w:val="0071582B"/>
    <w:rsid w:val="007223C6"/>
    <w:rsid w:val="0072540A"/>
    <w:rsid w:val="0072577C"/>
    <w:rsid w:val="00727CD7"/>
    <w:rsid w:val="0073149B"/>
    <w:rsid w:val="007643B8"/>
    <w:rsid w:val="00765E7B"/>
    <w:rsid w:val="007B0A9B"/>
    <w:rsid w:val="007B69BB"/>
    <w:rsid w:val="007C6864"/>
    <w:rsid w:val="007C79D7"/>
    <w:rsid w:val="007D0CCD"/>
    <w:rsid w:val="007D2B85"/>
    <w:rsid w:val="007F610C"/>
    <w:rsid w:val="00816B32"/>
    <w:rsid w:val="00825E2D"/>
    <w:rsid w:val="00836483"/>
    <w:rsid w:val="00840591"/>
    <w:rsid w:val="00847DF5"/>
    <w:rsid w:val="008570E8"/>
    <w:rsid w:val="008675A0"/>
    <w:rsid w:val="00880E9F"/>
    <w:rsid w:val="008820DC"/>
    <w:rsid w:val="008D3F0C"/>
    <w:rsid w:val="0091774B"/>
    <w:rsid w:val="00920B69"/>
    <w:rsid w:val="00926573"/>
    <w:rsid w:val="00934457"/>
    <w:rsid w:val="00945092"/>
    <w:rsid w:val="009541E4"/>
    <w:rsid w:val="00955D57"/>
    <w:rsid w:val="0096126E"/>
    <w:rsid w:val="0097568A"/>
    <w:rsid w:val="00976387"/>
    <w:rsid w:val="00982C19"/>
    <w:rsid w:val="009975BB"/>
    <w:rsid w:val="009A076E"/>
    <w:rsid w:val="009A4B40"/>
    <w:rsid w:val="009B353F"/>
    <w:rsid w:val="009E3935"/>
    <w:rsid w:val="009F3197"/>
    <w:rsid w:val="009F4647"/>
    <w:rsid w:val="00A046D2"/>
    <w:rsid w:val="00A11927"/>
    <w:rsid w:val="00A25859"/>
    <w:rsid w:val="00A27F77"/>
    <w:rsid w:val="00A35FC5"/>
    <w:rsid w:val="00A43FB1"/>
    <w:rsid w:val="00A57AE7"/>
    <w:rsid w:val="00A764F0"/>
    <w:rsid w:val="00A84B61"/>
    <w:rsid w:val="00A84BEA"/>
    <w:rsid w:val="00A84FD9"/>
    <w:rsid w:val="00AB0674"/>
    <w:rsid w:val="00AB4F85"/>
    <w:rsid w:val="00AD1E9D"/>
    <w:rsid w:val="00AD3453"/>
    <w:rsid w:val="00AD4F81"/>
    <w:rsid w:val="00AD5769"/>
    <w:rsid w:val="00AF3F6B"/>
    <w:rsid w:val="00AF63BA"/>
    <w:rsid w:val="00B02BC8"/>
    <w:rsid w:val="00B15FEA"/>
    <w:rsid w:val="00B33679"/>
    <w:rsid w:val="00B34FCB"/>
    <w:rsid w:val="00B3770A"/>
    <w:rsid w:val="00B41581"/>
    <w:rsid w:val="00B50C29"/>
    <w:rsid w:val="00B6694F"/>
    <w:rsid w:val="00B83E44"/>
    <w:rsid w:val="00B90915"/>
    <w:rsid w:val="00BA3048"/>
    <w:rsid w:val="00BC16D3"/>
    <w:rsid w:val="00BC4B4D"/>
    <w:rsid w:val="00BD0519"/>
    <w:rsid w:val="00BD0FDB"/>
    <w:rsid w:val="00BD2B01"/>
    <w:rsid w:val="00BE23A5"/>
    <w:rsid w:val="00BF0F78"/>
    <w:rsid w:val="00BF16C6"/>
    <w:rsid w:val="00C03B4A"/>
    <w:rsid w:val="00C14DB8"/>
    <w:rsid w:val="00C1719D"/>
    <w:rsid w:val="00C22E00"/>
    <w:rsid w:val="00C36999"/>
    <w:rsid w:val="00C45695"/>
    <w:rsid w:val="00C52C5B"/>
    <w:rsid w:val="00C65AE5"/>
    <w:rsid w:val="00C72D1A"/>
    <w:rsid w:val="00C810D0"/>
    <w:rsid w:val="00C82220"/>
    <w:rsid w:val="00C85215"/>
    <w:rsid w:val="00C87D63"/>
    <w:rsid w:val="00C94616"/>
    <w:rsid w:val="00C946D0"/>
    <w:rsid w:val="00CA6F10"/>
    <w:rsid w:val="00CB7119"/>
    <w:rsid w:val="00CB7451"/>
    <w:rsid w:val="00CC4981"/>
    <w:rsid w:val="00CD1BC7"/>
    <w:rsid w:val="00CD246B"/>
    <w:rsid w:val="00CE0140"/>
    <w:rsid w:val="00D042C4"/>
    <w:rsid w:val="00D05FA5"/>
    <w:rsid w:val="00D11A16"/>
    <w:rsid w:val="00D16D2A"/>
    <w:rsid w:val="00D21BCF"/>
    <w:rsid w:val="00D22CA7"/>
    <w:rsid w:val="00D342AD"/>
    <w:rsid w:val="00D45E47"/>
    <w:rsid w:val="00D52DB1"/>
    <w:rsid w:val="00D60033"/>
    <w:rsid w:val="00D70BA5"/>
    <w:rsid w:val="00D739BD"/>
    <w:rsid w:val="00D80B04"/>
    <w:rsid w:val="00D82B73"/>
    <w:rsid w:val="00DA1378"/>
    <w:rsid w:val="00DA2602"/>
    <w:rsid w:val="00DA3840"/>
    <w:rsid w:val="00DA53D3"/>
    <w:rsid w:val="00DB2E06"/>
    <w:rsid w:val="00DB78B5"/>
    <w:rsid w:val="00DC4BA4"/>
    <w:rsid w:val="00DC6049"/>
    <w:rsid w:val="00DD2E65"/>
    <w:rsid w:val="00DE2C9B"/>
    <w:rsid w:val="00DE742C"/>
    <w:rsid w:val="00E15818"/>
    <w:rsid w:val="00E24221"/>
    <w:rsid w:val="00E302F2"/>
    <w:rsid w:val="00E33AE8"/>
    <w:rsid w:val="00E353AA"/>
    <w:rsid w:val="00E35E9B"/>
    <w:rsid w:val="00E46C99"/>
    <w:rsid w:val="00E77A8C"/>
    <w:rsid w:val="00EA076A"/>
    <w:rsid w:val="00EA0C19"/>
    <w:rsid w:val="00EA3A78"/>
    <w:rsid w:val="00EA3B3E"/>
    <w:rsid w:val="00EA621A"/>
    <w:rsid w:val="00EA7488"/>
    <w:rsid w:val="00EC4CC0"/>
    <w:rsid w:val="00EC7997"/>
    <w:rsid w:val="00EC79AC"/>
    <w:rsid w:val="00ED394E"/>
    <w:rsid w:val="00ED4270"/>
    <w:rsid w:val="00EE4514"/>
    <w:rsid w:val="00F247AD"/>
    <w:rsid w:val="00F27248"/>
    <w:rsid w:val="00F447F0"/>
    <w:rsid w:val="00F46CCB"/>
    <w:rsid w:val="00F50F06"/>
    <w:rsid w:val="00F57FDF"/>
    <w:rsid w:val="00F60E07"/>
    <w:rsid w:val="00F610A3"/>
    <w:rsid w:val="00F749E1"/>
    <w:rsid w:val="00F87F5C"/>
    <w:rsid w:val="00FA0BC5"/>
    <w:rsid w:val="00FA4A44"/>
    <w:rsid w:val="00FA5796"/>
    <w:rsid w:val="00FD040D"/>
    <w:rsid w:val="00FD35EB"/>
    <w:rsid w:val="00FD6401"/>
    <w:rsid w:val="00FD66E9"/>
    <w:rsid w:val="00FF46DC"/>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6F4F7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3B"/>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aliases w:val="Bullet 3,ПАРАГРАФ,Bullet line,Style 1,C 1,Гл точки,Normal List,Endnote,Indent,Списък на абзаци"/>
    <w:basedOn w:val="Normal"/>
    <w:link w:val="ListParagraphChar"/>
    <w:uiPriority w:val="34"/>
    <w:qFormat/>
    <w:rsid w:val="00131331"/>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paragraph" w:styleId="Header">
    <w:name w:val="header"/>
    <w:basedOn w:val="Normal"/>
    <w:link w:val="HeaderChar"/>
    <w:uiPriority w:val="99"/>
    <w:unhideWhenUsed/>
    <w:rsid w:val="001168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688C"/>
  </w:style>
  <w:style w:type="paragraph" w:styleId="Footer">
    <w:name w:val="footer"/>
    <w:basedOn w:val="Normal"/>
    <w:link w:val="FooterChar"/>
    <w:uiPriority w:val="99"/>
    <w:unhideWhenUsed/>
    <w:rsid w:val="001168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88C"/>
  </w:style>
  <w:style w:type="character" w:customStyle="1" w:styleId="ListParagraphChar">
    <w:name w:val="List Paragraph Char"/>
    <w:aliases w:val="Bullet 3 Char,ПАРАГРАФ Char,Bullet line Char,Style 1 Char,C 1 Char,Гл точки Char,Normal List Char,Endnote Char,Indent Char,Списък на абзаци Char"/>
    <w:link w:val="ListParagraph"/>
    <w:uiPriority w:val="34"/>
    <w:qFormat/>
    <w:locked/>
    <w:rsid w:val="00542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23985">
      <w:bodyDiv w:val="1"/>
      <w:marLeft w:val="0"/>
      <w:marRight w:val="0"/>
      <w:marTop w:val="0"/>
      <w:marBottom w:val="0"/>
      <w:divBdr>
        <w:top w:val="none" w:sz="0" w:space="0" w:color="auto"/>
        <w:left w:val="none" w:sz="0" w:space="0" w:color="auto"/>
        <w:bottom w:val="none" w:sz="0" w:space="0" w:color="auto"/>
        <w:right w:val="none" w:sz="0" w:space="0" w:color="auto"/>
      </w:divBdr>
      <w:divsChild>
        <w:div w:id="816806068">
          <w:marLeft w:val="0"/>
          <w:marRight w:val="0"/>
          <w:marTop w:val="0"/>
          <w:marBottom w:val="0"/>
          <w:divBdr>
            <w:top w:val="none" w:sz="0" w:space="0" w:color="auto"/>
            <w:left w:val="none" w:sz="0" w:space="0" w:color="auto"/>
            <w:bottom w:val="none" w:sz="0" w:space="0" w:color="auto"/>
            <w:right w:val="none" w:sz="0" w:space="0" w:color="auto"/>
          </w:divBdr>
        </w:div>
        <w:div w:id="787546871">
          <w:marLeft w:val="0"/>
          <w:marRight w:val="0"/>
          <w:marTop w:val="0"/>
          <w:marBottom w:val="0"/>
          <w:divBdr>
            <w:top w:val="none" w:sz="0" w:space="0" w:color="auto"/>
            <w:left w:val="none" w:sz="0" w:space="0" w:color="auto"/>
            <w:bottom w:val="none" w:sz="0" w:space="0" w:color="auto"/>
            <w:right w:val="none" w:sz="0" w:space="0" w:color="auto"/>
          </w:divBdr>
        </w:div>
        <w:div w:id="1286962890">
          <w:marLeft w:val="0"/>
          <w:marRight w:val="0"/>
          <w:marTop w:val="0"/>
          <w:marBottom w:val="0"/>
          <w:divBdr>
            <w:top w:val="none" w:sz="0" w:space="0" w:color="auto"/>
            <w:left w:val="none" w:sz="0" w:space="0" w:color="auto"/>
            <w:bottom w:val="none" w:sz="0" w:space="0" w:color="auto"/>
            <w:right w:val="none" w:sz="0" w:space="0" w:color="auto"/>
          </w:divBdr>
        </w:div>
        <w:div w:id="1282149105">
          <w:marLeft w:val="0"/>
          <w:marRight w:val="0"/>
          <w:marTop w:val="0"/>
          <w:marBottom w:val="0"/>
          <w:divBdr>
            <w:top w:val="none" w:sz="0" w:space="0" w:color="auto"/>
            <w:left w:val="none" w:sz="0" w:space="0" w:color="auto"/>
            <w:bottom w:val="none" w:sz="0" w:space="0" w:color="auto"/>
            <w:right w:val="none" w:sz="0" w:space="0" w:color="auto"/>
          </w:divBdr>
        </w:div>
        <w:div w:id="979118396">
          <w:marLeft w:val="0"/>
          <w:marRight w:val="0"/>
          <w:marTop w:val="0"/>
          <w:marBottom w:val="0"/>
          <w:divBdr>
            <w:top w:val="none" w:sz="0" w:space="0" w:color="auto"/>
            <w:left w:val="none" w:sz="0" w:space="0" w:color="auto"/>
            <w:bottom w:val="none" w:sz="0" w:space="0" w:color="auto"/>
            <w:right w:val="none" w:sz="0" w:space="0" w:color="auto"/>
          </w:divBdr>
        </w:div>
        <w:div w:id="169414506">
          <w:marLeft w:val="0"/>
          <w:marRight w:val="0"/>
          <w:marTop w:val="0"/>
          <w:marBottom w:val="0"/>
          <w:divBdr>
            <w:top w:val="none" w:sz="0" w:space="0" w:color="auto"/>
            <w:left w:val="none" w:sz="0" w:space="0" w:color="auto"/>
            <w:bottom w:val="none" w:sz="0" w:space="0" w:color="auto"/>
            <w:right w:val="none" w:sz="0" w:space="0" w:color="auto"/>
          </w:divBdr>
        </w:div>
        <w:div w:id="1501627319">
          <w:marLeft w:val="0"/>
          <w:marRight w:val="0"/>
          <w:marTop w:val="0"/>
          <w:marBottom w:val="0"/>
          <w:divBdr>
            <w:top w:val="none" w:sz="0" w:space="0" w:color="auto"/>
            <w:left w:val="none" w:sz="0" w:space="0" w:color="auto"/>
            <w:bottom w:val="none" w:sz="0" w:space="0" w:color="auto"/>
            <w:right w:val="none" w:sz="0" w:space="0" w:color="auto"/>
          </w:divBdr>
        </w:div>
      </w:divsChild>
    </w:div>
    <w:div w:id="377631238">
      <w:bodyDiv w:val="1"/>
      <w:marLeft w:val="0"/>
      <w:marRight w:val="0"/>
      <w:marTop w:val="0"/>
      <w:marBottom w:val="0"/>
      <w:divBdr>
        <w:top w:val="none" w:sz="0" w:space="0" w:color="auto"/>
        <w:left w:val="none" w:sz="0" w:space="0" w:color="auto"/>
        <w:bottom w:val="none" w:sz="0" w:space="0" w:color="auto"/>
        <w:right w:val="none" w:sz="0" w:space="0" w:color="auto"/>
      </w:divBdr>
      <w:divsChild>
        <w:div w:id="220752824">
          <w:marLeft w:val="0"/>
          <w:marRight w:val="0"/>
          <w:marTop w:val="0"/>
          <w:marBottom w:val="0"/>
          <w:divBdr>
            <w:top w:val="none" w:sz="0" w:space="0" w:color="auto"/>
            <w:left w:val="none" w:sz="0" w:space="0" w:color="auto"/>
            <w:bottom w:val="none" w:sz="0" w:space="0" w:color="auto"/>
            <w:right w:val="none" w:sz="0" w:space="0" w:color="auto"/>
          </w:divBdr>
          <w:divsChild>
            <w:div w:id="1847475510">
              <w:marLeft w:val="0"/>
              <w:marRight w:val="0"/>
              <w:marTop w:val="0"/>
              <w:marBottom w:val="0"/>
              <w:divBdr>
                <w:top w:val="none" w:sz="0" w:space="0" w:color="auto"/>
                <w:left w:val="none" w:sz="0" w:space="0" w:color="auto"/>
                <w:bottom w:val="none" w:sz="0" w:space="0" w:color="auto"/>
                <w:right w:val="none" w:sz="0" w:space="0" w:color="auto"/>
              </w:divBdr>
            </w:div>
            <w:div w:id="170636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9598">
      <w:bodyDiv w:val="1"/>
      <w:marLeft w:val="0"/>
      <w:marRight w:val="0"/>
      <w:marTop w:val="0"/>
      <w:marBottom w:val="0"/>
      <w:divBdr>
        <w:top w:val="none" w:sz="0" w:space="0" w:color="auto"/>
        <w:left w:val="none" w:sz="0" w:space="0" w:color="auto"/>
        <w:bottom w:val="none" w:sz="0" w:space="0" w:color="auto"/>
        <w:right w:val="none" w:sz="0" w:space="0" w:color="auto"/>
      </w:divBdr>
      <w:divsChild>
        <w:div w:id="1952543379">
          <w:marLeft w:val="0"/>
          <w:marRight w:val="0"/>
          <w:marTop w:val="0"/>
          <w:marBottom w:val="0"/>
          <w:divBdr>
            <w:top w:val="none" w:sz="0" w:space="0" w:color="auto"/>
            <w:left w:val="none" w:sz="0" w:space="0" w:color="auto"/>
            <w:bottom w:val="none" w:sz="0" w:space="0" w:color="auto"/>
            <w:right w:val="none" w:sz="0" w:space="0" w:color="auto"/>
          </w:divBdr>
          <w:divsChild>
            <w:div w:id="1677878943">
              <w:marLeft w:val="0"/>
              <w:marRight w:val="0"/>
              <w:marTop w:val="0"/>
              <w:marBottom w:val="0"/>
              <w:divBdr>
                <w:top w:val="none" w:sz="0" w:space="0" w:color="auto"/>
                <w:left w:val="none" w:sz="0" w:space="0" w:color="auto"/>
                <w:bottom w:val="none" w:sz="0" w:space="0" w:color="auto"/>
                <w:right w:val="none" w:sz="0" w:space="0" w:color="auto"/>
              </w:divBdr>
            </w:div>
            <w:div w:id="2174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3545">
      <w:bodyDiv w:val="1"/>
      <w:marLeft w:val="0"/>
      <w:marRight w:val="0"/>
      <w:marTop w:val="0"/>
      <w:marBottom w:val="0"/>
      <w:divBdr>
        <w:top w:val="none" w:sz="0" w:space="0" w:color="auto"/>
        <w:left w:val="none" w:sz="0" w:space="0" w:color="auto"/>
        <w:bottom w:val="none" w:sz="0" w:space="0" w:color="auto"/>
        <w:right w:val="none" w:sz="0" w:space="0" w:color="auto"/>
      </w:divBdr>
      <w:divsChild>
        <w:div w:id="1307399596">
          <w:marLeft w:val="0"/>
          <w:marRight w:val="0"/>
          <w:marTop w:val="0"/>
          <w:marBottom w:val="0"/>
          <w:divBdr>
            <w:top w:val="none" w:sz="0" w:space="0" w:color="auto"/>
            <w:left w:val="none" w:sz="0" w:space="0" w:color="auto"/>
            <w:bottom w:val="none" w:sz="0" w:space="0" w:color="auto"/>
            <w:right w:val="none" w:sz="0" w:space="0" w:color="auto"/>
          </w:divBdr>
        </w:div>
        <w:div w:id="1169562164">
          <w:marLeft w:val="0"/>
          <w:marRight w:val="0"/>
          <w:marTop w:val="0"/>
          <w:marBottom w:val="0"/>
          <w:divBdr>
            <w:top w:val="none" w:sz="0" w:space="0" w:color="auto"/>
            <w:left w:val="none" w:sz="0" w:space="0" w:color="auto"/>
            <w:bottom w:val="none" w:sz="0" w:space="0" w:color="auto"/>
            <w:right w:val="none" w:sz="0" w:space="0" w:color="auto"/>
          </w:divBdr>
        </w:div>
        <w:div w:id="1605650645">
          <w:marLeft w:val="0"/>
          <w:marRight w:val="0"/>
          <w:marTop w:val="0"/>
          <w:marBottom w:val="0"/>
          <w:divBdr>
            <w:top w:val="none" w:sz="0" w:space="0" w:color="auto"/>
            <w:left w:val="none" w:sz="0" w:space="0" w:color="auto"/>
            <w:bottom w:val="none" w:sz="0" w:space="0" w:color="auto"/>
            <w:right w:val="none" w:sz="0" w:space="0" w:color="auto"/>
          </w:divBdr>
        </w:div>
        <w:div w:id="916018940">
          <w:marLeft w:val="0"/>
          <w:marRight w:val="0"/>
          <w:marTop w:val="0"/>
          <w:marBottom w:val="0"/>
          <w:divBdr>
            <w:top w:val="none" w:sz="0" w:space="0" w:color="auto"/>
            <w:left w:val="none" w:sz="0" w:space="0" w:color="auto"/>
            <w:bottom w:val="none" w:sz="0" w:space="0" w:color="auto"/>
            <w:right w:val="none" w:sz="0" w:space="0" w:color="auto"/>
          </w:divBdr>
        </w:div>
        <w:div w:id="805583938">
          <w:marLeft w:val="0"/>
          <w:marRight w:val="0"/>
          <w:marTop w:val="0"/>
          <w:marBottom w:val="0"/>
          <w:divBdr>
            <w:top w:val="none" w:sz="0" w:space="0" w:color="auto"/>
            <w:left w:val="none" w:sz="0" w:space="0" w:color="auto"/>
            <w:bottom w:val="none" w:sz="0" w:space="0" w:color="auto"/>
            <w:right w:val="none" w:sz="0" w:space="0" w:color="auto"/>
          </w:divBdr>
        </w:div>
        <w:div w:id="934704944">
          <w:marLeft w:val="0"/>
          <w:marRight w:val="0"/>
          <w:marTop w:val="0"/>
          <w:marBottom w:val="0"/>
          <w:divBdr>
            <w:top w:val="none" w:sz="0" w:space="0" w:color="auto"/>
            <w:left w:val="none" w:sz="0" w:space="0" w:color="auto"/>
            <w:bottom w:val="none" w:sz="0" w:space="0" w:color="auto"/>
            <w:right w:val="none" w:sz="0" w:space="0" w:color="auto"/>
          </w:divBdr>
        </w:div>
        <w:div w:id="170070081">
          <w:marLeft w:val="0"/>
          <w:marRight w:val="0"/>
          <w:marTop w:val="0"/>
          <w:marBottom w:val="0"/>
          <w:divBdr>
            <w:top w:val="none" w:sz="0" w:space="0" w:color="auto"/>
            <w:left w:val="none" w:sz="0" w:space="0" w:color="auto"/>
            <w:bottom w:val="none" w:sz="0" w:space="0" w:color="auto"/>
            <w:right w:val="none" w:sz="0" w:space="0" w:color="auto"/>
          </w:divBdr>
        </w:div>
      </w:divsChild>
    </w:div>
    <w:div w:id="766655385">
      <w:bodyDiv w:val="1"/>
      <w:marLeft w:val="0"/>
      <w:marRight w:val="0"/>
      <w:marTop w:val="0"/>
      <w:marBottom w:val="0"/>
      <w:divBdr>
        <w:top w:val="none" w:sz="0" w:space="0" w:color="auto"/>
        <w:left w:val="none" w:sz="0" w:space="0" w:color="auto"/>
        <w:bottom w:val="none" w:sz="0" w:space="0" w:color="auto"/>
        <w:right w:val="none" w:sz="0" w:space="0" w:color="auto"/>
      </w:divBdr>
      <w:divsChild>
        <w:div w:id="974487079">
          <w:marLeft w:val="0"/>
          <w:marRight w:val="0"/>
          <w:marTop w:val="0"/>
          <w:marBottom w:val="0"/>
          <w:divBdr>
            <w:top w:val="none" w:sz="0" w:space="0" w:color="auto"/>
            <w:left w:val="none" w:sz="0" w:space="0" w:color="auto"/>
            <w:bottom w:val="none" w:sz="0" w:space="0" w:color="auto"/>
            <w:right w:val="none" w:sz="0" w:space="0" w:color="auto"/>
          </w:divBdr>
        </w:div>
        <w:div w:id="1028917412">
          <w:marLeft w:val="0"/>
          <w:marRight w:val="0"/>
          <w:marTop w:val="0"/>
          <w:marBottom w:val="0"/>
          <w:divBdr>
            <w:top w:val="none" w:sz="0" w:space="0" w:color="auto"/>
            <w:left w:val="none" w:sz="0" w:space="0" w:color="auto"/>
            <w:bottom w:val="none" w:sz="0" w:space="0" w:color="auto"/>
            <w:right w:val="none" w:sz="0" w:space="0" w:color="auto"/>
          </w:divBdr>
        </w:div>
        <w:div w:id="2072194443">
          <w:marLeft w:val="0"/>
          <w:marRight w:val="0"/>
          <w:marTop w:val="0"/>
          <w:marBottom w:val="0"/>
          <w:divBdr>
            <w:top w:val="none" w:sz="0" w:space="0" w:color="auto"/>
            <w:left w:val="none" w:sz="0" w:space="0" w:color="auto"/>
            <w:bottom w:val="none" w:sz="0" w:space="0" w:color="auto"/>
            <w:right w:val="none" w:sz="0" w:space="0" w:color="auto"/>
          </w:divBdr>
        </w:div>
        <w:div w:id="1302268187">
          <w:marLeft w:val="0"/>
          <w:marRight w:val="0"/>
          <w:marTop w:val="0"/>
          <w:marBottom w:val="0"/>
          <w:divBdr>
            <w:top w:val="none" w:sz="0" w:space="0" w:color="auto"/>
            <w:left w:val="none" w:sz="0" w:space="0" w:color="auto"/>
            <w:bottom w:val="none" w:sz="0" w:space="0" w:color="auto"/>
            <w:right w:val="none" w:sz="0" w:space="0" w:color="auto"/>
          </w:divBdr>
        </w:div>
        <w:div w:id="1357194304">
          <w:marLeft w:val="0"/>
          <w:marRight w:val="0"/>
          <w:marTop w:val="0"/>
          <w:marBottom w:val="0"/>
          <w:divBdr>
            <w:top w:val="none" w:sz="0" w:space="0" w:color="auto"/>
            <w:left w:val="none" w:sz="0" w:space="0" w:color="auto"/>
            <w:bottom w:val="none" w:sz="0" w:space="0" w:color="auto"/>
            <w:right w:val="none" w:sz="0" w:space="0" w:color="auto"/>
          </w:divBdr>
        </w:div>
      </w:divsChild>
    </w:div>
    <w:div w:id="793334328">
      <w:bodyDiv w:val="1"/>
      <w:marLeft w:val="0"/>
      <w:marRight w:val="0"/>
      <w:marTop w:val="0"/>
      <w:marBottom w:val="0"/>
      <w:divBdr>
        <w:top w:val="none" w:sz="0" w:space="0" w:color="auto"/>
        <w:left w:val="none" w:sz="0" w:space="0" w:color="auto"/>
        <w:bottom w:val="none" w:sz="0" w:space="0" w:color="auto"/>
        <w:right w:val="none" w:sz="0" w:space="0" w:color="auto"/>
      </w:divBdr>
      <w:divsChild>
        <w:div w:id="220022356">
          <w:marLeft w:val="0"/>
          <w:marRight w:val="0"/>
          <w:marTop w:val="0"/>
          <w:marBottom w:val="0"/>
          <w:divBdr>
            <w:top w:val="none" w:sz="0" w:space="0" w:color="auto"/>
            <w:left w:val="none" w:sz="0" w:space="0" w:color="auto"/>
            <w:bottom w:val="none" w:sz="0" w:space="0" w:color="auto"/>
            <w:right w:val="none" w:sz="0" w:space="0" w:color="auto"/>
          </w:divBdr>
          <w:divsChild>
            <w:div w:id="1649088910">
              <w:marLeft w:val="0"/>
              <w:marRight w:val="0"/>
              <w:marTop w:val="0"/>
              <w:marBottom w:val="0"/>
              <w:divBdr>
                <w:top w:val="none" w:sz="0" w:space="0" w:color="auto"/>
                <w:left w:val="none" w:sz="0" w:space="0" w:color="auto"/>
                <w:bottom w:val="none" w:sz="0" w:space="0" w:color="auto"/>
                <w:right w:val="none" w:sz="0" w:space="0" w:color="auto"/>
              </w:divBdr>
            </w:div>
            <w:div w:id="195343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99627">
      <w:bodyDiv w:val="1"/>
      <w:marLeft w:val="0"/>
      <w:marRight w:val="0"/>
      <w:marTop w:val="0"/>
      <w:marBottom w:val="0"/>
      <w:divBdr>
        <w:top w:val="none" w:sz="0" w:space="0" w:color="auto"/>
        <w:left w:val="none" w:sz="0" w:space="0" w:color="auto"/>
        <w:bottom w:val="none" w:sz="0" w:space="0" w:color="auto"/>
        <w:right w:val="none" w:sz="0" w:space="0" w:color="auto"/>
      </w:divBdr>
      <w:divsChild>
        <w:div w:id="1408460968">
          <w:marLeft w:val="0"/>
          <w:marRight w:val="0"/>
          <w:marTop w:val="0"/>
          <w:marBottom w:val="0"/>
          <w:divBdr>
            <w:top w:val="none" w:sz="0" w:space="0" w:color="auto"/>
            <w:left w:val="none" w:sz="0" w:space="0" w:color="auto"/>
            <w:bottom w:val="none" w:sz="0" w:space="0" w:color="auto"/>
            <w:right w:val="none" w:sz="0" w:space="0" w:color="auto"/>
          </w:divBdr>
        </w:div>
        <w:div w:id="755594536">
          <w:marLeft w:val="0"/>
          <w:marRight w:val="0"/>
          <w:marTop w:val="0"/>
          <w:marBottom w:val="0"/>
          <w:divBdr>
            <w:top w:val="none" w:sz="0" w:space="0" w:color="auto"/>
            <w:left w:val="none" w:sz="0" w:space="0" w:color="auto"/>
            <w:bottom w:val="none" w:sz="0" w:space="0" w:color="auto"/>
            <w:right w:val="none" w:sz="0" w:space="0" w:color="auto"/>
          </w:divBdr>
        </w:div>
        <w:div w:id="682977844">
          <w:marLeft w:val="0"/>
          <w:marRight w:val="0"/>
          <w:marTop w:val="0"/>
          <w:marBottom w:val="0"/>
          <w:divBdr>
            <w:top w:val="none" w:sz="0" w:space="0" w:color="auto"/>
            <w:left w:val="none" w:sz="0" w:space="0" w:color="auto"/>
            <w:bottom w:val="none" w:sz="0" w:space="0" w:color="auto"/>
            <w:right w:val="none" w:sz="0" w:space="0" w:color="auto"/>
          </w:divBdr>
        </w:div>
        <w:div w:id="1754206737">
          <w:marLeft w:val="0"/>
          <w:marRight w:val="0"/>
          <w:marTop w:val="0"/>
          <w:marBottom w:val="0"/>
          <w:divBdr>
            <w:top w:val="none" w:sz="0" w:space="0" w:color="auto"/>
            <w:left w:val="none" w:sz="0" w:space="0" w:color="auto"/>
            <w:bottom w:val="none" w:sz="0" w:space="0" w:color="auto"/>
            <w:right w:val="none" w:sz="0" w:space="0" w:color="auto"/>
          </w:divBdr>
        </w:div>
        <w:div w:id="892273940">
          <w:marLeft w:val="0"/>
          <w:marRight w:val="0"/>
          <w:marTop w:val="0"/>
          <w:marBottom w:val="0"/>
          <w:divBdr>
            <w:top w:val="none" w:sz="0" w:space="0" w:color="auto"/>
            <w:left w:val="none" w:sz="0" w:space="0" w:color="auto"/>
            <w:bottom w:val="none" w:sz="0" w:space="0" w:color="auto"/>
            <w:right w:val="none" w:sz="0" w:space="0" w:color="auto"/>
          </w:divBdr>
        </w:div>
        <w:div w:id="1611858296">
          <w:marLeft w:val="0"/>
          <w:marRight w:val="0"/>
          <w:marTop w:val="0"/>
          <w:marBottom w:val="0"/>
          <w:divBdr>
            <w:top w:val="none" w:sz="0" w:space="0" w:color="auto"/>
            <w:left w:val="none" w:sz="0" w:space="0" w:color="auto"/>
            <w:bottom w:val="none" w:sz="0" w:space="0" w:color="auto"/>
            <w:right w:val="none" w:sz="0" w:space="0" w:color="auto"/>
          </w:divBdr>
        </w:div>
        <w:div w:id="1685672975">
          <w:marLeft w:val="0"/>
          <w:marRight w:val="0"/>
          <w:marTop w:val="0"/>
          <w:marBottom w:val="0"/>
          <w:divBdr>
            <w:top w:val="none" w:sz="0" w:space="0" w:color="auto"/>
            <w:left w:val="none" w:sz="0" w:space="0" w:color="auto"/>
            <w:bottom w:val="none" w:sz="0" w:space="0" w:color="auto"/>
            <w:right w:val="none" w:sz="0" w:space="0" w:color="auto"/>
          </w:divBdr>
        </w:div>
      </w:divsChild>
    </w:div>
    <w:div w:id="1478062600">
      <w:bodyDiv w:val="1"/>
      <w:marLeft w:val="0"/>
      <w:marRight w:val="0"/>
      <w:marTop w:val="0"/>
      <w:marBottom w:val="0"/>
      <w:divBdr>
        <w:top w:val="none" w:sz="0" w:space="0" w:color="auto"/>
        <w:left w:val="none" w:sz="0" w:space="0" w:color="auto"/>
        <w:bottom w:val="none" w:sz="0" w:space="0" w:color="auto"/>
        <w:right w:val="none" w:sz="0" w:space="0" w:color="auto"/>
      </w:divBdr>
    </w:div>
    <w:div w:id="1504541547">
      <w:bodyDiv w:val="1"/>
      <w:marLeft w:val="0"/>
      <w:marRight w:val="0"/>
      <w:marTop w:val="0"/>
      <w:marBottom w:val="0"/>
      <w:divBdr>
        <w:top w:val="none" w:sz="0" w:space="0" w:color="auto"/>
        <w:left w:val="none" w:sz="0" w:space="0" w:color="auto"/>
        <w:bottom w:val="none" w:sz="0" w:space="0" w:color="auto"/>
        <w:right w:val="none" w:sz="0" w:space="0" w:color="auto"/>
      </w:divBdr>
      <w:divsChild>
        <w:div w:id="689767773">
          <w:marLeft w:val="0"/>
          <w:marRight w:val="0"/>
          <w:marTop w:val="0"/>
          <w:marBottom w:val="0"/>
          <w:divBdr>
            <w:top w:val="none" w:sz="0" w:space="0" w:color="auto"/>
            <w:left w:val="none" w:sz="0" w:space="0" w:color="auto"/>
            <w:bottom w:val="none" w:sz="0" w:space="0" w:color="auto"/>
            <w:right w:val="none" w:sz="0" w:space="0" w:color="auto"/>
          </w:divBdr>
          <w:divsChild>
            <w:div w:id="175922998">
              <w:marLeft w:val="0"/>
              <w:marRight w:val="0"/>
              <w:marTop w:val="0"/>
              <w:marBottom w:val="0"/>
              <w:divBdr>
                <w:top w:val="none" w:sz="0" w:space="0" w:color="auto"/>
                <w:left w:val="none" w:sz="0" w:space="0" w:color="auto"/>
                <w:bottom w:val="none" w:sz="0" w:space="0" w:color="auto"/>
                <w:right w:val="none" w:sz="0" w:space="0" w:color="auto"/>
              </w:divBdr>
            </w:div>
            <w:div w:id="11758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497190">
      <w:bodyDiv w:val="1"/>
      <w:marLeft w:val="0"/>
      <w:marRight w:val="0"/>
      <w:marTop w:val="0"/>
      <w:marBottom w:val="0"/>
      <w:divBdr>
        <w:top w:val="none" w:sz="0" w:space="0" w:color="auto"/>
        <w:left w:val="none" w:sz="0" w:space="0" w:color="auto"/>
        <w:bottom w:val="none" w:sz="0" w:space="0" w:color="auto"/>
        <w:right w:val="none" w:sz="0" w:space="0" w:color="auto"/>
      </w:divBdr>
    </w:div>
    <w:div w:id="1892233566">
      <w:bodyDiv w:val="1"/>
      <w:marLeft w:val="0"/>
      <w:marRight w:val="0"/>
      <w:marTop w:val="0"/>
      <w:marBottom w:val="0"/>
      <w:divBdr>
        <w:top w:val="none" w:sz="0" w:space="0" w:color="auto"/>
        <w:left w:val="none" w:sz="0" w:space="0" w:color="auto"/>
        <w:bottom w:val="none" w:sz="0" w:space="0" w:color="auto"/>
        <w:right w:val="none" w:sz="0" w:space="0" w:color="auto"/>
      </w:divBdr>
      <w:divsChild>
        <w:div w:id="753362558">
          <w:marLeft w:val="0"/>
          <w:marRight w:val="0"/>
          <w:marTop w:val="0"/>
          <w:marBottom w:val="0"/>
          <w:divBdr>
            <w:top w:val="none" w:sz="0" w:space="0" w:color="auto"/>
            <w:left w:val="none" w:sz="0" w:space="0" w:color="auto"/>
            <w:bottom w:val="none" w:sz="0" w:space="0" w:color="auto"/>
            <w:right w:val="none" w:sz="0" w:space="0" w:color="auto"/>
          </w:divBdr>
        </w:div>
        <w:div w:id="222913675">
          <w:marLeft w:val="0"/>
          <w:marRight w:val="0"/>
          <w:marTop w:val="0"/>
          <w:marBottom w:val="0"/>
          <w:divBdr>
            <w:top w:val="none" w:sz="0" w:space="0" w:color="auto"/>
            <w:left w:val="none" w:sz="0" w:space="0" w:color="auto"/>
            <w:bottom w:val="none" w:sz="0" w:space="0" w:color="auto"/>
            <w:right w:val="none" w:sz="0" w:space="0" w:color="auto"/>
          </w:divBdr>
        </w:div>
        <w:div w:id="1083257228">
          <w:marLeft w:val="0"/>
          <w:marRight w:val="0"/>
          <w:marTop w:val="0"/>
          <w:marBottom w:val="0"/>
          <w:divBdr>
            <w:top w:val="none" w:sz="0" w:space="0" w:color="auto"/>
            <w:left w:val="none" w:sz="0" w:space="0" w:color="auto"/>
            <w:bottom w:val="none" w:sz="0" w:space="0" w:color="auto"/>
            <w:right w:val="none" w:sz="0" w:space="0" w:color="auto"/>
          </w:divBdr>
        </w:div>
        <w:div w:id="1769160731">
          <w:marLeft w:val="0"/>
          <w:marRight w:val="0"/>
          <w:marTop w:val="0"/>
          <w:marBottom w:val="0"/>
          <w:divBdr>
            <w:top w:val="none" w:sz="0" w:space="0" w:color="auto"/>
            <w:left w:val="none" w:sz="0" w:space="0" w:color="auto"/>
            <w:bottom w:val="none" w:sz="0" w:space="0" w:color="auto"/>
            <w:right w:val="none" w:sz="0" w:space="0" w:color="auto"/>
          </w:divBdr>
        </w:div>
        <w:div w:id="1629043602">
          <w:marLeft w:val="0"/>
          <w:marRight w:val="0"/>
          <w:marTop w:val="0"/>
          <w:marBottom w:val="0"/>
          <w:divBdr>
            <w:top w:val="none" w:sz="0" w:space="0" w:color="auto"/>
            <w:left w:val="none" w:sz="0" w:space="0" w:color="auto"/>
            <w:bottom w:val="none" w:sz="0" w:space="0" w:color="auto"/>
            <w:right w:val="none" w:sz="0" w:space="0" w:color="auto"/>
          </w:divBdr>
        </w:div>
        <w:div w:id="1919903875">
          <w:marLeft w:val="0"/>
          <w:marRight w:val="0"/>
          <w:marTop w:val="0"/>
          <w:marBottom w:val="0"/>
          <w:divBdr>
            <w:top w:val="none" w:sz="0" w:space="0" w:color="auto"/>
            <w:left w:val="none" w:sz="0" w:space="0" w:color="auto"/>
            <w:bottom w:val="none" w:sz="0" w:space="0" w:color="auto"/>
            <w:right w:val="none" w:sz="0" w:space="0" w:color="auto"/>
          </w:divBdr>
        </w:div>
        <w:div w:id="36711657">
          <w:marLeft w:val="0"/>
          <w:marRight w:val="0"/>
          <w:marTop w:val="0"/>
          <w:marBottom w:val="0"/>
          <w:divBdr>
            <w:top w:val="none" w:sz="0" w:space="0" w:color="auto"/>
            <w:left w:val="none" w:sz="0" w:space="0" w:color="auto"/>
            <w:bottom w:val="none" w:sz="0" w:space="0" w:color="auto"/>
            <w:right w:val="none" w:sz="0" w:space="0" w:color="auto"/>
          </w:divBdr>
        </w:div>
      </w:divsChild>
    </w:div>
    <w:div w:id="2101364302">
      <w:bodyDiv w:val="1"/>
      <w:marLeft w:val="0"/>
      <w:marRight w:val="0"/>
      <w:marTop w:val="0"/>
      <w:marBottom w:val="0"/>
      <w:divBdr>
        <w:top w:val="none" w:sz="0" w:space="0" w:color="auto"/>
        <w:left w:val="none" w:sz="0" w:space="0" w:color="auto"/>
        <w:bottom w:val="none" w:sz="0" w:space="0" w:color="auto"/>
        <w:right w:val="none" w:sz="0" w:space="0" w:color="auto"/>
      </w:divBdr>
      <w:divsChild>
        <w:div w:id="1904683432">
          <w:marLeft w:val="0"/>
          <w:marRight w:val="0"/>
          <w:marTop w:val="0"/>
          <w:marBottom w:val="0"/>
          <w:divBdr>
            <w:top w:val="none" w:sz="0" w:space="0" w:color="auto"/>
            <w:left w:val="none" w:sz="0" w:space="0" w:color="auto"/>
            <w:bottom w:val="none" w:sz="0" w:space="0" w:color="auto"/>
            <w:right w:val="none" w:sz="0" w:space="0" w:color="auto"/>
          </w:divBdr>
        </w:div>
        <w:div w:id="486939580">
          <w:marLeft w:val="0"/>
          <w:marRight w:val="0"/>
          <w:marTop w:val="0"/>
          <w:marBottom w:val="0"/>
          <w:divBdr>
            <w:top w:val="none" w:sz="0" w:space="0" w:color="auto"/>
            <w:left w:val="none" w:sz="0" w:space="0" w:color="auto"/>
            <w:bottom w:val="none" w:sz="0" w:space="0" w:color="auto"/>
            <w:right w:val="none" w:sz="0" w:space="0" w:color="auto"/>
          </w:divBdr>
        </w:div>
        <w:div w:id="2131195101">
          <w:marLeft w:val="0"/>
          <w:marRight w:val="0"/>
          <w:marTop w:val="0"/>
          <w:marBottom w:val="0"/>
          <w:divBdr>
            <w:top w:val="none" w:sz="0" w:space="0" w:color="auto"/>
            <w:left w:val="none" w:sz="0" w:space="0" w:color="auto"/>
            <w:bottom w:val="none" w:sz="0" w:space="0" w:color="auto"/>
            <w:right w:val="none" w:sz="0" w:space="0" w:color="auto"/>
          </w:divBdr>
        </w:div>
        <w:div w:id="1986162742">
          <w:marLeft w:val="0"/>
          <w:marRight w:val="0"/>
          <w:marTop w:val="0"/>
          <w:marBottom w:val="0"/>
          <w:divBdr>
            <w:top w:val="none" w:sz="0" w:space="0" w:color="auto"/>
            <w:left w:val="none" w:sz="0" w:space="0" w:color="auto"/>
            <w:bottom w:val="none" w:sz="0" w:space="0" w:color="auto"/>
            <w:right w:val="none" w:sz="0" w:space="0" w:color="auto"/>
          </w:divBdr>
        </w:div>
        <w:div w:id="30231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18A7FC-F2DB-462F-8F80-586F59BBB79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59792086-543c-4482-843a-4431bb57c163"/>
    <ds:schemaRef ds:uri="http://purl.org/dc/elements/1.1/"/>
    <ds:schemaRef ds:uri="12f0dea6-8091-45fa-bed6-1366d8e8fecc"/>
    <ds:schemaRef ds:uri="http://www.w3.org/XML/1998/namespace"/>
  </ds:schemaRefs>
</ds:datastoreItem>
</file>

<file path=customXml/itemProps2.xml><?xml version="1.0" encoding="utf-8"?>
<ds:datastoreItem xmlns:ds="http://schemas.openxmlformats.org/officeDocument/2006/customXml" ds:itemID="{F090362F-DB26-43D8-BEBF-86358981E302}">
  <ds:schemaRefs>
    <ds:schemaRef ds:uri="http://schemas.openxmlformats.org/officeDocument/2006/bibliography"/>
  </ds:schemaRefs>
</ds:datastoreItem>
</file>

<file path=customXml/itemProps3.xml><?xml version="1.0" encoding="utf-8"?>
<ds:datastoreItem xmlns:ds="http://schemas.openxmlformats.org/officeDocument/2006/customXml" ds:itemID="{BC37E827-B6C7-4114-A03E-102A6450F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A864B1-3737-4695-8C6E-F3AD739CD8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4422</Words>
  <Characters>25207</Characters>
  <Application>Microsoft Office Word</Application>
  <DocSecurity>0</DocSecurity>
  <Lines>210</Lines>
  <Paragraphs>59</Paragraphs>
  <ScaleCrop>false</ScaleCrop>
  <Company/>
  <LinksUpToDate>false</LinksUpToDate>
  <CharactersWithSpaces>29570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2022-08-08T06:40:00Z</dcterms:created>
  <dcterms:modified xsi:type="dcterms:W3CDTF">2022-08-08T06:40:00Z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