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22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8"/>
        <w:gridCol w:w="1434"/>
        <w:gridCol w:w="741"/>
        <w:gridCol w:w="1133"/>
        <w:gridCol w:w="1168"/>
        <w:gridCol w:w="981"/>
        <w:gridCol w:w="717"/>
        <w:gridCol w:w="567"/>
        <w:gridCol w:w="25"/>
        <w:gridCol w:w="731"/>
        <w:gridCol w:w="520"/>
        <w:gridCol w:w="29"/>
        <w:gridCol w:w="1243"/>
        <w:gridCol w:w="1014"/>
        <w:gridCol w:w="29"/>
        <w:gridCol w:w="2791"/>
        <w:gridCol w:w="3093"/>
        <w:gridCol w:w="2003"/>
        <w:gridCol w:w="992"/>
        <w:gridCol w:w="711"/>
        <w:gridCol w:w="992"/>
        <w:gridCol w:w="851"/>
      </w:tblGrid>
      <w:tr w:rsidR="006231D2" w:rsidRPr="00397564" w14:paraId="51F816F7" w14:textId="09C5012C" w:rsidTr="00877DAF">
        <w:trPr>
          <w:trHeight w:val="309"/>
          <w:tblHeader/>
        </w:trPr>
        <w:tc>
          <w:tcPr>
            <w:tcW w:w="458" w:type="dxa"/>
            <w:vMerge w:val="restart"/>
            <w:shd w:val="clear" w:color="auto" w:fill="BDD7EE"/>
            <w:noWrap/>
            <w:vAlign w:val="center"/>
          </w:tcPr>
          <w:p w14:paraId="79C1B0F2"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w:t>
            </w:r>
          </w:p>
        </w:tc>
        <w:tc>
          <w:tcPr>
            <w:tcW w:w="1434" w:type="dxa"/>
            <w:vMerge w:val="restart"/>
            <w:shd w:val="clear" w:color="auto" w:fill="BDD7EE"/>
            <w:noWrap/>
            <w:vAlign w:val="center"/>
          </w:tcPr>
          <w:p w14:paraId="16AE2C2D"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Related measure (reform or investment)</w:t>
            </w:r>
          </w:p>
        </w:tc>
        <w:tc>
          <w:tcPr>
            <w:tcW w:w="741" w:type="dxa"/>
            <w:vMerge w:val="restart"/>
            <w:shd w:val="clear" w:color="auto" w:fill="BDD7EE"/>
            <w:noWrap/>
            <w:vAlign w:val="center"/>
          </w:tcPr>
          <w:p w14:paraId="32E1825B"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M/T</w:t>
            </w:r>
          </w:p>
        </w:tc>
        <w:tc>
          <w:tcPr>
            <w:tcW w:w="1133" w:type="dxa"/>
            <w:vMerge w:val="restart"/>
            <w:shd w:val="clear" w:color="auto" w:fill="BDD7EE"/>
            <w:noWrap/>
            <w:vAlign w:val="center"/>
          </w:tcPr>
          <w:p w14:paraId="1052A5E4"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Name</w:t>
            </w:r>
          </w:p>
        </w:tc>
        <w:tc>
          <w:tcPr>
            <w:tcW w:w="1168" w:type="dxa"/>
            <w:vMerge w:val="restart"/>
            <w:shd w:val="clear" w:color="auto" w:fill="BDD7EE"/>
            <w:noWrap/>
            <w:vAlign w:val="center"/>
          </w:tcPr>
          <w:p w14:paraId="4DB2E495"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Qualitative indicators (for milestones)</w:t>
            </w:r>
          </w:p>
        </w:tc>
        <w:tc>
          <w:tcPr>
            <w:tcW w:w="2290" w:type="dxa"/>
            <w:gridSpan w:val="4"/>
            <w:shd w:val="clear" w:color="auto" w:fill="BDD7EE"/>
            <w:noWrap/>
            <w:vAlign w:val="center"/>
          </w:tcPr>
          <w:p w14:paraId="62F81047"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Quantitative indicators (for targets)</w:t>
            </w:r>
          </w:p>
        </w:tc>
        <w:tc>
          <w:tcPr>
            <w:tcW w:w="1280" w:type="dxa"/>
            <w:gridSpan w:val="3"/>
            <w:shd w:val="clear" w:color="auto" w:fill="BDD7EE"/>
            <w:noWrap/>
            <w:vAlign w:val="center"/>
          </w:tcPr>
          <w:p w14:paraId="61956010"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Date for completion</w:t>
            </w:r>
          </w:p>
        </w:tc>
        <w:tc>
          <w:tcPr>
            <w:tcW w:w="1243" w:type="dxa"/>
            <w:shd w:val="clear" w:color="auto" w:fill="BDD7EE"/>
            <w:vAlign w:val="center"/>
          </w:tcPr>
          <w:p w14:paraId="3A9331B6"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Responsibility for reporting and implementation</w:t>
            </w:r>
          </w:p>
        </w:tc>
        <w:tc>
          <w:tcPr>
            <w:tcW w:w="1043" w:type="dxa"/>
            <w:gridSpan w:val="2"/>
            <w:shd w:val="clear" w:color="auto" w:fill="BDD7EE"/>
            <w:vAlign w:val="center"/>
          </w:tcPr>
          <w:p w14:paraId="3BE6DC2C" w14:textId="77777777"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Further specification (if necessary)</w:t>
            </w:r>
          </w:p>
        </w:tc>
        <w:tc>
          <w:tcPr>
            <w:tcW w:w="7887" w:type="dxa"/>
            <w:gridSpan w:val="3"/>
            <w:shd w:val="clear" w:color="auto" w:fill="BDD7EE"/>
          </w:tcPr>
          <w:p w14:paraId="3B1871E6" w14:textId="08901D3E"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992" w:type="dxa"/>
            <w:shd w:val="clear" w:color="auto" w:fill="BDD7EE"/>
          </w:tcPr>
          <w:p w14:paraId="66DB8574" w14:textId="4C5E68BA"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711" w:type="dxa"/>
            <w:shd w:val="clear" w:color="auto" w:fill="BDD7EE"/>
          </w:tcPr>
          <w:p w14:paraId="1F6B3E89" w14:textId="6135C536"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On-the-spot checks</w:t>
            </w:r>
          </w:p>
        </w:tc>
        <w:tc>
          <w:tcPr>
            <w:tcW w:w="992" w:type="dxa"/>
            <w:shd w:val="clear" w:color="auto" w:fill="BDD7EE"/>
          </w:tcPr>
          <w:p w14:paraId="601A20B8" w14:textId="2E1E1AFE"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851" w:type="dxa"/>
            <w:shd w:val="clear" w:color="auto" w:fill="BDD7EE"/>
          </w:tcPr>
          <w:p w14:paraId="65CAAD54" w14:textId="53FE5DD6" w:rsidR="006231D2" w:rsidRPr="00397564" w:rsidRDefault="006231D2" w:rsidP="00901AA7">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p>
        </w:tc>
      </w:tr>
      <w:tr w:rsidR="006231D2" w:rsidRPr="00397564" w14:paraId="701F3BB6" w14:textId="5E611315" w:rsidTr="00877DAF">
        <w:trPr>
          <w:trHeight w:val="309"/>
          <w:tblHeader/>
        </w:trPr>
        <w:tc>
          <w:tcPr>
            <w:tcW w:w="458" w:type="dxa"/>
            <w:vMerge/>
            <w:noWrap/>
          </w:tcPr>
          <w:p w14:paraId="3595E310" w14:textId="77777777" w:rsidR="006231D2" w:rsidRPr="00397564" w:rsidRDefault="006231D2" w:rsidP="00483B35">
            <w:pPr>
              <w:spacing w:after="0"/>
              <w:jc w:val="center"/>
              <w:rPr>
                <w:rFonts w:ascii="Arial" w:eastAsia="Times New Roman" w:hAnsi="Arial" w:cs="Arial"/>
                <w:color w:val="006100"/>
                <w:sz w:val="16"/>
                <w:szCs w:val="16"/>
                <w:lang w:eastAsia="en-GB"/>
              </w:rPr>
            </w:pPr>
          </w:p>
        </w:tc>
        <w:tc>
          <w:tcPr>
            <w:tcW w:w="1434" w:type="dxa"/>
            <w:vMerge/>
            <w:noWrap/>
          </w:tcPr>
          <w:p w14:paraId="5234B4C7" w14:textId="77777777" w:rsidR="006231D2" w:rsidRPr="00397564" w:rsidRDefault="006231D2" w:rsidP="00483B35">
            <w:pPr>
              <w:spacing w:after="0"/>
              <w:jc w:val="center"/>
              <w:rPr>
                <w:rFonts w:ascii="Arial" w:eastAsia="Times New Roman" w:hAnsi="Arial" w:cs="Arial"/>
                <w:color w:val="006100"/>
                <w:sz w:val="16"/>
                <w:szCs w:val="16"/>
                <w:lang w:eastAsia="en-GB"/>
              </w:rPr>
            </w:pPr>
          </w:p>
        </w:tc>
        <w:tc>
          <w:tcPr>
            <w:tcW w:w="741" w:type="dxa"/>
            <w:vMerge/>
            <w:noWrap/>
          </w:tcPr>
          <w:p w14:paraId="4B081993" w14:textId="77777777" w:rsidR="006231D2" w:rsidRPr="00397564" w:rsidRDefault="006231D2" w:rsidP="00483B35">
            <w:pPr>
              <w:spacing w:after="0"/>
              <w:jc w:val="center"/>
              <w:rPr>
                <w:rFonts w:ascii="Arial" w:eastAsia="Times New Roman" w:hAnsi="Arial" w:cs="Arial"/>
                <w:color w:val="006100"/>
                <w:sz w:val="16"/>
                <w:szCs w:val="16"/>
                <w:lang w:eastAsia="en-GB"/>
              </w:rPr>
            </w:pPr>
          </w:p>
        </w:tc>
        <w:tc>
          <w:tcPr>
            <w:tcW w:w="1133" w:type="dxa"/>
            <w:vMerge/>
            <w:noWrap/>
          </w:tcPr>
          <w:p w14:paraId="10C9E9BB" w14:textId="77777777" w:rsidR="006231D2" w:rsidRPr="00397564" w:rsidRDefault="006231D2" w:rsidP="00483B35">
            <w:pPr>
              <w:spacing w:after="0"/>
              <w:rPr>
                <w:rFonts w:ascii="Arial" w:eastAsia="Times New Roman" w:hAnsi="Arial" w:cs="Arial"/>
                <w:color w:val="006100"/>
                <w:sz w:val="16"/>
                <w:szCs w:val="16"/>
                <w:lang w:eastAsia="en-GB"/>
              </w:rPr>
            </w:pPr>
          </w:p>
        </w:tc>
        <w:tc>
          <w:tcPr>
            <w:tcW w:w="1168" w:type="dxa"/>
            <w:vMerge/>
            <w:noWrap/>
          </w:tcPr>
          <w:p w14:paraId="2D186FCB" w14:textId="77777777" w:rsidR="006231D2" w:rsidRPr="00397564" w:rsidRDefault="006231D2" w:rsidP="00483B35">
            <w:pPr>
              <w:spacing w:after="0"/>
              <w:rPr>
                <w:rFonts w:ascii="Arial" w:eastAsia="Times New Roman" w:hAnsi="Arial" w:cs="Arial"/>
                <w:color w:val="006100"/>
                <w:sz w:val="16"/>
                <w:szCs w:val="16"/>
                <w:lang w:eastAsia="en-GB"/>
              </w:rPr>
            </w:pPr>
          </w:p>
        </w:tc>
        <w:tc>
          <w:tcPr>
            <w:tcW w:w="981" w:type="dxa"/>
            <w:shd w:val="clear" w:color="auto" w:fill="BDD7EE"/>
            <w:noWrap/>
          </w:tcPr>
          <w:p w14:paraId="1D8595D1" w14:textId="77777777" w:rsidR="006231D2" w:rsidRPr="00397564" w:rsidRDefault="006231D2" w:rsidP="00483B35">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Unit</w:t>
            </w:r>
          </w:p>
        </w:tc>
        <w:tc>
          <w:tcPr>
            <w:tcW w:w="717" w:type="dxa"/>
            <w:shd w:val="clear" w:color="auto" w:fill="BDD7EE"/>
            <w:noWrap/>
          </w:tcPr>
          <w:p w14:paraId="28D128F3" w14:textId="77777777" w:rsidR="006231D2" w:rsidRPr="00397564" w:rsidRDefault="006231D2" w:rsidP="00483B35">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Base-line</w:t>
            </w:r>
          </w:p>
        </w:tc>
        <w:tc>
          <w:tcPr>
            <w:tcW w:w="567" w:type="dxa"/>
            <w:shd w:val="clear" w:color="auto" w:fill="BDD7EE"/>
            <w:noWrap/>
          </w:tcPr>
          <w:p w14:paraId="7B1CCAB0" w14:textId="77777777" w:rsidR="006231D2" w:rsidRPr="00397564" w:rsidRDefault="006231D2" w:rsidP="00483B35">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Goal</w:t>
            </w:r>
          </w:p>
        </w:tc>
        <w:tc>
          <w:tcPr>
            <w:tcW w:w="756" w:type="dxa"/>
            <w:gridSpan w:val="2"/>
            <w:shd w:val="clear" w:color="auto" w:fill="BDD7EE"/>
            <w:noWrap/>
          </w:tcPr>
          <w:p w14:paraId="1A98CF08" w14:textId="77777777" w:rsidR="006231D2" w:rsidRPr="00397564" w:rsidRDefault="006231D2" w:rsidP="00483B35">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Q</w:t>
            </w:r>
          </w:p>
        </w:tc>
        <w:tc>
          <w:tcPr>
            <w:tcW w:w="520" w:type="dxa"/>
            <w:shd w:val="clear" w:color="auto" w:fill="BDD7EE"/>
            <w:noWrap/>
          </w:tcPr>
          <w:p w14:paraId="734B1A94" w14:textId="77777777" w:rsidR="006231D2" w:rsidRPr="00397564" w:rsidRDefault="006231D2" w:rsidP="00483B35">
            <w:pPr>
              <w:spacing w:after="0"/>
              <w:jc w:val="center"/>
              <w:rPr>
                <w:rFonts w:ascii="Arial" w:eastAsia="Times New Roman" w:hAnsi="Arial" w:cs="Arial"/>
                <w:b/>
                <w:color w:val="000000" w:themeColor="text1"/>
                <w:sz w:val="16"/>
                <w:szCs w:val="16"/>
                <w:lang w:eastAsia="en-GB"/>
              </w:rPr>
            </w:pPr>
            <w:r w:rsidRPr="00397564">
              <w:rPr>
                <w:rFonts w:ascii="Arial" w:eastAsia="Times New Roman" w:hAnsi="Arial" w:cs="Arial"/>
                <w:b/>
                <w:color w:val="000000" w:themeColor="text1"/>
                <w:sz w:val="16"/>
                <w:szCs w:val="16"/>
                <w:lang w:eastAsia="en-GB"/>
              </w:rPr>
              <w:t>Year</w:t>
            </w:r>
          </w:p>
        </w:tc>
        <w:tc>
          <w:tcPr>
            <w:tcW w:w="1272" w:type="dxa"/>
            <w:gridSpan w:val="2"/>
          </w:tcPr>
          <w:p w14:paraId="23479435" w14:textId="77777777"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c>
          <w:tcPr>
            <w:tcW w:w="1014" w:type="dxa"/>
          </w:tcPr>
          <w:p w14:paraId="0C0D7339" w14:textId="77777777"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c>
          <w:tcPr>
            <w:tcW w:w="2820" w:type="dxa"/>
            <w:gridSpan w:val="2"/>
          </w:tcPr>
          <w:p w14:paraId="6DC48EAD" w14:textId="3BE0CE49" w:rsidR="006231D2" w:rsidRPr="00397564" w:rsidDel="0030144A" w:rsidRDefault="006231D2" w:rsidP="00483B35">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093" w:type="dxa"/>
          </w:tcPr>
          <w:p w14:paraId="6F32A43F" w14:textId="3A56A993" w:rsidR="006231D2" w:rsidRPr="00397564" w:rsidDel="0030144A" w:rsidRDefault="006231D2" w:rsidP="00483B35">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003" w:type="dxa"/>
          </w:tcPr>
          <w:p w14:paraId="7B4A3D36" w14:textId="29B44B30" w:rsidR="006231D2" w:rsidRPr="00397564" w:rsidDel="0030144A" w:rsidRDefault="006231D2" w:rsidP="00483B35">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992" w:type="dxa"/>
          </w:tcPr>
          <w:p w14:paraId="754889FA" w14:textId="77777777"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c>
          <w:tcPr>
            <w:tcW w:w="711" w:type="dxa"/>
          </w:tcPr>
          <w:p w14:paraId="35239981" w14:textId="5CBDB7FF"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c>
          <w:tcPr>
            <w:tcW w:w="992" w:type="dxa"/>
          </w:tcPr>
          <w:p w14:paraId="2205FC13" w14:textId="77777777"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c>
          <w:tcPr>
            <w:tcW w:w="851" w:type="dxa"/>
          </w:tcPr>
          <w:p w14:paraId="4D260005" w14:textId="77777777" w:rsidR="006231D2" w:rsidRPr="00397564" w:rsidDel="0030144A" w:rsidRDefault="006231D2" w:rsidP="00483B35">
            <w:pPr>
              <w:spacing w:after="0"/>
              <w:rPr>
                <w:rFonts w:ascii="Arial" w:eastAsia="Times New Roman" w:hAnsi="Arial" w:cs="Arial"/>
                <w:color w:val="006100"/>
                <w:sz w:val="16"/>
                <w:szCs w:val="16"/>
                <w:highlight w:val="cyan"/>
                <w:lang w:eastAsia="en-GB"/>
              </w:rPr>
            </w:pPr>
          </w:p>
        </w:tc>
      </w:tr>
      <w:tr w:rsidR="00877DAF" w:rsidRPr="00397564" w14:paraId="078663E2" w14:textId="6D875116" w:rsidTr="00877DAF">
        <w:trPr>
          <w:trHeight w:val="309"/>
        </w:trPr>
        <w:tc>
          <w:tcPr>
            <w:tcW w:w="458" w:type="dxa"/>
            <w:shd w:val="clear" w:color="auto" w:fill="D6E3C6"/>
            <w:noWrap/>
          </w:tcPr>
          <w:p w14:paraId="7942B3E5" w14:textId="24EBE687"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131</w:t>
            </w:r>
          </w:p>
        </w:tc>
        <w:tc>
          <w:tcPr>
            <w:tcW w:w="1434" w:type="dxa"/>
            <w:shd w:val="clear" w:color="auto" w:fill="D6E3C6"/>
            <w:noWrap/>
          </w:tcPr>
          <w:p w14:paraId="0EFC3EEC" w14:textId="08F78BCF"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C6.R1: Updating the strategic framework of the agricultural sector</w:t>
            </w:r>
          </w:p>
        </w:tc>
        <w:tc>
          <w:tcPr>
            <w:tcW w:w="741" w:type="dxa"/>
            <w:shd w:val="clear" w:color="auto" w:fill="D6E3C6"/>
            <w:noWrap/>
          </w:tcPr>
          <w:p w14:paraId="7E069868" w14:textId="1BBB319C"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Milestone</w:t>
            </w:r>
          </w:p>
        </w:tc>
        <w:tc>
          <w:tcPr>
            <w:tcW w:w="1133" w:type="dxa"/>
            <w:shd w:val="clear" w:color="auto" w:fill="D6E3C6"/>
            <w:noWrap/>
          </w:tcPr>
          <w:p w14:paraId="5E11C238" w14:textId="776AE3FE"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Adoption of the National Action Programme contributing to the objectives of the Farm to Fork Strategy 2030</w:t>
            </w:r>
          </w:p>
        </w:tc>
        <w:tc>
          <w:tcPr>
            <w:tcW w:w="1168" w:type="dxa"/>
            <w:shd w:val="clear" w:color="auto" w:fill="D6E3C6"/>
            <w:noWrap/>
          </w:tcPr>
          <w:p w14:paraId="6A54C2AC" w14:textId="5AB97B90"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Adoption by the Council of Ministers</w:t>
            </w:r>
          </w:p>
        </w:tc>
        <w:tc>
          <w:tcPr>
            <w:tcW w:w="981" w:type="dxa"/>
            <w:shd w:val="clear" w:color="auto" w:fill="D6E3C6"/>
            <w:noWrap/>
          </w:tcPr>
          <w:p w14:paraId="50BD22A4" w14:textId="19A415AA" w:rsidR="006231D2" w:rsidRPr="00397564" w:rsidRDefault="006231D2" w:rsidP="00D3202D">
            <w:pPr>
              <w:spacing w:after="0"/>
              <w:jc w:val="center"/>
              <w:rPr>
                <w:rFonts w:ascii="Arial" w:eastAsia="Times New Roman" w:hAnsi="Arial" w:cs="Arial"/>
                <w:color w:val="006100"/>
                <w:sz w:val="16"/>
                <w:szCs w:val="16"/>
                <w:lang w:eastAsia="en-GB"/>
              </w:rPr>
            </w:pPr>
          </w:p>
        </w:tc>
        <w:tc>
          <w:tcPr>
            <w:tcW w:w="717" w:type="dxa"/>
            <w:shd w:val="clear" w:color="auto" w:fill="D6E3C6"/>
            <w:noWrap/>
          </w:tcPr>
          <w:p w14:paraId="02E6C579" w14:textId="7DAE0FE1" w:rsidR="006231D2" w:rsidRPr="00397564" w:rsidRDefault="006231D2" w:rsidP="00D3202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6A3268E7" w14:textId="73C5933A" w:rsidR="006231D2" w:rsidRPr="00397564" w:rsidRDefault="006231D2" w:rsidP="00D3202D">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AEF5DBB" w14:textId="18C6198F"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Q4</w:t>
            </w:r>
          </w:p>
        </w:tc>
        <w:tc>
          <w:tcPr>
            <w:tcW w:w="520" w:type="dxa"/>
            <w:shd w:val="clear" w:color="auto" w:fill="D6E3C6"/>
            <w:noWrap/>
          </w:tcPr>
          <w:p w14:paraId="3BEBAA6C" w14:textId="02CF390D"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2023</w:t>
            </w:r>
          </w:p>
        </w:tc>
        <w:tc>
          <w:tcPr>
            <w:tcW w:w="1272" w:type="dxa"/>
            <w:gridSpan w:val="2"/>
            <w:shd w:val="clear" w:color="auto" w:fill="D6E3C6"/>
          </w:tcPr>
          <w:p w14:paraId="5AF5C2C1" w14:textId="5DEED953" w:rsidR="006231D2" w:rsidRPr="00397564" w:rsidRDefault="006231D2" w:rsidP="00D3202D">
            <w:pPr>
              <w:spacing w:after="0"/>
              <w:rPr>
                <w:rFonts w:ascii="Arial" w:eastAsia="Times New Roman" w:hAnsi="Arial" w:cs="Arial"/>
                <w:color w:val="006100"/>
                <w:sz w:val="16"/>
                <w:szCs w:val="16"/>
                <w:lang w:val="en-US"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213D57EE" w14:textId="52F3795F" w:rsidR="006231D2" w:rsidRPr="00397564" w:rsidRDefault="006231D2" w:rsidP="00581EC1">
            <w:pPr>
              <w:spacing w:after="0"/>
              <w:rPr>
                <w:rFonts w:ascii="Arial" w:eastAsia="Times New Roman" w:hAnsi="Arial" w:cs="Arial"/>
                <w:color w:val="006100"/>
                <w:sz w:val="16"/>
                <w:szCs w:val="16"/>
                <w:lang w:eastAsia="en-GB"/>
              </w:rPr>
            </w:pPr>
            <w:r w:rsidRPr="00397564">
              <w:rPr>
                <w:rFonts w:ascii="Arial" w:hAnsi="Arial" w:cs="Arial"/>
                <w:color w:val="006100"/>
                <w:sz w:val="16"/>
                <w:szCs w:val="16"/>
                <w:lang w:eastAsia="en-GB"/>
              </w:rPr>
              <w:t xml:space="preserve">The action programme shall also cover measures  </w:t>
            </w:r>
            <w:r w:rsidRPr="00397564">
              <w:rPr>
                <w:rFonts w:ascii="Arial" w:hAnsi="Arial" w:cs="Arial"/>
                <w:color w:val="006100"/>
                <w:sz w:val="16"/>
                <w:szCs w:val="16"/>
              </w:rPr>
              <w:t>aimed at increasing  the share of organic farming, in line with target 132 in the CID annex</w:t>
            </w:r>
          </w:p>
        </w:tc>
        <w:tc>
          <w:tcPr>
            <w:tcW w:w="2820" w:type="dxa"/>
            <w:gridSpan w:val="2"/>
            <w:shd w:val="clear" w:color="auto" w:fill="D6E3C6"/>
          </w:tcPr>
          <w:p w14:paraId="7DC4CDA9" w14:textId="3B31DBF8" w:rsidR="006231D2" w:rsidRDefault="006231D2" w:rsidP="00282C90">
            <w:pPr>
              <w:pStyle w:val="ListParagraph"/>
              <w:numPr>
                <w:ilvl w:val="0"/>
                <w:numId w:val="11"/>
              </w:numPr>
              <w:spacing w:after="0"/>
              <w:ind w:left="316" w:hanging="296"/>
              <w:rPr>
                <w:rFonts w:ascii="Arial" w:hAnsi="Arial" w:cs="Arial"/>
                <w:color w:val="006100"/>
                <w:sz w:val="16"/>
                <w:szCs w:val="16"/>
              </w:rPr>
            </w:pPr>
            <w:r w:rsidRPr="00397564">
              <w:rPr>
                <w:rFonts w:ascii="Arial" w:hAnsi="Arial" w:cs="Arial"/>
                <w:color w:val="006100"/>
                <w:sz w:val="16"/>
                <w:szCs w:val="16"/>
                <w:lang w:eastAsia="en-GB"/>
              </w:rPr>
              <w:t xml:space="preserve">Copy of the adopted National Action Programme </w:t>
            </w:r>
            <w:r w:rsidRPr="00397564">
              <w:rPr>
                <w:rFonts w:ascii="Arial" w:hAnsi="Arial" w:cs="Arial"/>
                <w:color w:val="006100"/>
                <w:sz w:val="16"/>
                <w:szCs w:val="16"/>
              </w:rPr>
              <w:t>contributing to the objectives of the Farm to Fork Strategy 2030</w:t>
            </w:r>
            <w:r w:rsidRPr="00397564">
              <w:rPr>
                <w:rFonts w:ascii="Arial" w:hAnsi="Arial" w:cs="Arial"/>
                <w:color w:val="006100"/>
                <w:sz w:val="16"/>
                <w:szCs w:val="16"/>
                <w:lang w:eastAsia="en-GB"/>
              </w:rPr>
              <w:t>, as well as a link/links to the website/websites where the two documents can be accessed</w:t>
            </w:r>
          </w:p>
          <w:p w14:paraId="02D08BBE" w14:textId="248718CC" w:rsidR="006231D2" w:rsidRDefault="006231D2" w:rsidP="00282C90">
            <w:pPr>
              <w:pStyle w:val="ListParagraph"/>
              <w:numPr>
                <w:ilvl w:val="0"/>
                <w:numId w:val="11"/>
              </w:numPr>
              <w:spacing w:after="0"/>
              <w:ind w:left="316" w:hanging="296"/>
              <w:rPr>
                <w:rFonts w:ascii="Arial" w:hAnsi="Arial" w:cs="Arial"/>
                <w:color w:val="006100"/>
                <w:sz w:val="16"/>
                <w:szCs w:val="16"/>
              </w:rPr>
            </w:pPr>
            <w:r w:rsidRPr="00397564">
              <w:rPr>
                <w:rFonts w:ascii="Arial" w:hAnsi="Arial" w:cs="Arial"/>
                <w:color w:val="006100"/>
                <w:sz w:val="16"/>
                <w:szCs w:val="16"/>
                <w:lang w:eastAsia="en-GB"/>
              </w:rPr>
              <w:t>Copy of the decision of the Council of Ministers adopting the Action Programme (if relevant)</w:t>
            </w:r>
          </w:p>
          <w:p w14:paraId="6DCF0527" w14:textId="6AD05D15" w:rsidR="006231D2" w:rsidRDefault="006231D2" w:rsidP="00282C90">
            <w:pPr>
              <w:pStyle w:val="ListParagraph"/>
              <w:numPr>
                <w:ilvl w:val="0"/>
                <w:numId w:val="11"/>
              </w:numPr>
              <w:spacing w:after="0"/>
              <w:ind w:left="316" w:hanging="296"/>
              <w:rPr>
                <w:rFonts w:ascii="Arial" w:hAnsi="Arial" w:cs="Arial"/>
                <w:color w:val="006100"/>
                <w:sz w:val="16"/>
                <w:szCs w:val="16"/>
              </w:rPr>
            </w:pPr>
            <w:r w:rsidRPr="00397564">
              <w:rPr>
                <w:rFonts w:ascii="Arial" w:hAnsi="Arial" w:cs="Arial"/>
                <w:color w:val="006100"/>
                <w:sz w:val="16"/>
                <w:szCs w:val="16"/>
                <w:lang w:eastAsia="en-GB"/>
              </w:rPr>
              <w:t>[If relevant, copy of the publication in the State Gazette]</w:t>
            </w:r>
          </w:p>
          <w:p w14:paraId="44A85D2E" w14:textId="77777777" w:rsidR="006231D2" w:rsidRDefault="006231D2" w:rsidP="00282C90">
            <w:pPr>
              <w:pStyle w:val="ListParagraph"/>
              <w:numPr>
                <w:ilvl w:val="0"/>
                <w:numId w:val="11"/>
              </w:numPr>
              <w:spacing w:after="0"/>
              <w:ind w:left="316" w:hanging="296"/>
              <w:rPr>
                <w:rFonts w:ascii="Arial" w:hAnsi="Arial" w:cs="Arial"/>
                <w:color w:val="006100"/>
                <w:sz w:val="16"/>
                <w:szCs w:val="16"/>
              </w:rPr>
            </w:pPr>
            <w:r w:rsidRPr="00397564">
              <w:rPr>
                <w:rFonts w:ascii="Arial" w:hAnsi="Arial" w:cs="Arial"/>
                <w:color w:val="006100"/>
                <w:sz w:val="16"/>
                <w:szCs w:val="16"/>
              </w:rPr>
              <w:t>Reference to the dedicated mechanism for monitoring and reporting on Action Programme’s implementation</w:t>
            </w:r>
          </w:p>
          <w:p w14:paraId="57D247B1" w14:textId="2E645737" w:rsidR="006231D2" w:rsidRPr="00282C90" w:rsidRDefault="006231D2" w:rsidP="00282C90">
            <w:pPr>
              <w:pStyle w:val="ListParagraph"/>
              <w:numPr>
                <w:ilvl w:val="0"/>
                <w:numId w:val="11"/>
              </w:numPr>
              <w:spacing w:after="0"/>
              <w:ind w:left="316" w:hanging="296"/>
              <w:rPr>
                <w:rFonts w:ascii="Arial" w:hAnsi="Arial" w:cs="Arial"/>
                <w:color w:val="006100"/>
                <w:sz w:val="16"/>
                <w:szCs w:val="16"/>
              </w:rPr>
            </w:pPr>
            <w:r w:rsidRPr="00397564">
              <w:rPr>
                <w:rFonts w:ascii="Arial" w:hAnsi="Arial" w:cs="Arial"/>
                <w:color w:val="006100"/>
                <w:sz w:val="16"/>
                <w:szCs w:val="16"/>
                <w:lang w:eastAsia="en-GB"/>
              </w:rPr>
              <w:t>Explanatory report demonstrating that the strategy and the recommendations made therein cover the objectives listed in the description of the milestone and in other parts of the CID annex and how the measures and actions foreseen in the Action Plan address the objectives of the Strategy</w:t>
            </w:r>
          </w:p>
        </w:tc>
        <w:tc>
          <w:tcPr>
            <w:tcW w:w="3093" w:type="dxa"/>
            <w:shd w:val="clear" w:color="auto" w:fill="D6E3C6"/>
          </w:tcPr>
          <w:p w14:paraId="59F86319" w14:textId="00AEEBD0" w:rsidR="006231D2" w:rsidRDefault="006231D2" w:rsidP="00D3202D">
            <w:pPr>
              <w:spacing w:after="0"/>
              <w:rPr>
                <w:rFonts w:ascii="Arial" w:hAnsi="Arial" w:cs="Arial"/>
                <w:color w:val="006100"/>
                <w:sz w:val="16"/>
                <w:szCs w:val="16"/>
              </w:rPr>
            </w:pPr>
            <w:r>
              <w:rPr>
                <w:rFonts w:ascii="Arial" w:hAnsi="Arial" w:cs="Arial"/>
                <w:color w:val="006100"/>
                <w:sz w:val="16"/>
                <w:szCs w:val="16"/>
              </w:rPr>
              <w:t xml:space="preserve">Institution/s: </w:t>
            </w:r>
            <w:r w:rsidRPr="00397564">
              <w:rPr>
                <w:rFonts w:ascii="Arial" w:eastAsia="Times New Roman" w:hAnsi="Arial" w:cs="Arial"/>
                <w:color w:val="006100"/>
                <w:sz w:val="16"/>
                <w:szCs w:val="16"/>
                <w:lang w:val="en-US" w:eastAsia="en-GB"/>
              </w:rPr>
              <w:t>Ministry of Agriculture</w:t>
            </w:r>
          </w:p>
          <w:p w14:paraId="4ABB8D32" w14:textId="77777777" w:rsidR="006231D2" w:rsidRDefault="006231D2" w:rsidP="00D3202D">
            <w:pPr>
              <w:spacing w:after="0"/>
              <w:rPr>
                <w:rFonts w:ascii="Arial" w:hAnsi="Arial" w:cs="Arial"/>
                <w:color w:val="006100"/>
                <w:sz w:val="16"/>
                <w:szCs w:val="16"/>
              </w:rPr>
            </w:pPr>
          </w:p>
          <w:p w14:paraId="38219EB1" w14:textId="4519EDA4" w:rsidR="006231D2" w:rsidRDefault="006231D2" w:rsidP="00D3202D">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Adoption of the National Action Programme contributing to the objectives of the Farm to Fork Strategy 2030</w:t>
            </w:r>
          </w:p>
          <w:p w14:paraId="14AE5BA5" w14:textId="77777777" w:rsidR="006231D2" w:rsidRDefault="006231D2" w:rsidP="00D3202D">
            <w:pPr>
              <w:spacing w:after="0"/>
              <w:rPr>
                <w:rFonts w:ascii="Arial" w:hAnsi="Arial" w:cs="Arial"/>
                <w:color w:val="006100"/>
                <w:sz w:val="16"/>
                <w:szCs w:val="16"/>
              </w:rPr>
            </w:pPr>
          </w:p>
          <w:p w14:paraId="0D36160C" w14:textId="0FFAA884" w:rsidR="006231D2" w:rsidRDefault="006231D2" w:rsidP="00D3202D">
            <w:pPr>
              <w:spacing w:after="0"/>
              <w:rPr>
                <w:rFonts w:ascii="Arial" w:hAnsi="Arial" w:cs="Arial"/>
                <w:color w:val="006100"/>
                <w:sz w:val="16"/>
                <w:szCs w:val="16"/>
              </w:rPr>
            </w:pPr>
            <w:r>
              <w:rPr>
                <w:rFonts w:ascii="Arial" w:hAnsi="Arial" w:cs="Arial"/>
                <w:color w:val="006100"/>
                <w:sz w:val="16"/>
                <w:szCs w:val="16"/>
              </w:rPr>
              <w:t>How: entry into force (evidence</w:t>
            </w:r>
            <w:r w:rsidR="00421A33">
              <w:rPr>
                <w:rFonts w:ascii="Arial" w:hAnsi="Arial" w:cs="Arial"/>
                <w:color w:val="006100"/>
                <w:sz w:val="16"/>
                <w:szCs w:val="16"/>
              </w:rPr>
              <w:t>d</w:t>
            </w:r>
            <w:r>
              <w:rPr>
                <w:rFonts w:ascii="Arial" w:hAnsi="Arial" w:cs="Arial"/>
                <w:color w:val="006100"/>
                <w:sz w:val="16"/>
                <w:szCs w:val="16"/>
              </w:rPr>
              <w:t xml:space="preserve"> by a, b, c), reporting (d, e)</w:t>
            </w:r>
          </w:p>
          <w:p w14:paraId="502B1374" w14:textId="77777777" w:rsidR="006231D2" w:rsidRDefault="006231D2" w:rsidP="00D3202D">
            <w:pPr>
              <w:spacing w:after="0"/>
              <w:rPr>
                <w:rFonts w:ascii="Arial" w:hAnsi="Arial" w:cs="Arial"/>
                <w:color w:val="006100"/>
                <w:sz w:val="16"/>
                <w:szCs w:val="16"/>
              </w:rPr>
            </w:pPr>
          </w:p>
          <w:p w14:paraId="335F2B07" w14:textId="0B4026A7"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 xml:space="preserve">Why: </w:t>
            </w:r>
            <w:r w:rsidRPr="007366E2">
              <w:rPr>
                <w:rFonts w:ascii="Arial" w:hAnsi="Arial" w:cs="Arial"/>
                <w:color w:val="006100"/>
                <w:sz w:val="16"/>
                <w:szCs w:val="16"/>
              </w:rPr>
              <w:t xml:space="preserve">The National Action Programme contributing to the objectives of the Farm to Fork Strategy 2030 shall set out a framework for the management and protection of the environment and natural resources in the field of agriculture. The programme shall aim at promoting green investment, sustainable management of natural resources (water, soil, air), adaptation to and mitigation of climate change. The Action Programme shall be accompanied by the establishment of a dedicated mechanism for monitoring and reporting on its implementation. </w:t>
            </w:r>
            <w:r>
              <w:rPr>
                <w:rFonts w:ascii="Arial" w:hAnsi="Arial" w:cs="Arial"/>
                <w:color w:val="006100"/>
                <w:sz w:val="16"/>
                <w:szCs w:val="16"/>
              </w:rPr>
              <w:t>[provide references to the plan that acknowledge these objectives]</w:t>
            </w:r>
          </w:p>
          <w:p w14:paraId="2AA1AAD9" w14:textId="77777777" w:rsidR="006231D2" w:rsidRDefault="006231D2" w:rsidP="00D3202D">
            <w:pPr>
              <w:spacing w:after="0"/>
              <w:rPr>
                <w:rFonts w:ascii="Arial" w:hAnsi="Arial" w:cs="Arial"/>
                <w:color w:val="006100"/>
                <w:sz w:val="16"/>
                <w:szCs w:val="16"/>
              </w:rPr>
            </w:pPr>
          </w:p>
          <w:p w14:paraId="2C28A00A" w14:textId="4E0AB1C2" w:rsidR="006231D2" w:rsidRPr="00282C90" w:rsidRDefault="006231D2" w:rsidP="00D3202D">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2003" w:type="dxa"/>
            <w:shd w:val="clear" w:color="auto" w:fill="D6E3C6"/>
          </w:tcPr>
          <w:p w14:paraId="60599EE7" w14:textId="77777777" w:rsidR="006231D2" w:rsidRPr="007366E2" w:rsidRDefault="006231D2" w:rsidP="007366E2">
            <w:pPr>
              <w:spacing w:after="0"/>
              <w:rPr>
                <w:rFonts w:ascii="Arial" w:hAnsi="Arial" w:cs="Arial"/>
                <w:color w:val="006100"/>
                <w:sz w:val="16"/>
                <w:szCs w:val="16"/>
              </w:rPr>
            </w:pPr>
            <w:r w:rsidRPr="007366E2">
              <w:rPr>
                <w:rFonts w:ascii="Arial" w:hAnsi="Arial" w:cs="Arial"/>
                <w:color w:val="006100"/>
                <w:sz w:val="16"/>
                <w:szCs w:val="16"/>
              </w:rPr>
              <w:t xml:space="preserve">The objective of the measure is to adapt the strategic framework of the Bulgarian agricultural sector to make it compatible with the country’s commitments stemming from the UN Sustainable Development Goals and the European Green Deal. </w:t>
            </w:r>
          </w:p>
          <w:p w14:paraId="6931DEE1" w14:textId="77777777" w:rsidR="006231D2" w:rsidRPr="007366E2" w:rsidRDefault="006231D2" w:rsidP="007366E2">
            <w:pPr>
              <w:spacing w:after="0"/>
              <w:rPr>
                <w:rFonts w:ascii="Arial" w:hAnsi="Arial" w:cs="Arial"/>
                <w:color w:val="006100"/>
                <w:sz w:val="16"/>
                <w:szCs w:val="16"/>
              </w:rPr>
            </w:pPr>
          </w:p>
          <w:p w14:paraId="0007AEC9" w14:textId="39404B36" w:rsidR="006231D2" w:rsidRPr="00397564" w:rsidRDefault="006231D2" w:rsidP="007366E2">
            <w:pPr>
              <w:spacing w:after="0"/>
              <w:rPr>
                <w:rFonts w:ascii="Arial" w:hAnsi="Arial" w:cs="Arial"/>
                <w:color w:val="006100"/>
                <w:sz w:val="16"/>
                <w:szCs w:val="16"/>
              </w:rPr>
            </w:pPr>
            <w:r w:rsidRPr="007366E2">
              <w:rPr>
                <w:rFonts w:ascii="Arial" w:hAnsi="Arial" w:cs="Arial"/>
                <w:color w:val="006100"/>
                <w:sz w:val="16"/>
                <w:szCs w:val="16"/>
              </w:rPr>
              <w:t xml:space="preserve">The measure consists of adopting the National Action Programme contributing to the objectives of the Farm to Fork Strategy 2030 aimed at promoting green investment, sustainable management of natural resources (water, soil, air), adaptation to and mitigation of climate change. The programme shall set out a framework for the management and protection of the environment and natural resources in the field of agriculture.  </w:t>
            </w:r>
          </w:p>
        </w:tc>
        <w:tc>
          <w:tcPr>
            <w:tcW w:w="992" w:type="dxa"/>
            <w:shd w:val="clear" w:color="auto" w:fill="D6E3C6"/>
          </w:tcPr>
          <w:p w14:paraId="0F40A8B5" w14:textId="371792DC"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711" w:type="dxa"/>
            <w:shd w:val="clear" w:color="auto" w:fill="D6E3C6"/>
          </w:tcPr>
          <w:p w14:paraId="5DF2C0AD" w14:textId="213F2A26" w:rsidR="006231D2" w:rsidRPr="00397564" w:rsidRDefault="006231D2" w:rsidP="00D3202D">
            <w:pPr>
              <w:spacing w:after="0"/>
              <w:rPr>
                <w:rFonts w:ascii="Arial" w:hAnsi="Arial" w:cs="Arial"/>
                <w:color w:val="006100"/>
                <w:sz w:val="16"/>
                <w:szCs w:val="16"/>
              </w:rPr>
            </w:pPr>
            <w:r w:rsidRPr="00397564">
              <w:rPr>
                <w:rFonts w:ascii="Arial" w:hAnsi="Arial" w:cs="Arial"/>
                <w:color w:val="006100"/>
                <w:sz w:val="16"/>
                <w:szCs w:val="16"/>
              </w:rPr>
              <w:t>None</w:t>
            </w:r>
          </w:p>
        </w:tc>
        <w:tc>
          <w:tcPr>
            <w:tcW w:w="992" w:type="dxa"/>
            <w:shd w:val="clear" w:color="auto" w:fill="D6E3C6"/>
          </w:tcPr>
          <w:p w14:paraId="5A53A2D7" w14:textId="1E69D29F"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851" w:type="dxa"/>
            <w:shd w:val="clear" w:color="auto" w:fill="D6E3C6"/>
          </w:tcPr>
          <w:p w14:paraId="7B3E9F7E" w14:textId="161DCAD2" w:rsidR="006231D2" w:rsidRPr="00397564" w:rsidRDefault="00421A33" w:rsidP="00D3202D">
            <w:pPr>
              <w:spacing w:after="0"/>
              <w:rPr>
                <w:rFonts w:ascii="Arial" w:hAnsi="Arial" w:cs="Arial"/>
                <w:color w:val="006100"/>
                <w:sz w:val="16"/>
                <w:szCs w:val="16"/>
              </w:rPr>
            </w:pPr>
            <w:r>
              <w:rPr>
                <w:rFonts w:ascii="Arial" w:hAnsi="Arial" w:cs="Arial"/>
                <w:color w:val="006100"/>
                <w:sz w:val="16"/>
                <w:szCs w:val="16"/>
              </w:rPr>
              <w:t>-</w:t>
            </w:r>
          </w:p>
        </w:tc>
      </w:tr>
      <w:tr w:rsidR="00877DAF" w:rsidRPr="00397564" w14:paraId="2399D3B4" w14:textId="500F53E6" w:rsidTr="00877DAF">
        <w:trPr>
          <w:trHeight w:val="309"/>
        </w:trPr>
        <w:tc>
          <w:tcPr>
            <w:tcW w:w="458" w:type="dxa"/>
            <w:shd w:val="clear" w:color="auto" w:fill="D6E3C6"/>
            <w:noWrap/>
          </w:tcPr>
          <w:p w14:paraId="0D713FB5" w14:textId="55A83BA1"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132</w:t>
            </w:r>
          </w:p>
        </w:tc>
        <w:tc>
          <w:tcPr>
            <w:tcW w:w="1434" w:type="dxa"/>
            <w:shd w:val="clear" w:color="auto" w:fill="D6E3C6"/>
            <w:noWrap/>
          </w:tcPr>
          <w:p w14:paraId="4CA5CC2F" w14:textId="320481D4"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C6.R1: Updating the strategic framework of the agricultural sector</w:t>
            </w:r>
          </w:p>
        </w:tc>
        <w:tc>
          <w:tcPr>
            <w:tcW w:w="741" w:type="dxa"/>
            <w:shd w:val="clear" w:color="auto" w:fill="D6E3C6"/>
            <w:noWrap/>
          </w:tcPr>
          <w:p w14:paraId="0F970137" w14:textId="71F582E5"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Target</w:t>
            </w:r>
          </w:p>
        </w:tc>
        <w:tc>
          <w:tcPr>
            <w:tcW w:w="1133" w:type="dxa"/>
            <w:shd w:val="clear" w:color="auto" w:fill="D6E3C6"/>
            <w:noWrap/>
          </w:tcPr>
          <w:p w14:paraId="2F16622A" w14:textId="72AB8612"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Increase in the share of organic farming which embraces the green and digital transition</w:t>
            </w:r>
          </w:p>
        </w:tc>
        <w:tc>
          <w:tcPr>
            <w:tcW w:w="1168" w:type="dxa"/>
            <w:shd w:val="clear" w:color="auto" w:fill="D6E3C6"/>
            <w:noWrap/>
          </w:tcPr>
          <w:p w14:paraId="08C0AE2B" w14:textId="77777777" w:rsidR="006231D2" w:rsidRPr="00397564" w:rsidRDefault="006231D2" w:rsidP="00D3202D">
            <w:pPr>
              <w:spacing w:after="0"/>
              <w:rPr>
                <w:rFonts w:ascii="Arial" w:eastAsia="Times New Roman" w:hAnsi="Arial" w:cs="Arial"/>
                <w:color w:val="006100"/>
                <w:sz w:val="16"/>
                <w:szCs w:val="16"/>
                <w:lang w:eastAsia="en-GB"/>
              </w:rPr>
            </w:pPr>
          </w:p>
        </w:tc>
        <w:tc>
          <w:tcPr>
            <w:tcW w:w="981" w:type="dxa"/>
            <w:shd w:val="clear" w:color="auto" w:fill="D6E3C6"/>
            <w:noWrap/>
          </w:tcPr>
          <w:p w14:paraId="62E650FB" w14:textId="39435C8C"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 (Percentage)</w:t>
            </w:r>
          </w:p>
        </w:tc>
        <w:tc>
          <w:tcPr>
            <w:tcW w:w="717" w:type="dxa"/>
            <w:shd w:val="clear" w:color="auto" w:fill="D6E3C6"/>
            <w:noWrap/>
          </w:tcPr>
          <w:p w14:paraId="38BD9137" w14:textId="68423203"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2.3</w:t>
            </w:r>
          </w:p>
        </w:tc>
        <w:tc>
          <w:tcPr>
            <w:tcW w:w="567" w:type="dxa"/>
            <w:shd w:val="clear" w:color="auto" w:fill="D6E3C6"/>
            <w:noWrap/>
          </w:tcPr>
          <w:p w14:paraId="5B78B143" w14:textId="4E857E0C"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5</w:t>
            </w:r>
          </w:p>
        </w:tc>
        <w:tc>
          <w:tcPr>
            <w:tcW w:w="756" w:type="dxa"/>
            <w:gridSpan w:val="2"/>
            <w:shd w:val="clear" w:color="auto" w:fill="D6E3C6"/>
            <w:noWrap/>
          </w:tcPr>
          <w:p w14:paraId="40353FB7" w14:textId="72416DD8"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Q2</w:t>
            </w:r>
          </w:p>
        </w:tc>
        <w:tc>
          <w:tcPr>
            <w:tcW w:w="520" w:type="dxa"/>
            <w:shd w:val="clear" w:color="auto" w:fill="D6E3C6"/>
            <w:noWrap/>
          </w:tcPr>
          <w:p w14:paraId="55DA2A4B" w14:textId="531FEF5A"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2026</w:t>
            </w:r>
          </w:p>
        </w:tc>
        <w:tc>
          <w:tcPr>
            <w:tcW w:w="1272" w:type="dxa"/>
            <w:gridSpan w:val="2"/>
            <w:shd w:val="clear" w:color="auto" w:fill="D6E3C6"/>
          </w:tcPr>
          <w:p w14:paraId="2D955EC8" w14:textId="35C15C3C"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5661E8D6" w14:textId="77777777" w:rsidR="006231D2" w:rsidRPr="00397564" w:rsidRDefault="006231D2" w:rsidP="00D3202D">
            <w:pPr>
              <w:spacing w:after="0"/>
              <w:rPr>
                <w:rFonts w:ascii="Arial" w:eastAsia="Times New Roman" w:hAnsi="Arial" w:cs="Arial"/>
                <w:color w:val="006100"/>
                <w:sz w:val="16"/>
                <w:szCs w:val="16"/>
                <w:lang w:eastAsia="en-GB"/>
              </w:rPr>
            </w:pPr>
          </w:p>
        </w:tc>
        <w:tc>
          <w:tcPr>
            <w:tcW w:w="2820" w:type="dxa"/>
            <w:gridSpan w:val="2"/>
            <w:shd w:val="clear" w:color="auto" w:fill="D6E3C6"/>
          </w:tcPr>
          <w:p w14:paraId="000A26EA" w14:textId="68C5CA09" w:rsidR="006231D2" w:rsidRPr="00B34231" w:rsidRDefault="006231D2" w:rsidP="00B34231">
            <w:pPr>
              <w:pStyle w:val="ListParagraph"/>
              <w:numPr>
                <w:ilvl w:val="0"/>
                <w:numId w:val="12"/>
              </w:numPr>
              <w:spacing w:after="0"/>
              <w:rPr>
                <w:rFonts w:ascii="Arial" w:hAnsi="Arial" w:cs="Arial"/>
                <w:color w:val="006100"/>
                <w:sz w:val="16"/>
                <w:szCs w:val="16"/>
              </w:rPr>
            </w:pPr>
            <w:r w:rsidRPr="00397564">
              <w:rPr>
                <w:rFonts w:ascii="Arial" w:hAnsi="Arial" w:cs="Arial"/>
                <w:color w:val="006100"/>
                <w:sz w:val="16"/>
                <w:szCs w:val="16"/>
                <w:lang w:eastAsia="en-GB"/>
              </w:rPr>
              <w:t>Copy of the Eurostat</w:t>
            </w:r>
            <w:r w:rsidRPr="00397564">
              <w:rPr>
                <w:rFonts w:ascii="Arial" w:hAnsi="Arial" w:cs="Arial"/>
                <w:color w:val="006100"/>
                <w:sz w:val="16"/>
                <w:szCs w:val="16"/>
              </w:rPr>
              <w:t xml:space="preserve"> organic farming statistics to be issued in 2026, proving that the percentage of organic area in total utilised agricultural area in hectares increased to 5% in 2025</w:t>
            </w:r>
          </w:p>
        </w:tc>
        <w:tc>
          <w:tcPr>
            <w:tcW w:w="3093" w:type="dxa"/>
            <w:shd w:val="clear" w:color="auto" w:fill="D6E3C6"/>
          </w:tcPr>
          <w:p w14:paraId="3D9D145A" w14:textId="75A529F3" w:rsidR="006231D2" w:rsidRDefault="006231D2" w:rsidP="00282C90">
            <w:pPr>
              <w:spacing w:after="0"/>
              <w:rPr>
                <w:rFonts w:ascii="Arial" w:hAnsi="Arial" w:cs="Arial"/>
                <w:color w:val="006100"/>
                <w:sz w:val="16"/>
                <w:szCs w:val="16"/>
              </w:rPr>
            </w:pPr>
            <w:r>
              <w:rPr>
                <w:rFonts w:ascii="Arial" w:hAnsi="Arial" w:cs="Arial"/>
                <w:color w:val="006100"/>
                <w:sz w:val="16"/>
                <w:szCs w:val="16"/>
              </w:rPr>
              <w:t xml:space="preserve">Institution/s: </w:t>
            </w:r>
            <w:r w:rsidRPr="00397564">
              <w:rPr>
                <w:rFonts w:ascii="Arial" w:eastAsia="Times New Roman" w:hAnsi="Arial" w:cs="Arial"/>
                <w:color w:val="006100"/>
                <w:sz w:val="16"/>
                <w:szCs w:val="16"/>
                <w:lang w:val="en-US" w:eastAsia="en-GB"/>
              </w:rPr>
              <w:t>Ministry of Agriculture</w:t>
            </w:r>
          </w:p>
          <w:p w14:paraId="4E229284" w14:textId="77777777" w:rsidR="006231D2" w:rsidRDefault="006231D2" w:rsidP="00282C90">
            <w:pPr>
              <w:spacing w:after="0"/>
              <w:rPr>
                <w:rFonts w:ascii="Arial" w:hAnsi="Arial" w:cs="Arial"/>
                <w:color w:val="006100"/>
                <w:sz w:val="16"/>
                <w:szCs w:val="16"/>
              </w:rPr>
            </w:pPr>
          </w:p>
          <w:p w14:paraId="1F5BB948" w14:textId="35E9780C" w:rsidR="006231D2" w:rsidRDefault="006231D2" w:rsidP="00282C90">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Increase in the share of organic farming which embraces the green and digital transition</w:t>
            </w:r>
          </w:p>
          <w:p w14:paraId="1CDFC524" w14:textId="77777777" w:rsidR="006231D2" w:rsidRDefault="006231D2" w:rsidP="00282C90">
            <w:pPr>
              <w:spacing w:after="0"/>
              <w:rPr>
                <w:rFonts w:ascii="Arial" w:hAnsi="Arial" w:cs="Arial"/>
                <w:color w:val="006100"/>
                <w:sz w:val="16"/>
                <w:szCs w:val="16"/>
              </w:rPr>
            </w:pPr>
          </w:p>
          <w:p w14:paraId="4F9AC294" w14:textId="7ABE0859" w:rsidR="006231D2" w:rsidRDefault="006231D2" w:rsidP="00282C90">
            <w:pPr>
              <w:spacing w:after="0"/>
              <w:rPr>
                <w:rFonts w:ascii="Arial" w:hAnsi="Arial" w:cs="Arial"/>
                <w:color w:val="006100"/>
                <w:sz w:val="16"/>
                <w:szCs w:val="16"/>
              </w:rPr>
            </w:pPr>
            <w:r>
              <w:rPr>
                <w:rFonts w:ascii="Arial" w:hAnsi="Arial" w:cs="Arial"/>
                <w:color w:val="006100"/>
                <w:sz w:val="16"/>
                <w:szCs w:val="16"/>
              </w:rPr>
              <w:t>How: reporting (a)</w:t>
            </w:r>
          </w:p>
          <w:p w14:paraId="7F27930F" w14:textId="77777777" w:rsidR="006231D2" w:rsidRDefault="006231D2" w:rsidP="00282C90">
            <w:pPr>
              <w:spacing w:after="0"/>
              <w:rPr>
                <w:rFonts w:ascii="Arial" w:hAnsi="Arial" w:cs="Arial"/>
                <w:color w:val="006100"/>
                <w:sz w:val="16"/>
                <w:szCs w:val="16"/>
              </w:rPr>
            </w:pPr>
          </w:p>
          <w:p w14:paraId="2C41AAD9" w14:textId="17A399F5"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 xml:space="preserve">Why: </w:t>
            </w:r>
            <w:r w:rsidRPr="00B34231">
              <w:rPr>
                <w:rFonts w:ascii="Arial" w:hAnsi="Arial" w:cs="Arial"/>
                <w:color w:val="006100"/>
                <w:sz w:val="16"/>
                <w:szCs w:val="16"/>
              </w:rPr>
              <w:t>The National Action Programme contributing to the objectives of the Farm to Fork Strategy 2030 shall incentivise farmers to adapt their practices and lead to an increase of the share of organic farming. The percentage of organic area in total utilised agricultural area in hectares shall increase from 2.3% in 2019 to 5% in 2025 based on Eurostat organic farming statistics to be issued in 2026.</w:t>
            </w:r>
            <w:r>
              <w:rPr>
                <w:rFonts w:ascii="Arial" w:hAnsi="Arial" w:cs="Arial"/>
                <w:color w:val="006100"/>
                <w:sz w:val="16"/>
                <w:szCs w:val="16"/>
              </w:rPr>
              <w:t xml:space="preserve"> [provide references to the plan that acknowledge these objectives]</w:t>
            </w:r>
          </w:p>
          <w:p w14:paraId="6E441F2C" w14:textId="77777777" w:rsidR="006231D2" w:rsidRDefault="006231D2" w:rsidP="00282C90">
            <w:pPr>
              <w:spacing w:after="0"/>
              <w:rPr>
                <w:rFonts w:ascii="Arial" w:hAnsi="Arial" w:cs="Arial"/>
                <w:color w:val="006100"/>
                <w:sz w:val="16"/>
                <w:szCs w:val="16"/>
              </w:rPr>
            </w:pPr>
          </w:p>
          <w:p w14:paraId="5B27DAD5" w14:textId="2797EA17" w:rsidR="006231D2" w:rsidRPr="00397564" w:rsidRDefault="006231D2" w:rsidP="00282C90">
            <w:pPr>
              <w:spacing w:after="0"/>
              <w:rPr>
                <w:rFonts w:ascii="Arial" w:hAnsi="Arial" w:cs="Arial"/>
                <w:color w:val="006100"/>
                <w:sz w:val="16"/>
                <w:szCs w:val="16"/>
              </w:rPr>
            </w:pPr>
            <w:r>
              <w:rPr>
                <w:rFonts w:ascii="Arial" w:hAnsi="Arial" w:cs="Arial"/>
                <w:color w:val="006100"/>
                <w:sz w:val="16"/>
                <w:szCs w:val="16"/>
              </w:rPr>
              <w:t>When: as a result of milestone 131</w:t>
            </w:r>
          </w:p>
        </w:tc>
        <w:tc>
          <w:tcPr>
            <w:tcW w:w="2003" w:type="dxa"/>
            <w:shd w:val="clear" w:color="auto" w:fill="D6E3C6"/>
          </w:tcPr>
          <w:p w14:paraId="684CB252" w14:textId="57A8BFD5"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As above</w:t>
            </w:r>
          </w:p>
        </w:tc>
        <w:tc>
          <w:tcPr>
            <w:tcW w:w="992" w:type="dxa"/>
            <w:shd w:val="clear" w:color="auto" w:fill="D6E3C6"/>
          </w:tcPr>
          <w:p w14:paraId="625AD490" w14:textId="2BA8D3EB"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Delays in milestone 131</w:t>
            </w:r>
          </w:p>
        </w:tc>
        <w:tc>
          <w:tcPr>
            <w:tcW w:w="711" w:type="dxa"/>
            <w:shd w:val="clear" w:color="auto" w:fill="D6E3C6"/>
          </w:tcPr>
          <w:p w14:paraId="7DEB1B9E" w14:textId="5E79E951"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None</w:t>
            </w:r>
          </w:p>
        </w:tc>
        <w:tc>
          <w:tcPr>
            <w:tcW w:w="992" w:type="dxa"/>
            <w:shd w:val="clear" w:color="auto" w:fill="D6E3C6"/>
          </w:tcPr>
          <w:p w14:paraId="6D5D2010" w14:textId="7FD43361"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851" w:type="dxa"/>
            <w:shd w:val="clear" w:color="auto" w:fill="D6E3C6"/>
          </w:tcPr>
          <w:p w14:paraId="771278D7" w14:textId="1E1F9BB5" w:rsidR="006231D2" w:rsidRPr="00397564" w:rsidRDefault="00421A33" w:rsidP="00D3202D">
            <w:pPr>
              <w:spacing w:after="0"/>
              <w:rPr>
                <w:rFonts w:ascii="Arial" w:hAnsi="Arial" w:cs="Arial"/>
                <w:color w:val="006100"/>
                <w:sz w:val="16"/>
                <w:szCs w:val="16"/>
              </w:rPr>
            </w:pPr>
            <w:r>
              <w:rPr>
                <w:rFonts w:ascii="Arial" w:hAnsi="Arial" w:cs="Arial"/>
                <w:color w:val="006100"/>
                <w:sz w:val="16"/>
                <w:szCs w:val="16"/>
              </w:rPr>
              <w:t>-</w:t>
            </w:r>
          </w:p>
        </w:tc>
      </w:tr>
      <w:tr w:rsidR="00877DAF" w:rsidRPr="00397564" w14:paraId="22F890C6" w14:textId="22A15ECB" w:rsidTr="00877DAF">
        <w:trPr>
          <w:trHeight w:val="309"/>
        </w:trPr>
        <w:tc>
          <w:tcPr>
            <w:tcW w:w="458" w:type="dxa"/>
            <w:shd w:val="clear" w:color="auto" w:fill="D6E3C6"/>
            <w:noWrap/>
          </w:tcPr>
          <w:p w14:paraId="22D9A09B" w14:textId="08941510"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133</w:t>
            </w:r>
          </w:p>
        </w:tc>
        <w:tc>
          <w:tcPr>
            <w:tcW w:w="1434" w:type="dxa"/>
            <w:shd w:val="clear" w:color="auto" w:fill="D6E3C6"/>
            <w:noWrap/>
          </w:tcPr>
          <w:p w14:paraId="11F31B20" w14:textId="33F8AB74"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 xml:space="preserve">C6.I1: Fund to promote the technological and ecological </w:t>
            </w:r>
            <w:r w:rsidRPr="00397564">
              <w:rPr>
                <w:rFonts w:ascii="Arial" w:hAnsi="Arial" w:cs="Arial"/>
                <w:color w:val="006100"/>
                <w:sz w:val="16"/>
                <w:szCs w:val="16"/>
              </w:rPr>
              <w:lastRenderedPageBreak/>
              <w:t>transition of agriculture</w:t>
            </w:r>
          </w:p>
        </w:tc>
        <w:tc>
          <w:tcPr>
            <w:tcW w:w="741" w:type="dxa"/>
            <w:shd w:val="clear" w:color="auto" w:fill="D6E3C6"/>
            <w:noWrap/>
          </w:tcPr>
          <w:p w14:paraId="366452AC" w14:textId="65D65429"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lastRenderedPageBreak/>
              <w:t>Milestone</w:t>
            </w:r>
          </w:p>
        </w:tc>
        <w:tc>
          <w:tcPr>
            <w:tcW w:w="1133" w:type="dxa"/>
            <w:shd w:val="clear" w:color="auto" w:fill="D6E3C6"/>
            <w:noWrap/>
          </w:tcPr>
          <w:p w14:paraId="41C4653A" w14:textId="6A678C9F"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 xml:space="preserve">Award of grant agreements for support under the Fund to promote the </w:t>
            </w:r>
            <w:r w:rsidRPr="00397564">
              <w:rPr>
                <w:rFonts w:ascii="Arial" w:hAnsi="Arial" w:cs="Arial"/>
                <w:color w:val="006100"/>
                <w:sz w:val="16"/>
                <w:szCs w:val="16"/>
              </w:rPr>
              <w:lastRenderedPageBreak/>
              <w:t>technological and ecological transition of agriculture</w:t>
            </w:r>
          </w:p>
        </w:tc>
        <w:tc>
          <w:tcPr>
            <w:tcW w:w="1168" w:type="dxa"/>
            <w:shd w:val="clear" w:color="auto" w:fill="D6E3C6"/>
            <w:noWrap/>
          </w:tcPr>
          <w:p w14:paraId="266C4C9F" w14:textId="218AA6E6"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lastRenderedPageBreak/>
              <w:t>Communication of awards by the Ministry of Agriculture</w:t>
            </w:r>
          </w:p>
        </w:tc>
        <w:tc>
          <w:tcPr>
            <w:tcW w:w="981" w:type="dxa"/>
            <w:shd w:val="clear" w:color="auto" w:fill="D6E3C6"/>
            <w:noWrap/>
          </w:tcPr>
          <w:p w14:paraId="23C42E7B"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17" w:type="dxa"/>
            <w:shd w:val="clear" w:color="auto" w:fill="D6E3C6"/>
            <w:noWrap/>
          </w:tcPr>
          <w:p w14:paraId="3837D96F"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519D4C5E"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A879236" w14:textId="5F31980D"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Q3</w:t>
            </w:r>
          </w:p>
        </w:tc>
        <w:tc>
          <w:tcPr>
            <w:tcW w:w="520" w:type="dxa"/>
            <w:shd w:val="clear" w:color="auto" w:fill="D6E3C6"/>
            <w:noWrap/>
          </w:tcPr>
          <w:p w14:paraId="5E00CFD9" w14:textId="0CA3040A"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2023</w:t>
            </w:r>
          </w:p>
        </w:tc>
        <w:tc>
          <w:tcPr>
            <w:tcW w:w="1272" w:type="dxa"/>
            <w:gridSpan w:val="2"/>
            <w:shd w:val="clear" w:color="auto" w:fill="D6E3C6"/>
          </w:tcPr>
          <w:p w14:paraId="60329471" w14:textId="55FC3759"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0F75A060" w14:textId="77777777" w:rsidR="006231D2" w:rsidRPr="00397564" w:rsidRDefault="006231D2" w:rsidP="00D3202D">
            <w:pPr>
              <w:spacing w:after="0"/>
              <w:rPr>
                <w:rFonts w:ascii="Arial" w:eastAsia="Times New Roman" w:hAnsi="Arial" w:cs="Arial"/>
                <w:color w:val="006100"/>
                <w:sz w:val="16"/>
                <w:szCs w:val="16"/>
                <w:lang w:eastAsia="en-GB"/>
              </w:rPr>
            </w:pPr>
          </w:p>
        </w:tc>
        <w:tc>
          <w:tcPr>
            <w:tcW w:w="2820" w:type="dxa"/>
            <w:gridSpan w:val="2"/>
            <w:shd w:val="clear" w:color="auto" w:fill="D6E3C6"/>
          </w:tcPr>
          <w:p w14:paraId="3BB0C71E" w14:textId="77777777" w:rsidR="006231D2" w:rsidRDefault="006231D2" w:rsidP="00032AA4">
            <w:pPr>
              <w:pStyle w:val="ListParagraph"/>
              <w:numPr>
                <w:ilvl w:val="0"/>
                <w:numId w:val="13"/>
              </w:numPr>
              <w:spacing w:after="0"/>
              <w:ind w:left="315" w:hanging="284"/>
              <w:rPr>
                <w:rFonts w:ascii="Arial" w:hAnsi="Arial" w:cs="Arial"/>
                <w:color w:val="006100"/>
                <w:sz w:val="16"/>
                <w:szCs w:val="16"/>
              </w:rPr>
            </w:pPr>
            <w:r w:rsidRPr="00397564">
              <w:rPr>
                <w:rFonts w:ascii="Arial" w:hAnsi="Arial" w:cs="Arial"/>
                <w:color w:val="006100"/>
                <w:sz w:val="16"/>
                <w:szCs w:val="16"/>
              </w:rPr>
              <w:t>Copy of and link to the official communication of awards of the grant agreements under the four strands of the Fund in line with the description from the CID annex</w:t>
            </w:r>
          </w:p>
          <w:p w14:paraId="45A9883A" w14:textId="018DF071" w:rsidR="006231D2" w:rsidRPr="00032AA4" w:rsidRDefault="006231D2" w:rsidP="00032AA4">
            <w:pPr>
              <w:pStyle w:val="ListParagraph"/>
              <w:numPr>
                <w:ilvl w:val="0"/>
                <w:numId w:val="13"/>
              </w:numPr>
              <w:spacing w:after="0"/>
              <w:ind w:left="315" w:hanging="284"/>
              <w:rPr>
                <w:rFonts w:ascii="Arial" w:hAnsi="Arial" w:cs="Arial"/>
                <w:color w:val="006100"/>
                <w:sz w:val="16"/>
                <w:szCs w:val="16"/>
              </w:rPr>
            </w:pPr>
            <w:r w:rsidRPr="00397564">
              <w:rPr>
                <w:rFonts w:ascii="Arial" w:hAnsi="Arial" w:cs="Arial"/>
                <w:color w:val="006100"/>
                <w:sz w:val="16"/>
                <w:szCs w:val="16"/>
              </w:rPr>
              <w:lastRenderedPageBreak/>
              <w:t>Extracts from the evaluation reports or grant agreements of selected projects proving alignment with the description of the milestone and of the description of the investment in the CID, including compliance with the ‘Do no significant harm’ Technical Guidance (2021/C58/01), as specified in the CID Annex</w:t>
            </w:r>
          </w:p>
        </w:tc>
        <w:tc>
          <w:tcPr>
            <w:tcW w:w="3093" w:type="dxa"/>
            <w:shd w:val="clear" w:color="auto" w:fill="D6E3C6"/>
          </w:tcPr>
          <w:p w14:paraId="5444EA42" w14:textId="18FEFCA7" w:rsidR="006231D2" w:rsidRDefault="006231D2" w:rsidP="00282C90">
            <w:pPr>
              <w:spacing w:after="0"/>
              <w:rPr>
                <w:rFonts w:ascii="Arial" w:hAnsi="Arial" w:cs="Arial"/>
                <w:color w:val="006100"/>
                <w:sz w:val="16"/>
                <w:szCs w:val="16"/>
              </w:rPr>
            </w:pPr>
            <w:r>
              <w:rPr>
                <w:rFonts w:ascii="Arial" w:hAnsi="Arial" w:cs="Arial"/>
                <w:color w:val="006100"/>
                <w:sz w:val="16"/>
                <w:szCs w:val="16"/>
              </w:rPr>
              <w:lastRenderedPageBreak/>
              <w:t xml:space="preserve">Institution/s: </w:t>
            </w:r>
            <w:r w:rsidRPr="00397564">
              <w:rPr>
                <w:rFonts w:ascii="Arial" w:eastAsia="Times New Roman" w:hAnsi="Arial" w:cs="Arial"/>
                <w:color w:val="006100"/>
                <w:sz w:val="16"/>
                <w:szCs w:val="16"/>
                <w:lang w:val="en-US" w:eastAsia="en-GB"/>
              </w:rPr>
              <w:t>Ministry of Agriculture</w:t>
            </w:r>
          </w:p>
          <w:p w14:paraId="72DBBAA5" w14:textId="77777777" w:rsidR="006231D2" w:rsidRDefault="006231D2" w:rsidP="00282C90">
            <w:pPr>
              <w:spacing w:after="0"/>
              <w:rPr>
                <w:rFonts w:ascii="Arial" w:hAnsi="Arial" w:cs="Arial"/>
                <w:color w:val="006100"/>
                <w:sz w:val="16"/>
                <w:szCs w:val="16"/>
              </w:rPr>
            </w:pPr>
          </w:p>
          <w:p w14:paraId="72942F85" w14:textId="209CAC2E" w:rsidR="006231D2" w:rsidRDefault="006231D2" w:rsidP="00282C90">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Award of grant agreements for support under the Fund to promote the </w:t>
            </w:r>
            <w:r w:rsidRPr="00397564">
              <w:rPr>
                <w:rFonts w:ascii="Arial" w:hAnsi="Arial" w:cs="Arial"/>
                <w:color w:val="006100"/>
                <w:sz w:val="16"/>
                <w:szCs w:val="16"/>
              </w:rPr>
              <w:lastRenderedPageBreak/>
              <w:t>technological and ecological transition of agriculture</w:t>
            </w:r>
          </w:p>
          <w:p w14:paraId="39EFEA97" w14:textId="77777777" w:rsidR="006231D2" w:rsidRDefault="006231D2" w:rsidP="00282C90">
            <w:pPr>
              <w:spacing w:after="0"/>
              <w:rPr>
                <w:rFonts w:ascii="Arial" w:hAnsi="Arial" w:cs="Arial"/>
                <w:color w:val="006100"/>
                <w:sz w:val="16"/>
                <w:szCs w:val="16"/>
              </w:rPr>
            </w:pPr>
          </w:p>
          <w:p w14:paraId="440784A3" w14:textId="16F163B2" w:rsidR="006231D2" w:rsidRDefault="006231D2" w:rsidP="00282C90">
            <w:pPr>
              <w:spacing w:after="0"/>
              <w:rPr>
                <w:rFonts w:ascii="Arial" w:hAnsi="Arial" w:cs="Arial"/>
                <w:color w:val="006100"/>
                <w:sz w:val="16"/>
                <w:szCs w:val="16"/>
              </w:rPr>
            </w:pPr>
            <w:r>
              <w:rPr>
                <w:rFonts w:ascii="Arial" w:hAnsi="Arial" w:cs="Arial"/>
                <w:color w:val="006100"/>
                <w:sz w:val="16"/>
                <w:szCs w:val="16"/>
              </w:rPr>
              <w:t>How: contracting (a), reporting (b)</w:t>
            </w:r>
          </w:p>
          <w:p w14:paraId="6F783CA0" w14:textId="77777777" w:rsidR="006231D2" w:rsidRDefault="006231D2" w:rsidP="00282C90">
            <w:pPr>
              <w:spacing w:after="0"/>
              <w:rPr>
                <w:rFonts w:ascii="Arial" w:hAnsi="Arial" w:cs="Arial"/>
                <w:color w:val="006100"/>
                <w:sz w:val="16"/>
                <w:szCs w:val="16"/>
              </w:rPr>
            </w:pPr>
          </w:p>
          <w:p w14:paraId="72BAB70A" w14:textId="3D97CAA1"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 xml:space="preserve">Why: </w:t>
            </w:r>
            <w:r w:rsidRPr="00032AA4">
              <w:rPr>
                <w:rFonts w:ascii="Arial" w:hAnsi="Arial" w:cs="Arial"/>
                <w:color w:val="006100"/>
                <w:sz w:val="16"/>
                <w:szCs w:val="16"/>
              </w:rPr>
              <w:t xml:space="preserve">Communication of the awards of grant agreements under the four strands of the Fund: - technological and environmental modernisation - preparation centres for marketing and storage of fruit and vegetables - construction/reconstruction and equipment of establishments for the rearing and evaluation of male breeding animals, including the harvesting of biological material from them; - efficient water management on agricultural holdings. The grant agreements shall comply with eligibility criteria under the respective calls for proposals that ensure that the selected projects comply with the Do No Significant Harm Technical Guidance (2021/C58/01) through the use of an exclusion list and the requirement of compliance with the relevant EU and national environmental legislation. The strand on the efficient water management on agricultural holdings shall only provide support to investments, which ensure that the impact on the water bodies is such that they are expected to retain good status after the investments taking into account the future projections of climate change impact in a range of scenarios. </w:t>
            </w:r>
            <w:r>
              <w:rPr>
                <w:rFonts w:ascii="Arial" w:hAnsi="Arial" w:cs="Arial"/>
                <w:color w:val="006100"/>
                <w:sz w:val="16"/>
                <w:szCs w:val="16"/>
              </w:rPr>
              <w:t>[provide references to the plan that acknowledge these objectives]</w:t>
            </w:r>
          </w:p>
          <w:p w14:paraId="000CF0A6" w14:textId="77777777" w:rsidR="006231D2" w:rsidRDefault="006231D2" w:rsidP="00282C90">
            <w:pPr>
              <w:spacing w:after="0"/>
              <w:rPr>
                <w:rFonts w:ascii="Arial" w:hAnsi="Arial" w:cs="Arial"/>
                <w:color w:val="006100"/>
                <w:sz w:val="16"/>
                <w:szCs w:val="16"/>
              </w:rPr>
            </w:pPr>
          </w:p>
          <w:p w14:paraId="4D9262C1" w14:textId="096F3582" w:rsidR="006231D2" w:rsidRPr="00397564" w:rsidRDefault="006231D2" w:rsidP="00282C90">
            <w:pPr>
              <w:spacing w:after="0"/>
              <w:rPr>
                <w:rFonts w:ascii="Arial" w:hAnsi="Arial" w:cs="Arial"/>
                <w:color w:val="006100"/>
                <w:sz w:val="16"/>
                <w:szCs w:val="16"/>
              </w:rPr>
            </w:pPr>
            <w:r>
              <w:rPr>
                <w:rFonts w:ascii="Arial" w:hAnsi="Arial" w:cs="Arial"/>
                <w:color w:val="006100"/>
                <w:sz w:val="16"/>
                <w:szCs w:val="16"/>
              </w:rPr>
              <w:t xml:space="preserve">When: </w:t>
            </w:r>
            <w:r w:rsidRPr="00F2018F">
              <w:rPr>
                <w:rFonts w:ascii="Arial" w:hAnsi="Arial" w:cs="Arial"/>
                <w:color w:val="006100"/>
                <w:sz w:val="16"/>
                <w:szCs w:val="16"/>
              </w:rPr>
              <w:t>specify the dates of selection</w:t>
            </w:r>
            <w:r>
              <w:rPr>
                <w:rFonts w:ascii="Arial" w:hAnsi="Arial" w:cs="Arial"/>
                <w:color w:val="006100"/>
                <w:sz w:val="16"/>
                <w:szCs w:val="16"/>
              </w:rPr>
              <w:t xml:space="preserve"> and</w:t>
            </w:r>
            <w:r w:rsidRPr="00F2018F">
              <w:rPr>
                <w:rFonts w:ascii="Arial" w:hAnsi="Arial" w:cs="Arial"/>
                <w:color w:val="006100"/>
                <w:sz w:val="16"/>
                <w:szCs w:val="16"/>
              </w:rPr>
              <w:t xml:space="preserve"> award</w:t>
            </w:r>
          </w:p>
        </w:tc>
        <w:tc>
          <w:tcPr>
            <w:tcW w:w="2003" w:type="dxa"/>
            <w:shd w:val="clear" w:color="auto" w:fill="D6E3C6"/>
          </w:tcPr>
          <w:p w14:paraId="5A7E4939" w14:textId="77777777" w:rsidR="006231D2" w:rsidRPr="00032AA4" w:rsidRDefault="006231D2" w:rsidP="00032AA4">
            <w:pPr>
              <w:spacing w:after="0"/>
              <w:rPr>
                <w:rFonts w:ascii="Arial" w:hAnsi="Arial" w:cs="Arial"/>
                <w:color w:val="006100"/>
                <w:sz w:val="16"/>
                <w:szCs w:val="16"/>
              </w:rPr>
            </w:pPr>
            <w:r w:rsidRPr="00032AA4">
              <w:rPr>
                <w:rFonts w:ascii="Arial" w:hAnsi="Arial" w:cs="Arial"/>
                <w:color w:val="006100"/>
                <w:sz w:val="16"/>
                <w:szCs w:val="16"/>
              </w:rPr>
              <w:lastRenderedPageBreak/>
              <w:t xml:space="preserve">The objective of the measure is to contribute to addressing the issues that hamper the competitiveness and </w:t>
            </w:r>
            <w:r w:rsidRPr="00032AA4">
              <w:rPr>
                <w:rFonts w:ascii="Arial" w:hAnsi="Arial" w:cs="Arial"/>
                <w:color w:val="006100"/>
                <w:sz w:val="16"/>
                <w:szCs w:val="16"/>
              </w:rPr>
              <w:lastRenderedPageBreak/>
              <w:t xml:space="preserve">sustainability of the Bulgarian agricultural sector and to accelerate the sector’s adaptation to climate change, the greening of its production and its digital transformation.  </w:t>
            </w:r>
          </w:p>
          <w:p w14:paraId="39CBF9E2" w14:textId="77777777" w:rsidR="006231D2" w:rsidRPr="00032AA4" w:rsidRDefault="006231D2" w:rsidP="00032AA4">
            <w:pPr>
              <w:spacing w:after="0"/>
              <w:rPr>
                <w:rFonts w:ascii="Arial" w:hAnsi="Arial" w:cs="Arial"/>
                <w:color w:val="006100"/>
                <w:sz w:val="16"/>
                <w:szCs w:val="16"/>
              </w:rPr>
            </w:pPr>
          </w:p>
          <w:p w14:paraId="03A42C44" w14:textId="613E1556" w:rsidR="006231D2" w:rsidRPr="00397564" w:rsidRDefault="006231D2" w:rsidP="00032AA4">
            <w:pPr>
              <w:spacing w:after="0"/>
              <w:rPr>
                <w:rFonts w:ascii="Arial" w:hAnsi="Arial" w:cs="Arial"/>
                <w:color w:val="006100"/>
                <w:sz w:val="16"/>
                <w:szCs w:val="16"/>
              </w:rPr>
            </w:pPr>
            <w:r w:rsidRPr="00032AA4">
              <w:rPr>
                <w:rFonts w:ascii="Arial" w:hAnsi="Arial" w:cs="Arial"/>
                <w:color w:val="006100"/>
                <w:sz w:val="16"/>
                <w:szCs w:val="16"/>
              </w:rPr>
              <w:t>The measure consists of setting up a Fund for promoting the technological and ecological transition of agriculture. The Fund shall provide support to farmers for the implementation of activities ensuring the protection of the environment and climate change mitigation, introducing innovative production and digital technologies, agricultural production and organisation technologies, the automation of work processes, the shortening of supply chains and the conservation of genetic resources. The Fund shall promote investments in four strands: 1) technological and environmental modernisation; 2) preparation centres for marketing and storage of fruit and vegetables; 3) construction/reconstruction and equipment of holdings for the rearing and evaluation of male breeding animals, including the harvesting of biological material from them and 4) effective water management on farms.</w:t>
            </w:r>
          </w:p>
        </w:tc>
        <w:tc>
          <w:tcPr>
            <w:tcW w:w="992" w:type="dxa"/>
            <w:shd w:val="clear" w:color="auto" w:fill="D6E3C6"/>
          </w:tcPr>
          <w:p w14:paraId="48669E3C" w14:textId="02B3C0B9"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lastRenderedPageBreak/>
              <w:t>Delays in launching the calls</w:t>
            </w:r>
          </w:p>
        </w:tc>
        <w:tc>
          <w:tcPr>
            <w:tcW w:w="711" w:type="dxa"/>
            <w:shd w:val="clear" w:color="auto" w:fill="D6E3C6"/>
          </w:tcPr>
          <w:p w14:paraId="49EDBBE7" w14:textId="4F53440E" w:rsidR="006231D2" w:rsidRPr="00397564" w:rsidRDefault="006231D2" w:rsidP="00D3202D">
            <w:pPr>
              <w:spacing w:after="0"/>
              <w:rPr>
                <w:rFonts w:ascii="Arial" w:hAnsi="Arial" w:cs="Arial"/>
                <w:color w:val="006100"/>
                <w:sz w:val="16"/>
                <w:szCs w:val="16"/>
              </w:rPr>
            </w:pPr>
            <w:r w:rsidRPr="00397564">
              <w:rPr>
                <w:rFonts w:ascii="Arial" w:hAnsi="Arial" w:cs="Arial"/>
                <w:color w:val="006100"/>
                <w:sz w:val="16"/>
                <w:szCs w:val="16"/>
              </w:rPr>
              <w:t>None</w:t>
            </w:r>
          </w:p>
        </w:tc>
        <w:tc>
          <w:tcPr>
            <w:tcW w:w="992" w:type="dxa"/>
            <w:shd w:val="clear" w:color="auto" w:fill="D6E3C6"/>
          </w:tcPr>
          <w:p w14:paraId="1D3408C5" w14:textId="51D06B00"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851" w:type="dxa"/>
            <w:shd w:val="clear" w:color="auto" w:fill="D6E3C6"/>
          </w:tcPr>
          <w:p w14:paraId="23BE485F" w14:textId="493E1787" w:rsidR="006231D2" w:rsidRPr="00397564" w:rsidRDefault="00421A33" w:rsidP="00D3202D">
            <w:pPr>
              <w:spacing w:after="0"/>
              <w:rPr>
                <w:rFonts w:ascii="Arial" w:hAnsi="Arial" w:cs="Arial"/>
                <w:color w:val="006100"/>
                <w:sz w:val="16"/>
                <w:szCs w:val="16"/>
              </w:rPr>
            </w:pPr>
            <w:r>
              <w:rPr>
                <w:rFonts w:ascii="Arial" w:hAnsi="Arial" w:cs="Arial"/>
                <w:color w:val="006100"/>
                <w:sz w:val="16"/>
                <w:szCs w:val="16"/>
              </w:rPr>
              <w:t>-</w:t>
            </w:r>
          </w:p>
        </w:tc>
      </w:tr>
      <w:tr w:rsidR="00877DAF" w:rsidRPr="00397564" w14:paraId="718C3199" w14:textId="7379463A" w:rsidTr="00877DAF">
        <w:trPr>
          <w:trHeight w:val="309"/>
        </w:trPr>
        <w:tc>
          <w:tcPr>
            <w:tcW w:w="458" w:type="dxa"/>
            <w:shd w:val="clear" w:color="auto" w:fill="D6E3C6"/>
            <w:noWrap/>
          </w:tcPr>
          <w:p w14:paraId="268DC740" w14:textId="4FB48CB3"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134</w:t>
            </w:r>
          </w:p>
        </w:tc>
        <w:tc>
          <w:tcPr>
            <w:tcW w:w="1434" w:type="dxa"/>
            <w:shd w:val="clear" w:color="auto" w:fill="D6E3C6"/>
            <w:noWrap/>
          </w:tcPr>
          <w:p w14:paraId="2821AE3B" w14:textId="5C86A0FE"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C6.I1: Fund to promote the technological and ecological transition of agriculture</w:t>
            </w:r>
          </w:p>
        </w:tc>
        <w:tc>
          <w:tcPr>
            <w:tcW w:w="741" w:type="dxa"/>
            <w:shd w:val="clear" w:color="auto" w:fill="D6E3C6"/>
            <w:noWrap/>
          </w:tcPr>
          <w:p w14:paraId="2F25C7F4" w14:textId="33DB14AE"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Target</w:t>
            </w:r>
          </w:p>
        </w:tc>
        <w:tc>
          <w:tcPr>
            <w:tcW w:w="1133" w:type="dxa"/>
            <w:shd w:val="clear" w:color="auto" w:fill="D6E3C6"/>
            <w:noWrap/>
          </w:tcPr>
          <w:p w14:paraId="5774B029" w14:textId="76B519F8"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Number of supported project beneficiaries through the Fund</w:t>
            </w:r>
          </w:p>
        </w:tc>
        <w:tc>
          <w:tcPr>
            <w:tcW w:w="1168" w:type="dxa"/>
            <w:shd w:val="clear" w:color="auto" w:fill="D6E3C6"/>
            <w:noWrap/>
          </w:tcPr>
          <w:p w14:paraId="3296EA8A" w14:textId="77777777" w:rsidR="006231D2" w:rsidRPr="00397564" w:rsidRDefault="006231D2" w:rsidP="00D3202D">
            <w:pPr>
              <w:spacing w:after="0"/>
              <w:rPr>
                <w:rFonts w:ascii="Arial" w:eastAsia="Times New Roman" w:hAnsi="Arial" w:cs="Arial"/>
                <w:color w:val="006100"/>
                <w:sz w:val="16"/>
                <w:szCs w:val="16"/>
                <w:lang w:eastAsia="en-GB"/>
              </w:rPr>
            </w:pPr>
          </w:p>
        </w:tc>
        <w:tc>
          <w:tcPr>
            <w:tcW w:w="981" w:type="dxa"/>
            <w:shd w:val="clear" w:color="auto" w:fill="D6E3C6"/>
            <w:noWrap/>
          </w:tcPr>
          <w:p w14:paraId="62B07B36" w14:textId="1CB2393B"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Number</w:t>
            </w:r>
          </w:p>
        </w:tc>
        <w:tc>
          <w:tcPr>
            <w:tcW w:w="717" w:type="dxa"/>
            <w:shd w:val="clear" w:color="auto" w:fill="D6E3C6"/>
            <w:noWrap/>
          </w:tcPr>
          <w:p w14:paraId="2773A09C" w14:textId="7C4A42E7"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0</w:t>
            </w:r>
          </w:p>
        </w:tc>
        <w:tc>
          <w:tcPr>
            <w:tcW w:w="567" w:type="dxa"/>
            <w:shd w:val="clear" w:color="auto" w:fill="D6E3C6"/>
            <w:noWrap/>
          </w:tcPr>
          <w:p w14:paraId="19E539EB" w14:textId="47F59A25"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636</w:t>
            </w:r>
          </w:p>
        </w:tc>
        <w:tc>
          <w:tcPr>
            <w:tcW w:w="756" w:type="dxa"/>
            <w:gridSpan w:val="2"/>
            <w:shd w:val="clear" w:color="auto" w:fill="D6E3C6"/>
            <w:noWrap/>
          </w:tcPr>
          <w:p w14:paraId="09EBBD86" w14:textId="34274B98"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Q4</w:t>
            </w:r>
          </w:p>
        </w:tc>
        <w:tc>
          <w:tcPr>
            <w:tcW w:w="520" w:type="dxa"/>
            <w:shd w:val="clear" w:color="auto" w:fill="D6E3C6"/>
            <w:noWrap/>
          </w:tcPr>
          <w:p w14:paraId="33D2664B" w14:textId="628BCB00"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2025</w:t>
            </w:r>
          </w:p>
        </w:tc>
        <w:tc>
          <w:tcPr>
            <w:tcW w:w="1272" w:type="dxa"/>
            <w:gridSpan w:val="2"/>
            <w:shd w:val="clear" w:color="auto" w:fill="D6E3C6"/>
          </w:tcPr>
          <w:p w14:paraId="29AB0FF5" w14:textId="47E42B19"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228FF323" w14:textId="77777777" w:rsidR="006231D2" w:rsidRPr="00397564" w:rsidRDefault="006231D2" w:rsidP="00D3202D">
            <w:pPr>
              <w:spacing w:after="0"/>
              <w:rPr>
                <w:rFonts w:ascii="Arial" w:eastAsia="Times New Roman" w:hAnsi="Arial" w:cs="Arial"/>
                <w:color w:val="006100"/>
                <w:sz w:val="16"/>
                <w:szCs w:val="16"/>
                <w:lang w:eastAsia="en-GB"/>
              </w:rPr>
            </w:pPr>
          </w:p>
        </w:tc>
        <w:tc>
          <w:tcPr>
            <w:tcW w:w="2820" w:type="dxa"/>
            <w:gridSpan w:val="2"/>
            <w:shd w:val="clear" w:color="auto" w:fill="D6E3C6"/>
          </w:tcPr>
          <w:p w14:paraId="7A1525D9" w14:textId="604ACBD4" w:rsidR="006231D2" w:rsidRPr="00F2018F" w:rsidRDefault="006231D2" w:rsidP="00F2018F">
            <w:pPr>
              <w:pStyle w:val="ListParagraph"/>
              <w:numPr>
                <w:ilvl w:val="0"/>
                <w:numId w:val="14"/>
              </w:numPr>
              <w:spacing w:after="0"/>
              <w:rPr>
                <w:rFonts w:ascii="Arial" w:hAnsi="Arial" w:cs="Arial"/>
                <w:color w:val="006100"/>
                <w:sz w:val="16"/>
                <w:szCs w:val="16"/>
              </w:rPr>
            </w:pPr>
            <w:r w:rsidRPr="00397564">
              <w:rPr>
                <w:rFonts w:ascii="Arial" w:hAnsi="Arial" w:cs="Arial"/>
                <w:color w:val="006100"/>
                <w:sz w:val="16"/>
                <w:szCs w:val="16"/>
                <w:lang w:eastAsia="en-GB"/>
              </w:rPr>
              <w:t xml:space="preserve">The list of projects supported by the fund, including a description of the projects, their beneficiaries and the </w:t>
            </w:r>
            <w:r w:rsidRPr="00397564">
              <w:rPr>
                <w:rFonts w:ascii="Arial" w:hAnsi="Arial" w:cs="Arial"/>
                <w:color w:val="006100"/>
                <w:sz w:val="16"/>
                <w:szCs w:val="16"/>
              </w:rPr>
              <w:t>official references to the certificates of project completion issued in accordance with the national legislation</w:t>
            </w:r>
            <w:r w:rsidRPr="00397564">
              <w:rPr>
                <w:rFonts w:ascii="Arial" w:hAnsi="Arial" w:cs="Arial"/>
                <w:color w:val="006100"/>
                <w:sz w:val="16"/>
                <w:szCs w:val="16"/>
                <w:lang w:val="bg-BG"/>
              </w:rPr>
              <w:t xml:space="preserve"> </w:t>
            </w:r>
            <w:r w:rsidRPr="00397564">
              <w:rPr>
                <w:rFonts w:ascii="Arial" w:hAnsi="Arial" w:cs="Arial"/>
                <w:color w:val="006100"/>
                <w:sz w:val="16"/>
                <w:szCs w:val="16"/>
                <w:lang w:val="en-US"/>
              </w:rPr>
              <w:t>when applicable/other documents</w:t>
            </w:r>
            <w:r w:rsidRPr="00397564">
              <w:rPr>
                <w:rFonts w:ascii="Arial" w:hAnsi="Arial" w:cs="Arial"/>
                <w:color w:val="006100"/>
                <w:sz w:val="16"/>
                <w:szCs w:val="16"/>
                <w:lang w:val="bg-BG"/>
              </w:rPr>
              <w:t xml:space="preserve"> </w:t>
            </w:r>
            <w:r w:rsidRPr="00397564">
              <w:rPr>
                <w:rFonts w:ascii="Arial" w:hAnsi="Arial" w:cs="Arial"/>
                <w:color w:val="006100"/>
                <w:sz w:val="16"/>
                <w:szCs w:val="16"/>
                <w:lang w:val="en-US"/>
              </w:rPr>
              <w:t>proving the investment</w:t>
            </w:r>
          </w:p>
          <w:p w14:paraId="08EACF26" w14:textId="772E3913" w:rsidR="006231D2" w:rsidRPr="00F2018F" w:rsidRDefault="006231D2" w:rsidP="00F2018F">
            <w:pPr>
              <w:pStyle w:val="ListParagraph"/>
              <w:numPr>
                <w:ilvl w:val="0"/>
                <w:numId w:val="14"/>
              </w:numPr>
              <w:spacing w:after="0"/>
              <w:rPr>
                <w:rFonts w:ascii="Arial" w:hAnsi="Arial" w:cs="Arial"/>
                <w:color w:val="006100"/>
                <w:sz w:val="16"/>
                <w:szCs w:val="16"/>
              </w:rPr>
            </w:pPr>
            <w:r w:rsidRPr="00397564">
              <w:rPr>
                <w:rFonts w:ascii="Arial" w:hAnsi="Arial" w:cs="Arial"/>
                <w:color w:val="006100"/>
                <w:sz w:val="16"/>
                <w:szCs w:val="16"/>
                <w:lang w:eastAsia="en-GB"/>
              </w:rPr>
              <w:t>Report by an independent engineer endorsed by the responsible authority, providing justification that projects</w:t>
            </w:r>
            <w:r w:rsidRPr="00397564">
              <w:rPr>
                <w:rFonts w:ascii="Arial" w:hAnsi="Arial" w:cs="Arial"/>
                <w:color w:val="006100"/>
                <w:sz w:val="16"/>
                <w:szCs w:val="16"/>
              </w:rPr>
              <w:t xml:space="preserve"> supporting efficient water management in agricultural </w:t>
            </w:r>
            <w:r w:rsidRPr="00397564">
              <w:rPr>
                <w:rFonts w:ascii="Arial" w:hAnsi="Arial" w:cs="Arial"/>
                <w:color w:val="006100"/>
                <w:sz w:val="16"/>
                <w:szCs w:val="16"/>
              </w:rPr>
              <w:lastRenderedPageBreak/>
              <w:t xml:space="preserve">holdings </w:t>
            </w:r>
            <w:r w:rsidRPr="00397564">
              <w:rPr>
                <w:rFonts w:ascii="Arial" w:hAnsi="Arial" w:cs="Arial"/>
                <w:color w:val="006100"/>
                <w:sz w:val="16"/>
                <w:szCs w:val="16"/>
                <w:lang w:eastAsia="en-GB"/>
              </w:rPr>
              <w:t>are compliant with the DNSH conditions specified in the description of the investment in the CID annex</w:t>
            </w:r>
          </w:p>
        </w:tc>
        <w:tc>
          <w:tcPr>
            <w:tcW w:w="3093" w:type="dxa"/>
            <w:shd w:val="clear" w:color="auto" w:fill="D6E3C6"/>
          </w:tcPr>
          <w:p w14:paraId="337A1BA4" w14:textId="755811AE" w:rsidR="006231D2" w:rsidRDefault="006231D2" w:rsidP="00282C90">
            <w:pPr>
              <w:spacing w:after="0"/>
              <w:rPr>
                <w:rFonts w:ascii="Arial" w:hAnsi="Arial" w:cs="Arial"/>
                <w:color w:val="006100"/>
                <w:sz w:val="16"/>
                <w:szCs w:val="16"/>
              </w:rPr>
            </w:pPr>
            <w:r>
              <w:rPr>
                <w:rFonts w:ascii="Arial" w:hAnsi="Arial" w:cs="Arial"/>
                <w:color w:val="006100"/>
                <w:sz w:val="16"/>
                <w:szCs w:val="16"/>
              </w:rPr>
              <w:lastRenderedPageBreak/>
              <w:t xml:space="preserve">Institution/s: </w:t>
            </w:r>
            <w:r w:rsidRPr="00397564">
              <w:rPr>
                <w:rFonts w:ascii="Arial" w:eastAsia="Times New Roman" w:hAnsi="Arial" w:cs="Arial"/>
                <w:color w:val="006100"/>
                <w:sz w:val="16"/>
                <w:szCs w:val="16"/>
                <w:lang w:val="en-US" w:eastAsia="en-GB"/>
              </w:rPr>
              <w:t>Ministry of Agriculture</w:t>
            </w:r>
          </w:p>
          <w:p w14:paraId="6E832DBF" w14:textId="77777777" w:rsidR="006231D2" w:rsidRDefault="006231D2" w:rsidP="00282C90">
            <w:pPr>
              <w:spacing w:after="0"/>
              <w:rPr>
                <w:rFonts w:ascii="Arial" w:hAnsi="Arial" w:cs="Arial"/>
                <w:color w:val="006100"/>
                <w:sz w:val="16"/>
                <w:szCs w:val="16"/>
              </w:rPr>
            </w:pPr>
          </w:p>
          <w:p w14:paraId="397EF7D7" w14:textId="12C2080E" w:rsidR="006231D2" w:rsidRDefault="006231D2" w:rsidP="00282C90">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Number of supported project beneficiaries through the Fund</w:t>
            </w:r>
          </w:p>
          <w:p w14:paraId="56F6CBE5" w14:textId="77777777" w:rsidR="006231D2" w:rsidRDefault="006231D2" w:rsidP="00282C90">
            <w:pPr>
              <w:spacing w:after="0"/>
              <w:rPr>
                <w:rFonts w:ascii="Arial" w:hAnsi="Arial" w:cs="Arial"/>
                <w:color w:val="006100"/>
                <w:sz w:val="16"/>
                <w:szCs w:val="16"/>
              </w:rPr>
            </w:pPr>
          </w:p>
          <w:p w14:paraId="54F8F365" w14:textId="201B3BA4" w:rsidR="006231D2" w:rsidRDefault="006231D2" w:rsidP="00282C90">
            <w:pPr>
              <w:spacing w:after="0"/>
              <w:rPr>
                <w:rFonts w:ascii="Arial" w:hAnsi="Arial" w:cs="Arial"/>
                <w:color w:val="006100"/>
                <w:sz w:val="16"/>
                <w:szCs w:val="16"/>
              </w:rPr>
            </w:pPr>
            <w:r>
              <w:rPr>
                <w:rFonts w:ascii="Arial" w:hAnsi="Arial" w:cs="Arial"/>
                <w:color w:val="006100"/>
                <w:sz w:val="16"/>
                <w:szCs w:val="16"/>
              </w:rPr>
              <w:t>How: contracting (a), reporting (b)</w:t>
            </w:r>
          </w:p>
          <w:p w14:paraId="6D9E5669" w14:textId="77777777" w:rsidR="006231D2" w:rsidRDefault="006231D2" w:rsidP="00282C90">
            <w:pPr>
              <w:spacing w:after="0"/>
              <w:rPr>
                <w:rFonts w:ascii="Arial" w:hAnsi="Arial" w:cs="Arial"/>
                <w:color w:val="006100"/>
                <w:sz w:val="16"/>
                <w:szCs w:val="16"/>
              </w:rPr>
            </w:pPr>
          </w:p>
          <w:p w14:paraId="6E65E97C" w14:textId="68845A00"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Why:</w:t>
            </w:r>
            <w:r>
              <w:t xml:space="preserve"> </w:t>
            </w:r>
            <w:r w:rsidRPr="00F2018F">
              <w:rPr>
                <w:rFonts w:ascii="Arial" w:hAnsi="Arial" w:cs="Arial"/>
                <w:color w:val="006100"/>
                <w:sz w:val="16"/>
                <w:szCs w:val="16"/>
              </w:rPr>
              <w:t>The fund shall aim to support a minimum number of 636 project beneficiaries. The awarded grant agreements project beneficiaries shall pursue the objectives of the Fund and shall comply with the DNSH requirements set out in milestone 133.</w:t>
            </w:r>
            <w:r>
              <w:rPr>
                <w:rFonts w:ascii="Arial" w:hAnsi="Arial" w:cs="Arial"/>
                <w:color w:val="006100"/>
                <w:sz w:val="16"/>
                <w:szCs w:val="16"/>
              </w:rPr>
              <w:t xml:space="preserve"> [provide </w:t>
            </w:r>
            <w:r>
              <w:rPr>
                <w:rFonts w:ascii="Arial" w:hAnsi="Arial" w:cs="Arial"/>
                <w:color w:val="006100"/>
                <w:sz w:val="16"/>
                <w:szCs w:val="16"/>
              </w:rPr>
              <w:lastRenderedPageBreak/>
              <w:t>references to the plan that acknowledge these objectives]</w:t>
            </w:r>
          </w:p>
          <w:p w14:paraId="56BB3740" w14:textId="77777777" w:rsidR="006231D2" w:rsidRDefault="006231D2" w:rsidP="00282C90">
            <w:pPr>
              <w:spacing w:after="0"/>
              <w:rPr>
                <w:rFonts w:ascii="Arial" w:hAnsi="Arial" w:cs="Arial"/>
                <w:color w:val="006100"/>
                <w:sz w:val="16"/>
                <w:szCs w:val="16"/>
              </w:rPr>
            </w:pPr>
          </w:p>
          <w:p w14:paraId="575317B7" w14:textId="07E63C81" w:rsidR="006231D2" w:rsidRPr="00397564" w:rsidRDefault="006231D2" w:rsidP="00282C90">
            <w:pPr>
              <w:spacing w:after="0"/>
              <w:rPr>
                <w:rFonts w:ascii="Arial" w:hAnsi="Arial" w:cs="Arial"/>
                <w:color w:val="006100"/>
                <w:sz w:val="16"/>
                <w:szCs w:val="16"/>
              </w:rPr>
            </w:pPr>
            <w:r>
              <w:rPr>
                <w:rFonts w:ascii="Arial" w:hAnsi="Arial" w:cs="Arial"/>
                <w:color w:val="006100"/>
                <w:sz w:val="16"/>
                <w:szCs w:val="16"/>
              </w:rPr>
              <w:t>When: after award of grant agreements and completion of works</w:t>
            </w:r>
          </w:p>
        </w:tc>
        <w:tc>
          <w:tcPr>
            <w:tcW w:w="2003" w:type="dxa"/>
            <w:shd w:val="clear" w:color="auto" w:fill="D6E3C6"/>
          </w:tcPr>
          <w:p w14:paraId="044ADBF3" w14:textId="0548B83B"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148A5A63" w14:textId="7EEBC169" w:rsidR="006231D2" w:rsidRPr="00397564" w:rsidRDefault="006231D2" w:rsidP="00C360A7">
            <w:pPr>
              <w:spacing w:after="0"/>
              <w:rPr>
                <w:rFonts w:ascii="Arial" w:hAnsi="Arial" w:cs="Arial"/>
                <w:color w:val="005D00"/>
                <w:sz w:val="16"/>
                <w:szCs w:val="16"/>
              </w:rPr>
            </w:pPr>
            <w:r>
              <w:rPr>
                <w:rFonts w:ascii="Arial" w:hAnsi="Arial" w:cs="Arial"/>
                <w:color w:val="005D00"/>
                <w:sz w:val="16"/>
                <w:szCs w:val="16"/>
              </w:rPr>
              <w:t>Delays in the award of the grant agreements</w:t>
            </w:r>
          </w:p>
        </w:tc>
        <w:tc>
          <w:tcPr>
            <w:tcW w:w="711" w:type="dxa"/>
            <w:shd w:val="clear" w:color="auto" w:fill="D6E3C6"/>
          </w:tcPr>
          <w:p w14:paraId="11FA0EFA" w14:textId="0E7B85B2" w:rsidR="006231D2" w:rsidRPr="00397564" w:rsidRDefault="006231D2" w:rsidP="006853E7">
            <w:pPr>
              <w:spacing w:after="0"/>
              <w:rPr>
                <w:rFonts w:ascii="Arial" w:hAnsi="Arial" w:cs="Arial"/>
                <w:color w:val="005D00"/>
                <w:sz w:val="16"/>
                <w:szCs w:val="16"/>
              </w:rPr>
            </w:pPr>
            <w:r>
              <w:rPr>
                <w:rFonts w:ascii="Arial" w:hAnsi="Arial" w:cs="Arial"/>
                <w:color w:val="005D00"/>
                <w:sz w:val="16"/>
                <w:szCs w:val="16"/>
              </w:rPr>
              <w:t>Yes, sample-based</w:t>
            </w:r>
          </w:p>
          <w:p w14:paraId="02C85317" w14:textId="77777777" w:rsidR="006231D2" w:rsidRPr="00397564" w:rsidRDefault="006231D2" w:rsidP="00D3202D">
            <w:pPr>
              <w:spacing w:after="0"/>
              <w:rPr>
                <w:rFonts w:ascii="Arial" w:hAnsi="Arial" w:cs="Arial"/>
                <w:color w:val="006100"/>
                <w:sz w:val="16"/>
                <w:szCs w:val="16"/>
              </w:rPr>
            </w:pPr>
          </w:p>
        </w:tc>
        <w:tc>
          <w:tcPr>
            <w:tcW w:w="992" w:type="dxa"/>
            <w:shd w:val="clear" w:color="auto" w:fill="D6E3C6"/>
          </w:tcPr>
          <w:p w14:paraId="69E4D421" w14:textId="13FD49B8" w:rsidR="006231D2" w:rsidRPr="00397564" w:rsidRDefault="0066594D" w:rsidP="00C360A7">
            <w:pPr>
              <w:spacing w:after="0"/>
              <w:rPr>
                <w:rFonts w:ascii="Arial" w:hAnsi="Arial" w:cs="Arial"/>
                <w:color w:val="005D00"/>
                <w:sz w:val="16"/>
                <w:szCs w:val="16"/>
              </w:rPr>
            </w:pPr>
            <w:r w:rsidRPr="0066594D">
              <w:rPr>
                <w:rFonts w:ascii="Arial" w:hAnsi="Arial" w:cs="Arial"/>
                <w:color w:val="005D00"/>
                <w:sz w:val="16"/>
                <w:szCs w:val="16"/>
              </w:rPr>
              <w:t>6 and 9 (enterprises)</w:t>
            </w:r>
            <w:r w:rsidR="00CB648E">
              <w:rPr>
                <w:rFonts w:ascii="Arial" w:hAnsi="Arial" w:cs="Arial"/>
                <w:color w:val="005D00"/>
                <w:sz w:val="16"/>
                <w:szCs w:val="16"/>
              </w:rPr>
              <w:t>, 14 (youth)</w:t>
            </w:r>
          </w:p>
        </w:tc>
        <w:tc>
          <w:tcPr>
            <w:tcW w:w="851" w:type="dxa"/>
            <w:shd w:val="clear" w:color="auto" w:fill="D6E3C6"/>
          </w:tcPr>
          <w:p w14:paraId="0E8816BC" w14:textId="6E197008" w:rsidR="006231D2" w:rsidRPr="00397564" w:rsidRDefault="00421A33" w:rsidP="00C360A7">
            <w:pPr>
              <w:spacing w:after="0"/>
              <w:rPr>
                <w:rFonts w:ascii="Arial" w:hAnsi="Arial" w:cs="Arial"/>
                <w:color w:val="005D00"/>
                <w:sz w:val="16"/>
                <w:szCs w:val="16"/>
              </w:rPr>
            </w:pPr>
            <w:r>
              <w:rPr>
                <w:rFonts w:ascii="Arial" w:hAnsi="Arial" w:cs="Arial"/>
                <w:color w:val="005D00"/>
                <w:sz w:val="16"/>
                <w:szCs w:val="16"/>
              </w:rPr>
              <w:t>-</w:t>
            </w:r>
          </w:p>
        </w:tc>
      </w:tr>
      <w:tr w:rsidR="00877DAF" w:rsidRPr="00397564" w14:paraId="617A5ACA" w14:textId="7C413ABD" w:rsidTr="00877DAF">
        <w:trPr>
          <w:trHeight w:val="309"/>
        </w:trPr>
        <w:tc>
          <w:tcPr>
            <w:tcW w:w="458" w:type="dxa"/>
            <w:shd w:val="clear" w:color="auto" w:fill="D6E3C6"/>
            <w:noWrap/>
          </w:tcPr>
          <w:p w14:paraId="5157049F" w14:textId="64F9505F"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135</w:t>
            </w:r>
          </w:p>
        </w:tc>
        <w:tc>
          <w:tcPr>
            <w:tcW w:w="1434" w:type="dxa"/>
            <w:shd w:val="clear" w:color="auto" w:fill="D6E3C6"/>
            <w:noWrap/>
          </w:tcPr>
          <w:p w14:paraId="12593A08" w14:textId="4B8D4AEA"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C6.I2: Digitalisation of processes from farm to fork</w:t>
            </w:r>
          </w:p>
        </w:tc>
        <w:tc>
          <w:tcPr>
            <w:tcW w:w="741" w:type="dxa"/>
            <w:shd w:val="clear" w:color="auto" w:fill="D6E3C6"/>
            <w:noWrap/>
          </w:tcPr>
          <w:p w14:paraId="0413F876" w14:textId="067FDD43"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Milestone</w:t>
            </w:r>
          </w:p>
        </w:tc>
        <w:tc>
          <w:tcPr>
            <w:tcW w:w="1133" w:type="dxa"/>
            <w:shd w:val="clear" w:color="auto" w:fill="D6E3C6"/>
            <w:noWrap/>
          </w:tcPr>
          <w:p w14:paraId="0D2F7926" w14:textId="7257F62E"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Award of the contracts for 1) software solutions for the electronic information system for the agriculture sector and 2) the communication network of field and rain sensors</w:t>
            </w:r>
          </w:p>
        </w:tc>
        <w:tc>
          <w:tcPr>
            <w:tcW w:w="1168" w:type="dxa"/>
            <w:shd w:val="clear" w:color="auto" w:fill="D6E3C6"/>
            <w:noWrap/>
          </w:tcPr>
          <w:p w14:paraId="714755B5" w14:textId="338C2E4F"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Communication of awards by the Ministry of Agriculture</w:t>
            </w:r>
          </w:p>
        </w:tc>
        <w:tc>
          <w:tcPr>
            <w:tcW w:w="981" w:type="dxa"/>
            <w:shd w:val="clear" w:color="auto" w:fill="D6E3C6"/>
            <w:noWrap/>
          </w:tcPr>
          <w:p w14:paraId="58AFF5B7"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17" w:type="dxa"/>
            <w:shd w:val="clear" w:color="auto" w:fill="D6E3C6"/>
            <w:noWrap/>
          </w:tcPr>
          <w:p w14:paraId="71725C26"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4B460282"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57DB13DC" w14:textId="23D9603F"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Q4</w:t>
            </w:r>
          </w:p>
        </w:tc>
        <w:tc>
          <w:tcPr>
            <w:tcW w:w="520" w:type="dxa"/>
            <w:shd w:val="clear" w:color="auto" w:fill="D6E3C6"/>
            <w:noWrap/>
          </w:tcPr>
          <w:p w14:paraId="0A95C893" w14:textId="654E18AB"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2023</w:t>
            </w:r>
          </w:p>
        </w:tc>
        <w:tc>
          <w:tcPr>
            <w:tcW w:w="1272" w:type="dxa"/>
            <w:gridSpan w:val="2"/>
            <w:shd w:val="clear" w:color="auto" w:fill="D6E3C6"/>
          </w:tcPr>
          <w:p w14:paraId="2F3C673A" w14:textId="175628CA"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3B50DBE9" w14:textId="77777777" w:rsidR="006231D2" w:rsidRPr="00397564" w:rsidRDefault="006231D2" w:rsidP="00D3202D">
            <w:pPr>
              <w:spacing w:after="0"/>
              <w:rPr>
                <w:rFonts w:ascii="Arial" w:eastAsia="Times New Roman" w:hAnsi="Arial" w:cs="Arial"/>
                <w:color w:val="006100"/>
                <w:sz w:val="16"/>
                <w:szCs w:val="16"/>
                <w:lang w:eastAsia="en-GB"/>
              </w:rPr>
            </w:pPr>
          </w:p>
        </w:tc>
        <w:tc>
          <w:tcPr>
            <w:tcW w:w="2820" w:type="dxa"/>
            <w:gridSpan w:val="2"/>
            <w:shd w:val="clear" w:color="auto" w:fill="D6E3C6"/>
          </w:tcPr>
          <w:p w14:paraId="651ED0CF" w14:textId="77777777" w:rsidR="006231D2" w:rsidRDefault="006231D2" w:rsidP="00417551">
            <w:pPr>
              <w:pStyle w:val="ListParagraph"/>
              <w:numPr>
                <w:ilvl w:val="0"/>
                <w:numId w:val="15"/>
              </w:numPr>
              <w:spacing w:after="0"/>
              <w:rPr>
                <w:rFonts w:ascii="Arial" w:hAnsi="Arial" w:cs="Arial"/>
                <w:color w:val="006100"/>
                <w:sz w:val="16"/>
                <w:szCs w:val="16"/>
              </w:rPr>
            </w:pPr>
            <w:r w:rsidRPr="00397564">
              <w:rPr>
                <w:rFonts w:ascii="Arial" w:hAnsi="Arial" w:cs="Arial"/>
                <w:color w:val="006100"/>
                <w:sz w:val="16"/>
                <w:szCs w:val="16"/>
                <w:lang w:eastAsia="en-GB"/>
              </w:rPr>
              <w:t>Copies of the two contracts concluded in line with the description provided in the CID annex</w:t>
            </w:r>
          </w:p>
          <w:p w14:paraId="0E329987" w14:textId="43963D84" w:rsidR="006231D2" w:rsidRPr="00417551" w:rsidRDefault="006231D2" w:rsidP="00417551">
            <w:pPr>
              <w:pStyle w:val="ListParagraph"/>
              <w:numPr>
                <w:ilvl w:val="0"/>
                <w:numId w:val="15"/>
              </w:numPr>
              <w:spacing w:after="0"/>
              <w:rPr>
                <w:rFonts w:ascii="Arial" w:hAnsi="Arial" w:cs="Arial"/>
                <w:color w:val="006100"/>
                <w:sz w:val="16"/>
                <w:szCs w:val="16"/>
              </w:rPr>
            </w:pPr>
            <w:r w:rsidRPr="00397564">
              <w:rPr>
                <w:rFonts w:ascii="Arial" w:hAnsi="Arial" w:cs="Arial"/>
                <w:color w:val="006100"/>
                <w:sz w:val="16"/>
                <w:szCs w:val="16"/>
                <w:lang w:eastAsia="en-GB"/>
              </w:rPr>
              <w:t xml:space="preserve">Technical specifications for 1) </w:t>
            </w:r>
            <w:r w:rsidRPr="00397564">
              <w:rPr>
                <w:rFonts w:ascii="Arial" w:hAnsi="Arial" w:cs="Arial"/>
                <w:color w:val="006100"/>
                <w:sz w:val="16"/>
                <w:szCs w:val="16"/>
              </w:rPr>
              <w:t>the development of software solutions to facilitate the integration of administration information systems into a Single Platform for automated data exchange between administration and farmers and 2) the establishment of a communication network of field and rain sensors to provide information on soil moisture, air and soil temperature and rainfall, in line with the description in the CID annex</w:t>
            </w:r>
          </w:p>
        </w:tc>
        <w:tc>
          <w:tcPr>
            <w:tcW w:w="3093" w:type="dxa"/>
            <w:shd w:val="clear" w:color="auto" w:fill="D6E3C6"/>
          </w:tcPr>
          <w:p w14:paraId="2398DD5F" w14:textId="6E29448F" w:rsidR="006231D2" w:rsidRDefault="006231D2" w:rsidP="00282C90">
            <w:pPr>
              <w:spacing w:after="0"/>
              <w:rPr>
                <w:rFonts w:ascii="Arial" w:hAnsi="Arial" w:cs="Arial"/>
                <w:color w:val="006100"/>
                <w:sz w:val="16"/>
                <w:szCs w:val="16"/>
              </w:rPr>
            </w:pPr>
            <w:r>
              <w:rPr>
                <w:rFonts w:ascii="Arial" w:hAnsi="Arial" w:cs="Arial"/>
                <w:color w:val="006100"/>
                <w:sz w:val="16"/>
                <w:szCs w:val="16"/>
              </w:rPr>
              <w:t xml:space="preserve">Institution/s: </w:t>
            </w:r>
            <w:r w:rsidRPr="00397564">
              <w:rPr>
                <w:rFonts w:ascii="Arial" w:eastAsia="Times New Roman" w:hAnsi="Arial" w:cs="Arial"/>
                <w:color w:val="006100"/>
                <w:sz w:val="16"/>
                <w:szCs w:val="16"/>
                <w:lang w:val="en-US" w:eastAsia="en-GB"/>
              </w:rPr>
              <w:t>Ministry of Agriculture</w:t>
            </w:r>
          </w:p>
          <w:p w14:paraId="3A7140A1" w14:textId="77777777" w:rsidR="006231D2" w:rsidRDefault="006231D2" w:rsidP="00282C90">
            <w:pPr>
              <w:spacing w:after="0"/>
              <w:rPr>
                <w:rFonts w:ascii="Arial" w:hAnsi="Arial" w:cs="Arial"/>
                <w:color w:val="006100"/>
                <w:sz w:val="16"/>
                <w:szCs w:val="16"/>
              </w:rPr>
            </w:pPr>
          </w:p>
          <w:p w14:paraId="25C94665" w14:textId="35A7C180" w:rsidR="006231D2" w:rsidRDefault="006231D2" w:rsidP="00282C90">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Award of the contracts for 1) software solutions for the electronic information system for the agriculture sector and 2) the communication network of field and rain sensors</w:t>
            </w:r>
          </w:p>
          <w:p w14:paraId="359E455E" w14:textId="77777777" w:rsidR="006231D2" w:rsidRDefault="006231D2" w:rsidP="00282C90">
            <w:pPr>
              <w:spacing w:after="0"/>
              <w:rPr>
                <w:rFonts w:ascii="Arial" w:hAnsi="Arial" w:cs="Arial"/>
                <w:color w:val="006100"/>
                <w:sz w:val="16"/>
                <w:szCs w:val="16"/>
              </w:rPr>
            </w:pPr>
          </w:p>
          <w:p w14:paraId="13D7F53A" w14:textId="0408415B" w:rsidR="006231D2" w:rsidRDefault="006231D2" w:rsidP="00282C90">
            <w:pPr>
              <w:spacing w:after="0"/>
              <w:rPr>
                <w:rFonts w:ascii="Arial" w:hAnsi="Arial" w:cs="Arial"/>
                <w:color w:val="006100"/>
                <w:sz w:val="16"/>
                <w:szCs w:val="16"/>
              </w:rPr>
            </w:pPr>
            <w:r>
              <w:rPr>
                <w:rFonts w:ascii="Arial" w:hAnsi="Arial" w:cs="Arial"/>
                <w:color w:val="006100"/>
                <w:sz w:val="16"/>
                <w:szCs w:val="16"/>
              </w:rPr>
              <w:t>How: contracting (a, b)</w:t>
            </w:r>
          </w:p>
          <w:p w14:paraId="5EE76FE2" w14:textId="77777777" w:rsidR="006231D2" w:rsidRDefault="006231D2" w:rsidP="00282C90">
            <w:pPr>
              <w:spacing w:after="0"/>
              <w:rPr>
                <w:rFonts w:ascii="Arial" w:hAnsi="Arial" w:cs="Arial"/>
                <w:color w:val="006100"/>
                <w:sz w:val="16"/>
                <w:szCs w:val="16"/>
              </w:rPr>
            </w:pPr>
          </w:p>
          <w:p w14:paraId="6FBC2BAF" w14:textId="7BBD7985"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 xml:space="preserve">Why: </w:t>
            </w:r>
            <w:r w:rsidRPr="00417551">
              <w:rPr>
                <w:rFonts w:ascii="Arial" w:hAnsi="Arial" w:cs="Arial"/>
                <w:color w:val="006100"/>
                <w:sz w:val="16"/>
                <w:szCs w:val="16"/>
              </w:rPr>
              <w:t xml:space="preserve">The two contracts shall provide for: 1) the development of software solutions to facilitate the integration of administration information systems into a Single Platform for automated data exchange between administration and farmers and 2) the establishment of a communication network of field and rain sensors to provide information on soil moisture, air and soil temperature and rainfall. The Platform developed under contract 1 shall include the following modules enabling 1) the use of plant protection products and fertilisers by digitising logbooks for their use; 2) control of the use of antimicrobial veterinary medicinal products; 3) traceability from primary production to final consumption; 4) online training, including content of training modules and advice to farmers. </w:t>
            </w:r>
            <w:r>
              <w:rPr>
                <w:rFonts w:ascii="Arial" w:hAnsi="Arial" w:cs="Arial"/>
                <w:color w:val="006100"/>
                <w:sz w:val="16"/>
                <w:szCs w:val="16"/>
              </w:rPr>
              <w:t>[provide references to the plan that acknowledge these objectives]</w:t>
            </w:r>
          </w:p>
          <w:p w14:paraId="20E4B8B6" w14:textId="77777777" w:rsidR="006231D2" w:rsidRDefault="006231D2" w:rsidP="00282C90">
            <w:pPr>
              <w:spacing w:after="0"/>
              <w:rPr>
                <w:rFonts w:ascii="Arial" w:hAnsi="Arial" w:cs="Arial"/>
                <w:color w:val="006100"/>
                <w:sz w:val="16"/>
                <w:szCs w:val="16"/>
              </w:rPr>
            </w:pPr>
          </w:p>
          <w:p w14:paraId="1D192FCF" w14:textId="1C5AF369" w:rsidR="006231D2" w:rsidRPr="00397564" w:rsidRDefault="006231D2" w:rsidP="00282C90">
            <w:pPr>
              <w:spacing w:after="0"/>
              <w:rPr>
                <w:rFonts w:ascii="Arial" w:hAnsi="Arial" w:cs="Arial"/>
                <w:color w:val="006100"/>
                <w:sz w:val="16"/>
                <w:szCs w:val="16"/>
              </w:rPr>
            </w:pPr>
            <w:r>
              <w:rPr>
                <w:rFonts w:ascii="Arial" w:hAnsi="Arial" w:cs="Arial"/>
                <w:color w:val="006100"/>
                <w:sz w:val="16"/>
                <w:szCs w:val="16"/>
              </w:rPr>
              <w:t>When:</w:t>
            </w:r>
            <w:r w:rsidRPr="00F2018F">
              <w:rPr>
                <w:rFonts w:ascii="Arial" w:hAnsi="Arial" w:cs="Arial"/>
                <w:color w:val="006100"/>
                <w:sz w:val="16"/>
                <w:szCs w:val="16"/>
              </w:rPr>
              <w:t xml:space="preserve"> specify the dates of selection</w:t>
            </w:r>
            <w:r>
              <w:rPr>
                <w:rFonts w:ascii="Arial" w:hAnsi="Arial" w:cs="Arial"/>
                <w:color w:val="006100"/>
                <w:sz w:val="16"/>
                <w:szCs w:val="16"/>
              </w:rPr>
              <w:t xml:space="preserve"> and</w:t>
            </w:r>
            <w:r w:rsidRPr="00F2018F">
              <w:rPr>
                <w:rFonts w:ascii="Arial" w:hAnsi="Arial" w:cs="Arial"/>
                <w:color w:val="006100"/>
                <w:sz w:val="16"/>
                <w:szCs w:val="16"/>
              </w:rPr>
              <w:t xml:space="preserve"> award</w:t>
            </w:r>
          </w:p>
        </w:tc>
        <w:tc>
          <w:tcPr>
            <w:tcW w:w="2003" w:type="dxa"/>
            <w:shd w:val="clear" w:color="auto" w:fill="D6E3C6"/>
          </w:tcPr>
          <w:p w14:paraId="518B740B" w14:textId="77777777" w:rsidR="006231D2" w:rsidRPr="00417551" w:rsidRDefault="006231D2" w:rsidP="00417551">
            <w:pPr>
              <w:spacing w:after="0"/>
              <w:rPr>
                <w:rFonts w:ascii="Arial" w:hAnsi="Arial" w:cs="Arial"/>
                <w:color w:val="006100"/>
                <w:sz w:val="16"/>
                <w:szCs w:val="16"/>
              </w:rPr>
            </w:pPr>
            <w:r w:rsidRPr="00417551">
              <w:rPr>
                <w:rFonts w:ascii="Arial" w:hAnsi="Arial" w:cs="Arial"/>
                <w:color w:val="006100"/>
                <w:sz w:val="16"/>
                <w:szCs w:val="16"/>
              </w:rPr>
              <w:t xml:space="preserve">The objective of the measure is to facilitate the automated data exchange between the administration and farmers with a view to ensuring a more efficient and uniform flow of data and avoiding the need for maintaining redundant document formats. </w:t>
            </w:r>
          </w:p>
          <w:p w14:paraId="6DEFA5A2" w14:textId="77777777" w:rsidR="006231D2" w:rsidRPr="00417551" w:rsidRDefault="006231D2" w:rsidP="00417551">
            <w:pPr>
              <w:spacing w:after="0"/>
              <w:rPr>
                <w:rFonts w:ascii="Arial" w:hAnsi="Arial" w:cs="Arial"/>
                <w:color w:val="006100"/>
                <w:sz w:val="16"/>
                <w:szCs w:val="16"/>
              </w:rPr>
            </w:pPr>
          </w:p>
          <w:p w14:paraId="4FEED32F" w14:textId="1DB21750" w:rsidR="006231D2" w:rsidRPr="00397564" w:rsidRDefault="006231D2" w:rsidP="00417551">
            <w:pPr>
              <w:spacing w:after="0"/>
              <w:rPr>
                <w:rFonts w:ascii="Arial" w:hAnsi="Arial" w:cs="Arial"/>
                <w:color w:val="006100"/>
                <w:sz w:val="16"/>
                <w:szCs w:val="16"/>
              </w:rPr>
            </w:pPr>
            <w:r w:rsidRPr="00417551">
              <w:rPr>
                <w:rFonts w:ascii="Arial" w:hAnsi="Arial" w:cs="Arial"/>
                <w:color w:val="006100"/>
                <w:sz w:val="16"/>
                <w:szCs w:val="16"/>
              </w:rPr>
              <w:t>The measure consists of setting up a centralised electronic agricultural information system with several modules enabling: 1) the use of plant protection products and fertilisers by digitising logbooks for their use; 2) control of the use of antimicrobial veterinary medicinal products; 3) traceability from primary production to final consumption on the basis of a unique identifier to inform consumers and stimulate the production of quality and affordable food; 4) online training, including content of training modules and advice to farmers. The measure also includes the setting up of a communication network of field and rain sensors to provide information on soil moisture, air and soil temperature and rainfall.</w:t>
            </w:r>
          </w:p>
        </w:tc>
        <w:tc>
          <w:tcPr>
            <w:tcW w:w="992" w:type="dxa"/>
            <w:shd w:val="clear" w:color="auto" w:fill="D6E3C6"/>
          </w:tcPr>
          <w:p w14:paraId="44BE96ED" w14:textId="680DB4BC"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Delays in the launching of the calls</w:t>
            </w:r>
          </w:p>
        </w:tc>
        <w:tc>
          <w:tcPr>
            <w:tcW w:w="711" w:type="dxa"/>
            <w:shd w:val="clear" w:color="auto" w:fill="D6E3C6"/>
          </w:tcPr>
          <w:p w14:paraId="28143864" w14:textId="6044A6C4" w:rsidR="006231D2" w:rsidRPr="00397564" w:rsidRDefault="006231D2" w:rsidP="00D3202D">
            <w:pPr>
              <w:spacing w:after="0"/>
              <w:rPr>
                <w:rFonts w:ascii="Arial" w:hAnsi="Arial" w:cs="Arial"/>
                <w:color w:val="006100"/>
                <w:sz w:val="16"/>
                <w:szCs w:val="16"/>
              </w:rPr>
            </w:pPr>
            <w:r w:rsidRPr="00397564">
              <w:rPr>
                <w:rFonts w:ascii="Arial" w:hAnsi="Arial" w:cs="Arial"/>
                <w:color w:val="006100"/>
                <w:sz w:val="16"/>
                <w:szCs w:val="16"/>
              </w:rPr>
              <w:t>None</w:t>
            </w:r>
          </w:p>
        </w:tc>
        <w:tc>
          <w:tcPr>
            <w:tcW w:w="992" w:type="dxa"/>
            <w:shd w:val="clear" w:color="auto" w:fill="D6E3C6"/>
          </w:tcPr>
          <w:p w14:paraId="208BA819" w14:textId="2EEBD98E"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851" w:type="dxa"/>
            <w:shd w:val="clear" w:color="auto" w:fill="D6E3C6"/>
          </w:tcPr>
          <w:p w14:paraId="6D7768FB" w14:textId="60EBC283" w:rsidR="006231D2" w:rsidRPr="00397564" w:rsidRDefault="00421A33" w:rsidP="00D3202D">
            <w:pPr>
              <w:spacing w:after="0"/>
              <w:rPr>
                <w:rFonts w:ascii="Arial" w:hAnsi="Arial" w:cs="Arial"/>
                <w:color w:val="006100"/>
                <w:sz w:val="16"/>
                <w:szCs w:val="16"/>
              </w:rPr>
            </w:pPr>
            <w:r>
              <w:rPr>
                <w:rFonts w:ascii="Arial" w:hAnsi="Arial" w:cs="Arial"/>
                <w:color w:val="006100"/>
                <w:sz w:val="16"/>
                <w:szCs w:val="16"/>
              </w:rPr>
              <w:t>-</w:t>
            </w:r>
          </w:p>
        </w:tc>
      </w:tr>
      <w:tr w:rsidR="00877DAF" w:rsidRPr="00397564" w14:paraId="47CF787B" w14:textId="506ACAB8" w:rsidTr="00877DAF">
        <w:trPr>
          <w:trHeight w:val="309"/>
        </w:trPr>
        <w:tc>
          <w:tcPr>
            <w:tcW w:w="458" w:type="dxa"/>
            <w:shd w:val="clear" w:color="auto" w:fill="D6E3C6"/>
            <w:noWrap/>
          </w:tcPr>
          <w:p w14:paraId="6CD1611A" w14:textId="483BBB43"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136</w:t>
            </w:r>
          </w:p>
        </w:tc>
        <w:tc>
          <w:tcPr>
            <w:tcW w:w="1434" w:type="dxa"/>
            <w:shd w:val="clear" w:color="auto" w:fill="D6E3C6"/>
            <w:noWrap/>
          </w:tcPr>
          <w:p w14:paraId="37872379" w14:textId="368BE05E"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C6.I2: Digitalisation of processes from farm to fork</w:t>
            </w:r>
          </w:p>
        </w:tc>
        <w:tc>
          <w:tcPr>
            <w:tcW w:w="741" w:type="dxa"/>
            <w:shd w:val="clear" w:color="auto" w:fill="D6E3C6"/>
            <w:noWrap/>
          </w:tcPr>
          <w:p w14:paraId="5668AAB4" w14:textId="2F2B5442"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Milestone</w:t>
            </w:r>
          </w:p>
        </w:tc>
        <w:tc>
          <w:tcPr>
            <w:tcW w:w="1133" w:type="dxa"/>
            <w:shd w:val="clear" w:color="auto" w:fill="D6E3C6"/>
            <w:noWrap/>
          </w:tcPr>
          <w:p w14:paraId="08699BC1" w14:textId="2C4C4736"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Completion and delivery of fully operational 1) electronic agricultural information system and 2) communication network of field and rain sensors</w:t>
            </w:r>
          </w:p>
        </w:tc>
        <w:tc>
          <w:tcPr>
            <w:tcW w:w="1168" w:type="dxa"/>
            <w:shd w:val="clear" w:color="auto" w:fill="D6E3C6"/>
            <w:noWrap/>
          </w:tcPr>
          <w:p w14:paraId="5688DEDA" w14:textId="0554B74A"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hAnsi="Arial" w:cs="Arial"/>
                <w:color w:val="006100"/>
                <w:sz w:val="16"/>
                <w:szCs w:val="16"/>
              </w:rPr>
              <w:t>Issuance of the taking over certificates by the contracting authority confirming that the electronic agricultural information system and the communication network of field and rain sensors are fully operational.</w:t>
            </w:r>
          </w:p>
        </w:tc>
        <w:tc>
          <w:tcPr>
            <w:tcW w:w="981" w:type="dxa"/>
            <w:shd w:val="clear" w:color="auto" w:fill="D6E3C6"/>
            <w:noWrap/>
          </w:tcPr>
          <w:p w14:paraId="5BDA43AF"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17" w:type="dxa"/>
            <w:shd w:val="clear" w:color="auto" w:fill="D6E3C6"/>
            <w:noWrap/>
          </w:tcPr>
          <w:p w14:paraId="5F637F64"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567" w:type="dxa"/>
            <w:shd w:val="clear" w:color="auto" w:fill="D6E3C6"/>
            <w:noWrap/>
          </w:tcPr>
          <w:p w14:paraId="071B11F9" w14:textId="77777777" w:rsidR="006231D2" w:rsidRPr="00397564" w:rsidRDefault="006231D2" w:rsidP="00D3202D">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48D2D7D" w14:textId="1E084F1A"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Q4</w:t>
            </w:r>
          </w:p>
        </w:tc>
        <w:tc>
          <w:tcPr>
            <w:tcW w:w="520" w:type="dxa"/>
            <w:shd w:val="clear" w:color="auto" w:fill="D6E3C6"/>
            <w:noWrap/>
          </w:tcPr>
          <w:p w14:paraId="2716D872" w14:textId="3FCF5B48" w:rsidR="006231D2" w:rsidRPr="00397564" w:rsidRDefault="006231D2" w:rsidP="00D3202D">
            <w:pPr>
              <w:spacing w:after="0"/>
              <w:jc w:val="center"/>
              <w:rPr>
                <w:rFonts w:ascii="Arial" w:eastAsia="Times New Roman" w:hAnsi="Arial" w:cs="Arial"/>
                <w:color w:val="006100"/>
                <w:sz w:val="16"/>
                <w:szCs w:val="16"/>
                <w:lang w:eastAsia="en-GB"/>
              </w:rPr>
            </w:pPr>
            <w:r w:rsidRPr="00397564">
              <w:rPr>
                <w:rFonts w:ascii="Arial" w:hAnsi="Arial" w:cs="Arial"/>
                <w:color w:val="006100"/>
                <w:sz w:val="16"/>
                <w:szCs w:val="16"/>
              </w:rPr>
              <w:t>2025</w:t>
            </w:r>
          </w:p>
        </w:tc>
        <w:tc>
          <w:tcPr>
            <w:tcW w:w="1272" w:type="dxa"/>
            <w:gridSpan w:val="2"/>
            <w:shd w:val="clear" w:color="auto" w:fill="D6E3C6"/>
          </w:tcPr>
          <w:p w14:paraId="327A648F" w14:textId="5F678487" w:rsidR="006231D2" w:rsidRPr="00397564" w:rsidRDefault="006231D2" w:rsidP="00D3202D">
            <w:pPr>
              <w:spacing w:after="0"/>
              <w:rPr>
                <w:rFonts w:ascii="Arial" w:eastAsia="Times New Roman" w:hAnsi="Arial" w:cs="Arial"/>
                <w:color w:val="006100"/>
                <w:sz w:val="16"/>
                <w:szCs w:val="16"/>
                <w:lang w:eastAsia="en-GB"/>
              </w:rPr>
            </w:pPr>
            <w:r w:rsidRPr="00397564">
              <w:rPr>
                <w:rFonts w:ascii="Arial" w:eastAsia="Times New Roman" w:hAnsi="Arial" w:cs="Arial"/>
                <w:color w:val="006100"/>
                <w:sz w:val="16"/>
                <w:szCs w:val="16"/>
                <w:lang w:val="en-US" w:eastAsia="en-GB"/>
              </w:rPr>
              <w:t>Ministry of Agriculture</w:t>
            </w:r>
          </w:p>
        </w:tc>
        <w:tc>
          <w:tcPr>
            <w:tcW w:w="1014" w:type="dxa"/>
            <w:shd w:val="clear" w:color="auto" w:fill="D6E3C6"/>
          </w:tcPr>
          <w:p w14:paraId="1C707EF1" w14:textId="77777777" w:rsidR="006231D2" w:rsidRPr="00397564" w:rsidRDefault="006231D2" w:rsidP="00D3202D">
            <w:pPr>
              <w:spacing w:after="0"/>
              <w:rPr>
                <w:rFonts w:ascii="Arial" w:eastAsia="Times New Roman" w:hAnsi="Arial" w:cs="Arial"/>
                <w:color w:val="006100"/>
                <w:sz w:val="16"/>
                <w:szCs w:val="16"/>
                <w:lang w:eastAsia="en-GB"/>
              </w:rPr>
            </w:pPr>
          </w:p>
        </w:tc>
        <w:tc>
          <w:tcPr>
            <w:tcW w:w="2820" w:type="dxa"/>
            <w:gridSpan w:val="2"/>
            <w:shd w:val="clear" w:color="auto" w:fill="D6E3C6"/>
          </w:tcPr>
          <w:p w14:paraId="1743EA87" w14:textId="77777777" w:rsidR="006231D2" w:rsidRDefault="006231D2" w:rsidP="006D4663">
            <w:pPr>
              <w:pStyle w:val="ListParagraph"/>
              <w:numPr>
                <w:ilvl w:val="0"/>
                <w:numId w:val="16"/>
              </w:numPr>
              <w:spacing w:after="0"/>
              <w:ind w:left="324" w:hanging="284"/>
              <w:rPr>
                <w:rFonts w:ascii="Arial" w:hAnsi="Arial" w:cs="Arial"/>
                <w:color w:val="006100"/>
                <w:sz w:val="16"/>
                <w:szCs w:val="16"/>
              </w:rPr>
            </w:pPr>
            <w:r w:rsidRPr="00397564">
              <w:rPr>
                <w:rFonts w:ascii="Arial" w:hAnsi="Arial" w:cs="Arial"/>
                <w:color w:val="006100"/>
                <w:sz w:val="16"/>
                <w:szCs w:val="16"/>
                <w:lang w:eastAsia="en-GB"/>
              </w:rPr>
              <w:t>Certificates of work c</w:t>
            </w:r>
            <w:r w:rsidRPr="00397564">
              <w:rPr>
                <w:rFonts w:ascii="Arial" w:hAnsi="Arial" w:cs="Arial"/>
                <w:color w:val="006100"/>
                <w:sz w:val="16"/>
                <w:szCs w:val="16"/>
              </w:rPr>
              <w:t xml:space="preserve">ompletion </w:t>
            </w:r>
            <w:r w:rsidRPr="00397564">
              <w:rPr>
                <w:rFonts w:ascii="Arial" w:hAnsi="Arial" w:cs="Arial"/>
                <w:color w:val="006100"/>
                <w:sz w:val="16"/>
                <w:szCs w:val="16"/>
                <w:lang w:eastAsia="en-GB"/>
              </w:rPr>
              <w:t>signed by the contractor and the competent authority issued in accordance with the national legislation demonstrating that</w:t>
            </w:r>
            <w:r w:rsidRPr="00397564">
              <w:rPr>
                <w:rFonts w:ascii="Arial" w:hAnsi="Arial" w:cs="Arial"/>
                <w:sz w:val="16"/>
                <w:szCs w:val="16"/>
              </w:rPr>
              <w:t xml:space="preserve"> </w:t>
            </w:r>
            <w:r w:rsidRPr="00397564">
              <w:rPr>
                <w:rFonts w:ascii="Arial" w:hAnsi="Arial" w:cs="Arial"/>
                <w:color w:val="006100"/>
                <w:sz w:val="16"/>
                <w:szCs w:val="16"/>
                <w:lang w:eastAsia="en-GB"/>
              </w:rPr>
              <w:t>the electronic agricultural information system and the communication network of field and rain sensors are fully</w:t>
            </w:r>
            <w:r>
              <w:rPr>
                <w:rFonts w:ascii="Arial" w:hAnsi="Arial" w:cs="Arial"/>
                <w:color w:val="006100"/>
                <w:sz w:val="16"/>
                <w:szCs w:val="16"/>
                <w:lang w:eastAsia="en-GB"/>
              </w:rPr>
              <w:t xml:space="preserve"> operational</w:t>
            </w:r>
          </w:p>
          <w:p w14:paraId="1130269A" w14:textId="3E269058" w:rsidR="006231D2" w:rsidRPr="006D4663" w:rsidRDefault="006231D2" w:rsidP="006D4663">
            <w:pPr>
              <w:pStyle w:val="ListParagraph"/>
              <w:numPr>
                <w:ilvl w:val="0"/>
                <w:numId w:val="16"/>
              </w:numPr>
              <w:spacing w:after="0"/>
              <w:ind w:left="324" w:hanging="284"/>
              <w:rPr>
                <w:rFonts w:ascii="Arial" w:hAnsi="Arial" w:cs="Arial"/>
                <w:color w:val="006100"/>
                <w:sz w:val="16"/>
                <w:szCs w:val="16"/>
              </w:rPr>
            </w:pPr>
            <w:r>
              <w:rPr>
                <w:rFonts w:ascii="Arial" w:hAnsi="Arial" w:cs="Arial"/>
                <w:color w:val="006100"/>
                <w:sz w:val="16"/>
                <w:szCs w:val="16"/>
              </w:rPr>
              <w:t>R</w:t>
            </w:r>
            <w:r w:rsidRPr="00397564">
              <w:rPr>
                <w:rFonts w:ascii="Arial" w:hAnsi="Arial" w:cs="Arial"/>
                <w:color w:val="006100"/>
                <w:sz w:val="16"/>
                <w:szCs w:val="16"/>
              </w:rPr>
              <w:t xml:space="preserve">eport by an independent engineer endorsed by the relevant ministry, including justification that the technical specifications of the information system and communication network are </w:t>
            </w:r>
            <w:r w:rsidRPr="00397564">
              <w:rPr>
                <w:rFonts w:ascii="Arial" w:hAnsi="Arial" w:cs="Arial"/>
                <w:color w:val="006100"/>
                <w:sz w:val="16"/>
                <w:szCs w:val="16"/>
                <w:lang w:eastAsia="en-GB"/>
              </w:rPr>
              <w:t>aligned with the description of the milestone and of the investment in the CID annex</w:t>
            </w:r>
          </w:p>
        </w:tc>
        <w:tc>
          <w:tcPr>
            <w:tcW w:w="3093" w:type="dxa"/>
            <w:shd w:val="clear" w:color="auto" w:fill="D6E3C6"/>
          </w:tcPr>
          <w:p w14:paraId="5F5082C9" w14:textId="4D8366F1" w:rsidR="006231D2" w:rsidRDefault="006231D2" w:rsidP="00282C90">
            <w:pPr>
              <w:spacing w:after="0"/>
              <w:rPr>
                <w:rFonts w:ascii="Arial" w:hAnsi="Arial" w:cs="Arial"/>
                <w:color w:val="006100"/>
                <w:sz w:val="16"/>
                <w:szCs w:val="16"/>
              </w:rPr>
            </w:pPr>
            <w:r>
              <w:rPr>
                <w:rFonts w:ascii="Arial" w:hAnsi="Arial" w:cs="Arial"/>
                <w:color w:val="006100"/>
                <w:sz w:val="16"/>
                <w:szCs w:val="16"/>
              </w:rPr>
              <w:t xml:space="preserve">Institution/s: </w:t>
            </w:r>
            <w:r w:rsidRPr="00397564">
              <w:rPr>
                <w:rFonts w:ascii="Arial" w:eastAsia="Times New Roman" w:hAnsi="Arial" w:cs="Arial"/>
                <w:color w:val="006100"/>
                <w:sz w:val="16"/>
                <w:szCs w:val="16"/>
                <w:lang w:val="en-US" w:eastAsia="en-GB"/>
              </w:rPr>
              <w:t>Ministry of Agriculture</w:t>
            </w:r>
          </w:p>
          <w:p w14:paraId="2EB64299" w14:textId="77777777" w:rsidR="006231D2" w:rsidRDefault="006231D2" w:rsidP="00282C90">
            <w:pPr>
              <w:spacing w:after="0"/>
              <w:rPr>
                <w:rFonts w:ascii="Arial" w:hAnsi="Arial" w:cs="Arial"/>
                <w:color w:val="006100"/>
                <w:sz w:val="16"/>
                <w:szCs w:val="16"/>
              </w:rPr>
            </w:pPr>
          </w:p>
          <w:p w14:paraId="2125A3E7" w14:textId="76D123EF" w:rsidR="006231D2" w:rsidRDefault="006231D2" w:rsidP="00282C90">
            <w:pPr>
              <w:spacing w:after="0"/>
              <w:rPr>
                <w:rFonts w:ascii="Arial" w:hAnsi="Arial" w:cs="Arial"/>
                <w:color w:val="006100"/>
                <w:sz w:val="16"/>
                <w:szCs w:val="16"/>
              </w:rPr>
            </w:pPr>
            <w:r>
              <w:rPr>
                <w:rFonts w:ascii="Arial" w:hAnsi="Arial" w:cs="Arial"/>
                <w:color w:val="006100"/>
                <w:sz w:val="16"/>
                <w:szCs w:val="16"/>
              </w:rPr>
              <w:t>What:</w:t>
            </w:r>
            <w:r w:rsidRPr="00397564">
              <w:rPr>
                <w:rFonts w:ascii="Arial" w:hAnsi="Arial" w:cs="Arial"/>
                <w:color w:val="006100"/>
                <w:sz w:val="16"/>
                <w:szCs w:val="16"/>
              </w:rPr>
              <w:t xml:space="preserve"> Completion and delivery of fully operational 1) electronic agricultural information system and 2) communication network of field and rain sensors</w:t>
            </w:r>
          </w:p>
          <w:p w14:paraId="3C0D90DC" w14:textId="77777777" w:rsidR="006231D2" w:rsidRDefault="006231D2" w:rsidP="00282C90">
            <w:pPr>
              <w:spacing w:after="0"/>
              <w:rPr>
                <w:rFonts w:ascii="Arial" w:hAnsi="Arial" w:cs="Arial"/>
                <w:color w:val="006100"/>
                <w:sz w:val="16"/>
                <w:szCs w:val="16"/>
              </w:rPr>
            </w:pPr>
          </w:p>
          <w:p w14:paraId="6F7B2DBF" w14:textId="0FD1E782" w:rsidR="006231D2" w:rsidRDefault="006231D2" w:rsidP="00282C90">
            <w:pPr>
              <w:spacing w:after="0"/>
              <w:rPr>
                <w:rFonts w:ascii="Arial" w:hAnsi="Arial" w:cs="Arial"/>
                <w:color w:val="006100"/>
                <w:sz w:val="16"/>
                <w:szCs w:val="16"/>
              </w:rPr>
            </w:pPr>
            <w:r>
              <w:rPr>
                <w:rFonts w:ascii="Arial" w:hAnsi="Arial" w:cs="Arial"/>
                <w:color w:val="006100"/>
                <w:sz w:val="16"/>
                <w:szCs w:val="16"/>
              </w:rPr>
              <w:t>How: contracting (a), reporting (b)</w:t>
            </w:r>
          </w:p>
          <w:p w14:paraId="6396F2D1" w14:textId="77777777" w:rsidR="006231D2" w:rsidRDefault="006231D2" w:rsidP="00282C90">
            <w:pPr>
              <w:spacing w:after="0"/>
              <w:rPr>
                <w:rFonts w:ascii="Arial" w:hAnsi="Arial" w:cs="Arial"/>
                <w:color w:val="006100"/>
                <w:sz w:val="16"/>
                <w:szCs w:val="16"/>
              </w:rPr>
            </w:pPr>
          </w:p>
          <w:p w14:paraId="30EE34A3" w14:textId="5FE5051B" w:rsidR="006231D2" w:rsidRDefault="006231D2" w:rsidP="00282C90">
            <w:pPr>
              <w:tabs>
                <w:tab w:val="left" w:pos="849"/>
              </w:tabs>
              <w:spacing w:after="0"/>
              <w:rPr>
                <w:rFonts w:ascii="Arial" w:hAnsi="Arial" w:cs="Arial"/>
                <w:color w:val="006100"/>
                <w:sz w:val="16"/>
                <w:szCs w:val="16"/>
              </w:rPr>
            </w:pPr>
            <w:r>
              <w:rPr>
                <w:rFonts w:ascii="Arial" w:hAnsi="Arial" w:cs="Arial"/>
                <w:color w:val="006100"/>
                <w:sz w:val="16"/>
                <w:szCs w:val="16"/>
              </w:rPr>
              <w:t xml:space="preserve">Why: </w:t>
            </w:r>
            <w:r w:rsidRPr="006D4663">
              <w:rPr>
                <w:rFonts w:ascii="Arial" w:hAnsi="Arial" w:cs="Arial"/>
                <w:color w:val="006100"/>
                <w:sz w:val="16"/>
                <w:szCs w:val="16"/>
              </w:rPr>
              <w:t xml:space="preserve">The electronic agricultural information system and the communication network of field and rain sensors shall include the modules and functionalities set out in milestone 136. </w:t>
            </w:r>
            <w:r>
              <w:rPr>
                <w:rFonts w:ascii="Arial" w:hAnsi="Arial" w:cs="Arial"/>
                <w:color w:val="006100"/>
                <w:sz w:val="16"/>
                <w:szCs w:val="16"/>
              </w:rPr>
              <w:t>[provide references to the plan that acknowledge these objectives]</w:t>
            </w:r>
          </w:p>
          <w:p w14:paraId="3D661C98" w14:textId="77777777" w:rsidR="006231D2" w:rsidRDefault="006231D2" w:rsidP="00282C90">
            <w:pPr>
              <w:spacing w:after="0"/>
              <w:rPr>
                <w:rFonts w:ascii="Arial" w:hAnsi="Arial" w:cs="Arial"/>
                <w:color w:val="006100"/>
                <w:sz w:val="16"/>
                <w:szCs w:val="16"/>
              </w:rPr>
            </w:pPr>
          </w:p>
          <w:p w14:paraId="2823F663" w14:textId="596101E8" w:rsidR="006231D2" w:rsidRPr="00397564" w:rsidRDefault="006231D2" w:rsidP="00282C90">
            <w:pPr>
              <w:spacing w:after="0"/>
              <w:rPr>
                <w:rFonts w:ascii="Arial" w:hAnsi="Arial" w:cs="Arial"/>
                <w:color w:val="006100"/>
                <w:sz w:val="16"/>
                <w:szCs w:val="16"/>
              </w:rPr>
            </w:pPr>
            <w:r>
              <w:rPr>
                <w:rFonts w:ascii="Arial" w:hAnsi="Arial" w:cs="Arial"/>
                <w:color w:val="006100"/>
                <w:sz w:val="16"/>
                <w:szCs w:val="16"/>
              </w:rPr>
              <w:lastRenderedPageBreak/>
              <w:t>When: after award of contracts and completion of works</w:t>
            </w:r>
          </w:p>
        </w:tc>
        <w:tc>
          <w:tcPr>
            <w:tcW w:w="2003" w:type="dxa"/>
            <w:shd w:val="clear" w:color="auto" w:fill="D6E3C6"/>
          </w:tcPr>
          <w:p w14:paraId="09DDB714" w14:textId="67B178B7"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992" w:type="dxa"/>
            <w:shd w:val="clear" w:color="auto" w:fill="D6E3C6"/>
          </w:tcPr>
          <w:p w14:paraId="544855E8" w14:textId="71CA5EB5"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Delays in the award of the contracts</w:t>
            </w:r>
          </w:p>
        </w:tc>
        <w:tc>
          <w:tcPr>
            <w:tcW w:w="711" w:type="dxa"/>
            <w:shd w:val="clear" w:color="auto" w:fill="D6E3C6"/>
          </w:tcPr>
          <w:p w14:paraId="1825EC9E" w14:textId="14A9E1CE" w:rsidR="006231D2" w:rsidRPr="00397564" w:rsidRDefault="006231D2" w:rsidP="00D3202D">
            <w:pPr>
              <w:spacing w:after="0"/>
              <w:rPr>
                <w:rFonts w:ascii="Arial" w:hAnsi="Arial" w:cs="Arial"/>
                <w:color w:val="006100"/>
                <w:sz w:val="16"/>
                <w:szCs w:val="16"/>
              </w:rPr>
            </w:pPr>
            <w:r w:rsidRPr="00397564">
              <w:rPr>
                <w:rFonts w:ascii="Arial" w:hAnsi="Arial" w:cs="Arial"/>
                <w:color w:val="006100"/>
                <w:sz w:val="16"/>
                <w:szCs w:val="16"/>
              </w:rPr>
              <w:t>None</w:t>
            </w:r>
          </w:p>
        </w:tc>
        <w:tc>
          <w:tcPr>
            <w:tcW w:w="992" w:type="dxa"/>
            <w:shd w:val="clear" w:color="auto" w:fill="D6E3C6"/>
          </w:tcPr>
          <w:p w14:paraId="128946AA" w14:textId="1E70FE04" w:rsidR="006231D2" w:rsidRPr="00397564" w:rsidRDefault="006231D2" w:rsidP="00D3202D">
            <w:pPr>
              <w:spacing w:after="0"/>
              <w:rPr>
                <w:rFonts w:ascii="Arial" w:hAnsi="Arial" w:cs="Arial"/>
                <w:color w:val="006100"/>
                <w:sz w:val="16"/>
                <w:szCs w:val="16"/>
              </w:rPr>
            </w:pPr>
            <w:r>
              <w:rPr>
                <w:rFonts w:ascii="Arial" w:hAnsi="Arial" w:cs="Arial"/>
                <w:color w:val="006100"/>
                <w:sz w:val="16"/>
                <w:szCs w:val="16"/>
              </w:rPr>
              <w:t>-</w:t>
            </w:r>
          </w:p>
        </w:tc>
        <w:tc>
          <w:tcPr>
            <w:tcW w:w="851" w:type="dxa"/>
            <w:shd w:val="clear" w:color="auto" w:fill="D6E3C6"/>
          </w:tcPr>
          <w:p w14:paraId="2BEFE1B7" w14:textId="5E86347E" w:rsidR="006231D2" w:rsidRPr="00397564" w:rsidRDefault="0096604E" w:rsidP="00D3202D">
            <w:pPr>
              <w:spacing w:after="0"/>
              <w:rPr>
                <w:rFonts w:ascii="Arial" w:hAnsi="Arial" w:cs="Arial"/>
                <w:color w:val="006100"/>
                <w:sz w:val="16"/>
                <w:szCs w:val="16"/>
              </w:rPr>
            </w:pPr>
            <w:r>
              <w:rPr>
                <w:rFonts w:ascii="Arial" w:hAnsi="Arial" w:cs="Arial"/>
                <w:color w:val="006100"/>
                <w:sz w:val="16"/>
                <w:szCs w:val="16"/>
              </w:rPr>
              <w:t>-</w:t>
            </w:r>
          </w:p>
        </w:tc>
      </w:tr>
    </w:tbl>
    <w:p w14:paraId="2C5FAE3E" w14:textId="77777777" w:rsidR="00EA0C19" w:rsidRPr="004C6985" w:rsidRDefault="00EA0C19" w:rsidP="00EA621A">
      <w:pPr>
        <w:rPr>
          <w:rFonts w:ascii="Arial Narrow" w:hAnsi="Arial Narrow"/>
          <w:lang w:val="en-IE"/>
        </w:rPr>
      </w:pPr>
    </w:p>
    <w:sectPr w:rsidR="00EA0C19" w:rsidRPr="004C6985" w:rsidSect="00D75CFA">
      <w:headerReference w:type="even" r:id="rId7"/>
      <w:headerReference w:type="default" r:id="rId8"/>
      <w:footerReference w:type="even" r:id="rId9"/>
      <w:footerReference w:type="default" r:id="rId10"/>
      <w:headerReference w:type="first" r:id="rId11"/>
      <w:footerReference w:type="first" r:id="rId12"/>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B50B9" w14:textId="77777777" w:rsidR="00B1437C" w:rsidRDefault="00B1437C" w:rsidP="003864C9">
      <w:pPr>
        <w:spacing w:after="0" w:line="240" w:lineRule="auto"/>
      </w:pPr>
      <w:r>
        <w:separator/>
      </w:r>
    </w:p>
  </w:endnote>
  <w:endnote w:type="continuationSeparator" w:id="0">
    <w:p w14:paraId="26695899" w14:textId="77777777" w:rsidR="00B1437C" w:rsidRDefault="00B1437C" w:rsidP="00386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87EDD" w14:textId="77777777" w:rsidR="003864C9" w:rsidRDefault="00386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5F42B" w14:textId="77777777" w:rsidR="003864C9" w:rsidRDefault="003864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30CAF" w14:textId="77777777" w:rsidR="003864C9" w:rsidRDefault="00386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192FE" w14:textId="77777777" w:rsidR="00B1437C" w:rsidRDefault="00B1437C" w:rsidP="003864C9">
      <w:pPr>
        <w:spacing w:after="0" w:line="240" w:lineRule="auto"/>
      </w:pPr>
      <w:r>
        <w:separator/>
      </w:r>
    </w:p>
  </w:footnote>
  <w:footnote w:type="continuationSeparator" w:id="0">
    <w:p w14:paraId="76945D35" w14:textId="77777777" w:rsidR="00B1437C" w:rsidRDefault="00B1437C" w:rsidP="00386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176ED" w14:textId="77777777" w:rsidR="003864C9" w:rsidRDefault="00386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EA35" w14:textId="77777777" w:rsidR="003864C9" w:rsidRDefault="00386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D99F3" w14:textId="77777777" w:rsidR="003864C9" w:rsidRDefault="0038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4EF"/>
    <w:multiLevelType w:val="hybridMultilevel"/>
    <w:tmpl w:val="1BCE30A4"/>
    <w:lvl w:ilvl="0" w:tplc="B1E29C8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6A61155"/>
    <w:multiLevelType w:val="hybridMultilevel"/>
    <w:tmpl w:val="8E76E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601F4"/>
    <w:multiLevelType w:val="hybridMultilevel"/>
    <w:tmpl w:val="90F22AFE"/>
    <w:lvl w:ilvl="0" w:tplc="85BAAA98">
      <w:start w:val="1"/>
      <w:numFmt w:val="lowerLetter"/>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3" w15:restartNumberingAfterBreak="0">
    <w:nsid w:val="19A32B60"/>
    <w:multiLevelType w:val="hybridMultilevel"/>
    <w:tmpl w:val="C94870FC"/>
    <w:lvl w:ilvl="0" w:tplc="0A28E3A6">
      <w:start w:val="1"/>
      <w:numFmt w:val="lowerLetter"/>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404DEE"/>
    <w:multiLevelType w:val="hybridMultilevel"/>
    <w:tmpl w:val="BAF285A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2D2D5CE3"/>
    <w:multiLevelType w:val="hybridMultilevel"/>
    <w:tmpl w:val="6C4C3A7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62B4C9F"/>
    <w:multiLevelType w:val="hybridMultilevel"/>
    <w:tmpl w:val="C94870FC"/>
    <w:lvl w:ilvl="0" w:tplc="FFFFFFFF">
      <w:start w:val="1"/>
      <w:numFmt w:val="lowerLetter"/>
      <w:lvlText w:val="%1)"/>
      <w:lvlJc w:val="left"/>
      <w:pPr>
        <w:ind w:left="720" w:hanging="360"/>
      </w:pPr>
      <w:rPr>
        <w:rFont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6805AE"/>
    <w:multiLevelType w:val="hybridMultilevel"/>
    <w:tmpl w:val="271CBEA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70F3CCE"/>
    <w:multiLevelType w:val="hybridMultilevel"/>
    <w:tmpl w:val="09C651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D51D4E"/>
    <w:multiLevelType w:val="hybridMultilevel"/>
    <w:tmpl w:val="1BCE30A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2A669B9"/>
    <w:multiLevelType w:val="hybridMultilevel"/>
    <w:tmpl w:val="271CBEA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40463E5"/>
    <w:multiLevelType w:val="hybridMultilevel"/>
    <w:tmpl w:val="09C6519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76E5B11"/>
    <w:multiLevelType w:val="hybridMultilevel"/>
    <w:tmpl w:val="90F22AFE"/>
    <w:lvl w:ilvl="0" w:tplc="FFFFFFFF">
      <w:start w:val="1"/>
      <w:numFmt w:val="lowerLetter"/>
      <w:lvlText w:val="%1)"/>
      <w:lvlJc w:val="left"/>
      <w:pPr>
        <w:ind w:left="473" w:hanging="360"/>
      </w:pPr>
      <w:rPr>
        <w:rFonts w:hint="default"/>
      </w:r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13"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FF85FCE"/>
    <w:multiLevelType w:val="hybridMultilevel"/>
    <w:tmpl w:val="8E54B11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8603DC9"/>
    <w:multiLevelType w:val="hybridMultilevel"/>
    <w:tmpl w:val="8E54B11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3255578">
    <w:abstractNumId w:val="13"/>
  </w:num>
  <w:num w:numId="2" w16cid:durableId="1299455462">
    <w:abstractNumId w:val="10"/>
  </w:num>
  <w:num w:numId="3" w16cid:durableId="1941839300">
    <w:abstractNumId w:val="15"/>
  </w:num>
  <w:num w:numId="4" w16cid:durableId="1624728507">
    <w:abstractNumId w:val="0"/>
  </w:num>
  <w:num w:numId="5" w16cid:durableId="773356878">
    <w:abstractNumId w:val="3"/>
  </w:num>
  <w:num w:numId="6" w16cid:durableId="599028943">
    <w:abstractNumId w:val="5"/>
  </w:num>
  <w:num w:numId="7" w16cid:durableId="187333043">
    <w:abstractNumId w:val="2"/>
  </w:num>
  <w:num w:numId="8" w16cid:durableId="1560747426">
    <w:abstractNumId w:val="4"/>
  </w:num>
  <w:num w:numId="9" w16cid:durableId="948853513">
    <w:abstractNumId w:val="8"/>
  </w:num>
  <w:num w:numId="10" w16cid:durableId="970742350">
    <w:abstractNumId w:val="1"/>
  </w:num>
  <w:num w:numId="11" w16cid:durableId="123351400">
    <w:abstractNumId w:val="11"/>
  </w:num>
  <w:num w:numId="12" w16cid:durableId="649359972">
    <w:abstractNumId w:val="7"/>
  </w:num>
  <w:num w:numId="13" w16cid:durableId="1905679197">
    <w:abstractNumId w:val="12"/>
  </w:num>
  <w:num w:numId="14" w16cid:durableId="470559116">
    <w:abstractNumId w:val="14"/>
  </w:num>
  <w:num w:numId="15" w16cid:durableId="1697000384">
    <w:abstractNumId w:val="9"/>
  </w:num>
  <w:num w:numId="16" w16cid:durableId="92603858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zMDEwN7Y0NrUwNjdU0lEKTi0uzszPAykwrgUAW/RBlSwAAAA="/>
  </w:docVars>
  <w:rsids>
    <w:rsidRoot w:val="00EA0C19"/>
    <w:rsid w:val="000007E1"/>
    <w:rsid w:val="00032AA4"/>
    <w:rsid w:val="000619E6"/>
    <w:rsid w:val="00073250"/>
    <w:rsid w:val="00076C9D"/>
    <w:rsid w:val="000801FE"/>
    <w:rsid w:val="000A2231"/>
    <w:rsid w:val="000C153F"/>
    <w:rsid w:val="000C247F"/>
    <w:rsid w:val="000F1176"/>
    <w:rsid w:val="000F35F4"/>
    <w:rsid w:val="0010D2A8"/>
    <w:rsid w:val="001234C9"/>
    <w:rsid w:val="00131331"/>
    <w:rsid w:val="00135863"/>
    <w:rsid w:val="001665F4"/>
    <w:rsid w:val="00177E7D"/>
    <w:rsid w:val="00181307"/>
    <w:rsid w:val="001949F4"/>
    <w:rsid w:val="00195A1E"/>
    <w:rsid w:val="0019790D"/>
    <w:rsid w:val="001C7D87"/>
    <w:rsid w:val="001D0033"/>
    <w:rsid w:val="001D4705"/>
    <w:rsid w:val="001D7A74"/>
    <w:rsid w:val="00227FA0"/>
    <w:rsid w:val="002564FB"/>
    <w:rsid w:val="002575AA"/>
    <w:rsid w:val="0026404F"/>
    <w:rsid w:val="00276500"/>
    <w:rsid w:val="00282C90"/>
    <w:rsid w:val="00285165"/>
    <w:rsid w:val="002A11CF"/>
    <w:rsid w:val="002A1845"/>
    <w:rsid w:val="002D6A98"/>
    <w:rsid w:val="002F6438"/>
    <w:rsid w:val="00300542"/>
    <w:rsid w:val="00304336"/>
    <w:rsid w:val="00306A96"/>
    <w:rsid w:val="0032698C"/>
    <w:rsid w:val="0033575E"/>
    <w:rsid w:val="00340C05"/>
    <w:rsid w:val="00353D7C"/>
    <w:rsid w:val="00360CC3"/>
    <w:rsid w:val="003672A8"/>
    <w:rsid w:val="003864C9"/>
    <w:rsid w:val="00396DB0"/>
    <w:rsid w:val="00397564"/>
    <w:rsid w:val="003A3CF0"/>
    <w:rsid w:val="003D5D37"/>
    <w:rsid w:val="003D5D63"/>
    <w:rsid w:val="003D621D"/>
    <w:rsid w:val="003F096A"/>
    <w:rsid w:val="00417551"/>
    <w:rsid w:val="00421A33"/>
    <w:rsid w:val="00432F8B"/>
    <w:rsid w:val="004419C4"/>
    <w:rsid w:val="004530A7"/>
    <w:rsid w:val="00454BC2"/>
    <w:rsid w:val="0046D176"/>
    <w:rsid w:val="00483B35"/>
    <w:rsid w:val="004B5A9B"/>
    <w:rsid w:val="004C6985"/>
    <w:rsid w:val="004D5036"/>
    <w:rsid w:val="004F338E"/>
    <w:rsid w:val="004F6FF4"/>
    <w:rsid w:val="00502941"/>
    <w:rsid w:val="00505B15"/>
    <w:rsid w:val="005125DF"/>
    <w:rsid w:val="0051355E"/>
    <w:rsid w:val="005214EA"/>
    <w:rsid w:val="0052521D"/>
    <w:rsid w:val="00534744"/>
    <w:rsid w:val="005446BF"/>
    <w:rsid w:val="005532B1"/>
    <w:rsid w:val="00572C1D"/>
    <w:rsid w:val="00576CB3"/>
    <w:rsid w:val="00581EC1"/>
    <w:rsid w:val="00595D76"/>
    <w:rsid w:val="005A61DD"/>
    <w:rsid w:val="005B1D98"/>
    <w:rsid w:val="00607528"/>
    <w:rsid w:val="006231D2"/>
    <w:rsid w:val="00631E9B"/>
    <w:rsid w:val="006330B4"/>
    <w:rsid w:val="0063573B"/>
    <w:rsid w:val="00637F5F"/>
    <w:rsid w:val="0066594D"/>
    <w:rsid w:val="006835B1"/>
    <w:rsid w:val="006853E7"/>
    <w:rsid w:val="006B41FB"/>
    <w:rsid w:val="006D4663"/>
    <w:rsid w:val="006E1CE1"/>
    <w:rsid w:val="006E2A70"/>
    <w:rsid w:val="006E4AB2"/>
    <w:rsid w:val="006F378F"/>
    <w:rsid w:val="0072540A"/>
    <w:rsid w:val="007366E2"/>
    <w:rsid w:val="007643B8"/>
    <w:rsid w:val="0077046B"/>
    <w:rsid w:val="0079165C"/>
    <w:rsid w:val="007B0A9B"/>
    <w:rsid w:val="007C6864"/>
    <w:rsid w:val="007D0CCD"/>
    <w:rsid w:val="007D2B85"/>
    <w:rsid w:val="007F610C"/>
    <w:rsid w:val="00816B32"/>
    <w:rsid w:val="00823F81"/>
    <w:rsid w:val="00825E2D"/>
    <w:rsid w:val="00840591"/>
    <w:rsid w:val="00847DF5"/>
    <w:rsid w:val="00850041"/>
    <w:rsid w:val="00851100"/>
    <w:rsid w:val="008570E8"/>
    <w:rsid w:val="00860B6A"/>
    <w:rsid w:val="00877DAF"/>
    <w:rsid w:val="008B0D87"/>
    <w:rsid w:val="008B14DC"/>
    <w:rsid w:val="008D3F0C"/>
    <w:rsid w:val="00901AA7"/>
    <w:rsid w:val="00905B25"/>
    <w:rsid w:val="0091774B"/>
    <w:rsid w:val="00920B69"/>
    <w:rsid w:val="00926573"/>
    <w:rsid w:val="00955D57"/>
    <w:rsid w:val="0096126E"/>
    <w:rsid w:val="0096604E"/>
    <w:rsid w:val="00974AC6"/>
    <w:rsid w:val="0097568A"/>
    <w:rsid w:val="00976387"/>
    <w:rsid w:val="00982C19"/>
    <w:rsid w:val="009975BB"/>
    <w:rsid w:val="009A4B40"/>
    <w:rsid w:val="009B353F"/>
    <w:rsid w:val="009E3935"/>
    <w:rsid w:val="009E5C03"/>
    <w:rsid w:val="009F3197"/>
    <w:rsid w:val="009F4647"/>
    <w:rsid w:val="00A43FB1"/>
    <w:rsid w:val="00A57AE7"/>
    <w:rsid w:val="00A764F0"/>
    <w:rsid w:val="00A84B61"/>
    <w:rsid w:val="00A84FD9"/>
    <w:rsid w:val="00AB0674"/>
    <w:rsid w:val="00AB0970"/>
    <w:rsid w:val="00AB4F85"/>
    <w:rsid w:val="00AD1E9D"/>
    <w:rsid w:val="00AD3453"/>
    <w:rsid w:val="00AD4F81"/>
    <w:rsid w:val="00AD5769"/>
    <w:rsid w:val="00AF3F6B"/>
    <w:rsid w:val="00AF63BA"/>
    <w:rsid w:val="00B1437C"/>
    <w:rsid w:val="00B15FEA"/>
    <w:rsid w:val="00B33679"/>
    <w:rsid w:val="00B34231"/>
    <w:rsid w:val="00B34FCB"/>
    <w:rsid w:val="00B3770A"/>
    <w:rsid w:val="00B41581"/>
    <w:rsid w:val="00B90915"/>
    <w:rsid w:val="00BC2939"/>
    <w:rsid w:val="00BC4B4D"/>
    <w:rsid w:val="00BD0FDB"/>
    <w:rsid w:val="00BD2B01"/>
    <w:rsid w:val="00BF16C6"/>
    <w:rsid w:val="00C03B4A"/>
    <w:rsid w:val="00C31D69"/>
    <w:rsid w:val="00C360A7"/>
    <w:rsid w:val="00C36999"/>
    <w:rsid w:val="00C414F3"/>
    <w:rsid w:val="00C45695"/>
    <w:rsid w:val="00C72D1A"/>
    <w:rsid w:val="00C77F38"/>
    <w:rsid w:val="00C810D0"/>
    <w:rsid w:val="00C85215"/>
    <w:rsid w:val="00C87D63"/>
    <w:rsid w:val="00C94616"/>
    <w:rsid w:val="00CB648E"/>
    <w:rsid w:val="00CB7119"/>
    <w:rsid w:val="00CB7451"/>
    <w:rsid w:val="00CC6C60"/>
    <w:rsid w:val="00CD246B"/>
    <w:rsid w:val="00CE0140"/>
    <w:rsid w:val="00D16D2A"/>
    <w:rsid w:val="00D21BCF"/>
    <w:rsid w:val="00D3202D"/>
    <w:rsid w:val="00D342AD"/>
    <w:rsid w:val="00D70BA5"/>
    <w:rsid w:val="00D739BD"/>
    <w:rsid w:val="00D75CFA"/>
    <w:rsid w:val="00D82B73"/>
    <w:rsid w:val="00DA1378"/>
    <w:rsid w:val="00DA2602"/>
    <w:rsid w:val="00DA3840"/>
    <w:rsid w:val="00DB2E06"/>
    <w:rsid w:val="00DC6049"/>
    <w:rsid w:val="00DD2E65"/>
    <w:rsid w:val="00DE2C9B"/>
    <w:rsid w:val="00DE742C"/>
    <w:rsid w:val="00E14C2B"/>
    <w:rsid w:val="00E15818"/>
    <w:rsid w:val="00E24221"/>
    <w:rsid w:val="00E302F2"/>
    <w:rsid w:val="00E33AE8"/>
    <w:rsid w:val="00EA0C19"/>
    <w:rsid w:val="00EA3A78"/>
    <w:rsid w:val="00EA621A"/>
    <w:rsid w:val="00EA7488"/>
    <w:rsid w:val="00EC7997"/>
    <w:rsid w:val="00EC79AC"/>
    <w:rsid w:val="00EC7CE5"/>
    <w:rsid w:val="00ED394E"/>
    <w:rsid w:val="00F2018F"/>
    <w:rsid w:val="00F24981"/>
    <w:rsid w:val="00F27248"/>
    <w:rsid w:val="00F447F0"/>
    <w:rsid w:val="00F46CCB"/>
    <w:rsid w:val="00F50F06"/>
    <w:rsid w:val="00F610A3"/>
    <w:rsid w:val="00F749E1"/>
    <w:rsid w:val="00F87F5C"/>
    <w:rsid w:val="00FA0BC5"/>
    <w:rsid w:val="00FA5796"/>
    <w:rsid w:val="00FD040D"/>
    <w:rsid w:val="00FD35EB"/>
    <w:rsid w:val="00FD66E9"/>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905B25"/>
  </w:style>
  <w:style w:type="paragraph" w:styleId="Header">
    <w:name w:val="header"/>
    <w:basedOn w:val="Normal"/>
    <w:link w:val="HeaderChar"/>
    <w:uiPriority w:val="99"/>
    <w:unhideWhenUsed/>
    <w:rsid w:val="00386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4C9"/>
  </w:style>
  <w:style w:type="paragraph" w:styleId="Footer">
    <w:name w:val="footer"/>
    <w:basedOn w:val="Normal"/>
    <w:link w:val="FooterChar"/>
    <w:uiPriority w:val="99"/>
    <w:unhideWhenUsed/>
    <w:rsid w:val="00386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6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2058</Words>
  <Characters>11737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2022-08-08T07:00:00Z</dcterms:created>
  <dcterms:modified xsi:type="dcterms:W3CDTF">2022-08-08T07:10:00Z</dcterms:modified>
</cp:coreProperties>
</file>