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D0EAD" w14:textId="77777777" w:rsidR="00926AA3" w:rsidRDefault="00926AA3" w:rsidP="00926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D8F078" w14:textId="5A8532DF" w:rsidR="00926AA3" w:rsidRPr="00926AA3" w:rsidRDefault="00926AA3" w:rsidP="00926A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AA3">
        <w:rPr>
          <w:rFonts w:ascii="Times New Roman" w:hAnsi="Times New Roman"/>
          <w:b/>
          <w:bCs/>
          <w:sz w:val="36"/>
          <w:szCs w:val="36"/>
        </w:rPr>
        <w:t xml:space="preserve">Ред и условия за съгласуване </w:t>
      </w:r>
      <w:r>
        <w:rPr>
          <w:rFonts w:ascii="Times New Roman" w:hAnsi="Times New Roman"/>
          <w:b/>
          <w:bCs/>
          <w:sz w:val="36"/>
          <w:szCs w:val="36"/>
        </w:rPr>
        <w:t xml:space="preserve">на </w:t>
      </w:r>
      <w:r>
        <w:rPr>
          <w:rFonts w:ascii="Times New Roman" w:hAnsi="Times New Roman"/>
          <w:b/>
          <w:bCs/>
          <w:sz w:val="36"/>
          <w:szCs w:val="36"/>
          <w:lang w:val="x-none"/>
        </w:rPr>
        <w:t xml:space="preserve">одобрените </w:t>
      </w:r>
      <w:r w:rsidR="0077087F">
        <w:rPr>
          <w:rFonts w:ascii="Times New Roman" w:hAnsi="Times New Roman"/>
          <w:b/>
          <w:bCs/>
          <w:sz w:val="36"/>
          <w:szCs w:val="36"/>
        </w:rPr>
        <w:t xml:space="preserve">инвестиционни </w:t>
      </w:r>
      <w:r>
        <w:rPr>
          <w:rFonts w:ascii="Times New Roman" w:hAnsi="Times New Roman"/>
          <w:b/>
          <w:bCs/>
          <w:sz w:val="36"/>
          <w:szCs w:val="36"/>
          <w:lang w:val="x-none"/>
        </w:rPr>
        <w:t xml:space="preserve">проекти от </w:t>
      </w:r>
      <w:r>
        <w:rPr>
          <w:rFonts w:ascii="Times New Roman" w:hAnsi="Times New Roman"/>
          <w:b/>
          <w:bCs/>
          <w:sz w:val="36"/>
          <w:szCs w:val="36"/>
        </w:rPr>
        <w:t xml:space="preserve">Плана за възстановяване и устойчивост </w:t>
      </w:r>
      <w:r w:rsidRPr="00926AA3">
        <w:rPr>
          <w:rFonts w:ascii="Times New Roman" w:hAnsi="Times New Roman"/>
          <w:b/>
          <w:bCs/>
          <w:sz w:val="36"/>
          <w:szCs w:val="36"/>
        </w:rPr>
        <w:t>за съответствие със законодателството в областта на държавните помощи</w:t>
      </w:r>
    </w:p>
    <w:p w14:paraId="6A8DFB77" w14:textId="77777777" w:rsidR="00926AA3" w:rsidRDefault="00926AA3" w:rsidP="00926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F4F632" w14:textId="77777777" w:rsidR="00926AA3" w:rsidRDefault="00926AA3" w:rsidP="00926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95C091" w14:textId="0109328D" w:rsidR="00926AA3" w:rsidRDefault="00C55E87" w:rsidP="001903D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В</w:t>
      </w:r>
      <w:r w:rsidRPr="001903DA">
        <w:rPr>
          <w:rFonts w:ascii="Times New Roman" w:hAnsi="Times New Roman"/>
          <w:sz w:val="24"/>
          <w:szCs w:val="24"/>
        </w:rPr>
        <w:t>сички</w:t>
      </w:r>
      <w:r w:rsidR="007F580B">
        <w:rPr>
          <w:rFonts w:ascii="Times New Roman" w:hAnsi="Times New Roman"/>
          <w:sz w:val="24"/>
          <w:szCs w:val="24"/>
        </w:rPr>
        <w:t xml:space="preserve"> инвестиционни</w:t>
      </w:r>
      <w:r w:rsidRPr="001903DA">
        <w:rPr>
          <w:rFonts w:ascii="Times New Roman" w:hAnsi="Times New Roman"/>
          <w:sz w:val="24"/>
          <w:szCs w:val="24"/>
          <w:lang w:val="x-none"/>
        </w:rPr>
        <w:t xml:space="preserve"> проекти</w:t>
      </w:r>
      <w:r w:rsidRPr="001903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Pr="001903DA">
        <w:rPr>
          <w:rFonts w:ascii="Times New Roman" w:hAnsi="Times New Roman"/>
          <w:sz w:val="24"/>
          <w:szCs w:val="24"/>
        </w:rPr>
        <w:t>Плана за възстановяване и устойчивост (ПВУ</w:t>
      </w:r>
      <w:r w:rsidRPr="001903DA">
        <w:rPr>
          <w:rFonts w:ascii="Times New Roman" w:hAnsi="Times New Roman"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 xml:space="preserve">, по отношение на </w:t>
      </w:r>
      <w:r w:rsidRPr="001903DA">
        <w:rPr>
          <w:rFonts w:ascii="Times New Roman" w:hAnsi="Times New Roman"/>
          <w:sz w:val="24"/>
          <w:szCs w:val="24"/>
          <w:lang w:val="x-none"/>
        </w:rPr>
        <w:t>съответствието им с приложимите правила за държавните помощи</w:t>
      </w:r>
      <w:r w:rsidRPr="001903DA">
        <w:rPr>
          <w:rFonts w:ascii="Times New Roman" w:hAnsi="Times New Roman"/>
          <w:sz w:val="24"/>
          <w:szCs w:val="24"/>
        </w:rPr>
        <w:t xml:space="preserve"> подлежат </w:t>
      </w:r>
      <w:r w:rsidR="001903DA" w:rsidRPr="001903DA">
        <w:rPr>
          <w:rFonts w:ascii="Times New Roman" w:hAnsi="Times New Roman"/>
          <w:sz w:val="24"/>
          <w:szCs w:val="24"/>
        </w:rPr>
        <w:t>н</w:t>
      </w:r>
      <w:r w:rsidR="00926AA3" w:rsidRPr="001903DA">
        <w:rPr>
          <w:rFonts w:ascii="Times New Roman" w:hAnsi="Times New Roman"/>
          <w:sz w:val="24"/>
          <w:szCs w:val="24"/>
          <w:lang w:val="x-none"/>
        </w:rPr>
        <w:t xml:space="preserve">а съгласуване с </w:t>
      </w:r>
      <w:r w:rsidR="001903DA" w:rsidRPr="001903DA">
        <w:rPr>
          <w:rFonts w:ascii="Times New Roman" w:hAnsi="Times New Roman"/>
          <w:sz w:val="24"/>
          <w:szCs w:val="24"/>
        </w:rPr>
        <w:t xml:space="preserve">дирекция „Държавни помощи и реален сектор“ </w:t>
      </w:r>
      <w:r w:rsidR="0044011D">
        <w:rPr>
          <w:rFonts w:ascii="Times New Roman" w:hAnsi="Times New Roman"/>
          <w:sz w:val="24"/>
          <w:szCs w:val="24"/>
        </w:rPr>
        <w:t xml:space="preserve">(ДПРС) </w:t>
      </w:r>
      <w:r w:rsidR="001903DA" w:rsidRPr="001903DA">
        <w:rPr>
          <w:rFonts w:ascii="Times New Roman" w:hAnsi="Times New Roman"/>
          <w:sz w:val="24"/>
          <w:szCs w:val="24"/>
        </w:rPr>
        <w:t>в Министерство на финансите</w:t>
      </w:r>
      <w:r>
        <w:rPr>
          <w:rFonts w:ascii="Times New Roman" w:hAnsi="Times New Roman"/>
          <w:sz w:val="24"/>
          <w:szCs w:val="24"/>
        </w:rPr>
        <w:t>.</w:t>
      </w:r>
    </w:p>
    <w:p w14:paraId="570963CD" w14:textId="77777777" w:rsidR="001903DA" w:rsidRDefault="001903DA" w:rsidP="001903D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1E46833F" w14:textId="08B29515" w:rsidR="001903DA" w:rsidRDefault="001903DA" w:rsidP="001903D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  <w:lang w:val="x-none"/>
        </w:rPr>
        <w:t xml:space="preserve"> съгласува</w:t>
      </w:r>
      <w:r>
        <w:rPr>
          <w:rFonts w:ascii="Times New Roman" w:hAnsi="Times New Roman"/>
          <w:sz w:val="24"/>
          <w:szCs w:val="24"/>
        </w:rPr>
        <w:t>не подлежат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всички проекти</w:t>
      </w:r>
      <w:r>
        <w:rPr>
          <w:rFonts w:ascii="Times New Roman" w:hAnsi="Times New Roman"/>
          <w:sz w:val="24"/>
          <w:szCs w:val="24"/>
          <w:lang w:val="x-none"/>
        </w:rPr>
        <w:t xml:space="preserve"> на документи по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x-none"/>
        </w:rPr>
        <w:t xml:space="preserve">1, </w:t>
      </w:r>
      <w:r>
        <w:rPr>
          <w:rFonts w:ascii="Times New Roman" w:hAnsi="Times New Roman"/>
          <w:sz w:val="24"/>
          <w:szCs w:val="24"/>
        </w:rPr>
        <w:t>разработени в някой от</w:t>
      </w:r>
      <w:r>
        <w:rPr>
          <w:rFonts w:ascii="Times New Roman" w:hAnsi="Times New Roman"/>
          <w:sz w:val="24"/>
          <w:szCs w:val="24"/>
          <w:lang w:val="x-none"/>
        </w:rPr>
        <w:t xml:space="preserve"> следните </w:t>
      </w:r>
      <w:r>
        <w:rPr>
          <w:rFonts w:ascii="Times New Roman" w:hAnsi="Times New Roman"/>
          <w:sz w:val="24"/>
          <w:szCs w:val="24"/>
        </w:rPr>
        <w:t>режими</w:t>
      </w:r>
      <w:r>
        <w:rPr>
          <w:rFonts w:ascii="Times New Roman" w:hAnsi="Times New Roman"/>
          <w:sz w:val="24"/>
          <w:szCs w:val="24"/>
          <w:lang w:val="x-none"/>
        </w:rPr>
        <w:t>:</w:t>
      </w:r>
    </w:p>
    <w:p w14:paraId="1225BE36" w14:textId="77777777" w:rsidR="00F70F19" w:rsidRPr="00F70F19" w:rsidRDefault="00F70F19" w:rsidP="00F70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A9F09BC" w14:textId="157B6C65" w:rsidR="001903DA" w:rsidRPr="001903DA" w:rsidRDefault="001903DA" w:rsidP="007420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903DA">
        <w:rPr>
          <w:rFonts w:ascii="Times New Roman" w:hAnsi="Times New Roman"/>
          <w:sz w:val="24"/>
          <w:szCs w:val="24"/>
        </w:rPr>
        <w:t>2.</w:t>
      </w:r>
      <w:r w:rsidRPr="001903DA">
        <w:rPr>
          <w:rFonts w:ascii="Times New Roman" w:hAnsi="Times New Roman"/>
          <w:sz w:val="24"/>
          <w:szCs w:val="24"/>
          <w:lang w:val="x-none"/>
        </w:rPr>
        <w:t xml:space="preserve">1. подпомагане извън обхвата на чл. 107, параграф 1 от Договора за функционирането на Европейския съюз (ДФЕС) (ОВ, С 83 от 30 март 2010 г.) – приложим режим "не помощ"; </w:t>
      </w:r>
    </w:p>
    <w:p w14:paraId="6D84A8A5" w14:textId="0EA971B2" w:rsidR="001903DA" w:rsidRPr="001903DA" w:rsidRDefault="001903DA" w:rsidP="007420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903DA">
        <w:rPr>
          <w:rFonts w:ascii="Times New Roman" w:hAnsi="Times New Roman"/>
          <w:sz w:val="24"/>
          <w:szCs w:val="24"/>
        </w:rPr>
        <w:t>2.</w:t>
      </w:r>
      <w:r w:rsidRPr="001903DA">
        <w:rPr>
          <w:rFonts w:ascii="Times New Roman" w:hAnsi="Times New Roman"/>
          <w:sz w:val="24"/>
          <w:szCs w:val="24"/>
          <w:lang w:val="x-none"/>
        </w:rPr>
        <w:t>2. подпомагане с минимална помощ – приложим режим "de minimis" по смисъла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de minimis (ОВ, L 352 от 24 декември 2013 г.</w:t>
      </w:r>
      <w:r w:rsidR="00293F50">
        <w:rPr>
          <w:rFonts w:ascii="Times New Roman" w:hAnsi="Times New Roman"/>
          <w:sz w:val="24"/>
          <w:szCs w:val="24"/>
        </w:rPr>
        <w:t xml:space="preserve"> и последващите изменения</w:t>
      </w:r>
      <w:r w:rsidRPr="001903DA">
        <w:rPr>
          <w:rFonts w:ascii="Times New Roman" w:hAnsi="Times New Roman"/>
          <w:sz w:val="24"/>
          <w:szCs w:val="24"/>
          <w:lang w:val="x-none"/>
        </w:rPr>
        <w:t>) и Регламент (ЕС) № 360/2012 на Комисията от 25 април 2012 г. относно прилагането на членове 107 и 108 от Договора за функционирането на Европейския съюз към минималната помощ (de minimis) за предприятия, предоставящи услуги от общ икономически интерес (ОВ, L 114 от 26 април 2012 г.</w:t>
      </w:r>
      <w:r w:rsidR="00293F50">
        <w:rPr>
          <w:rFonts w:ascii="Times New Roman" w:hAnsi="Times New Roman"/>
          <w:sz w:val="24"/>
          <w:szCs w:val="24"/>
        </w:rPr>
        <w:t xml:space="preserve"> и последващите изменения</w:t>
      </w:r>
      <w:r w:rsidRPr="001903DA">
        <w:rPr>
          <w:rFonts w:ascii="Times New Roman" w:hAnsi="Times New Roman"/>
          <w:sz w:val="24"/>
          <w:szCs w:val="24"/>
          <w:lang w:val="x-none"/>
        </w:rPr>
        <w:t xml:space="preserve">); </w:t>
      </w:r>
    </w:p>
    <w:p w14:paraId="52264A24" w14:textId="5AA6B5F4" w:rsidR="001903DA" w:rsidRPr="001903DA" w:rsidRDefault="001903DA" w:rsidP="007420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903DA">
        <w:rPr>
          <w:rFonts w:ascii="Times New Roman" w:hAnsi="Times New Roman"/>
          <w:sz w:val="24"/>
          <w:szCs w:val="24"/>
        </w:rPr>
        <w:t>2.</w:t>
      </w:r>
      <w:r w:rsidRPr="001903DA">
        <w:rPr>
          <w:rFonts w:ascii="Times New Roman" w:hAnsi="Times New Roman"/>
          <w:sz w:val="24"/>
          <w:szCs w:val="24"/>
          <w:lang w:val="x-none"/>
        </w:rPr>
        <w:t>3. подпомагане с държавна помощ, освободена от задължението за уведомяване на Европейската комисия на основание Регламент (ЕС) № 651/2014 на Комисията от 17 юни 2014 г. за обявяване на някои категории помощи за съвместими с вътрешния пазар в приложение на членове 107 и 108 от Договора (ОВ, L 187/1 от 26 юни 2014 г.</w:t>
      </w:r>
      <w:r w:rsidR="00293F50">
        <w:rPr>
          <w:rFonts w:ascii="Times New Roman" w:hAnsi="Times New Roman"/>
          <w:sz w:val="24"/>
          <w:szCs w:val="24"/>
        </w:rPr>
        <w:t xml:space="preserve"> и последващите изменения</w:t>
      </w:r>
      <w:r w:rsidRPr="001903DA">
        <w:rPr>
          <w:rFonts w:ascii="Times New Roman" w:hAnsi="Times New Roman"/>
          <w:sz w:val="24"/>
          <w:szCs w:val="24"/>
          <w:lang w:val="x-none"/>
        </w:rPr>
        <w:t xml:space="preserve">), наричан по-нататък "Регламент (ЕС) № 651/2014", или с друг акт на Съвета на Европейския съюз или на Европейската комисия; </w:t>
      </w:r>
    </w:p>
    <w:p w14:paraId="21F733E0" w14:textId="2DC463F7" w:rsidR="001903DA" w:rsidRPr="005864C2" w:rsidRDefault="001903DA" w:rsidP="007420A9">
      <w:pPr>
        <w:ind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903DA">
        <w:rPr>
          <w:rFonts w:ascii="Times New Roman" w:hAnsi="Times New Roman"/>
          <w:sz w:val="24"/>
          <w:szCs w:val="24"/>
        </w:rPr>
        <w:t>2.</w:t>
      </w:r>
      <w:r w:rsidRPr="001903DA">
        <w:rPr>
          <w:rFonts w:ascii="Times New Roman" w:hAnsi="Times New Roman"/>
          <w:sz w:val="24"/>
          <w:szCs w:val="24"/>
          <w:lang w:val="x-none"/>
        </w:rPr>
        <w:t xml:space="preserve">4. подпомагане с държавна помощ, подлежаща на уведомяване (нотифициране) по реда на чл. 108, параграф 3 от ДФЕС и чл. 2 от Регламент (ЕС) № 2015/1589 на Съвета от 13 юли 2015 г. за установяване на подробни правила за прилаганет на член 108 от Договора за функционирането на Европейския съюз (ОВ, L 248 от 24 септември 2015 г.), включително на уведомяване от съображения за правна сигурност и/или предварително </w:t>
      </w:r>
      <w:r w:rsidRPr="005864C2">
        <w:rPr>
          <w:rFonts w:ascii="Times New Roman" w:hAnsi="Times New Roman"/>
          <w:sz w:val="24"/>
          <w:szCs w:val="24"/>
          <w:lang w:val="x-none"/>
        </w:rPr>
        <w:t>уведомяване (пренотификация) пред Европейската комисия.</w:t>
      </w:r>
    </w:p>
    <w:p w14:paraId="238DE853" w14:textId="2A8ACB68" w:rsidR="001903DA" w:rsidRPr="005864C2" w:rsidRDefault="0044011D" w:rsidP="0044011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  <w:lang w:val="x-none"/>
        </w:rPr>
      </w:pPr>
      <w:r w:rsidRPr="005864C2">
        <w:rPr>
          <w:rFonts w:ascii="Times New Roman" w:hAnsi="Times New Roman"/>
          <w:sz w:val="24"/>
          <w:szCs w:val="24"/>
          <w:lang w:val="x-none"/>
        </w:rPr>
        <w:lastRenderedPageBreak/>
        <w:t xml:space="preserve">Съгласуването се осъществява </w:t>
      </w:r>
      <w:r w:rsidR="00116411" w:rsidRPr="005864C2">
        <w:rPr>
          <w:rFonts w:ascii="Times New Roman" w:hAnsi="Times New Roman"/>
          <w:sz w:val="24"/>
          <w:szCs w:val="24"/>
        </w:rPr>
        <w:t xml:space="preserve">в </w:t>
      </w:r>
      <w:r w:rsidR="005864C2" w:rsidRPr="005864C2">
        <w:rPr>
          <w:rFonts w:ascii="Times New Roman" w:hAnsi="Times New Roman"/>
          <w:sz w:val="24"/>
          <w:szCs w:val="24"/>
        </w:rPr>
        <w:t xml:space="preserve">два </w:t>
      </w:r>
      <w:r w:rsidRPr="005864C2">
        <w:rPr>
          <w:rFonts w:ascii="Times New Roman" w:hAnsi="Times New Roman"/>
          <w:sz w:val="24"/>
          <w:szCs w:val="24"/>
        </w:rPr>
        <w:t>етапа:</w:t>
      </w:r>
    </w:p>
    <w:p w14:paraId="494D1659" w14:textId="518917A5" w:rsidR="00F70F19" w:rsidRPr="005864C2" w:rsidRDefault="00F70F19" w:rsidP="00481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51F424" w14:textId="16B7AF0A" w:rsidR="004811F6" w:rsidRPr="007420A9" w:rsidRDefault="0044011D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5864C2">
        <w:rPr>
          <w:rFonts w:ascii="Times New Roman" w:hAnsi="Times New Roman"/>
          <w:sz w:val="24"/>
          <w:szCs w:val="24"/>
          <w:lang w:val="x-none"/>
        </w:rPr>
        <w:t>3.</w:t>
      </w:r>
      <w:r w:rsidR="00E30E08" w:rsidRPr="005864C2">
        <w:rPr>
          <w:rFonts w:ascii="Times New Roman" w:hAnsi="Times New Roman"/>
          <w:sz w:val="24"/>
          <w:szCs w:val="24"/>
        </w:rPr>
        <w:t>1</w:t>
      </w:r>
      <w:r w:rsidR="00A65AAD" w:rsidRPr="005864C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65AAD" w:rsidRPr="005864C2">
        <w:rPr>
          <w:rFonts w:ascii="Times New Roman" w:hAnsi="Times New Roman"/>
          <w:sz w:val="24"/>
          <w:szCs w:val="24"/>
          <w:lang w:val="en-US"/>
        </w:rPr>
        <w:t>E</w:t>
      </w:r>
      <w:r w:rsidR="00DD4E08" w:rsidRPr="005864C2">
        <w:rPr>
          <w:rFonts w:ascii="Times New Roman" w:hAnsi="Times New Roman"/>
          <w:sz w:val="24"/>
          <w:szCs w:val="24"/>
        </w:rPr>
        <w:t>тап</w:t>
      </w:r>
      <w:r w:rsidRPr="005864C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30E08" w:rsidRPr="005864C2">
        <w:rPr>
          <w:rFonts w:ascii="Times New Roman" w:hAnsi="Times New Roman"/>
          <w:sz w:val="24"/>
          <w:szCs w:val="24"/>
        </w:rPr>
        <w:t>1</w:t>
      </w:r>
      <w:r w:rsidRPr="005864C2">
        <w:rPr>
          <w:rFonts w:ascii="Times New Roman" w:hAnsi="Times New Roman"/>
          <w:sz w:val="24"/>
          <w:szCs w:val="24"/>
          <w:lang w:val="x-none"/>
        </w:rPr>
        <w:t xml:space="preserve"> "Съгласуване </w:t>
      </w:r>
      <w:r w:rsidR="00E30E08" w:rsidRPr="005864C2">
        <w:rPr>
          <w:rFonts w:ascii="Times New Roman" w:hAnsi="Times New Roman"/>
          <w:sz w:val="24"/>
          <w:szCs w:val="24"/>
        </w:rPr>
        <w:t xml:space="preserve">на </w:t>
      </w:r>
      <w:r w:rsidR="004804F4" w:rsidRPr="005864C2">
        <w:rPr>
          <w:rFonts w:ascii="Times New Roman" w:hAnsi="Times New Roman"/>
          <w:sz w:val="24"/>
          <w:szCs w:val="24"/>
        </w:rPr>
        <w:t>проектен фиш</w:t>
      </w:r>
      <w:r w:rsidR="00A65AAD" w:rsidRPr="005864C2">
        <w:rPr>
          <w:rFonts w:ascii="Times New Roman" w:hAnsi="Times New Roman"/>
          <w:sz w:val="24"/>
          <w:szCs w:val="24"/>
          <w:lang w:val="x-none"/>
        </w:rPr>
        <w:t>".</w:t>
      </w:r>
      <w:r w:rsidR="004811F6" w:rsidRPr="005864C2">
        <w:rPr>
          <w:rFonts w:ascii="Times New Roman" w:hAnsi="Times New Roman"/>
          <w:sz w:val="24"/>
          <w:szCs w:val="24"/>
        </w:rPr>
        <w:t xml:space="preserve"> </w:t>
      </w:r>
      <w:r w:rsidR="004811F6" w:rsidRPr="005864C2">
        <w:rPr>
          <w:rFonts w:ascii="Times New Roman" w:hAnsi="Times New Roman"/>
          <w:sz w:val="24"/>
          <w:szCs w:val="24"/>
          <w:lang w:val="x-none"/>
        </w:rPr>
        <w:t xml:space="preserve">На този етап се съгласува приложимостта на избрания режим по държавните помощи по проектния фиш. Съгласуването може да се извършва и </w:t>
      </w:r>
      <w:r w:rsidR="002C3F74" w:rsidRPr="005864C2">
        <w:rPr>
          <w:rFonts w:ascii="Times New Roman" w:hAnsi="Times New Roman"/>
          <w:sz w:val="24"/>
          <w:szCs w:val="24"/>
        </w:rPr>
        <w:t xml:space="preserve">по електронен път чрез изпращане </w:t>
      </w:r>
      <w:r w:rsidR="001968A9" w:rsidRPr="005864C2">
        <w:rPr>
          <w:rFonts w:ascii="Times New Roman" w:hAnsi="Times New Roman"/>
          <w:sz w:val="24"/>
          <w:szCs w:val="24"/>
        </w:rPr>
        <w:t xml:space="preserve">на проектния фиш </w:t>
      </w:r>
      <w:r w:rsidR="004811F6" w:rsidRPr="004811F6">
        <w:rPr>
          <w:rFonts w:ascii="Times New Roman" w:hAnsi="Times New Roman"/>
          <w:sz w:val="24"/>
          <w:szCs w:val="24"/>
          <w:lang w:val="x-none"/>
        </w:rPr>
        <w:t>на дирекция „Държавни помощи и реален сектор“</w:t>
      </w:r>
      <w:r w:rsidR="00C93D05">
        <w:rPr>
          <w:rFonts w:ascii="Times New Roman" w:hAnsi="Times New Roman"/>
          <w:sz w:val="24"/>
          <w:szCs w:val="24"/>
        </w:rPr>
        <w:t>,</w:t>
      </w:r>
      <w:r w:rsidR="001B13B1">
        <w:rPr>
          <w:rFonts w:ascii="Times New Roman" w:hAnsi="Times New Roman"/>
          <w:sz w:val="24"/>
          <w:szCs w:val="24"/>
        </w:rPr>
        <w:t xml:space="preserve"> </w:t>
      </w:r>
      <w:r w:rsidR="004811F6" w:rsidRPr="004811F6">
        <w:rPr>
          <w:rFonts w:ascii="Times New Roman" w:hAnsi="Times New Roman"/>
          <w:sz w:val="24"/>
          <w:szCs w:val="24"/>
          <w:lang w:val="x-none"/>
        </w:rPr>
        <w:t>кат</w:t>
      </w:r>
      <w:r w:rsidR="009C3200">
        <w:rPr>
          <w:rFonts w:ascii="Times New Roman" w:hAnsi="Times New Roman"/>
          <w:sz w:val="24"/>
          <w:szCs w:val="24"/>
        </w:rPr>
        <w:t>о</w:t>
      </w:r>
      <w:r w:rsidR="004811F6" w:rsidRPr="004811F6">
        <w:rPr>
          <w:rFonts w:ascii="Times New Roman" w:hAnsi="Times New Roman"/>
          <w:sz w:val="24"/>
          <w:szCs w:val="24"/>
          <w:lang w:val="x-none"/>
        </w:rPr>
        <w:t xml:space="preserve"> изразяв</w:t>
      </w:r>
      <w:r w:rsidR="007E0E67">
        <w:rPr>
          <w:rFonts w:ascii="Times New Roman" w:hAnsi="Times New Roman"/>
          <w:sz w:val="24"/>
          <w:szCs w:val="24"/>
        </w:rPr>
        <w:t xml:space="preserve">а </w:t>
      </w:r>
      <w:r w:rsidR="004811F6" w:rsidRPr="004811F6">
        <w:rPr>
          <w:rFonts w:ascii="Times New Roman" w:hAnsi="Times New Roman"/>
          <w:sz w:val="24"/>
          <w:szCs w:val="24"/>
          <w:lang w:val="x-none"/>
        </w:rPr>
        <w:t>методически насоки по съдържанието на проектния фиш, с цел осигуряване на съответствие със законодателството по държавните помощи.</w:t>
      </w:r>
      <w:r w:rsidR="00CB50A8">
        <w:rPr>
          <w:rFonts w:ascii="Times New Roman" w:hAnsi="Times New Roman"/>
          <w:sz w:val="24"/>
          <w:szCs w:val="24"/>
        </w:rPr>
        <w:t xml:space="preserve">  </w:t>
      </w:r>
    </w:p>
    <w:p w14:paraId="1F243920" w14:textId="474897EC" w:rsidR="004811F6" w:rsidRPr="004811F6" w:rsidRDefault="004811F6" w:rsidP="007420A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4811F6">
        <w:rPr>
          <w:rFonts w:ascii="Times New Roman" w:hAnsi="Times New Roman"/>
          <w:sz w:val="24"/>
          <w:szCs w:val="24"/>
          <w:lang w:val="x-none"/>
        </w:rPr>
        <w:t xml:space="preserve">3.1.1. Срокът за изразяване на методическите насоки </w:t>
      </w:r>
      <w:r w:rsidR="00EF7AD2">
        <w:rPr>
          <w:rFonts w:ascii="Times New Roman" w:hAnsi="Times New Roman"/>
          <w:sz w:val="24"/>
          <w:szCs w:val="24"/>
        </w:rPr>
        <w:t xml:space="preserve">по т. 3.1 </w:t>
      </w:r>
      <w:r w:rsidRPr="004811F6">
        <w:rPr>
          <w:rFonts w:ascii="Times New Roman" w:hAnsi="Times New Roman"/>
          <w:sz w:val="24"/>
          <w:szCs w:val="24"/>
          <w:lang w:val="x-none"/>
        </w:rPr>
        <w:t>е до 5 работни дни от постъпване на документите.</w:t>
      </w:r>
    </w:p>
    <w:p w14:paraId="3917208E" w14:textId="32AA388F" w:rsidR="00E93F7A" w:rsidRDefault="004811F6" w:rsidP="007420A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4811F6">
        <w:rPr>
          <w:rFonts w:ascii="Times New Roman" w:hAnsi="Times New Roman"/>
          <w:sz w:val="24"/>
          <w:szCs w:val="24"/>
          <w:lang w:val="x-none"/>
        </w:rPr>
        <w:t>3.1.2. При изразяване на писмени коментари и становища по проектния фиш от страна на Е</w:t>
      </w:r>
      <w:r w:rsidR="00F91A49">
        <w:rPr>
          <w:rFonts w:ascii="Times New Roman" w:hAnsi="Times New Roman"/>
          <w:sz w:val="24"/>
          <w:szCs w:val="24"/>
        </w:rPr>
        <w:t>вропейската комисия</w:t>
      </w:r>
      <w:r w:rsidRPr="004811F6">
        <w:rPr>
          <w:rFonts w:ascii="Times New Roman" w:hAnsi="Times New Roman"/>
          <w:sz w:val="24"/>
          <w:szCs w:val="24"/>
          <w:lang w:val="x-none"/>
        </w:rPr>
        <w:t xml:space="preserve">, същите се предоставят своевременно за информация на Министерство на финансите </w:t>
      </w:r>
      <w:r w:rsidR="00E53B8F" w:rsidRPr="00E53B8F">
        <w:rPr>
          <w:rFonts w:ascii="Times New Roman" w:hAnsi="Times New Roman"/>
          <w:sz w:val="24"/>
          <w:szCs w:val="24"/>
        </w:rPr>
        <w:t xml:space="preserve">по електронен път </w:t>
      </w:r>
      <w:r w:rsidR="00704E21" w:rsidRPr="00704E21">
        <w:rPr>
          <w:rFonts w:ascii="Times New Roman" w:hAnsi="Times New Roman"/>
          <w:sz w:val="24"/>
          <w:szCs w:val="24"/>
        </w:rPr>
        <w:t xml:space="preserve">чрез изпращане </w:t>
      </w:r>
      <w:r w:rsidRPr="004811F6">
        <w:rPr>
          <w:rFonts w:ascii="Times New Roman" w:hAnsi="Times New Roman"/>
          <w:sz w:val="24"/>
          <w:szCs w:val="24"/>
          <w:lang w:val="x-none"/>
        </w:rPr>
        <w:t>на следн</w:t>
      </w:r>
      <w:r w:rsidR="00E54DDF">
        <w:rPr>
          <w:rFonts w:ascii="Times New Roman" w:hAnsi="Times New Roman"/>
          <w:sz w:val="24"/>
          <w:szCs w:val="24"/>
        </w:rPr>
        <w:t xml:space="preserve">ата електронна поща: </w:t>
      </w:r>
      <w:hyperlink r:id="rId8" w:history="1">
        <w:r w:rsidR="007420A9" w:rsidRPr="000722AA">
          <w:rPr>
            <w:rStyle w:val="Hyperlink"/>
            <w:rFonts w:ascii="Times New Roman" w:hAnsi="Times New Roman"/>
            <w:sz w:val="24"/>
            <w:szCs w:val="24"/>
            <w:lang w:val="x-none"/>
          </w:rPr>
          <w:t>stateaid@minfin.bg</w:t>
        </w:r>
      </w:hyperlink>
      <w:r w:rsidR="007420A9">
        <w:rPr>
          <w:rFonts w:ascii="Times New Roman" w:hAnsi="Times New Roman"/>
          <w:sz w:val="24"/>
          <w:szCs w:val="24"/>
        </w:rPr>
        <w:t>.</w:t>
      </w:r>
    </w:p>
    <w:p w14:paraId="4748CA0B" w14:textId="68F37EB9" w:rsidR="00374C05" w:rsidRDefault="00467244" w:rsidP="00116411">
      <w:pPr>
        <w:pStyle w:val="ListParagraph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540" w:hanging="114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6159B1" w:rsidRPr="00374C05">
        <w:rPr>
          <w:rFonts w:ascii="Times New Roman" w:hAnsi="Times New Roman"/>
          <w:sz w:val="24"/>
          <w:szCs w:val="24"/>
        </w:rPr>
        <w:t>Е</w:t>
      </w:r>
      <w:r w:rsidR="0044011D" w:rsidRPr="00374C05">
        <w:rPr>
          <w:rFonts w:ascii="Times New Roman" w:hAnsi="Times New Roman"/>
          <w:sz w:val="24"/>
          <w:szCs w:val="24"/>
          <w:lang w:val="x-none"/>
        </w:rPr>
        <w:t xml:space="preserve">тап </w:t>
      </w:r>
      <w:r>
        <w:rPr>
          <w:rFonts w:ascii="Times New Roman" w:hAnsi="Times New Roman"/>
          <w:sz w:val="24"/>
          <w:szCs w:val="24"/>
        </w:rPr>
        <w:t>2</w:t>
      </w:r>
      <w:r w:rsidR="0044011D" w:rsidRPr="00374C05">
        <w:rPr>
          <w:rFonts w:ascii="Times New Roman" w:hAnsi="Times New Roman"/>
          <w:sz w:val="24"/>
          <w:szCs w:val="24"/>
          <w:lang w:val="x-none"/>
        </w:rPr>
        <w:t xml:space="preserve"> "</w:t>
      </w:r>
      <w:r w:rsidR="004804F4">
        <w:rPr>
          <w:rFonts w:ascii="Times New Roman" w:hAnsi="Times New Roman"/>
          <w:sz w:val="24"/>
          <w:szCs w:val="24"/>
        </w:rPr>
        <w:t>С</w:t>
      </w:r>
      <w:r w:rsidR="0044011D" w:rsidRPr="00374C05">
        <w:rPr>
          <w:rFonts w:ascii="Times New Roman" w:hAnsi="Times New Roman"/>
          <w:sz w:val="24"/>
          <w:szCs w:val="24"/>
          <w:lang w:val="x-none"/>
        </w:rPr>
        <w:t>ъгласуване</w:t>
      </w:r>
      <w:r w:rsidR="004804F4">
        <w:rPr>
          <w:rFonts w:ascii="Times New Roman" w:hAnsi="Times New Roman"/>
          <w:sz w:val="24"/>
          <w:szCs w:val="24"/>
        </w:rPr>
        <w:t xml:space="preserve"> на </w:t>
      </w:r>
      <w:r w:rsidR="00B11D44">
        <w:rPr>
          <w:rFonts w:ascii="Times New Roman" w:hAnsi="Times New Roman"/>
          <w:sz w:val="24"/>
          <w:szCs w:val="24"/>
        </w:rPr>
        <w:t xml:space="preserve">документи по </w:t>
      </w:r>
      <w:r w:rsidR="004804F4">
        <w:rPr>
          <w:rFonts w:ascii="Times New Roman" w:hAnsi="Times New Roman"/>
          <w:sz w:val="24"/>
          <w:szCs w:val="24"/>
        </w:rPr>
        <w:t xml:space="preserve">одобрени </w:t>
      </w:r>
      <w:r w:rsidR="00B11D44">
        <w:rPr>
          <w:rFonts w:ascii="Times New Roman" w:hAnsi="Times New Roman"/>
          <w:sz w:val="24"/>
          <w:szCs w:val="24"/>
        </w:rPr>
        <w:t xml:space="preserve">за изпълнение </w:t>
      </w:r>
      <w:r w:rsidR="004804F4">
        <w:rPr>
          <w:rFonts w:ascii="Times New Roman" w:hAnsi="Times New Roman"/>
          <w:sz w:val="24"/>
          <w:szCs w:val="24"/>
        </w:rPr>
        <w:t>от ЕК проекти</w:t>
      </w:r>
      <w:r w:rsidR="0044011D" w:rsidRPr="00374C05">
        <w:rPr>
          <w:rFonts w:ascii="Times New Roman" w:hAnsi="Times New Roman"/>
          <w:sz w:val="24"/>
          <w:szCs w:val="24"/>
          <w:lang w:val="x-none"/>
        </w:rPr>
        <w:t>".</w:t>
      </w:r>
      <w:r w:rsidR="00374C05" w:rsidRPr="00374C05">
        <w:rPr>
          <w:rFonts w:ascii="Times New Roman" w:hAnsi="Times New Roman"/>
          <w:sz w:val="24"/>
          <w:szCs w:val="24"/>
        </w:rPr>
        <w:t xml:space="preserve"> </w:t>
      </w:r>
    </w:p>
    <w:p w14:paraId="1257E9BD" w14:textId="67886C8B" w:rsidR="004804F4" w:rsidRDefault="004804F4" w:rsidP="00742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x-none"/>
        </w:rPr>
        <w:t>ъгласуван</w:t>
      </w:r>
      <w:r>
        <w:rPr>
          <w:rFonts w:ascii="Times New Roman" w:hAnsi="Times New Roman"/>
          <w:sz w:val="24"/>
          <w:szCs w:val="24"/>
        </w:rPr>
        <w:t>ето</w:t>
      </w:r>
      <w:r>
        <w:rPr>
          <w:rFonts w:ascii="Times New Roman" w:hAnsi="Times New Roman"/>
          <w:sz w:val="24"/>
          <w:szCs w:val="24"/>
          <w:lang w:val="x-none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всички </w:t>
      </w:r>
      <w:r>
        <w:rPr>
          <w:rFonts w:ascii="Times New Roman" w:hAnsi="Times New Roman"/>
          <w:sz w:val="24"/>
          <w:szCs w:val="24"/>
          <w:lang w:val="x-none"/>
        </w:rPr>
        <w:t xml:space="preserve">документи по </w:t>
      </w:r>
      <w:r>
        <w:rPr>
          <w:rFonts w:ascii="Times New Roman" w:hAnsi="Times New Roman"/>
          <w:sz w:val="24"/>
          <w:szCs w:val="24"/>
        </w:rPr>
        <w:t>даден проект, който вече е одобрен от ЕК,</w:t>
      </w:r>
      <w:r>
        <w:rPr>
          <w:rFonts w:ascii="Times New Roman" w:hAnsi="Times New Roman"/>
          <w:sz w:val="24"/>
          <w:szCs w:val="24"/>
          <w:lang w:val="x-none"/>
        </w:rPr>
        <w:t xml:space="preserve"> се осъществява преди датата на утвърждаване</w:t>
      </w:r>
      <w:r>
        <w:rPr>
          <w:rFonts w:ascii="Times New Roman" w:hAnsi="Times New Roman"/>
          <w:sz w:val="24"/>
          <w:szCs w:val="24"/>
        </w:rPr>
        <w:t>то им</w:t>
      </w:r>
      <w:r>
        <w:rPr>
          <w:rFonts w:ascii="Times New Roman" w:hAnsi="Times New Roman"/>
          <w:sz w:val="24"/>
          <w:szCs w:val="24"/>
          <w:lang w:val="x-none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съответното </w:t>
      </w:r>
      <w:r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министерств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ли</w:t>
      </w:r>
      <w:r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ведомств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о, отговорно за изпълнението на проекта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14:paraId="44AE6188" w14:textId="3E68DA80" w:rsidR="00116411" w:rsidRDefault="004804F4" w:rsidP="007420A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93F7A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2</w:t>
      </w:r>
      <w:r w:rsidRPr="00E93F7A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Мини</w:t>
      </w:r>
      <w:r w:rsidRPr="006A6D71">
        <w:rPr>
          <w:rFonts w:ascii="Times New Roman" w:hAnsi="Times New Roman"/>
          <w:sz w:val="24"/>
          <w:szCs w:val="24"/>
        </w:rPr>
        <w:t>ст</w:t>
      </w:r>
      <w:r w:rsidR="006A6D71" w:rsidRPr="006A6D71">
        <w:rPr>
          <w:rFonts w:ascii="Times New Roman" w:hAnsi="Times New Roman"/>
          <w:sz w:val="24"/>
          <w:szCs w:val="24"/>
        </w:rPr>
        <w:t>ъ</w:t>
      </w:r>
      <w:r w:rsidRPr="006A6D71">
        <w:rPr>
          <w:rFonts w:ascii="Times New Roman" w:hAnsi="Times New Roman"/>
          <w:sz w:val="24"/>
          <w:szCs w:val="24"/>
        </w:rPr>
        <w:t>р</w:t>
      </w:r>
      <w:r w:rsidR="006A6D71" w:rsidRPr="007420A9">
        <w:rPr>
          <w:rFonts w:ascii="Times New Roman" w:hAnsi="Times New Roman"/>
          <w:sz w:val="24"/>
          <w:szCs w:val="24"/>
        </w:rPr>
        <w:t>ът</w:t>
      </w:r>
      <w:r>
        <w:rPr>
          <w:rFonts w:ascii="Times New Roman" w:hAnsi="Times New Roman"/>
          <w:sz w:val="24"/>
          <w:szCs w:val="24"/>
        </w:rPr>
        <w:t xml:space="preserve"> на финансите  </w:t>
      </w:r>
      <w:r>
        <w:rPr>
          <w:rFonts w:ascii="Times New Roman" w:hAnsi="Times New Roman"/>
          <w:sz w:val="24"/>
          <w:szCs w:val="24"/>
          <w:lang w:val="x-none"/>
        </w:rPr>
        <w:t>изразява</w:t>
      </w:r>
      <w:r w:rsidR="009D69B4">
        <w:rPr>
          <w:rFonts w:ascii="Times New Roman" w:hAnsi="Times New Roman"/>
          <w:sz w:val="24"/>
          <w:szCs w:val="24"/>
        </w:rPr>
        <w:t xml:space="preserve"> писмено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C0807" w:rsidRPr="00374C05">
        <w:rPr>
          <w:rFonts w:ascii="Times New Roman" w:hAnsi="Times New Roman"/>
          <w:sz w:val="24"/>
          <w:szCs w:val="24"/>
          <w:lang w:val="x-none"/>
        </w:rPr>
        <w:t xml:space="preserve">становище относно съответствието на </w:t>
      </w:r>
      <w:r w:rsidR="007C0807">
        <w:rPr>
          <w:rFonts w:ascii="Times New Roman" w:hAnsi="Times New Roman"/>
          <w:sz w:val="24"/>
          <w:szCs w:val="24"/>
        </w:rPr>
        <w:t>проекта</w:t>
      </w:r>
      <w:r w:rsidR="007C0807" w:rsidRPr="00374C05">
        <w:rPr>
          <w:rFonts w:ascii="Times New Roman" w:hAnsi="Times New Roman"/>
          <w:sz w:val="24"/>
          <w:szCs w:val="24"/>
          <w:lang w:val="x-none"/>
        </w:rPr>
        <w:t xml:space="preserve"> с правилата на държавните помощи</w:t>
      </w:r>
      <w:r w:rsidR="00B22C3A">
        <w:rPr>
          <w:rFonts w:ascii="Times New Roman" w:hAnsi="Times New Roman"/>
          <w:sz w:val="24"/>
          <w:szCs w:val="24"/>
          <w:lang w:val="x-none"/>
        </w:rPr>
        <w:t>,</w:t>
      </w:r>
      <w:r w:rsidR="004811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въз основа на</w:t>
      </w:r>
      <w:r>
        <w:rPr>
          <w:rFonts w:ascii="Times New Roman" w:hAnsi="Times New Roman"/>
          <w:sz w:val="24"/>
          <w:szCs w:val="24"/>
        </w:rPr>
        <w:t xml:space="preserve"> документите </w:t>
      </w:r>
      <w:r>
        <w:rPr>
          <w:rFonts w:ascii="Times New Roman" w:hAnsi="Times New Roman"/>
          <w:sz w:val="24"/>
          <w:szCs w:val="24"/>
          <w:lang w:val="x-none"/>
        </w:rPr>
        <w:t xml:space="preserve">по </w:t>
      </w:r>
      <w:r>
        <w:rPr>
          <w:rFonts w:ascii="Times New Roman" w:hAnsi="Times New Roman"/>
          <w:sz w:val="24"/>
          <w:szCs w:val="24"/>
        </w:rPr>
        <w:t>т.3.2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, които следва да</w:t>
      </w:r>
      <w:r>
        <w:rPr>
          <w:rFonts w:ascii="Times New Roman" w:hAnsi="Times New Roman"/>
          <w:sz w:val="24"/>
          <w:szCs w:val="24"/>
          <w:lang w:val="x-none"/>
        </w:rPr>
        <w:t xml:space="preserve"> съдържат най-малко информацията определена </w:t>
      </w:r>
      <w:r>
        <w:rPr>
          <w:rFonts w:ascii="Times New Roman" w:hAnsi="Times New Roman"/>
          <w:sz w:val="24"/>
          <w:szCs w:val="24"/>
        </w:rPr>
        <w:t>в т.4</w:t>
      </w:r>
      <w:r>
        <w:rPr>
          <w:rFonts w:ascii="Times New Roman" w:hAnsi="Times New Roman"/>
          <w:sz w:val="24"/>
          <w:szCs w:val="24"/>
          <w:lang w:val="x-none"/>
        </w:rPr>
        <w:t>.</w:t>
      </w:r>
      <w:r w:rsidR="00116411">
        <w:rPr>
          <w:rFonts w:ascii="Times New Roman" w:hAnsi="Times New Roman"/>
          <w:sz w:val="24"/>
          <w:szCs w:val="24"/>
        </w:rPr>
        <w:t xml:space="preserve"> </w:t>
      </w:r>
      <w:r w:rsidR="00DE2126">
        <w:rPr>
          <w:rFonts w:ascii="Times New Roman" w:hAnsi="Times New Roman"/>
          <w:sz w:val="24"/>
          <w:szCs w:val="24"/>
        </w:rPr>
        <w:t xml:space="preserve">Срокът, в който министърът на финансите </w:t>
      </w:r>
      <w:r w:rsidR="00B11D44">
        <w:rPr>
          <w:rFonts w:ascii="Times New Roman" w:hAnsi="Times New Roman"/>
          <w:sz w:val="24"/>
          <w:szCs w:val="24"/>
        </w:rPr>
        <w:t>изразява</w:t>
      </w:r>
      <w:r w:rsidR="00DE2126">
        <w:rPr>
          <w:rFonts w:ascii="Times New Roman" w:hAnsi="Times New Roman"/>
          <w:sz w:val="24"/>
          <w:szCs w:val="24"/>
        </w:rPr>
        <w:t xml:space="preserve"> становище е</w:t>
      </w:r>
      <w:r w:rsidR="00B11D44">
        <w:rPr>
          <w:rFonts w:ascii="Times New Roman" w:hAnsi="Times New Roman"/>
          <w:sz w:val="24"/>
          <w:szCs w:val="24"/>
        </w:rPr>
        <w:t xml:space="preserve"> </w:t>
      </w:r>
      <w:r w:rsidR="00B11D44">
        <w:rPr>
          <w:rFonts w:ascii="Times New Roman" w:hAnsi="Times New Roman"/>
          <w:sz w:val="24"/>
          <w:szCs w:val="24"/>
          <w:lang w:val="x-none"/>
        </w:rPr>
        <w:t xml:space="preserve">до </w:t>
      </w:r>
      <w:r w:rsidR="007F580B" w:rsidRPr="007420A9">
        <w:rPr>
          <w:rFonts w:ascii="Times New Roman" w:hAnsi="Times New Roman"/>
          <w:sz w:val="24"/>
          <w:szCs w:val="24"/>
          <w:lang w:val="x-none"/>
        </w:rPr>
        <w:t>1</w:t>
      </w:r>
      <w:r w:rsidR="007F580B">
        <w:rPr>
          <w:rFonts w:ascii="Times New Roman" w:hAnsi="Times New Roman"/>
          <w:sz w:val="24"/>
          <w:szCs w:val="24"/>
        </w:rPr>
        <w:t>0</w:t>
      </w:r>
      <w:r w:rsidR="007F580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11D44">
        <w:rPr>
          <w:rFonts w:ascii="Times New Roman" w:hAnsi="Times New Roman"/>
          <w:sz w:val="24"/>
          <w:szCs w:val="24"/>
          <w:lang w:val="x-none"/>
        </w:rPr>
        <w:t xml:space="preserve">работни дни от датата на </w:t>
      </w:r>
      <w:r w:rsidR="005B5AAC">
        <w:rPr>
          <w:rFonts w:ascii="Times New Roman" w:hAnsi="Times New Roman"/>
          <w:sz w:val="24"/>
          <w:szCs w:val="24"/>
        </w:rPr>
        <w:t>регистриране</w:t>
      </w:r>
      <w:r w:rsidR="005B5AA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11D44">
        <w:rPr>
          <w:rFonts w:ascii="Times New Roman" w:hAnsi="Times New Roman"/>
          <w:sz w:val="24"/>
          <w:szCs w:val="24"/>
          <w:lang w:val="x-none"/>
        </w:rPr>
        <w:t xml:space="preserve">на документите </w:t>
      </w:r>
      <w:r w:rsidR="00DE2126">
        <w:rPr>
          <w:rFonts w:ascii="Times New Roman" w:hAnsi="Times New Roman"/>
          <w:sz w:val="24"/>
          <w:szCs w:val="24"/>
        </w:rPr>
        <w:t xml:space="preserve">по проекта </w:t>
      </w:r>
      <w:r w:rsidR="00B11D44">
        <w:rPr>
          <w:rFonts w:ascii="Times New Roman" w:hAnsi="Times New Roman"/>
          <w:sz w:val="24"/>
          <w:szCs w:val="24"/>
          <w:lang w:val="x-none"/>
        </w:rPr>
        <w:t>в деловодството на Министерството на финансите.</w:t>
      </w:r>
    </w:p>
    <w:p w14:paraId="1B58DD9D" w14:textId="167692C9" w:rsidR="007E3C82" w:rsidRDefault="004804F4" w:rsidP="007420A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3.2.2.</w:t>
      </w:r>
      <w:r w:rsidR="00C074A9" w:rsidRPr="00C074A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F28FC" w:rsidRPr="00DF28FC">
        <w:rPr>
          <w:rFonts w:ascii="Times New Roman" w:hAnsi="Times New Roman"/>
          <w:sz w:val="24"/>
          <w:szCs w:val="24"/>
          <w:lang w:val="x-none"/>
        </w:rPr>
        <w:t xml:space="preserve">Съгласуването  се преустановява при непредставяне </w:t>
      </w:r>
      <w:r w:rsidR="00DF28FC" w:rsidRPr="00DF28FC">
        <w:rPr>
          <w:rFonts w:ascii="Times New Roman" w:hAnsi="Times New Roman"/>
          <w:sz w:val="24"/>
          <w:szCs w:val="24"/>
        </w:rPr>
        <w:t>от ресорните министерства и ведомствата, които отговарят за изпълнението на съгласувания проект,</w:t>
      </w:r>
      <w:r w:rsidR="00DF28FC" w:rsidRPr="00DF28FC">
        <w:rPr>
          <w:rFonts w:ascii="Times New Roman" w:hAnsi="Times New Roman"/>
          <w:sz w:val="24"/>
          <w:szCs w:val="24"/>
          <w:lang w:val="x-none"/>
        </w:rPr>
        <w:t xml:space="preserve"> на който и да е от документите, необходими за определяне на съответствието на мярката с режима на държавните/минималните помощи, респективно на тези, които са извън обхвата на чл. 107, параграф 1 от ДФЕС.</w:t>
      </w:r>
      <w:r w:rsidR="00DF28FC">
        <w:rPr>
          <w:rFonts w:ascii="Times New Roman" w:hAnsi="Times New Roman"/>
          <w:sz w:val="24"/>
          <w:szCs w:val="24"/>
        </w:rPr>
        <w:t xml:space="preserve"> </w:t>
      </w:r>
    </w:p>
    <w:p w14:paraId="2E4C5382" w14:textId="008C71E1" w:rsidR="00DF28FC" w:rsidRPr="00D06364" w:rsidRDefault="007E3C82" w:rsidP="007420A9">
      <w:pPr>
        <w:widowControl w:val="0"/>
        <w:tabs>
          <w:tab w:val="left" w:pos="155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3.2.2.1. </w:t>
      </w:r>
      <w:r w:rsidR="00126E50">
        <w:rPr>
          <w:rFonts w:ascii="Times New Roman" w:hAnsi="Times New Roman"/>
          <w:sz w:val="24"/>
          <w:szCs w:val="24"/>
        </w:rPr>
        <w:t>С</w:t>
      </w:r>
      <w:r w:rsidR="00BB5053" w:rsidRPr="00BB5053">
        <w:rPr>
          <w:rFonts w:ascii="Times New Roman" w:hAnsi="Times New Roman"/>
          <w:sz w:val="24"/>
          <w:szCs w:val="24"/>
        </w:rPr>
        <w:t xml:space="preserve">ъответното ресорно министерство или ведомство, което отговаря за изпълнението на съгласувания проект се </w:t>
      </w:r>
      <w:r w:rsidR="00126E50">
        <w:rPr>
          <w:rFonts w:ascii="Times New Roman" w:hAnsi="Times New Roman"/>
          <w:sz w:val="24"/>
          <w:szCs w:val="24"/>
        </w:rPr>
        <w:t>уведомява за</w:t>
      </w:r>
      <w:r w:rsidR="00D06364">
        <w:rPr>
          <w:rFonts w:ascii="Times New Roman" w:hAnsi="Times New Roman"/>
          <w:sz w:val="24"/>
          <w:szCs w:val="24"/>
        </w:rPr>
        <w:t xml:space="preserve"> липсващите документи, като </w:t>
      </w:r>
      <w:r w:rsidR="00D06364">
        <w:rPr>
          <w:rFonts w:ascii="Times New Roman" w:hAnsi="Times New Roman"/>
          <w:sz w:val="24"/>
          <w:szCs w:val="24"/>
          <w:lang w:val="x-none"/>
        </w:rPr>
        <w:t>съгласуването по т. 3.2. се възобновява</w:t>
      </w:r>
      <w:r w:rsidR="00D06364">
        <w:rPr>
          <w:rFonts w:ascii="Times New Roman" w:hAnsi="Times New Roman"/>
          <w:sz w:val="24"/>
          <w:szCs w:val="24"/>
        </w:rPr>
        <w:t xml:space="preserve"> след тяхното предоставяне. </w:t>
      </w:r>
    </w:p>
    <w:p w14:paraId="4A7A76CB" w14:textId="4637AD05" w:rsidR="00597458" w:rsidRDefault="00DF28FC" w:rsidP="007420A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8FC">
        <w:rPr>
          <w:rFonts w:ascii="Times New Roman" w:hAnsi="Times New Roman"/>
          <w:sz w:val="24"/>
          <w:szCs w:val="24"/>
        </w:rPr>
        <w:t>3.2.</w:t>
      </w:r>
      <w:r w:rsidR="007E3C82">
        <w:rPr>
          <w:rFonts w:ascii="Times New Roman" w:hAnsi="Times New Roman"/>
          <w:sz w:val="24"/>
          <w:szCs w:val="24"/>
        </w:rPr>
        <w:t>2.2</w:t>
      </w:r>
      <w:r w:rsidRPr="00DF28FC">
        <w:rPr>
          <w:rFonts w:ascii="Times New Roman" w:hAnsi="Times New Roman"/>
          <w:sz w:val="24"/>
          <w:szCs w:val="24"/>
        </w:rPr>
        <w:t xml:space="preserve"> </w:t>
      </w:r>
      <w:r w:rsidR="00597458" w:rsidRPr="00597458">
        <w:rPr>
          <w:rFonts w:ascii="Times New Roman" w:hAnsi="Times New Roman"/>
          <w:sz w:val="24"/>
          <w:szCs w:val="24"/>
        </w:rPr>
        <w:t>В случаите на възобновено съгласуване по</w:t>
      </w:r>
      <w:r w:rsidR="00597458">
        <w:rPr>
          <w:rFonts w:ascii="Times New Roman" w:hAnsi="Times New Roman"/>
          <w:sz w:val="24"/>
          <w:szCs w:val="24"/>
        </w:rPr>
        <w:t xml:space="preserve"> т. 3.2.2.1. м</w:t>
      </w:r>
      <w:r w:rsidR="00D34E07">
        <w:rPr>
          <w:rFonts w:ascii="Times New Roman" w:hAnsi="Times New Roman"/>
          <w:sz w:val="24"/>
          <w:szCs w:val="24"/>
        </w:rPr>
        <w:t>и</w:t>
      </w:r>
      <w:r w:rsidR="00D34E07" w:rsidRPr="00E63FB4">
        <w:rPr>
          <w:rFonts w:ascii="Times New Roman" w:hAnsi="Times New Roman"/>
          <w:sz w:val="24"/>
          <w:szCs w:val="24"/>
        </w:rPr>
        <w:t>нистърът на финансите</w:t>
      </w:r>
      <w:r w:rsidR="00D34E07">
        <w:rPr>
          <w:rFonts w:ascii="Times New Roman" w:hAnsi="Times New Roman"/>
          <w:sz w:val="24"/>
          <w:szCs w:val="24"/>
        </w:rPr>
        <w:t xml:space="preserve"> </w:t>
      </w:r>
      <w:r w:rsidRPr="00DF28F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97458" w:rsidRPr="00597458">
        <w:rPr>
          <w:rFonts w:ascii="Times New Roman" w:hAnsi="Times New Roman"/>
          <w:sz w:val="24"/>
          <w:szCs w:val="24"/>
        </w:rPr>
        <w:t xml:space="preserve">изразява </w:t>
      </w:r>
      <w:r w:rsidR="00A00F7F">
        <w:rPr>
          <w:rFonts w:ascii="Times New Roman" w:hAnsi="Times New Roman"/>
          <w:sz w:val="24"/>
          <w:szCs w:val="24"/>
        </w:rPr>
        <w:t xml:space="preserve">писмено </w:t>
      </w:r>
      <w:r w:rsidR="00597458" w:rsidRPr="00597458">
        <w:rPr>
          <w:rFonts w:ascii="Times New Roman" w:hAnsi="Times New Roman"/>
          <w:sz w:val="24"/>
          <w:szCs w:val="24"/>
        </w:rPr>
        <w:t>становище</w:t>
      </w:r>
      <w:r w:rsidR="00A00F7F">
        <w:rPr>
          <w:rFonts w:ascii="Times New Roman" w:hAnsi="Times New Roman"/>
          <w:sz w:val="24"/>
          <w:szCs w:val="24"/>
        </w:rPr>
        <w:t xml:space="preserve"> </w:t>
      </w:r>
      <w:r w:rsidR="00A00F7F" w:rsidRPr="00A00F7F">
        <w:rPr>
          <w:rFonts w:ascii="Times New Roman" w:hAnsi="Times New Roman"/>
          <w:sz w:val="24"/>
          <w:szCs w:val="24"/>
          <w:lang w:val="x-none"/>
        </w:rPr>
        <w:t xml:space="preserve">относно съответствието на </w:t>
      </w:r>
      <w:r w:rsidR="00A00F7F" w:rsidRPr="00A00F7F">
        <w:rPr>
          <w:rFonts w:ascii="Times New Roman" w:hAnsi="Times New Roman"/>
          <w:sz w:val="24"/>
          <w:szCs w:val="24"/>
        </w:rPr>
        <w:t>проекта</w:t>
      </w:r>
      <w:r w:rsidR="00A00F7F" w:rsidRPr="00A00F7F">
        <w:rPr>
          <w:rFonts w:ascii="Times New Roman" w:hAnsi="Times New Roman"/>
          <w:sz w:val="24"/>
          <w:szCs w:val="24"/>
          <w:lang w:val="x-none"/>
        </w:rPr>
        <w:t xml:space="preserve"> с правилата на държавните помощи</w:t>
      </w:r>
      <w:r w:rsidR="00A00F7F" w:rsidRPr="00A00F7F">
        <w:rPr>
          <w:rFonts w:ascii="Times New Roman" w:hAnsi="Times New Roman"/>
          <w:sz w:val="24"/>
          <w:szCs w:val="24"/>
        </w:rPr>
        <w:t xml:space="preserve"> </w:t>
      </w:r>
      <w:r w:rsidR="00597458" w:rsidRPr="00597458">
        <w:rPr>
          <w:rFonts w:ascii="Times New Roman" w:hAnsi="Times New Roman"/>
          <w:sz w:val="24"/>
          <w:szCs w:val="24"/>
        </w:rPr>
        <w:t xml:space="preserve">в срок до </w:t>
      </w:r>
      <w:r w:rsidR="007F580B" w:rsidRPr="007420A9">
        <w:rPr>
          <w:rFonts w:ascii="Times New Roman" w:hAnsi="Times New Roman"/>
          <w:sz w:val="24"/>
          <w:szCs w:val="24"/>
        </w:rPr>
        <w:t>1</w:t>
      </w:r>
      <w:r w:rsidR="007F580B">
        <w:rPr>
          <w:rFonts w:ascii="Times New Roman" w:hAnsi="Times New Roman"/>
          <w:sz w:val="24"/>
          <w:szCs w:val="24"/>
        </w:rPr>
        <w:t>0</w:t>
      </w:r>
      <w:r w:rsidR="007F580B" w:rsidRPr="00597458">
        <w:rPr>
          <w:rFonts w:ascii="Times New Roman" w:hAnsi="Times New Roman"/>
          <w:sz w:val="24"/>
          <w:szCs w:val="24"/>
        </w:rPr>
        <w:t xml:space="preserve"> </w:t>
      </w:r>
      <w:r w:rsidR="00597458" w:rsidRPr="00597458">
        <w:rPr>
          <w:rFonts w:ascii="Times New Roman" w:hAnsi="Times New Roman"/>
          <w:sz w:val="24"/>
          <w:szCs w:val="24"/>
        </w:rPr>
        <w:t>работни дн</w:t>
      </w:r>
      <w:r w:rsidR="00597458">
        <w:rPr>
          <w:rFonts w:ascii="Times New Roman" w:hAnsi="Times New Roman"/>
          <w:sz w:val="24"/>
          <w:szCs w:val="24"/>
        </w:rPr>
        <w:t>и от датата на постъпването</w:t>
      </w:r>
      <w:r w:rsidR="00597458" w:rsidRPr="00597458">
        <w:rPr>
          <w:rFonts w:ascii="Times New Roman" w:hAnsi="Times New Roman"/>
          <w:sz w:val="24"/>
          <w:szCs w:val="24"/>
        </w:rPr>
        <w:t xml:space="preserve"> </w:t>
      </w:r>
      <w:r w:rsidRPr="00DF28FC">
        <w:rPr>
          <w:rFonts w:ascii="Times New Roman" w:hAnsi="Times New Roman"/>
          <w:sz w:val="24"/>
          <w:szCs w:val="24"/>
          <w:lang w:val="x-none"/>
        </w:rPr>
        <w:t xml:space="preserve"> на </w:t>
      </w:r>
      <w:r w:rsidRPr="00DF28FC">
        <w:rPr>
          <w:rFonts w:ascii="Times New Roman" w:hAnsi="Times New Roman"/>
          <w:sz w:val="24"/>
          <w:szCs w:val="24"/>
        </w:rPr>
        <w:t xml:space="preserve">липсващите </w:t>
      </w:r>
      <w:r w:rsidRPr="00DF28FC">
        <w:rPr>
          <w:rFonts w:ascii="Times New Roman" w:hAnsi="Times New Roman"/>
          <w:sz w:val="24"/>
          <w:szCs w:val="24"/>
          <w:lang w:val="x-none"/>
        </w:rPr>
        <w:t>документи</w:t>
      </w:r>
      <w:r w:rsidR="00597458" w:rsidRPr="00597458">
        <w:rPr>
          <w:rFonts w:ascii="Times New Roman" w:hAnsi="Times New Roman"/>
          <w:sz w:val="24"/>
          <w:szCs w:val="24"/>
        </w:rPr>
        <w:t xml:space="preserve"> по процедурата в деловодството на Министерството на финансите</w:t>
      </w:r>
      <w:r w:rsidR="00597458">
        <w:rPr>
          <w:rFonts w:ascii="Times New Roman" w:hAnsi="Times New Roman"/>
          <w:sz w:val="24"/>
          <w:szCs w:val="24"/>
        </w:rPr>
        <w:t>.</w:t>
      </w:r>
    </w:p>
    <w:p w14:paraId="61754D5F" w14:textId="04F2E610" w:rsidR="00B11D44" w:rsidRPr="007420A9" w:rsidRDefault="004804F4" w:rsidP="007420A9">
      <w:pPr>
        <w:pStyle w:val="ListParagraph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bookmarkStart w:id="0" w:name="p30637422"/>
      <w:bookmarkEnd w:id="0"/>
      <w:r>
        <w:rPr>
          <w:rFonts w:ascii="Times New Roman" w:hAnsi="Times New Roman"/>
          <w:sz w:val="24"/>
          <w:szCs w:val="24"/>
        </w:rPr>
        <w:t>3.</w:t>
      </w:r>
      <w:r w:rsidR="007C080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7E781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E35E66">
        <w:rPr>
          <w:rFonts w:ascii="Times New Roman" w:hAnsi="Times New Roman"/>
          <w:sz w:val="24"/>
          <w:szCs w:val="24"/>
        </w:rPr>
        <w:t xml:space="preserve"> В случай че</w:t>
      </w:r>
      <w:r>
        <w:rPr>
          <w:rFonts w:ascii="Times New Roman" w:hAnsi="Times New Roman"/>
          <w:sz w:val="24"/>
          <w:szCs w:val="24"/>
          <w:lang w:val="x-none"/>
        </w:rPr>
        <w:t xml:space="preserve"> в хода на съгласуването се установи необходимост от становище на Европейската комисия, </w:t>
      </w:r>
      <w:r w:rsidR="00C94227">
        <w:rPr>
          <w:rFonts w:ascii="Times New Roman" w:hAnsi="Times New Roman"/>
          <w:sz w:val="24"/>
          <w:szCs w:val="24"/>
        </w:rPr>
        <w:t>министъра</w:t>
      </w:r>
      <w:r w:rsidR="00C81D2E">
        <w:rPr>
          <w:rFonts w:ascii="Times New Roman" w:hAnsi="Times New Roman"/>
          <w:sz w:val="24"/>
          <w:szCs w:val="24"/>
        </w:rPr>
        <w:t xml:space="preserve"> на финансите</w:t>
      </w:r>
      <w:r>
        <w:rPr>
          <w:rFonts w:ascii="Times New Roman" w:hAnsi="Times New Roman"/>
          <w:sz w:val="24"/>
          <w:szCs w:val="24"/>
          <w:lang w:val="x-none"/>
        </w:rPr>
        <w:t xml:space="preserve"> уведомява </w:t>
      </w:r>
      <w:r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ресорните министерства и ведомствата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отговарят за изпълнението на съгласувания проект,</w:t>
      </w:r>
      <w:r>
        <w:rPr>
          <w:rFonts w:ascii="Times New Roman" w:hAnsi="Times New Roman"/>
          <w:sz w:val="24"/>
          <w:szCs w:val="24"/>
          <w:lang w:val="x-none"/>
        </w:rPr>
        <w:t xml:space="preserve"> за предприемане на действия по изискване на становище чрез </w:t>
      </w:r>
      <w:r w:rsidR="00C9422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  <w:lang w:val="x-none"/>
        </w:rPr>
        <w:t>инист</w:t>
      </w:r>
      <w:r w:rsidR="00C94227">
        <w:rPr>
          <w:rFonts w:ascii="Times New Roman" w:hAnsi="Times New Roman"/>
          <w:sz w:val="24"/>
          <w:szCs w:val="24"/>
        </w:rPr>
        <w:t>ъра</w:t>
      </w:r>
      <w:r>
        <w:rPr>
          <w:rFonts w:ascii="Times New Roman" w:hAnsi="Times New Roman"/>
          <w:sz w:val="24"/>
          <w:szCs w:val="24"/>
          <w:lang w:val="x-none"/>
        </w:rPr>
        <w:t xml:space="preserve"> на финансите.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lastRenderedPageBreak/>
        <w:t>този случай, с</w:t>
      </w:r>
      <w:r>
        <w:rPr>
          <w:rFonts w:ascii="Times New Roman" w:hAnsi="Times New Roman"/>
          <w:sz w:val="24"/>
          <w:szCs w:val="24"/>
          <w:lang w:val="x-none"/>
        </w:rPr>
        <w:t xml:space="preserve">рокът за изразяване на становище по </w:t>
      </w:r>
      <w:r>
        <w:rPr>
          <w:rFonts w:ascii="Times New Roman" w:hAnsi="Times New Roman"/>
          <w:sz w:val="24"/>
          <w:szCs w:val="24"/>
        </w:rPr>
        <w:t>т.3.</w:t>
      </w:r>
      <w:r w:rsidR="007C080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E24A5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спира да тече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до получаване на становище </w:t>
      </w:r>
      <w:r>
        <w:rPr>
          <w:rFonts w:ascii="Times New Roman" w:hAnsi="Times New Roman"/>
          <w:sz w:val="24"/>
          <w:szCs w:val="24"/>
        </w:rPr>
        <w:t xml:space="preserve"> </w:t>
      </w:r>
      <w:r w:rsidR="00E24A5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lang w:val="x-none"/>
        </w:rPr>
        <w:t>Европейската комисия.</w:t>
      </w:r>
      <w:r w:rsidR="00E24A5D">
        <w:rPr>
          <w:rFonts w:ascii="Times New Roman" w:hAnsi="Times New Roman"/>
          <w:sz w:val="24"/>
          <w:szCs w:val="24"/>
        </w:rPr>
        <w:t xml:space="preserve"> </w:t>
      </w:r>
      <w:r w:rsidR="002A5360">
        <w:rPr>
          <w:rFonts w:ascii="Times New Roman" w:hAnsi="Times New Roman"/>
          <w:sz w:val="24"/>
          <w:szCs w:val="24"/>
        </w:rPr>
        <w:t>С</w:t>
      </w:r>
      <w:r w:rsidR="00E24A5D" w:rsidRPr="00E24A5D">
        <w:rPr>
          <w:rFonts w:ascii="Times New Roman" w:hAnsi="Times New Roman"/>
          <w:sz w:val="24"/>
          <w:szCs w:val="24"/>
        </w:rPr>
        <w:t>рок</w:t>
      </w:r>
      <w:r w:rsidR="00CA4303">
        <w:rPr>
          <w:rFonts w:ascii="Times New Roman" w:hAnsi="Times New Roman"/>
          <w:sz w:val="24"/>
          <w:szCs w:val="24"/>
        </w:rPr>
        <w:t xml:space="preserve">ът по т. 3.2.1. </w:t>
      </w:r>
      <w:r w:rsidR="002A5360">
        <w:rPr>
          <w:rFonts w:ascii="Times New Roman" w:hAnsi="Times New Roman"/>
          <w:sz w:val="24"/>
          <w:szCs w:val="24"/>
        </w:rPr>
        <w:t>продължава да тече с</w:t>
      </w:r>
      <w:r w:rsidR="002A5360" w:rsidRPr="00E24A5D">
        <w:rPr>
          <w:rFonts w:ascii="Times New Roman" w:hAnsi="Times New Roman"/>
          <w:sz w:val="24"/>
          <w:szCs w:val="24"/>
        </w:rPr>
        <w:t>лед предостав</w:t>
      </w:r>
      <w:r w:rsidR="002A5360">
        <w:rPr>
          <w:rFonts w:ascii="Times New Roman" w:hAnsi="Times New Roman"/>
          <w:sz w:val="24"/>
          <w:szCs w:val="24"/>
        </w:rPr>
        <w:t>яне на становище от Европейската комисия.</w:t>
      </w:r>
    </w:p>
    <w:p w14:paraId="36ADCA8B" w14:textId="4CEDFE0B" w:rsidR="004811F6" w:rsidRPr="007420A9" w:rsidRDefault="00467244" w:rsidP="007420A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3.2.</w:t>
      </w:r>
      <w:r w:rsidR="007E781B">
        <w:rPr>
          <w:rFonts w:ascii="Times New Roman" w:hAnsi="Times New Roman"/>
          <w:sz w:val="24"/>
          <w:szCs w:val="24"/>
        </w:rPr>
        <w:t>4</w:t>
      </w:r>
      <w:r w:rsidR="007C0807">
        <w:rPr>
          <w:rFonts w:ascii="Times New Roman" w:hAnsi="Times New Roman"/>
          <w:sz w:val="24"/>
          <w:szCs w:val="24"/>
        </w:rPr>
        <w:t>.</w:t>
      </w:r>
      <w:r w:rsidR="007C0807" w:rsidRPr="004804F4">
        <w:rPr>
          <w:rFonts w:ascii="Times New Roman" w:hAnsi="Times New Roman"/>
          <w:sz w:val="24"/>
          <w:szCs w:val="24"/>
        </w:rPr>
        <w:t xml:space="preserve"> </w:t>
      </w:r>
      <w:r w:rsidR="00D937FE" w:rsidRPr="004804F4">
        <w:rPr>
          <w:rFonts w:ascii="Times New Roman" w:hAnsi="Times New Roman"/>
          <w:sz w:val="24"/>
          <w:szCs w:val="24"/>
          <w:lang w:val="x-none"/>
        </w:rPr>
        <w:t xml:space="preserve">Неприетите коментари, препоръки и бележки от становището </w:t>
      </w:r>
      <w:r w:rsidR="00CA4303">
        <w:rPr>
          <w:rFonts w:ascii="Times New Roman" w:hAnsi="Times New Roman"/>
          <w:sz w:val="24"/>
          <w:szCs w:val="24"/>
        </w:rPr>
        <w:t xml:space="preserve">на </w:t>
      </w:r>
      <w:r w:rsidR="00475129">
        <w:rPr>
          <w:rFonts w:ascii="Times New Roman" w:hAnsi="Times New Roman"/>
          <w:sz w:val="24"/>
          <w:szCs w:val="24"/>
        </w:rPr>
        <w:t>министъра на финансите</w:t>
      </w:r>
      <w:r w:rsidR="00CA4303">
        <w:rPr>
          <w:rFonts w:ascii="Times New Roman" w:hAnsi="Times New Roman"/>
          <w:sz w:val="24"/>
          <w:szCs w:val="24"/>
        </w:rPr>
        <w:t xml:space="preserve"> </w:t>
      </w:r>
      <w:r w:rsidR="00D937FE" w:rsidRPr="004804F4">
        <w:rPr>
          <w:rFonts w:ascii="Times New Roman" w:hAnsi="Times New Roman"/>
          <w:sz w:val="24"/>
          <w:szCs w:val="24"/>
          <w:lang w:val="x-none"/>
        </w:rPr>
        <w:t xml:space="preserve">по </w:t>
      </w:r>
      <w:r w:rsidR="00D937FE" w:rsidRPr="004804F4">
        <w:rPr>
          <w:rFonts w:ascii="Times New Roman" w:hAnsi="Times New Roman"/>
          <w:sz w:val="24"/>
          <w:szCs w:val="24"/>
        </w:rPr>
        <w:t>т.3.2.</w:t>
      </w:r>
      <w:r w:rsidR="00CA4303">
        <w:rPr>
          <w:rFonts w:ascii="Times New Roman" w:hAnsi="Times New Roman"/>
          <w:sz w:val="24"/>
          <w:szCs w:val="24"/>
        </w:rPr>
        <w:t>1</w:t>
      </w:r>
      <w:r w:rsidR="00D937FE" w:rsidRPr="004804F4">
        <w:rPr>
          <w:rFonts w:ascii="Times New Roman" w:hAnsi="Times New Roman"/>
          <w:sz w:val="24"/>
          <w:szCs w:val="24"/>
          <w:lang w:val="x-none"/>
        </w:rPr>
        <w:t xml:space="preserve"> подлежат на аргументиране от страна на </w:t>
      </w:r>
      <w:r w:rsidR="00D937FE" w:rsidRPr="004804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ресорните министерства и ведомствата, които отговарят за изпълнението на </w:t>
      </w:r>
      <w:r w:rsidR="0052269D" w:rsidRPr="004804F4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съгласувания проект</w:t>
      </w:r>
      <w:r w:rsidR="00D937FE" w:rsidRPr="004804F4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14:paraId="2856065F" w14:textId="28740A6C" w:rsidR="00C677CC" w:rsidRPr="007420A9" w:rsidRDefault="005E1F45" w:rsidP="007420A9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46724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7E781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У</w:t>
      </w:r>
      <w:r w:rsidR="004C2B50">
        <w:rPr>
          <w:rFonts w:ascii="Times New Roman" w:hAnsi="Times New Roman"/>
          <w:sz w:val="24"/>
          <w:szCs w:val="24"/>
        </w:rPr>
        <w:t>ведомяване</w:t>
      </w:r>
      <w:r>
        <w:rPr>
          <w:rFonts w:ascii="Times New Roman" w:hAnsi="Times New Roman"/>
          <w:sz w:val="24"/>
          <w:szCs w:val="24"/>
        </w:rPr>
        <w:t>то</w:t>
      </w:r>
      <w:r w:rsidR="004C2B50">
        <w:rPr>
          <w:rFonts w:ascii="Times New Roman" w:hAnsi="Times New Roman"/>
          <w:sz w:val="24"/>
          <w:szCs w:val="24"/>
        </w:rPr>
        <w:t xml:space="preserve"> на Е</w:t>
      </w:r>
      <w:r w:rsidR="009B2D5B">
        <w:rPr>
          <w:rFonts w:ascii="Times New Roman" w:hAnsi="Times New Roman"/>
          <w:sz w:val="24"/>
          <w:szCs w:val="24"/>
        </w:rPr>
        <w:t>вропейската комисия</w:t>
      </w:r>
      <w:r w:rsidR="004C2B50">
        <w:rPr>
          <w:rFonts w:ascii="Times New Roman" w:hAnsi="Times New Roman"/>
          <w:sz w:val="24"/>
          <w:szCs w:val="24"/>
        </w:rPr>
        <w:t xml:space="preserve"> за проекти осъществявани в режим по т. 2.4</w:t>
      </w:r>
      <w:r>
        <w:rPr>
          <w:rFonts w:ascii="Times New Roman" w:hAnsi="Times New Roman"/>
          <w:sz w:val="24"/>
          <w:szCs w:val="24"/>
        </w:rPr>
        <w:t xml:space="preserve"> се извършва чрез електронната система САНИ2 съгласно указанията посочени в Практическите насоки на ЕК</w:t>
      </w:r>
      <w:r w:rsidR="00C677CC">
        <w:rPr>
          <w:rFonts w:ascii="Times New Roman" w:hAnsi="Times New Roman"/>
          <w:sz w:val="24"/>
          <w:szCs w:val="24"/>
        </w:rPr>
        <w:t xml:space="preserve">, </w:t>
      </w:r>
      <w:r w:rsidR="007208A9">
        <w:rPr>
          <w:rFonts w:ascii="Times New Roman" w:hAnsi="Times New Roman"/>
          <w:sz w:val="24"/>
          <w:szCs w:val="24"/>
        </w:rPr>
        <w:t xml:space="preserve">които са </w:t>
      </w:r>
      <w:r w:rsidR="00C677CC">
        <w:rPr>
          <w:rFonts w:ascii="Times New Roman" w:hAnsi="Times New Roman"/>
          <w:sz w:val="24"/>
          <w:szCs w:val="24"/>
        </w:rPr>
        <w:t>достъпни на адрес: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C677CC" w:rsidRPr="00DB4703">
          <w:rPr>
            <w:rStyle w:val="Hyperlink"/>
            <w:rFonts w:ascii="Times New Roman" w:hAnsi="Times New Roman"/>
            <w:sz w:val="24"/>
            <w:szCs w:val="24"/>
          </w:rPr>
          <w:t>https://ec.europa.eu/competition/state aid/what is new/covid 19.html</w:t>
        </w:r>
      </w:hyperlink>
    </w:p>
    <w:p w14:paraId="073F239C" w14:textId="1F95B206" w:rsidR="00C677CC" w:rsidRPr="00DD4E08" w:rsidRDefault="00C677CC" w:rsidP="00156B92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3.</w:t>
      </w:r>
      <w:r w:rsidR="0046724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7E781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Ранен контакт с екипа за МВУ в ГД „Конкуренция“ може да бъде осъществен на следния ел. адрес: </w:t>
      </w:r>
      <w:hyperlink r:id="rId10" w:history="1">
        <w:r w:rsidRPr="00DB4703">
          <w:rPr>
            <w:rStyle w:val="Hyperlink"/>
            <w:rFonts w:ascii="Times New Roman" w:hAnsi="Times New Roman"/>
            <w:sz w:val="24"/>
            <w:szCs w:val="24"/>
          </w:rPr>
          <w:t>COMP-RRF@ec.europa.eu</w:t>
        </w:r>
      </w:hyperlink>
      <w:r>
        <w:rPr>
          <w:rFonts w:ascii="Times New Roman" w:hAnsi="Times New Roman"/>
          <w:sz w:val="24"/>
          <w:szCs w:val="24"/>
        </w:rPr>
        <w:t>, чрез дирекция „Държавни помощи и реален сектор“</w:t>
      </w:r>
      <w:r w:rsidR="007C0807">
        <w:rPr>
          <w:rFonts w:ascii="Times New Roman" w:hAnsi="Times New Roman"/>
          <w:sz w:val="24"/>
          <w:szCs w:val="24"/>
        </w:rPr>
        <w:t>.</w:t>
      </w:r>
    </w:p>
    <w:p w14:paraId="6D765F64" w14:textId="443FFE0D" w:rsidR="001903DA" w:rsidRDefault="001903DA" w:rsidP="00926AA3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1366B5F" w14:textId="5542DA02" w:rsidR="00E844CD" w:rsidRPr="00E844CD" w:rsidRDefault="00E844CD" w:rsidP="00E844C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240"/>
        <w:jc w:val="both"/>
        <w:rPr>
          <w:rFonts w:ascii="Times New Roman" w:hAnsi="Times New Roman"/>
          <w:sz w:val="24"/>
          <w:szCs w:val="24"/>
          <w:lang w:val="x-none"/>
        </w:rPr>
      </w:pPr>
      <w:r w:rsidRPr="00E844CD">
        <w:rPr>
          <w:rFonts w:ascii="Times New Roman" w:hAnsi="Times New Roman"/>
          <w:sz w:val="24"/>
          <w:szCs w:val="24"/>
          <w:lang w:val="x-none"/>
        </w:rPr>
        <w:t xml:space="preserve">Документите по </w:t>
      </w:r>
      <w:r>
        <w:rPr>
          <w:rFonts w:ascii="Times New Roman" w:hAnsi="Times New Roman"/>
          <w:sz w:val="24"/>
          <w:szCs w:val="24"/>
        </w:rPr>
        <w:t>т.3</w:t>
      </w:r>
      <w:r w:rsidRPr="00E844CD">
        <w:rPr>
          <w:rFonts w:ascii="Times New Roman" w:hAnsi="Times New Roman"/>
          <w:sz w:val="24"/>
          <w:szCs w:val="24"/>
          <w:lang w:val="x-none"/>
        </w:rPr>
        <w:t>.</w:t>
      </w:r>
      <w:r w:rsidR="007C0807">
        <w:rPr>
          <w:rFonts w:ascii="Times New Roman" w:hAnsi="Times New Roman"/>
          <w:sz w:val="24"/>
          <w:szCs w:val="24"/>
        </w:rPr>
        <w:t>2</w:t>
      </w:r>
      <w:r w:rsidR="007C0807" w:rsidRPr="00E844C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844CD">
        <w:rPr>
          <w:rFonts w:ascii="Times New Roman" w:hAnsi="Times New Roman"/>
          <w:sz w:val="24"/>
          <w:szCs w:val="24"/>
          <w:lang w:val="x-none"/>
        </w:rPr>
        <w:t xml:space="preserve">съдържат най-малко информация за: </w:t>
      </w:r>
    </w:p>
    <w:p w14:paraId="4FC21904" w14:textId="77777777" w:rsidR="00E844CD" w:rsidRDefault="00E844CD" w:rsidP="00E844CD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257665E" w14:textId="2B1CA978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</w:rPr>
        <w:t>.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1. правното основание на </w:t>
      </w:r>
      <w:r w:rsidR="00872E5E">
        <w:rPr>
          <w:rFonts w:ascii="Times New Roman" w:hAnsi="Times New Roman"/>
          <w:sz w:val="24"/>
          <w:szCs w:val="24"/>
        </w:rPr>
        <w:t>изпълнението на проекта</w:t>
      </w:r>
      <w:r w:rsidR="00E844CD">
        <w:rPr>
          <w:rFonts w:ascii="Times New Roman" w:hAnsi="Times New Roman"/>
          <w:sz w:val="24"/>
          <w:szCs w:val="24"/>
          <w:lang w:val="x-none"/>
        </w:rPr>
        <w:t>, включително и от гледна точка на приложимото законодателство по държавните помощи и приложимите дефиниции, когато такива се прилагат, както и потвърждение, че изборът на режима по държавните помощи съответства на целите на политиката в сектора, към който е насочен</w:t>
      </w:r>
      <w:r w:rsidR="00872E5E">
        <w:rPr>
          <w:rFonts w:ascii="Times New Roman" w:hAnsi="Times New Roman"/>
          <w:sz w:val="24"/>
          <w:szCs w:val="24"/>
        </w:rPr>
        <w:t xml:space="preserve"> проекта</w:t>
      </w:r>
      <w:r w:rsidR="00E844CD">
        <w:rPr>
          <w:rFonts w:ascii="Times New Roman" w:hAnsi="Times New Roman"/>
          <w:sz w:val="24"/>
          <w:szCs w:val="24"/>
          <w:lang w:val="x-none"/>
        </w:rPr>
        <w:t>;</w:t>
      </w:r>
    </w:p>
    <w:p w14:paraId="137A0F9E" w14:textId="4E8DA5C1" w:rsidR="004811F6" w:rsidRPr="004811F6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.2. </w:t>
      </w:r>
      <w:r w:rsidR="004811F6" w:rsidRPr="004811F6">
        <w:rPr>
          <w:rFonts w:ascii="Times New Roman" w:hAnsi="Times New Roman"/>
          <w:sz w:val="24"/>
          <w:szCs w:val="24"/>
          <w:lang w:val="x-none"/>
        </w:rPr>
        <w:t>условията за кандидатстване и изпълнение по съответния проект, включително детайлна информация за всяка една от допустимите дейности, за допустимите и недопустимите разходи, крайните получатели и партньори;</w:t>
      </w:r>
    </w:p>
    <w:p w14:paraId="635002A1" w14:textId="505456AA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</w:rPr>
        <w:t>.</w:t>
      </w:r>
      <w:r w:rsidR="00E844CD">
        <w:rPr>
          <w:rFonts w:ascii="Times New Roman" w:hAnsi="Times New Roman"/>
          <w:sz w:val="24"/>
          <w:szCs w:val="24"/>
          <w:lang w:val="x-none"/>
        </w:rPr>
        <w:t>3. указания за начина, за механизма и информационните източници, чрез които се контролира наличието и изпълнението на условията, имащи отношение към държавните помощи преди одобряване на проектното предложение и към датата на предоставяне на помощта (контролен лист, методика за проверка и др.);</w:t>
      </w:r>
    </w:p>
    <w:p w14:paraId="7FEF752A" w14:textId="3E8D5DCD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  <w:lang w:val="x-none"/>
        </w:rPr>
        <w:t>.4. информация за характера на планираните взаимоотношения между страните, предоставящи и получаващи подпомагането/помощта и имащи характер на акт, с който се предоставя помощта (договор, заповед, споразумение и др.), и когато е приложимо, указания за начина, по който се контролира наличието и изпълнението на условията, имащи отношение към държавните помощи за срока на изпълнение на проекта и/или след него, когато това е приложимо;</w:t>
      </w:r>
    </w:p>
    <w:p w14:paraId="54E32568" w14:textId="7AA8F35E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.5. информация за условията, приложими спрямо партньорството, когато това е допустимо, включително да е видно какъв е размерът/интензитетът на помощта и видът на разходите за партньора; </w:t>
      </w:r>
    </w:p>
    <w:p w14:paraId="23568602" w14:textId="73A42193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</w:rPr>
        <w:t>.</w:t>
      </w:r>
      <w:r w:rsidR="00E844CD">
        <w:rPr>
          <w:rFonts w:ascii="Times New Roman" w:hAnsi="Times New Roman"/>
          <w:sz w:val="24"/>
          <w:szCs w:val="24"/>
          <w:lang w:val="x-none"/>
        </w:rPr>
        <w:t>6.</w:t>
      </w:r>
      <w:r w:rsidR="00E844CD">
        <w:rPr>
          <w:rFonts w:ascii="Times New Roman" w:hAnsi="Times New Roman"/>
          <w:sz w:val="24"/>
          <w:szCs w:val="24"/>
        </w:rPr>
        <w:t> 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друга релевантна информация по преценка на </w:t>
      </w:r>
      <w:r w:rsidR="00872E5E"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ресорните министерства и ведомствата</w:t>
      </w:r>
      <w:r w:rsidR="00872E5E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отговарят за изпълнението на проектите от ПВУ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, включително анализи за пазарни съответствия, предпроектни проучвания, прогнози, бизнес планове, обосновки и др. </w:t>
      </w:r>
    </w:p>
    <w:p w14:paraId="7BC0F7F9" w14:textId="73D5FEFD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</w:rPr>
        <w:t>.7. з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а мерките, разработени като попадащи извън обхвата на чл. 107, параграф 1 от </w:t>
      </w:r>
      <w:r w:rsidR="00E844CD">
        <w:rPr>
          <w:rFonts w:ascii="Times New Roman" w:hAnsi="Times New Roman"/>
          <w:sz w:val="24"/>
          <w:szCs w:val="24"/>
          <w:lang w:val="x-none"/>
        </w:rPr>
        <w:lastRenderedPageBreak/>
        <w:t xml:space="preserve">ДФЕС, </w:t>
      </w:r>
      <w:r w:rsidR="00E844CD"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ресорните министерства и ведомствата</w:t>
      </w:r>
      <w:r w:rsidR="00E844CD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отговарят за изпълнението на проекта,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 обосновава</w:t>
      </w:r>
      <w:r w:rsidR="00E844CD">
        <w:rPr>
          <w:rFonts w:ascii="Times New Roman" w:hAnsi="Times New Roman"/>
          <w:sz w:val="24"/>
          <w:szCs w:val="24"/>
        </w:rPr>
        <w:t>т допълнително</w:t>
      </w:r>
      <w:r w:rsidR="00E844CD">
        <w:rPr>
          <w:rFonts w:ascii="Times New Roman" w:hAnsi="Times New Roman"/>
          <w:sz w:val="24"/>
          <w:szCs w:val="24"/>
          <w:lang w:val="x-none"/>
        </w:rPr>
        <w:t>:</w:t>
      </w:r>
    </w:p>
    <w:p w14:paraId="600A2E9E" w14:textId="3CED39FA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.7.1. неизпълнението на </w:t>
      </w:r>
      <w:r w:rsidR="00E844CD">
        <w:rPr>
          <w:rFonts w:ascii="Times New Roman" w:hAnsi="Times New Roman"/>
          <w:sz w:val="24"/>
          <w:szCs w:val="24"/>
        </w:rPr>
        <w:t xml:space="preserve">даден </w:t>
      </w:r>
      <w:r w:rsidR="00E844CD">
        <w:rPr>
          <w:rFonts w:ascii="Times New Roman" w:hAnsi="Times New Roman"/>
          <w:sz w:val="24"/>
          <w:szCs w:val="24"/>
          <w:lang w:val="x-none"/>
        </w:rPr>
        <w:t>критери</w:t>
      </w:r>
      <w:r w:rsidR="00E844CD">
        <w:rPr>
          <w:rFonts w:ascii="Times New Roman" w:hAnsi="Times New Roman"/>
          <w:sz w:val="24"/>
          <w:szCs w:val="24"/>
        </w:rPr>
        <w:t>й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 от чл. 107, параграф 1 от ДФЕС, като се позовава</w:t>
      </w:r>
      <w:r w:rsidR="00E844CD">
        <w:rPr>
          <w:rFonts w:ascii="Times New Roman" w:hAnsi="Times New Roman"/>
          <w:sz w:val="24"/>
          <w:szCs w:val="24"/>
        </w:rPr>
        <w:t>т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 на действащото национално законодателство и известие на Комисията относно понятието за държавна помощ, посочено в чл. 107, параграф 1 от ДФЕС (2016/C 262/01);</w:t>
      </w:r>
    </w:p>
    <w:p w14:paraId="01AB4D0D" w14:textId="26751DF9" w:rsidR="00E844CD" w:rsidRDefault="00467244" w:rsidP="00E844CD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.7.2. начина за контрол на неизпълнението </w:t>
      </w:r>
      <w:r w:rsidR="00E844CD">
        <w:rPr>
          <w:rFonts w:ascii="Times New Roman" w:hAnsi="Times New Roman"/>
          <w:sz w:val="24"/>
          <w:szCs w:val="24"/>
        </w:rPr>
        <w:t xml:space="preserve">на критерия </w:t>
      </w:r>
      <w:r w:rsidR="00E844CD">
        <w:rPr>
          <w:rFonts w:ascii="Times New Roman" w:hAnsi="Times New Roman"/>
          <w:sz w:val="24"/>
          <w:szCs w:val="24"/>
          <w:lang w:val="x-none"/>
        </w:rPr>
        <w:t>по т.</w:t>
      </w:r>
      <w:r w:rsidR="00E844CD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</w:rPr>
        <w:t>.7.</w:t>
      </w:r>
      <w:r w:rsidR="00E844CD">
        <w:rPr>
          <w:rFonts w:ascii="Times New Roman" w:hAnsi="Times New Roman"/>
          <w:sz w:val="24"/>
          <w:szCs w:val="24"/>
          <w:lang w:val="x-none"/>
        </w:rPr>
        <w:t>1 преди, по време и след предоставяне на подпомагането, когато е приложимо.</w:t>
      </w:r>
    </w:p>
    <w:p w14:paraId="23B7A38C" w14:textId="77777777" w:rsidR="00E844CD" w:rsidRDefault="00E844CD" w:rsidP="00E844C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</w:p>
    <w:p w14:paraId="5709F1B3" w14:textId="31ACE990" w:rsidR="009B5AF2" w:rsidRPr="00581620" w:rsidRDefault="009B5AF2" w:rsidP="009B5AF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В случаите на </w:t>
      </w:r>
      <w:r w:rsidR="00FE5016">
        <w:rPr>
          <w:rFonts w:ascii="Times New Roman" w:hAnsi="Times New Roman"/>
          <w:sz w:val="24"/>
          <w:szCs w:val="24"/>
        </w:rPr>
        <w:t>т</w:t>
      </w:r>
      <w:r w:rsidR="009D699E">
        <w:rPr>
          <w:rFonts w:ascii="Times New Roman" w:hAnsi="Times New Roman"/>
          <w:sz w:val="24"/>
          <w:szCs w:val="24"/>
          <w:lang w:val="x-none"/>
        </w:rPr>
        <w:t>.</w:t>
      </w:r>
      <w:r w:rsidR="00FE5016">
        <w:rPr>
          <w:rFonts w:ascii="Times New Roman" w:hAnsi="Times New Roman"/>
          <w:sz w:val="24"/>
          <w:szCs w:val="24"/>
          <w:lang w:val="x-none"/>
        </w:rPr>
        <w:t>2.</w:t>
      </w:r>
      <w:r>
        <w:rPr>
          <w:rFonts w:ascii="Times New Roman" w:hAnsi="Times New Roman"/>
          <w:sz w:val="24"/>
          <w:szCs w:val="24"/>
          <w:lang w:val="x-none"/>
        </w:rPr>
        <w:t xml:space="preserve">2 – </w:t>
      </w:r>
      <w:r w:rsidR="00FE5016">
        <w:rPr>
          <w:rFonts w:ascii="Times New Roman" w:hAnsi="Times New Roman"/>
          <w:sz w:val="24"/>
          <w:szCs w:val="24"/>
        </w:rPr>
        <w:t>т.2.</w:t>
      </w:r>
      <w:r>
        <w:rPr>
          <w:rFonts w:ascii="Times New Roman" w:hAnsi="Times New Roman"/>
          <w:sz w:val="24"/>
          <w:szCs w:val="24"/>
          <w:lang w:val="x-none"/>
        </w:rPr>
        <w:t xml:space="preserve">4 </w:t>
      </w:r>
      <w:r w:rsidR="00FE5016"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ресорните министерства и ведомствата</w:t>
      </w:r>
      <w:r w:rsidR="00FE501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отговарят за изпълнението на проектите</w:t>
      </w:r>
      <w:r w:rsidR="00FE501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72E5E">
        <w:rPr>
          <w:rFonts w:ascii="Times New Roman" w:hAnsi="Times New Roman"/>
          <w:sz w:val="24"/>
          <w:szCs w:val="24"/>
        </w:rPr>
        <w:t xml:space="preserve">от ПВУ, </w:t>
      </w:r>
      <w:r>
        <w:rPr>
          <w:rFonts w:ascii="Times New Roman" w:hAnsi="Times New Roman"/>
          <w:sz w:val="24"/>
          <w:szCs w:val="24"/>
          <w:lang w:val="x-none"/>
        </w:rPr>
        <w:t>прилага</w:t>
      </w:r>
      <w:r w:rsidR="00FE5016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  <w:lang w:val="x-none"/>
        </w:rPr>
        <w:t xml:space="preserve"> процедурите на Закона за държавните помощи и правилника за неговото прилагане. За </w:t>
      </w:r>
      <w:r w:rsidR="00FE5016">
        <w:rPr>
          <w:rFonts w:ascii="Times New Roman" w:hAnsi="Times New Roman"/>
          <w:sz w:val="24"/>
          <w:szCs w:val="24"/>
        </w:rPr>
        <w:t>проектите</w:t>
      </w:r>
      <w:r>
        <w:rPr>
          <w:rFonts w:ascii="Times New Roman" w:hAnsi="Times New Roman"/>
          <w:sz w:val="24"/>
          <w:szCs w:val="24"/>
          <w:lang w:val="x-none"/>
        </w:rPr>
        <w:t xml:space="preserve"> по </w:t>
      </w:r>
      <w:r w:rsidR="00FE5016">
        <w:rPr>
          <w:rFonts w:ascii="Times New Roman" w:hAnsi="Times New Roman"/>
          <w:sz w:val="24"/>
          <w:szCs w:val="24"/>
        </w:rPr>
        <w:t>т</w:t>
      </w:r>
      <w:r w:rsidR="00FE5016">
        <w:rPr>
          <w:rFonts w:ascii="Times New Roman" w:hAnsi="Times New Roman"/>
          <w:sz w:val="24"/>
          <w:szCs w:val="24"/>
          <w:lang w:val="x-none"/>
        </w:rPr>
        <w:t>.2.</w:t>
      </w:r>
      <w:r>
        <w:rPr>
          <w:rFonts w:ascii="Times New Roman" w:hAnsi="Times New Roman"/>
          <w:sz w:val="24"/>
          <w:szCs w:val="24"/>
          <w:lang w:val="x-none"/>
        </w:rPr>
        <w:t xml:space="preserve">3 и които са в обхвата на Регламент (ЕС) № 651/2014, министърът на финансите може да изрази едновременно със становището по </w:t>
      </w:r>
      <w:r w:rsidR="00FE5016">
        <w:rPr>
          <w:rFonts w:ascii="Times New Roman" w:hAnsi="Times New Roman"/>
          <w:sz w:val="24"/>
          <w:szCs w:val="24"/>
        </w:rPr>
        <w:t>т.3.2.</w:t>
      </w:r>
      <w:r>
        <w:rPr>
          <w:rFonts w:ascii="Times New Roman" w:hAnsi="Times New Roman"/>
          <w:sz w:val="24"/>
          <w:szCs w:val="24"/>
          <w:lang w:val="x-none"/>
        </w:rPr>
        <w:t xml:space="preserve"> и оценка по чл. 28 от Закона за държавните помощи.</w:t>
      </w:r>
    </w:p>
    <w:p w14:paraId="338A4794" w14:textId="77777777" w:rsidR="00581620" w:rsidRPr="009B5AF2" w:rsidRDefault="00581620" w:rsidP="0058162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</w:rPr>
      </w:pPr>
    </w:p>
    <w:p w14:paraId="5AE8D3A7" w14:textId="77777777" w:rsidR="009B5AF2" w:rsidRPr="00DD4E08" w:rsidRDefault="009B5AF2" w:rsidP="009B5AF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За </w:t>
      </w:r>
      <w:r w:rsidR="00FE5016">
        <w:rPr>
          <w:rFonts w:ascii="Times New Roman" w:hAnsi="Times New Roman"/>
          <w:sz w:val="24"/>
          <w:szCs w:val="24"/>
        </w:rPr>
        <w:t>проекти</w:t>
      </w:r>
      <w:r>
        <w:rPr>
          <w:rFonts w:ascii="Times New Roman" w:hAnsi="Times New Roman"/>
          <w:sz w:val="24"/>
          <w:szCs w:val="24"/>
          <w:lang w:val="x-none"/>
        </w:rPr>
        <w:t xml:space="preserve">, по които се предвижда предоставяне на държавна помощ, която е освободена от задължението за уведомяване на основание на акт на Съвета или на Европейската комисия, всички последващи действия на </w:t>
      </w:r>
      <w:r w:rsidR="00FE5016"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ресорните министерства и ведомствата</w:t>
      </w:r>
      <w:r w:rsidR="00FE501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отговарят за изпълнението на проектите,</w:t>
      </w:r>
      <w:r w:rsidR="00FE5016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следва да са в изпълнение на Закона за държавните помощи и правилника за неговото прилагане.</w:t>
      </w:r>
    </w:p>
    <w:p w14:paraId="310C942C" w14:textId="77777777" w:rsidR="00DD4E08" w:rsidRPr="00DD4E08" w:rsidRDefault="00DD4E08" w:rsidP="00DD4E08">
      <w:pPr>
        <w:pStyle w:val="ListParagraph"/>
        <w:rPr>
          <w:rFonts w:ascii="Times New Roman" w:hAnsi="Times New Roman"/>
          <w:sz w:val="24"/>
          <w:szCs w:val="24"/>
        </w:rPr>
      </w:pPr>
    </w:p>
    <w:p w14:paraId="4A9D220B" w14:textId="637E2FAA" w:rsidR="00DD4E08" w:rsidRPr="00581620" w:rsidRDefault="00DD4E08" w:rsidP="009B5AF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При изменения в проектите на документи по </w:t>
      </w:r>
      <w:r>
        <w:rPr>
          <w:rFonts w:ascii="Times New Roman" w:hAnsi="Times New Roman"/>
          <w:sz w:val="24"/>
          <w:szCs w:val="24"/>
        </w:rPr>
        <w:t>проекти от ПВУ</w:t>
      </w:r>
      <w:r>
        <w:rPr>
          <w:rFonts w:ascii="Times New Roman" w:hAnsi="Times New Roman"/>
          <w:sz w:val="24"/>
          <w:szCs w:val="24"/>
          <w:lang w:val="x-none"/>
        </w:rPr>
        <w:t xml:space="preserve">, касаещи </w:t>
      </w:r>
      <w:r w:rsidR="00116411">
        <w:rPr>
          <w:rFonts w:ascii="Times New Roman" w:hAnsi="Times New Roman"/>
          <w:sz w:val="24"/>
          <w:szCs w:val="24"/>
        </w:rPr>
        <w:t>режима на</w:t>
      </w:r>
      <w:r>
        <w:rPr>
          <w:rFonts w:ascii="Times New Roman" w:hAnsi="Times New Roman"/>
          <w:sz w:val="24"/>
          <w:szCs w:val="24"/>
          <w:lang w:val="x-none"/>
        </w:rPr>
        <w:t xml:space="preserve"> помощ, на повторно съгласуване подлежат документите, които се изменят. Измененията, които не водят до промени в условията на избрания режим по държавните помощи, не се съгласуват.</w:t>
      </w:r>
    </w:p>
    <w:p w14:paraId="092FD378" w14:textId="77777777" w:rsidR="00581620" w:rsidRPr="00581620" w:rsidRDefault="00581620" w:rsidP="005816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06369" w14:textId="6457041F" w:rsidR="00926AA3" w:rsidRPr="00581620" w:rsidRDefault="00FE5016" w:rsidP="00A606A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074D5E">
        <w:rPr>
          <w:rFonts w:ascii="Times New Roman" w:hAnsi="Times New Roman"/>
          <w:sz w:val="24"/>
          <w:szCs w:val="24"/>
          <w:lang w:val="x-none"/>
        </w:rPr>
        <w:t xml:space="preserve">Всяко отразяване на промени в документ от вече подадени документи </w:t>
      </w:r>
      <w:r w:rsidRPr="00074D5E">
        <w:rPr>
          <w:rFonts w:ascii="Times New Roman" w:hAnsi="Times New Roman"/>
          <w:sz w:val="24"/>
          <w:szCs w:val="24"/>
        </w:rPr>
        <w:t>за съгла</w:t>
      </w:r>
      <w:r w:rsidRPr="005864C2">
        <w:rPr>
          <w:rFonts w:ascii="Times New Roman" w:hAnsi="Times New Roman"/>
          <w:sz w:val="24"/>
          <w:szCs w:val="24"/>
        </w:rPr>
        <w:t xml:space="preserve">суване </w:t>
      </w:r>
      <w:r w:rsidRPr="005864C2">
        <w:rPr>
          <w:rFonts w:ascii="Times New Roman" w:hAnsi="Times New Roman"/>
          <w:sz w:val="24"/>
          <w:szCs w:val="24"/>
          <w:lang w:val="x-none"/>
        </w:rPr>
        <w:t xml:space="preserve">по </w:t>
      </w:r>
      <w:r w:rsidRPr="005864C2">
        <w:rPr>
          <w:rFonts w:ascii="Times New Roman" w:hAnsi="Times New Roman"/>
          <w:sz w:val="24"/>
          <w:szCs w:val="24"/>
        </w:rPr>
        <w:t>т.3.</w:t>
      </w:r>
      <w:r w:rsidR="00326D0B" w:rsidRPr="005864C2">
        <w:rPr>
          <w:rFonts w:ascii="Times New Roman" w:hAnsi="Times New Roman"/>
          <w:sz w:val="24"/>
          <w:szCs w:val="24"/>
        </w:rPr>
        <w:t>1</w:t>
      </w:r>
      <w:r w:rsidRPr="005864C2">
        <w:rPr>
          <w:rFonts w:ascii="Times New Roman" w:hAnsi="Times New Roman"/>
          <w:sz w:val="24"/>
          <w:szCs w:val="24"/>
        </w:rPr>
        <w:t xml:space="preserve"> и т.3.</w:t>
      </w:r>
      <w:r w:rsidR="00326D0B" w:rsidRPr="00F50214">
        <w:rPr>
          <w:rFonts w:ascii="Times New Roman" w:hAnsi="Times New Roman"/>
          <w:sz w:val="24"/>
          <w:szCs w:val="24"/>
        </w:rPr>
        <w:t>2</w:t>
      </w:r>
      <w:r w:rsidRPr="00F50214">
        <w:rPr>
          <w:rFonts w:ascii="Times New Roman" w:hAnsi="Times New Roman"/>
          <w:sz w:val="24"/>
          <w:szCs w:val="24"/>
        </w:rPr>
        <w:t>.</w:t>
      </w:r>
      <w:r w:rsidRPr="006A3833">
        <w:rPr>
          <w:rFonts w:ascii="Times New Roman" w:hAnsi="Times New Roman"/>
          <w:sz w:val="24"/>
          <w:szCs w:val="24"/>
          <w:lang w:val="x-none"/>
        </w:rPr>
        <w:t xml:space="preserve"> се осъществява </w:t>
      </w:r>
      <w:r w:rsidR="00872E5E" w:rsidRPr="006A3833">
        <w:rPr>
          <w:rFonts w:ascii="Times New Roman" w:hAnsi="Times New Roman"/>
          <w:sz w:val="24"/>
          <w:szCs w:val="24"/>
        </w:rPr>
        <w:t xml:space="preserve">и представя за повторно съгласуване </w:t>
      </w:r>
      <w:r w:rsidRPr="00D96602">
        <w:rPr>
          <w:rFonts w:ascii="Times New Roman" w:hAnsi="Times New Roman"/>
          <w:sz w:val="24"/>
          <w:szCs w:val="24"/>
          <w:lang w:val="x-none"/>
        </w:rPr>
        <w:t>в режим "проследяване на промените"</w:t>
      </w:r>
      <w:r w:rsidR="00872E5E" w:rsidRPr="00DE2126">
        <w:rPr>
          <w:rFonts w:ascii="Times New Roman" w:hAnsi="Times New Roman"/>
          <w:sz w:val="24"/>
          <w:szCs w:val="24"/>
        </w:rPr>
        <w:t xml:space="preserve"> (</w:t>
      </w:r>
      <w:r w:rsidR="00872E5E" w:rsidRPr="00DE2126">
        <w:rPr>
          <w:rFonts w:ascii="Times New Roman" w:hAnsi="Times New Roman"/>
          <w:sz w:val="24"/>
          <w:szCs w:val="24"/>
          <w:lang w:val="en-US"/>
        </w:rPr>
        <w:t>track change)</w:t>
      </w:r>
      <w:r w:rsidRPr="00DE2126">
        <w:rPr>
          <w:rFonts w:ascii="Times New Roman" w:hAnsi="Times New Roman"/>
          <w:sz w:val="24"/>
          <w:szCs w:val="24"/>
          <w:lang w:val="x-none"/>
        </w:rPr>
        <w:t>.</w:t>
      </w:r>
      <w:r w:rsidRPr="00DE2126">
        <w:rPr>
          <w:rFonts w:ascii="Times New Roman" w:hAnsi="Times New Roman"/>
          <w:sz w:val="24"/>
          <w:szCs w:val="24"/>
        </w:rPr>
        <w:t xml:space="preserve"> </w:t>
      </w:r>
      <w:r w:rsidRPr="00DE2126">
        <w:rPr>
          <w:rFonts w:ascii="Times New Roman" w:hAnsi="Times New Roman"/>
          <w:sz w:val="24"/>
          <w:szCs w:val="24"/>
          <w:lang w:val="x-none"/>
        </w:rPr>
        <w:t xml:space="preserve">Проектите на документи по </w:t>
      </w:r>
      <w:r w:rsidRPr="00DE2126">
        <w:rPr>
          <w:rFonts w:ascii="Times New Roman" w:hAnsi="Times New Roman"/>
          <w:sz w:val="24"/>
          <w:szCs w:val="24"/>
        </w:rPr>
        <w:t>проектите от ПВУ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 се предоставят за становище</w:t>
      </w:r>
      <w:r w:rsidR="00CE44B6" w:rsidRPr="00074D5E">
        <w:rPr>
          <w:rFonts w:ascii="Times New Roman" w:hAnsi="Times New Roman"/>
          <w:sz w:val="24"/>
          <w:szCs w:val="24"/>
        </w:rPr>
        <w:t>,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74D5E">
        <w:rPr>
          <w:rFonts w:ascii="Times New Roman" w:hAnsi="Times New Roman"/>
          <w:sz w:val="24"/>
          <w:szCs w:val="24"/>
        </w:rPr>
        <w:t xml:space="preserve">по реда на </w:t>
      </w:r>
      <w:r w:rsidR="000B75FB">
        <w:rPr>
          <w:rFonts w:ascii="Times New Roman" w:hAnsi="Times New Roman"/>
          <w:sz w:val="24"/>
          <w:szCs w:val="24"/>
        </w:rPr>
        <w:t>3.2</w:t>
      </w:r>
      <w:r w:rsidR="00CE44B6" w:rsidRPr="00074D5E">
        <w:rPr>
          <w:rFonts w:ascii="Times New Roman" w:hAnsi="Times New Roman"/>
          <w:sz w:val="24"/>
          <w:szCs w:val="24"/>
        </w:rPr>
        <w:t>,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 на български език.</w:t>
      </w:r>
      <w:r w:rsidRPr="00074D5E">
        <w:rPr>
          <w:rFonts w:ascii="Times New Roman" w:hAnsi="Times New Roman"/>
          <w:sz w:val="24"/>
          <w:szCs w:val="24"/>
        </w:rPr>
        <w:t xml:space="preserve"> 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В случаите, когато се съгласуват </w:t>
      </w:r>
      <w:r w:rsidR="00872E5E" w:rsidRPr="00074D5E">
        <w:rPr>
          <w:rFonts w:ascii="Times New Roman" w:hAnsi="Times New Roman"/>
          <w:sz w:val="24"/>
          <w:szCs w:val="24"/>
        </w:rPr>
        <w:t>проекти в режим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 по </w:t>
      </w:r>
      <w:r w:rsidRPr="00074D5E">
        <w:rPr>
          <w:rFonts w:ascii="Times New Roman" w:hAnsi="Times New Roman"/>
          <w:sz w:val="24"/>
          <w:szCs w:val="24"/>
        </w:rPr>
        <w:t>т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.2.3, документите се придружават и от контролен лист за съответствие по образец, който е достъпен на адрес: </w:t>
      </w:r>
      <w:hyperlink r:id="rId11" w:history="1">
        <w:r w:rsidR="00156B92" w:rsidRPr="00074D5E">
          <w:rPr>
            <w:rStyle w:val="Hyperlink"/>
            <w:rFonts w:ascii="Times New Roman" w:hAnsi="Times New Roman"/>
            <w:sz w:val="24"/>
            <w:szCs w:val="24"/>
            <w:lang w:val="x-none"/>
          </w:rPr>
          <w:t>https://stateaid.minfin.bg/bg/page/517</w:t>
        </w:r>
      </w:hyperlink>
      <w:r w:rsidRPr="00074D5E">
        <w:rPr>
          <w:rFonts w:ascii="Times New Roman" w:hAnsi="Times New Roman"/>
          <w:sz w:val="24"/>
          <w:szCs w:val="24"/>
          <w:lang w:val="x-none"/>
        </w:rPr>
        <w:t>.</w:t>
      </w:r>
    </w:p>
    <w:sectPr w:rsidR="00926AA3" w:rsidRPr="0058162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14CE" w16cex:dateUtc="2022-05-10T13:43:00Z"/>
  <w16cex:commentExtensible w16cex:durableId="262514DA" w16cex:dateUtc="2022-05-10T13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93459B" w16cid:durableId="262514CE"/>
  <w16cid:commentId w16cid:paraId="1E38189E" w16cid:durableId="262514D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73B4C" w14:textId="77777777" w:rsidR="00E66BF6" w:rsidRDefault="00E66BF6" w:rsidP="00926AA3">
      <w:pPr>
        <w:spacing w:after="0" w:line="240" w:lineRule="auto"/>
      </w:pPr>
      <w:r>
        <w:separator/>
      </w:r>
    </w:p>
  </w:endnote>
  <w:endnote w:type="continuationSeparator" w:id="0">
    <w:p w14:paraId="09C63CD6" w14:textId="77777777" w:rsidR="00E66BF6" w:rsidRDefault="00E66BF6" w:rsidP="00926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7663" w14:textId="77777777" w:rsidR="0077087F" w:rsidRDefault="007708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2A30A" w14:textId="77777777" w:rsidR="0077087F" w:rsidRDefault="007708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B55DA" w14:textId="77777777" w:rsidR="0077087F" w:rsidRDefault="007708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93065" w14:textId="77777777" w:rsidR="00E66BF6" w:rsidRDefault="00E66BF6" w:rsidP="00926AA3">
      <w:pPr>
        <w:spacing w:after="0" w:line="240" w:lineRule="auto"/>
      </w:pPr>
      <w:r>
        <w:separator/>
      </w:r>
    </w:p>
  </w:footnote>
  <w:footnote w:type="continuationSeparator" w:id="0">
    <w:p w14:paraId="61D84BFA" w14:textId="77777777" w:rsidR="00E66BF6" w:rsidRDefault="00E66BF6" w:rsidP="00926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06A9A" w14:textId="77777777" w:rsidR="0077087F" w:rsidRDefault="007708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2973"/>
      <w:gridCol w:w="2151"/>
      <w:gridCol w:w="2454"/>
      <w:gridCol w:w="1303"/>
    </w:tblGrid>
    <w:tr w:rsidR="00887911" w14:paraId="2E5EB4A1" w14:textId="77777777" w:rsidTr="00333682">
      <w:trPr>
        <w:trHeight w:val="560"/>
      </w:trPr>
      <w:tc>
        <w:tcPr>
          <w:tcW w:w="3073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6B338666" w14:textId="77777777" w:rsidR="00887911" w:rsidRDefault="00887911" w:rsidP="00887911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754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2EFA2040" w14:textId="7946133E" w:rsidR="00887911" w:rsidRDefault="004D5E98" w:rsidP="00887911">
          <w:pPr>
            <w:tabs>
              <w:tab w:val="center" w:pos="4536"/>
              <w:tab w:val="right" w:pos="9072"/>
            </w:tabs>
            <w:jc w:val="center"/>
          </w:pPr>
          <w:r>
            <w:rPr>
              <w:rFonts w:ascii="Bookman Old Style" w:hAnsi="Bookman Old Style"/>
              <w:b/>
              <w:color w:val="808080"/>
              <w:szCs w:val="24"/>
            </w:rPr>
            <w:t xml:space="preserve">Приложение </w:t>
          </w:r>
          <w:r w:rsidR="0068028A">
            <w:rPr>
              <w:rFonts w:ascii="Bookman Old Style" w:hAnsi="Bookman Old Style"/>
              <w:b/>
              <w:color w:val="808080"/>
              <w:szCs w:val="24"/>
            </w:rPr>
            <w:t>1</w:t>
          </w:r>
        </w:p>
        <w:p w14:paraId="32B7F529" w14:textId="3647709E" w:rsidR="00887911" w:rsidRDefault="00887911" w:rsidP="00887911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</w:rPr>
          </w:pPr>
          <w:r>
            <w:rPr>
              <w:rFonts w:ascii="Bookman Old Style" w:hAnsi="Bookman Old Style"/>
              <w:b/>
              <w:color w:val="808080"/>
              <w:szCs w:val="24"/>
            </w:rPr>
            <w:t xml:space="preserve">Ред </w:t>
          </w:r>
          <w:r w:rsidR="0077087F">
            <w:rPr>
              <w:rFonts w:ascii="Bookman Old Style" w:hAnsi="Bookman Old Style"/>
              <w:b/>
              <w:color w:val="808080"/>
              <w:szCs w:val="24"/>
            </w:rPr>
            <w:t xml:space="preserve">и условия </w:t>
          </w:r>
          <w:r>
            <w:rPr>
              <w:rFonts w:ascii="Bookman Old Style" w:hAnsi="Bookman Old Style"/>
              <w:b/>
              <w:color w:val="808080"/>
              <w:szCs w:val="24"/>
            </w:rPr>
            <w:t xml:space="preserve">за съгласуване и одобрение на </w:t>
          </w:r>
          <w:r w:rsidR="0077087F">
            <w:rPr>
              <w:rFonts w:ascii="Bookman Old Style" w:hAnsi="Bookman Old Style"/>
              <w:b/>
              <w:color w:val="808080"/>
              <w:szCs w:val="24"/>
            </w:rPr>
            <w:t xml:space="preserve">инвестиционни </w:t>
          </w:r>
          <w:r>
            <w:rPr>
              <w:rFonts w:ascii="Bookman Old Style" w:hAnsi="Bookman Old Style"/>
              <w:b/>
              <w:color w:val="808080"/>
              <w:szCs w:val="24"/>
            </w:rPr>
            <w:t>проекти от ПВУ за съответствие със законодателството в областта на държавните помощи</w:t>
          </w:r>
        </w:p>
      </w:tc>
      <w:tc>
        <w:tcPr>
          <w:tcW w:w="134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5644F458" w14:textId="23420372" w:rsidR="00887911" w:rsidRDefault="00887911" w:rsidP="00887911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Раздел 2</w:t>
          </w:r>
        </w:p>
      </w:tc>
    </w:tr>
    <w:tr w:rsidR="00887911" w14:paraId="4425226D" w14:textId="77777777" w:rsidTr="00333682">
      <w:trPr>
        <w:trHeight w:val="635"/>
      </w:trPr>
      <w:tc>
        <w:tcPr>
          <w:tcW w:w="30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0244441B" w14:textId="77777777" w:rsidR="00887911" w:rsidRDefault="00887911" w:rsidP="00887911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222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0FF57B74" w14:textId="797C3C1F" w:rsidR="00887911" w:rsidRDefault="00CC17C9" w:rsidP="00887911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Версия : </w:t>
          </w:r>
          <w:r w:rsidR="00887911">
            <w:rPr>
              <w:rFonts w:ascii="Bookman Old Style" w:hAnsi="Bookman Old Style"/>
              <w:b/>
              <w:color w:val="808080"/>
              <w:sz w:val="18"/>
              <w:szCs w:val="18"/>
            </w:rPr>
            <w:t>1</w:t>
          </w:r>
        </w:p>
      </w:tc>
      <w:tc>
        <w:tcPr>
          <w:tcW w:w="2534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78DDB19" w14:textId="184C4430" w:rsidR="00887911" w:rsidRDefault="00887911" w:rsidP="00887911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Дата: </w:t>
          </w:r>
          <w:r w:rsidR="004A5C94">
            <w:rPr>
              <w:rFonts w:ascii="Bookman Old Style" w:hAnsi="Bookman Old Style"/>
              <w:b/>
              <w:color w:val="808080"/>
              <w:sz w:val="18"/>
              <w:szCs w:val="18"/>
            </w:rPr>
            <w:t>юни 2022</w:t>
          </w:r>
          <w:bookmarkStart w:id="1" w:name="_GoBack"/>
          <w:bookmarkEnd w:id="1"/>
        </w:p>
      </w:tc>
      <w:tc>
        <w:tcPr>
          <w:tcW w:w="13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1B2346" w14:textId="35061D4F" w:rsidR="00887911" w:rsidRDefault="00887911" w:rsidP="00887911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4A5C94">
            <w:rPr>
              <w:rFonts w:ascii="Bookman Old Style" w:hAnsi="Bookman Old Style"/>
              <w:b/>
              <w:noProof/>
              <w:color w:val="808080"/>
              <w:sz w:val="18"/>
            </w:rPr>
            <w:t>1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4A5C94">
            <w:rPr>
              <w:rFonts w:ascii="Bookman Old Style" w:hAnsi="Bookman Old Style"/>
              <w:b/>
              <w:noProof/>
              <w:color w:val="808080"/>
              <w:sz w:val="18"/>
            </w:rPr>
            <w:t>4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752A2E4C" w14:textId="77777777" w:rsidR="00926AA3" w:rsidRDefault="00926A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09AC2" w14:textId="77777777" w:rsidR="0077087F" w:rsidRDefault="007708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B6047"/>
    <w:multiLevelType w:val="multilevel"/>
    <w:tmpl w:val="AFF8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A3"/>
    <w:rsid w:val="00037150"/>
    <w:rsid w:val="00074D5E"/>
    <w:rsid w:val="000B75FB"/>
    <w:rsid w:val="00103A25"/>
    <w:rsid w:val="00116411"/>
    <w:rsid w:val="00126E50"/>
    <w:rsid w:val="001364E8"/>
    <w:rsid w:val="00151C99"/>
    <w:rsid w:val="00156B92"/>
    <w:rsid w:val="00163FAE"/>
    <w:rsid w:val="0017000C"/>
    <w:rsid w:val="001903DA"/>
    <w:rsid w:val="001968A9"/>
    <w:rsid w:val="001A1502"/>
    <w:rsid w:val="001B0138"/>
    <w:rsid w:val="001B13B1"/>
    <w:rsid w:val="001B1787"/>
    <w:rsid w:val="001B513C"/>
    <w:rsid w:val="001F303D"/>
    <w:rsid w:val="00271057"/>
    <w:rsid w:val="00275E13"/>
    <w:rsid w:val="00293F50"/>
    <w:rsid w:val="002A5360"/>
    <w:rsid w:val="002B4A05"/>
    <w:rsid w:val="002C3F74"/>
    <w:rsid w:val="002F0AE9"/>
    <w:rsid w:val="00310770"/>
    <w:rsid w:val="00313F14"/>
    <w:rsid w:val="00316FE4"/>
    <w:rsid w:val="00317A18"/>
    <w:rsid w:val="00320719"/>
    <w:rsid w:val="00326D0B"/>
    <w:rsid w:val="00341CD3"/>
    <w:rsid w:val="00350AB2"/>
    <w:rsid w:val="00362079"/>
    <w:rsid w:val="00374C05"/>
    <w:rsid w:val="003B495C"/>
    <w:rsid w:val="00422A24"/>
    <w:rsid w:val="00437026"/>
    <w:rsid w:val="0044011D"/>
    <w:rsid w:val="00467244"/>
    <w:rsid w:val="00470137"/>
    <w:rsid w:val="00470D93"/>
    <w:rsid w:val="00475129"/>
    <w:rsid w:val="004804F4"/>
    <w:rsid w:val="004811F6"/>
    <w:rsid w:val="004A5C94"/>
    <w:rsid w:val="004C2B50"/>
    <w:rsid w:val="004D5E98"/>
    <w:rsid w:val="004F4B0C"/>
    <w:rsid w:val="004F6C14"/>
    <w:rsid w:val="00506300"/>
    <w:rsid w:val="0052269D"/>
    <w:rsid w:val="00536E19"/>
    <w:rsid w:val="005434EF"/>
    <w:rsid w:val="00561D37"/>
    <w:rsid w:val="005770B6"/>
    <w:rsid w:val="00581340"/>
    <w:rsid w:val="00581620"/>
    <w:rsid w:val="005864C2"/>
    <w:rsid w:val="00587F27"/>
    <w:rsid w:val="00597458"/>
    <w:rsid w:val="005A31C0"/>
    <w:rsid w:val="005B34D8"/>
    <w:rsid w:val="005B5AAC"/>
    <w:rsid w:val="005C498E"/>
    <w:rsid w:val="005C5EC8"/>
    <w:rsid w:val="005E1F45"/>
    <w:rsid w:val="005E2E31"/>
    <w:rsid w:val="006159B1"/>
    <w:rsid w:val="0068028A"/>
    <w:rsid w:val="00696EDE"/>
    <w:rsid w:val="006A17D8"/>
    <w:rsid w:val="006A3833"/>
    <w:rsid w:val="006A6D71"/>
    <w:rsid w:val="006D7D48"/>
    <w:rsid w:val="00704E21"/>
    <w:rsid w:val="00705D7A"/>
    <w:rsid w:val="007179E1"/>
    <w:rsid w:val="007208A9"/>
    <w:rsid w:val="00723B1F"/>
    <w:rsid w:val="007262BA"/>
    <w:rsid w:val="007420A9"/>
    <w:rsid w:val="00764270"/>
    <w:rsid w:val="00767CFC"/>
    <w:rsid w:val="0077087F"/>
    <w:rsid w:val="00772859"/>
    <w:rsid w:val="007805D8"/>
    <w:rsid w:val="007919A6"/>
    <w:rsid w:val="007C0807"/>
    <w:rsid w:val="007E0E67"/>
    <w:rsid w:val="007E3C82"/>
    <w:rsid w:val="007E6129"/>
    <w:rsid w:val="007E709C"/>
    <w:rsid w:val="007E781B"/>
    <w:rsid w:val="007F580B"/>
    <w:rsid w:val="00822B26"/>
    <w:rsid w:val="00857784"/>
    <w:rsid w:val="00872E5E"/>
    <w:rsid w:val="00887911"/>
    <w:rsid w:val="008F0469"/>
    <w:rsid w:val="008F3084"/>
    <w:rsid w:val="00923D31"/>
    <w:rsid w:val="00925868"/>
    <w:rsid w:val="00926AA3"/>
    <w:rsid w:val="00931DB9"/>
    <w:rsid w:val="00937EFE"/>
    <w:rsid w:val="00944844"/>
    <w:rsid w:val="009473FB"/>
    <w:rsid w:val="00966254"/>
    <w:rsid w:val="009B2D5B"/>
    <w:rsid w:val="009B5AF2"/>
    <w:rsid w:val="009B78A4"/>
    <w:rsid w:val="009C3200"/>
    <w:rsid w:val="009D699E"/>
    <w:rsid w:val="009D69B4"/>
    <w:rsid w:val="009F1C97"/>
    <w:rsid w:val="00A00F7F"/>
    <w:rsid w:val="00A0207F"/>
    <w:rsid w:val="00A17C3B"/>
    <w:rsid w:val="00A3044F"/>
    <w:rsid w:val="00A3228E"/>
    <w:rsid w:val="00A61962"/>
    <w:rsid w:val="00A65AAD"/>
    <w:rsid w:val="00A67EBB"/>
    <w:rsid w:val="00A734D8"/>
    <w:rsid w:val="00A8465A"/>
    <w:rsid w:val="00AB3204"/>
    <w:rsid w:val="00AE54E8"/>
    <w:rsid w:val="00AF7334"/>
    <w:rsid w:val="00B11D44"/>
    <w:rsid w:val="00B22C3A"/>
    <w:rsid w:val="00B5141C"/>
    <w:rsid w:val="00B63372"/>
    <w:rsid w:val="00B66E35"/>
    <w:rsid w:val="00B863EB"/>
    <w:rsid w:val="00BA2AC1"/>
    <w:rsid w:val="00BA6EB3"/>
    <w:rsid w:val="00BB4FDC"/>
    <w:rsid w:val="00BB5053"/>
    <w:rsid w:val="00BC48B8"/>
    <w:rsid w:val="00BE6153"/>
    <w:rsid w:val="00BF5851"/>
    <w:rsid w:val="00C074A9"/>
    <w:rsid w:val="00C13335"/>
    <w:rsid w:val="00C55E87"/>
    <w:rsid w:val="00C677CC"/>
    <w:rsid w:val="00C67D7C"/>
    <w:rsid w:val="00C81D2E"/>
    <w:rsid w:val="00C847C9"/>
    <w:rsid w:val="00C93D05"/>
    <w:rsid w:val="00C94227"/>
    <w:rsid w:val="00CA1CD8"/>
    <w:rsid w:val="00CA4303"/>
    <w:rsid w:val="00CB50A8"/>
    <w:rsid w:val="00CC17C9"/>
    <w:rsid w:val="00CE19DE"/>
    <w:rsid w:val="00CE44B6"/>
    <w:rsid w:val="00D04017"/>
    <w:rsid w:val="00D06364"/>
    <w:rsid w:val="00D34E07"/>
    <w:rsid w:val="00D937FE"/>
    <w:rsid w:val="00D94AAD"/>
    <w:rsid w:val="00D96602"/>
    <w:rsid w:val="00DA710B"/>
    <w:rsid w:val="00DB4222"/>
    <w:rsid w:val="00DD0101"/>
    <w:rsid w:val="00DD4E08"/>
    <w:rsid w:val="00DE2126"/>
    <w:rsid w:val="00DF28FC"/>
    <w:rsid w:val="00E029C1"/>
    <w:rsid w:val="00E06B0C"/>
    <w:rsid w:val="00E14752"/>
    <w:rsid w:val="00E218F8"/>
    <w:rsid w:val="00E23E4E"/>
    <w:rsid w:val="00E24A5D"/>
    <w:rsid w:val="00E26A2B"/>
    <w:rsid w:val="00E30E08"/>
    <w:rsid w:val="00E35E66"/>
    <w:rsid w:val="00E534CB"/>
    <w:rsid w:val="00E53B8F"/>
    <w:rsid w:val="00E54DDF"/>
    <w:rsid w:val="00E63FB4"/>
    <w:rsid w:val="00E66BF6"/>
    <w:rsid w:val="00E844CD"/>
    <w:rsid w:val="00E93F7A"/>
    <w:rsid w:val="00EF2290"/>
    <w:rsid w:val="00EF7AD2"/>
    <w:rsid w:val="00F16186"/>
    <w:rsid w:val="00F2641E"/>
    <w:rsid w:val="00F3046F"/>
    <w:rsid w:val="00F369A8"/>
    <w:rsid w:val="00F50214"/>
    <w:rsid w:val="00F70D1B"/>
    <w:rsid w:val="00F70F19"/>
    <w:rsid w:val="00F74006"/>
    <w:rsid w:val="00F91A49"/>
    <w:rsid w:val="00FA31B9"/>
    <w:rsid w:val="00FB2180"/>
    <w:rsid w:val="00FC38AE"/>
    <w:rsid w:val="00FE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9F2220"/>
  <w15:chartTrackingRefBased/>
  <w15:docId w15:val="{0B346382-F66E-46A0-B429-5719E6C3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AA3"/>
  </w:style>
  <w:style w:type="paragraph" w:styleId="Footer">
    <w:name w:val="footer"/>
    <w:basedOn w:val="Normal"/>
    <w:link w:val="FooterChar"/>
    <w:uiPriority w:val="99"/>
    <w:unhideWhenUsed/>
    <w:rsid w:val="0092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AA3"/>
  </w:style>
  <w:style w:type="paragraph" w:styleId="ListParagraph">
    <w:name w:val="List Paragraph"/>
    <w:basedOn w:val="Normal"/>
    <w:uiPriority w:val="34"/>
    <w:qFormat/>
    <w:rsid w:val="001903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50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2E5E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93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3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3F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F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50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20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1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teaid@minfin.b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ateaid.minfin.bg/bg/page/517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hyperlink" Target="mailto:COMP-RRF@ec.europa.e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c.europa.eu/competition/state%20aid/what%20is%20new/covid%2019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5D719-DCB7-406D-AA7C-D4F6F9F74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Страхил Стоев</dc:creator>
  <cp:keywords/>
  <dc:description/>
  <cp:lastModifiedBy>Весела Петрова</cp:lastModifiedBy>
  <cp:revision>7</cp:revision>
  <dcterms:created xsi:type="dcterms:W3CDTF">2022-05-13T11:15:00Z</dcterms:created>
  <dcterms:modified xsi:type="dcterms:W3CDTF">2022-06-30T14:10:00Z</dcterms:modified>
</cp:coreProperties>
</file>