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5F3A2" w14:textId="77777777" w:rsidR="009D6869" w:rsidRPr="00773242" w:rsidRDefault="00B2238A" w:rsidP="009D68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Отчет за постигнатия напредък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при изпълнението на </w:t>
      </w:r>
      <w:r w:rsidR="007A467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реформа по П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ВУ </w:t>
      </w:r>
    </w:p>
    <w:p w14:paraId="5BE03497" w14:textId="77777777" w:rsidR="009D6869" w:rsidRPr="00773242" w:rsidRDefault="009D6869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434E5B2C" w14:textId="77777777" w:rsidR="009D6869" w:rsidRPr="00773242" w:rsidRDefault="009D6869" w:rsidP="009D68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Обща информация </w:t>
      </w:r>
    </w:p>
    <w:p w14:paraId="300C8A6A" w14:textId="77777777" w:rsidR="009D6869" w:rsidRPr="00773242" w:rsidRDefault="009D6869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C26DFC5" w14:textId="77777777" w:rsidR="008C6C9B" w:rsidRPr="00773242" w:rsidRDefault="008C6C9B" w:rsidP="008C6C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Номер на отчет</w:t>
      </w:r>
      <w:r w:rsidR="0099203A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и отчетно тримесечие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2A636B8C" w14:textId="77777777" w:rsidR="008C6C9B" w:rsidRPr="00773242" w:rsidRDefault="008C6C9B" w:rsidP="008C6C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4321B1C0" w14:textId="77777777" w:rsidR="002357EF" w:rsidRPr="00773242" w:rsidRDefault="007A4679" w:rsidP="002357E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Структура, отговорна за реформата</w:t>
      </w:r>
      <w:r w:rsidR="002357EF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7EACEF0F" w14:textId="77777777" w:rsidR="008A677A" w:rsidRPr="00773242" w:rsidRDefault="008A677A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4B5C0A42" w14:textId="77777777" w:rsidR="0052319D" w:rsidRPr="00773242" w:rsidRDefault="009D6869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№ на </w:t>
      </w:r>
      <w:r w:rsidR="007A467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реформата: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</w:p>
    <w:p w14:paraId="250270E7" w14:textId="77777777" w:rsidR="009D6869" w:rsidRPr="00773242" w:rsidRDefault="009D6869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Наименование на </w:t>
      </w:r>
      <w:r w:rsidR="007A467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реформата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  <w:bookmarkStart w:id="0" w:name="_GoBack"/>
      <w:bookmarkEnd w:id="0"/>
    </w:p>
    <w:p w14:paraId="69B2091C" w14:textId="77777777" w:rsidR="006B4199" w:rsidRPr="00773242" w:rsidRDefault="006B4199" w:rsidP="006B41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Стълб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(1,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2, 3 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или 4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)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: </w:t>
      </w:r>
    </w:p>
    <w:p w14:paraId="6E14640A" w14:textId="77777777" w:rsidR="006B4199" w:rsidRPr="00773242" w:rsidRDefault="006B4199" w:rsidP="006B41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Компонент ХХХХ: </w:t>
      </w:r>
    </w:p>
    <w:p w14:paraId="1F4ED0EA" w14:textId="77777777" w:rsidR="006B4199" w:rsidRPr="00773242" w:rsidRDefault="006B4199" w:rsidP="006B419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Специфична препоръка, към която се отнася </w:t>
      </w:r>
      <w:r w:rsidR="007A467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реформата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2DB16F76" w14:textId="77777777" w:rsidR="002D01CC" w:rsidRPr="00773242" w:rsidRDefault="002D01CC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0B0DBC2A" w14:textId="77777777" w:rsidR="0099203A" w:rsidRPr="00773242" w:rsidRDefault="0099203A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28F856E0" w14:textId="77777777" w:rsidR="00227253" w:rsidRDefault="00335D93" w:rsidP="00335D9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2 </w:t>
      </w:r>
      <w:r w:rsidR="00227253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Реализиран напредък в изпълнението на </w:t>
      </w:r>
      <w:r w:rsidR="00D84F06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етапите/целите на </w:t>
      </w:r>
      <w:r w:rsidR="007A467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реформата</w:t>
      </w:r>
    </w:p>
    <w:p w14:paraId="5A298B04" w14:textId="77777777" w:rsidR="007A4679" w:rsidRPr="00773242" w:rsidRDefault="007A4679" w:rsidP="00335D9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15116" w:type="dxa"/>
        <w:tblInd w:w="-520" w:type="dxa"/>
        <w:tblLook w:val="04A0" w:firstRow="1" w:lastRow="0" w:firstColumn="1" w:lastColumn="0" w:noHBand="0" w:noVBand="1"/>
      </w:tblPr>
      <w:tblGrid>
        <w:gridCol w:w="959"/>
        <w:gridCol w:w="1355"/>
        <w:gridCol w:w="1886"/>
        <w:gridCol w:w="909"/>
        <w:gridCol w:w="935"/>
        <w:gridCol w:w="1134"/>
        <w:gridCol w:w="1275"/>
        <w:gridCol w:w="1276"/>
        <w:gridCol w:w="1276"/>
        <w:gridCol w:w="1276"/>
        <w:gridCol w:w="1417"/>
        <w:gridCol w:w="1418"/>
      </w:tblGrid>
      <w:tr w:rsidR="00D22E3C" w:rsidRPr="00773242" w14:paraId="3D8BD2B3" w14:textId="77777777" w:rsidTr="00D22E3C">
        <w:trPr>
          <w:trHeight w:val="1290"/>
        </w:trPr>
        <w:tc>
          <w:tcPr>
            <w:tcW w:w="959" w:type="dxa"/>
          </w:tcPr>
          <w:p w14:paraId="06C708C6" w14:textId="77777777" w:rsidR="00A55F5A" w:rsidRPr="00773242" w:rsidRDefault="00A55F5A" w:rsidP="009F3FE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>Пореден номер</w:t>
            </w:r>
          </w:p>
        </w:tc>
        <w:tc>
          <w:tcPr>
            <w:tcW w:w="1355" w:type="dxa"/>
          </w:tcPr>
          <w:p w14:paraId="1CA8521F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>Етап/цел</w:t>
            </w:r>
          </w:p>
          <w:p w14:paraId="00633FF7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</w:pP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>наименование и номер</w:t>
            </w: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86" w:type="dxa"/>
          </w:tcPr>
          <w:p w14:paraId="7A998BE4" w14:textId="77777777" w:rsidR="00A55F5A" w:rsidRPr="00773242" w:rsidRDefault="007A4679" w:rsidP="00C70B29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>Показател</w:t>
            </w:r>
            <w:r w:rsidR="00A55F5A"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 xml:space="preserve"> – наименование, единица на отчитане</w:t>
            </w:r>
          </w:p>
        </w:tc>
        <w:tc>
          <w:tcPr>
            <w:tcW w:w="909" w:type="dxa"/>
          </w:tcPr>
          <w:p w14:paraId="6F98ADA0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Базова стойност</w:t>
            </w:r>
          </w:p>
        </w:tc>
        <w:tc>
          <w:tcPr>
            <w:tcW w:w="935" w:type="dxa"/>
          </w:tcPr>
          <w:p w14:paraId="4F49CED5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Целева стойност</w:t>
            </w:r>
          </w:p>
        </w:tc>
        <w:tc>
          <w:tcPr>
            <w:tcW w:w="1134" w:type="dxa"/>
          </w:tcPr>
          <w:p w14:paraId="5D909705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Стойност за отчетния период</w:t>
            </w:r>
          </w:p>
        </w:tc>
        <w:tc>
          <w:tcPr>
            <w:tcW w:w="1275" w:type="dxa"/>
          </w:tcPr>
          <w:p w14:paraId="0EFE8C43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Промяна спрямо предходното отчитане</w:t>
            </w:r>
          </w:p>
        </w:tc>
        <w:tc>
          <w:tcPr>
            <w:tcW w:w="1276" w:type="dxa"/>
          </w:tcPr>
          <w:p w14:paraId="565799F7" w14:textId="77777777" w:rsidR="00A55F5A" w:rsidRPr="00773242" w:rsidRDefault="00A55F5A" w:rsidP="00926A0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highlight w:val="yellow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Постигнат етап</w:t>
            </w:r>
            <w:r w:rsidR="00926A00"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/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 цел съгласно ПВУ</w:t>
            </w:r>
          </w:p>
        </w:tc>
        <w:tc>
          <w:tcPr>
            <w:tcW w:w="1276" w:type="dxa"/>
          </w:tcPr>
          <w:p w14:paraId="79BA7856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Отклонение спрямо графика на изпълнение – не/ да – с обяснение</w:t>
            </w:r>
          </w:p>
        </w:tc>
        <w:tc>
          <w:tcPr>
            <w:tcW w:w="1276" w:type="dxa"/>
          </w:tcPr>
          <w:p w14:paraId="01A772C2" w14:textId="77777777" w:rsidR="00A55F5A" w:rsidRPr="00773242" w:rsidRDefault="00A55F5A" w:rsidP="00B74DA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Източн</w:t>
            </w:r>
            <w:r w:rsidR="007A4679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ик на данните в съответствие с 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ПВУ</w:t>
            </w:r>
          </w:p>
        </w:tc>
        <w:tc>
          <w:tcPr>
            <w:tcW w:w="1417" w:type="dxa"/>
          </w:tcPr>
          <w:p w14:paraId="0FEA252A" w14:textId="77777777" w:rsidR="00A55F5A" w:rsidRPr="00773242" w:rsidRDefault="00A55F5A" w:rsidP="00D22E3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Принос към постигане на климатичната цел 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(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да/не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)</w:t>
            </w:r>
            <w:r w:rsidR="00D22E3C"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 /чл. 18, т. 4 д) от Регламент (ЕС) 2021/241/</w:t>
            </w:r>
          </w:p>
        </w:tc>
        <w:tc>
          <w:tcPr>
            <w:tcW w:w="1418" w:type="dxa"/>
          </w:tcPr>
          <w:p w14:paraId="24A087F0" w14:textId="77777777" w:rsidR="00A55F5A" w:rsidRPr="00773242" w:rsidRDefault="00A55F5A" w:rsidP="00D22E3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Принос към постигане на дигиталната цел 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(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да/не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)</w:t>
            </w:r>
            <w:r w:rsidR="00D22E3C"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 /чл. 18, т. 4 е)</w:t>
            </w:r>
            <w:r w:rsidR="00D22E3C" w:rsidRPr="007732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2E3C"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от Регламент (ЕС) 2021/241 /</w:t>
            </w:r>
          </w:p>
        </w:tc>
      </w:tr>
      <w:tr w:rsidR="00A55F5A" w:rsidRPr="00773242" w14:paraId="69CC1988" w14:textId="77777777" w:rsidTr="00D22E3C">
        <w:trPr>
          <w:trHeight w:val="265"/>
        </w:trPr>
        <w:tc>
          <w:tcPr>
            <w:tcW w:w="959" w:type="dxa"/>
          </w:tcPr>
          <w:p w14:paraId="381EEA51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22" w:type="dxa"/>
            <w:gridSpan w:val="9"/>
          </w:tcPr>
          <w:p w14:paraId="150FF9F3" w14:textId="77777777" w:rsidR="00A55F5A" w:rsidRPr="00773242" w:rsidRDefault="00A55F5A" w:rsidP="007A467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 xml:space="preserve">А. </w:t>
            </w:r>
            <w:r w:rsidR="00C85A1F"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Цели (к</w:t>
            </w:r>
            <w:r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 xml:space="preserve">оличествени </w:t>
            </w:r>
            <w:r w:rsidR="007A467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показатели</w:t>
            </w:r>
            <w:r w:rsidR="00C85A1F"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)</w:t>
            </w:r>
          </w:p>
        </w:tc>
        <w:tc>
          <w:tcPr>
            <w:tcW w:w="1417" w:type="dxa"/>
          </w:tcPr>
          <w:p w14:paraId="20F48E8F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610DCF07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D22E3C" w:rsidRPr="00773242" w14:paraId="1DF832A1" w14:textId="77777777" w:rsidTr="00D22E3C">
        <w:trPr>
          <w:trHeight w:val="247"/>
        </w:trPr>
        <w:tc>
          <w:tcPr>
            <w:tcW w:w="959" w:type="dxa"/>
          </w:tcPr>
          <w:p w14:paraId="55FC5604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55" w:type="dxa"/>
          </w:tcPr>
          <w:p w14:paraId="4C7CA89A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86" w:type="dxa"/>
          </w:tcPr>
          <w:p w14:paraId="655CEAEB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</w:t>
            </w:r>
          </w:p>
        </w:tc>
        <w:tc>
          <w:tcPr>
            <w:tcW w:w="909" w:type="dxa"/>
          </w:tcPr>
          <w:p w14:paraId="38AD2472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5" w:type="dxa"/>
          </w:tcPr>
          <w:p w14:paraId="655BF28B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</w:tcPr>
          <w:p w14:paraId="1374A321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</w:tcPr>
          <w:p w14:paraId="7CA2DA4A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0E9D36A8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4046828E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6C0B4BEA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086C310B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39A22F2A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D22E3C" w:rsidRPr="00773242" w14:paraId="15DFCAD2" w14:textId="77777777" w:rsidTr="00D22E3C">
        <w:trPr>
          <w:trHeight w:val="247"/>
        </w:trPr>
        <w:tc>
          <w:tcPr>
            <w:tcW w:w="959" w:type="dxa"/>
          </w:tcPr>
          <w:p w14:paraId="55BB1232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55" w:type="dxa"/>
          </w:tcPr>
          <w:p w14:paraId="04B5DB7D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86" w:type="dxa"/>
          </w:tcPr>
          <w:p w14:paraId="4FB1FD49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……………………….</w:t>
            </w:r>
          </w:p>
        </w:tc>
        <w:tc>
          <w:tcPr>
            <w:tcW w:w="909" w:type="dxa"/>
          </w:tcPr>
          <w:p w14:paraId="7A4EC02B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5" w:type="dxa"/>
          </w:tcPr>
          <w:p w14:paraId="3A2F2BFB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</w:tcPr>
          <w:p w14:paraId="3EB7077D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</w:tcPr>
          <w:p w14:paraId="0EA70EF2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39F506CC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08129262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4B867E03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019D0CB7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00FD70DF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A55F5A" w:rsidRPr="00773242" w14:paraId="6FA54625" w14:textId="77777777" w:rsidTr="00D22E3C">
        <w:trPr>
          <w:trHeight w:val="247"/>
        </w:trPr>
        <w:tc>
          <w:tcPr>
            <w:tcW w:w="959" w:type="dxa"/>
          </w:tcPr>
          <w:p w14:paraId="457494EB" w14:textId="77777777" w:rsidR="00A55F5A" w:rsidRPr="00773242" w:rsidDel="00633881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22" w:type="dxa"/>
            <w:gridSpan w:val="9"/>
          </w:tcPr>
          <w:p w14:paraId="2481D686" w14:textId="77777777" w:rsidR="00A55F5A" w:rsidRPr="00773242" w:rsidRDefault="00A55F5A" w:rsidP="007A467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 xml:space="preserve">Б. </w:t>
            </w:r>
            <w:r w:rsidR="00C85A1F"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Етапи (к</w:t>
            </w:r>
            <w:r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 xml:space="preserve">ачествени </w:t>
            </w:r>
            <w:r w:rsidR="007A467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показатели</w:t>
            </w:r>
            <w:r w:rsidR="00C85A1F"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)</w:t>
            </w:r>
          </w:p>
        </w:tc>
        <w:tc>
          <w:tcPr>
            <w:tcW w:w="1417" w:type="dxa"/>
          </w:tcPr>
          <w:p w14:paraId="240F9811" w14:textId="77777777" w:rsidR="00A55F5A" w:rsidRPr="00773242" w:rsidDel="00633881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05497F4C" w14:textId="77777777" w:rsidR="00A55F5A" w:rsidRPr="00773242" w:rsidDel="00633881" w:rsidRDefault="00A55F5A" w:rsidP="00C70B2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D22E3C" w:rsidRPr="00773242" w14:paraId="2C853617" w14:textId="77777777" w:rsidTr="00D22E3C">
        <w:trPr>
          <w:trHeight w:val="265"/>
        </w:trPr>
        <w:tc>
          <w:tcPr>
            <w:tcW w:w="959" w:type="dxa"/>
          </w:tcPr>
          <w:p w14:paraId="3280FAD8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55" w:type="dxa"/>
          </w:tcPr>
          <w:p w14:paraId="1923FE9F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86" w:type="dxa"/>
          </w:tcPr>
          <w:p w14:paraId="14EBDE8D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</w:t>
            </w:r>
          </w:p>
        </w:tc>
        <w:tc>
          <w:tcPr>
            <w:tcW w:w="909" w:type="dxa"/>
          </w:tcPr>
          <w:p w14:paraId="37C570F5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5" w:type="dxa"/>
          </w:tcPr>
          <w:p w14:paraId="2C8B4783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</w:tcPr>
          <w:p w14:paraId="764344A1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</w:tcPr>
          <w:p w14:paraId="0DACBEBD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371E2204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1A0BC6A0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50CFB36D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4B234B7E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2413F405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D22E3C" w:rsidRPr="00773242" w14:paraId="0A7E363E" w14:textId="77777777" w:rsidTr="00D22E3C">
        <w:trPr>
          <w:trHeight w:val="247"/>
        </w:trPr>
        <w:tc>
          <w:tcPr>
            <w:tcW w:w="959" w:type="dxa"/>
          </w:tcPr>
          <w:p w14:paraId="0D78D4C5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55" w:type="dxa"/>
          </w:tcPr>
          <w:p w14:paraId="6F8736D2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86" w:type="dxa"/>
          </w:tcPr>
          <w:p w14:paraId="314F0B67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</w:t>
            </w:r>
          </w:p>
        </w:tc>
        <w:tc>
          <w:tcPr>
            <w:tcW w:w="909" w:type="dxa"/>
          </w:tcPr>
          <w:p w14:paraId="407544A9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5" w:type="dxa"/>
          </w:tcPr>
          <w:p w14:paraId="6DD7E3DB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</w:tcPr>
          <w:p w14:paraId="0E4D27F2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</w:tcPr>
          <w:p w14:paraId="41022B3B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0B4158BE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64F6307C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53AEFF7B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7B8BE3E0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40B2128B" w14:textId="77777777" w:rsidR="00A55F5A" w:rsidRPr="00773242" w:rsidRDefault="00A55F5A" w:rsidP="00C70B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26F39089" w14:textId="77777777" w:rsidR="007A4679" w:rsidRDefault="007A4679" w:rsidP="00DF21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68FCB175" w14:textId="77777777" w:rsidR="00DF21FF" w:rsidRPr="00773242" w:rsidRDefault="00DF21FF" w:rsidP="00DF21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При описанието на напредъка по отношение на качествените </w:t>
      </w:r>
      <w:r w:rsidR="007A467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показателни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се представя принос</w:t>
      </w:r>
      <w:r w:rsidR="007A467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а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им към адресираните Специфични препоръки, към потенциала за растеж, създаване на работни места, намаляване на въздействието на кризата, уязвимост към шокове/капацитет да се отговори на шокове, социална и териториална кохезия, което е приложимо.</w:t>
      </w:r>
    </w:p>
    <w:p w14:paraId="4130BF9A" w14:textId="77777777" w:rsidR="00604262" w:rsidRPr="00773242" w:rsidRDefault="00604262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06335895" w14:textId="77777777" w:rsidR="003D4DA2" w:rsidRPr="00773242" w:rsidRDefault="003D4DA2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7AD9F33D" w14:textId="77777777" w:rsidR="002F5121" w:rsidRPr="00773242" w:rsidRDefault="007A4679" w:rsidP="002F512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2F5121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 Идентифицирани рискове при изпълнение 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реформата</w:t>
      </w:r>
      <w:r w:rsidR="002F5121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и предприети действия за избягването им, срокове, статус към текущото отчитане</w:t>
      </w:r>
    </w:p>
    <w:p w14:paraId="16556452" w14:textId="77777777" w:rsidR="0083197D" w:rsidRPr="00773242" w:rsidRDefault="0083197D" w:rsidP="0083197D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4F66CB0" w14:textId="77777777" w:rsidR="004C4FB2" w:rsidRPr="00773242" w:rsidRDefault="004C4FB2" w:rsidP="00342EB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5CB4800A" w14:textId="77777777" w:rsidR="00461CC3" w:rsidRPr="00773242" w:rsidRDefault="00461CC3" w:rsidP="00342EB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13A0F340" w14:textId="77777777" w:rsidR="008E4A76" w:rsidRPr="00773242" w:rsidRDefault="008E4A76" w:rsidP="005D6C81">
      <w:pPr>
        <w:rPr>
          <w:rFonts w:ascii="Times New Roman" w:hAnsi="Times New Roman" w:cs="Times New Roman"/>
          <w:lang w:val="bg-BG"/>
        </w:rPr>
      </w:pPr>
    </w:p>
    <w:sectPr w:rsidR="008E4A76" w:rsidRPr="00773242" w:rsidSect="005C7A5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7A82B" w14:textId="77777777" w:rsidR="00F54EE3" w:rsidRDefault="00F54EE3" w:rsidP="00F60306">
      <w:pPr>
        <w:spacing w:after="0" w:line="240" w:lineRule="auto"/>
      </w:pPr>
      <w:r>
        <w:separator/>
      </w:r>
    </w:p>
  </w:endnote>
  <w:endnote w:type="continuationSeparator" w:id="0">
    <w:p w14:paraId="50236748" w14:textId="77777777" w:rsidR="00F54EE3" w:rsidRDefault="00F54EE3" w:rsidP="00F6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8672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2BF798" w14:textId="4C29CD90" w:rsidR="00F60306" w:rsidRDefault="00F603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6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C63506" w14:textId="77777777" w:rsidR="00F60306" w:rsidRDefault="00F603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50237" w14:textId="77777777" w:rsidR="00F54EE3" w:rsidRDefault="00F54EE3" w:rsidP="00F60306">
      <w:pPr>
        <w:spacing w:after="0" w:line="240" w:lineRule="auto"/>
      </w:pPr>
      <w:r>
        <w:separator/>
      </w:r>
    </w:p>
  </w:footnote>
  <w:footnote w:type="continuationSeparator" w:id="0">
    <w:p w14:paraId="0022B34A" w14:textId="77777777" w:rsidR="00F54EE3" w:rsidRDefault="00F54EE3" w:rsidP="00F6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4597"/>
      <w:gridCol w:w="3320"/>
      <w:gridCol w:w="3790"/>
      <w:gridCol w:w="2007"/>
    </w:tblGrid>
    <w:tr w:rsidR="00773242" w:rsidRPr="00773242" w14:paraId="0B762E9B" w14:textId="77777777" w:rsidTr="003E5AD3">
      <w:trPr>
        <w:trHeight w:val="560"/>
      </w:trPr>
      <w:tc>
        <w:tcPr>
          <w:tcW w:w="307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5A9400CE" w14:textId="77777777" w:rsidR="00BD6A25" w:rsidRPr="008058ED" w:rsidRDefault="00BD6A25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058ED">
            <w:rPr>
              <w:rFonts w:ascii="Bookman Old Style" w:hAnsi="Bookman Old Style"/>
              <w:b/>
              <w:sz w:val="18"/>
              <w:szCs w:val="18"/>
              <w:lang w:val="bg-BG"/>
            </w:rPr>
            <w:t>Система за управление и контрол</w:t>
          </w:r>
        </w:p>
      </w:tc>
      <w:tc>
        <w:tcPr>
          <w:tcW w:w="4754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7AEFB2AD" w14:textId="77777777" w:rsidR="00BD6A25" w:rsidRPr="008058ED" w:rsidRDefault="00BD6A25" w:rsidP="000F5926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 w:rsidRPr="008058ED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Приложение </w:t>
          </w:r>
          <w:r w:rsidR="000F5926">
            <w:rPr>
              <w:rFonts w:ascii="Bookman Old Style" w:hAnsi="Bookman Old Style"/>
              <w:b/>
              <w:sz w:val="24"/>
              <w:szCs w:val="24"/>
              <w:lang w:val="bg-BG"/>
            </w:rPr>
            <w:t>7</w:t>
          </w:r>
          <w:r w:rsidRPr="008058ED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 Образец  на </w:t>
          </w:r>
          <w:r w:rsidR="007A4679" w:rsidRPr="008058ED">
            <w:rPr>
              <w:rFonts w:ascii="Bookman Old Style" w:hAnsi="Bookman Old Style"/>
              <w:b/>
              <w:sz w:val="24"/>
              <w:szCs w:val="24"/>
              <w:lang w:val="bg-BG"/>
            </w:rPr>
            <w:t>отчет за напредъка по реформа</w:t>
          </w:r>
        </w:p>
      </w:tc>
      <w:tc>
        <w:tcPr>
          <w:tcW w:w="134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58A6A0DD" w14:textId="77777777" w:rsidR="00BD6A25" w:rsidRPr="008058ED" w:rsidRDefault="00651FB9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28"/>
              <w:szCs w:val="28"/>
              <w:lang w:val="bg-BG" w:eastAsia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Раздел 3</w:t>
          </w:r>
        </w:p>
      </w:tc>
    </w:tr>
    <w:tr w:rsidR="00773242" w:rsidRPr="00773242" w14:paraId="10FE3291" w14:textId="77777777" w:rsidTr="003E5AD3">
      <w:trPr>
        <w:trHeight w:val="272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4FE6AE80" w14:textId="77777777" w:rsidR="00BD6A25" w:rsidRPr="008058ED" w:rsidRDefault="00BD6A25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058ED">
            <w:rPr>
              <w:rFonts w:ascii="Bookman Old Style" w:hAnsi="Bookman Old Style"/>
              <w:b/>
              <w:sz w:val="18"/>
              <w:szCs w:val="18"/>
              <w:lang w:val="bg-BG"/>
            </w:rPr>
            <w:t>Механизъм за възстановяване и устойчивост</w:t>
          </w:r>
        </w:p>
      </w:tc>
      <w:tc>
        <w:tcPr>
          <w:tcW w:w="222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FC13532" w14:textId="6555F6ED" w:rsidR="00BD6A25" w:rsidRPr="008058ED" w:rsidRDefault="00297AA2" w:rsidP="004F0A50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 xml:space="preserve">Версия: </w:t>
          </w:r>
          <w:r w:rsidR="00BD6A25" w:rsidRPr="008058ED">
            <w:rPr>
              <w:rFonts w:ascii="Bookman Old Style" w:hAnsi="Bookman Old Style"/>
              <w:b/>
              <w:sz w:val="18"/>
              <w:szCs w:val="18"/>
              <w:lang w:val="bg-BG"/>
            </w:rPr>
            <w:t>1</w:t>
          </w:r>
        </w:p>
      </w:tc>
      <w:tc>
        <w:tcPr>
          <w:tcW w:w="2534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1222B10F" w14:textId="7E983540" w:rsidR="00BD6A25" w:rsidRPr="008058ED" w:rsidRDefault="00BD6A25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058ED">
            <w:rPr>
              <w:rFonts w:ascii="Bookman Old Style" w:hAnsi="Bookman Old Style"/>
              <w:b/>
              <w:sz w:val="18"/>
              <w:szCs w:val="18"/>
              <w:lang w:val="bg-BG"/>
            </w:rPr>
            <w:t xml:space="preserve">Дата: </w:t>
          </w:r>
          <w:r w:rsidR="003B566F">
            <w:rPr>
              <w:rFonts w:ascii="Bookman Old Style" w:hAnsi="Bookman Old Style"/>
              <w:b/>
              <w:sz w:val="18"/>
              <w:szCs w:val="18"/>
              <w:lang w:val="bg-BG"/>
            </w:rPr>
            <w:t>юни 2022</w:t>
          </w:r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EF4385" w14:textId="7A3FC3C4" w:rsidR="00BD6A25" w:rsidRPr="008058ED" w:rsidRDefault="00BD6A25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18"/>
              <w:lang w:val="bg-BG"/>
            </w:rPr>
          </w:pPr>
          <w:r w:rsidRPr="008058ED">
            <w:rPr>
              <w:rFonts w:ascii="Bookman Old Style" w:hAnsi="Bookman Old Style"/>
              <w:b/>
              <w:sz w:val="18"/>
              <w:lang w:val="bg-BG"/>
            </w:rPr>
            <w:t>Стр.:</w:t>
          </w:r>
          <w:r w:rsidRPr="008058ED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058ED">
            <w:rPr>
              <w:rFonts w:ascii="Bookman Old Style" w:hAnsi="Bookman Old Style"/>
              <w:b/>
              <w:sz w:val="18"/>
              <w:lang w:val="bg-BG"/>
            </w:rPr>
            <w:instrText xml:space="preserve"> PAGE </w:instrText>
          </w:r>
          <w:r w:rsidRPr="008058ED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 w:rsidR="003B566F">
            <w:rPr>
              <w:rFonts w:ascii="Bookman Old Style" w:hAnsi="Bookman Old Style"/>
              <w:b/>
              <w:noProof/>
              <w:sz w:val="18"/>
              <w:lang w:val="bg-BG"/>
            </w:rPr>
            <w:t>2</w:t>
          </w:r>
          <w:r w:rsidRPr="008058ED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  <w:r w:rsidRPr="008058ED">
            <w:rPr>
              <w:rFonts w:ascii="Bookman Old Style" w:hAnsi="Bookman Old Style"/>
              <w:b/>
              <w:sz w:val="18"/>
              <w:lang w:val="bg-BG"/>
            </w:rPr>
            <w:t>/</w:t>
          </w:r>
          <w:r w:rsidRPr="008058ED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058ED">
            <w:rPr>
              <w:rFonts w:ascii="Bookman Old Style" w:hAnsi="Bookman Old Style"/>
              <w:b/>
              <w:sz w:val="18"/>
              <w:lang w:val="bg-BG"/>
            </w:rPr>
            <w:instrText xml:space="preserve"> NUMPAGES </w:instrText>
          </w:r>
          <w:r w:rsidRPr="008058ED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 w:rsidR="003B566F">
            <w:rPr>
              <w:rFonts w:ascii="Bookman Old Style" w:hAnsi="Bookman Old Style"/>
              <w:b/>
              <w:noProof/>
              <w:sz w:val="18"/>
              <w:lang w:val="bg-BG"/>
            </w:rPr>
            <w:t>2</w:t>
          </w:r>
          <w:r w:rsidRPr="008058ED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</w:p>
      </w:tc>
    </w:tr>
  </w:tbl>
  <w:p w14:paraId="02E691B6" w14:textId="77777777" w:rsidR="00BD6A25" w:rsidRDefault="00BD6A25">
    <w:pPr>
      <w:pStyle w:val="Header"/>
    </w:pPr>
  </w:p>
  <w:p w14:paraId="6270ACF6" w14:textId="77777777" w:rsidR="00BD6A25" w:rsidRDefault="00BD6A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2560"/>
    <w:multiLevelType w:val="hybridMultilevel"/>
    <w:tmpl w:val="E732EE68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742FB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0103919"/>
    <w:multiLevelType w:val="multilevel"/>
    <w:tmpl w:val="5ED820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4CD72C12"/>
    <w:multiLevelType w:val="hybridMultilevel"/>
    <w:tmpl w:val="4DBC7628"/>
    <w:lvl w:ilvl="0" w:tplc="652CA3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161118F"/>
    <w:multiLevelType w:val="multilevel"/>
    <w:tmpl w:val="78E8F7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E57D4"/>
    <w:multiLevelType w:val="multilevel"/>
    <w:tmpl w:val="66FE80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25D2B89"/>
    <w:multiLevelType w:val="hybridMultilevel"/>
    <w:tmpl w:val="7EFE659A"/>
    <w:lvl w:ilvl="0" w:tplc="FA58BB4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9717D3"/>
    <w:multiLevelType w:val="hybridMultilevel"/>
    <w:tmpl w:val="54EE94C0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9"/>
    <w:rsid w:val="00005B60"/>
    <w:rsid w:val="00010DFD"/>
    <w:rsid w:val="000177F5"/>
    <w:rsid w:val="00017B9E"/>
    <w:rsid w:val="0002157C"/>
    <w:rsid w:val="00032850"/>
    <w:rsid w:val="00036EC1"/>
    <w:rsid w:val="000655CC"/>
    <w:rsid w:val="00065F6A"/>
    <w:rsid w:val="00075215"/>
    <w:rsid w:val="0007569E"/>
    <w:rsid w:val="000A6B68"/>
    <w:rsid w:val="000B0EB2"/>
    <w:rsid w:val="000B46CC"/>
    <w:rsid w:val="000F5926"/>
    <w:rsid w:val="00112B7F"/>
    <w:rsid w:val="00116CA5"/>
    <w:rsid w:val="00120D56"/>
    <w:rsid w:val="00123089"/>
    <w:rsid w:val="00127BA6"/>
    <w:rsid w:val="00140DAF"/>
    <w:rsid w:val="00155C7D"/>
    <w:rsid w:val="00160D64"/>
    <w:rsid w:val="00176819"/>
    <w:rsid w:val="001A0783"/>
    <w:rsid w:val="001D2554"/>
    <w:rsid w:val="001E30AC"/>
    <w:rsid w:val="001F053C"/>
    <w:rsid w:val="001F070F"/>
    <w:rsid w:val="001F15D6"/>
    <w:rsid w:val="001F69A4"/>
    <w:rsid w:val="00212AB2"/>
    <w:rsid w:val="00227253"/>
    <w:rsid w:val="00232825"/>
    <w:rsid w:val="00232D7B"/>
    <w:rsid w:val="002357EF"/>
    <w:rsid w:val="00241FD1"/>
    <w:rsid w:val="002506A2"/>
    <w:rsid w:val="00256377"/>
    <w:rsid w:val="00262A01"/>
    <w:rsid w:val="00297AA2"/>
    <w:rsid w:val="002A1028"/>
    <w:rsid w:val="002A5EF3"/>
    <w:rsid w:val="002B3C94"/>
    <w:rsid w:val="002B6F01"/>
    <w:rsid w:val="002C0276"/>
    <w:rsid w:val="002C1604"/>
    <w:rsid w:val="002C2000"/>
    <w:rsid w:val="002C563C"/>
    <w:rsid w:val="002C588D"/>
    <w:rsid w:val="002D01CC"/>
    <w:rsid w:val="002D2396"/>
    <w:rsid w:val="002D7626"/>
    <w:rsid w:val="002E431B"/>
    <w:rsid w:val="002E5405"/>
    <w:rsid w:val="002F2776"/>
    <w:rsid w:val="002F5121"/>
    <w:rsid w:val="00305173"/>
    <w:rsid w:val="003105FB"/>
    <w:rsid w:val="00325D72"/>
    <w:rsid w:val="00331EA7"/>
    <w:rsid w:val="00335D93"/>
    <w:rsid w:val="00342EB7"/>
    <w:rsid w:val="00343129"/>
    <w:rsid w:val="00346F7E"/>
    <w:rsid w:val="00355D18"/>
    <w:rsid w:val="0036082B"/>
    <w:rsid w:val="00361160"/>
    <w:rsid w:val="00373178"/>
    <w:rsid w:val="003918AE"/>
    <w:rsid w:val="003B4C59"/>
    <w:rsid w:val="003B566F"/>
    <w:rsid w:val="003C347D"/>
    <w:rsid w:val="003D4DA2"/>
    <w:rsid w:val="003D5491"/>
    <w:rsid w:val="003E0C4A"/>
    <w:rsid w:val="003E1B16"/>
    <w:rsid w:val="004010EC"/>
    <w:rsid w:val="00402D12"/>
    <w:rsid w:val="00403D4A"/>
    <w:rsid w:val="00404C0E"/>
    <w:rsid w:val="00420712"/>
    <w:rsid w:val="004228F0"/>
    <w:rsid w:val="0042790C"/>
    <w:rsid w:val="004332AB"/>
    <w:rsid w:val="004344B1"/>
    <w:rsid w:val="00443357"/>
    <w:rsid w:val="004465FF"/>
    <w:rsid w:val="00455873"/>
    <w:rsid w:val="004600F6"/>
    <w:rsid w:val="00460BA1"/>
    <w:rsid w:val="00461CC3"/>
    <w:rsid w:val="00462B98"/>
    <w:rsid w:val="00481DF3"/>
    <w:rsid w:val="004978F6"/>
    <w:rsid w:val="004A1422"/>
    <w:rsid w:val="004A1692"/>
    <w:rsid w:val="004A7A9D"/>
    <w:rsid w:val="004C4FB2"/>
    <w:rsid w:val="004D0624"/>
    <w:rsid w:val="004D4B4B"/>
    <w:rsid w:val="004D7F4E"/>
    <w:rsid w:val="004E2AD0"/>
    <w:rsid w:val="004F0A50"/>
    <w:rsid w:val="00500A05"/>
    <w:rsid w:val="005036FA"/>
    <w:rsid w:val="00504496"/>
    <w:rsid w:val="0051723D"/>
    <w:rsid w:val="0052319D"/>
    <w:rsid w:val="00524A78"/>
    <w:rsid w:val="00530633"/>
    <w:rsid w:val="00531812"/>
    <w:rsid w:val="00532970"/>
    <w:rsid w:val="00536AF8"/>
    <w:rsid w:val="005448F6"/>
    <w:rsid w:val="00561D78"/>
    <w:rsid w:val="0057020D"/>
    <w:rsid w:val="00570DDE"/>
    <w:rsid w:val="005722E6"/>
    <w:rsid w:val="0057320A"/>
    <w:rsid w:val="0057440F"/>
    <w:rsid w:val="00576A20"/>
    <w:rsid w:val="005773F5"/>
    <w:rsid w:val="00577C2C"/>
    <w:rsid w:val="00581F13"/>
    <w:rsid w:val="00590DD7"/>
    <w:rsid w:val="00596CED"/>
    <w:rsid w:val="005A21E9"/>
    <w:rsid w:val="005B0386"/>
    <w:rsid w:val="005C7A5A"/>
    <w:rsid w:val="005D163A"/>
    <w:rsid w:val="005D6C81"/>
    <w:rsid w:val="005E5D5B"/>
    <w:rsid w:val="005E7FAB"/>
    <w:rsid w:val="00604262"/>
    <w:rsid w:val="00606E63"/>
    <w:rsid w:val="00623209"/>
    <w:rsid w:val="00627F62"/>
    <w:rsid w:val="0063308F"/>
    <w:rsid w:val="00633881"/>
    <w:rsid w:val="00645A24"/>
    <w:rsid w:val="00651FB9"/>
    <w:rsid w:val="00664F7A"/>
    <w:rsid w:val="0066698B"/>
    <w:rsid w:val="00695C5D"/>
    <w:rsid w:val="006A3B81"/>
    <w:rsid w:val="006A5D68"/>
    <w:rsid w:val="006B4199"/>
    <w:rsid w:val="006E2941"/>
    <w:rsid w:val="006F4329"/>
    <w:rsid w:val="007024A6"/>
    <w:rsid w:val="00716665"/>
    <w:rsid w:val="0073110F"/>
    <w:rsid w:val="00747D53"/>
    <w:rsid w:val="00767331"/>
    <w:rsid w:val="00773242"/>
    <w:rsid w:val="007843F4"/>
    <w:rsid w:val="00796832"/>
    <w:rsid w:val="007A4679"/>
    <w:rsid w:val="007B040A"/>
    <w:rsid w:val="007E396C"/>
    <w:rsid w:val="007F5902"/>
    <w:rsid w:val="008024DB"/>
    <w:rsid w:val="008058ED"/>
    <w:rsid w:val="0081567A"/>
    <w:rsid w:val="0082076D"/>
    <w:rsid w:val="008270F3"/>
    <w:rsid w:val="0083197D"/>
    <w:rsid w:val="00842646"/>
    <w:rsid w:val="008504C3"/>
    <w:rsid w:val="00865D23"/>
    <w:rsid w:val="00885F5D"/>
    <w:rsid w:val="00893203"/>
    <w:rsid w:val="00897958"/>
    <w:rsid w:val="008A677A"/>
    <w:rsid w:val="008B52B8"/>
    <w:rsid w:val="008B6629"/>
    <w:rsid w:val="008B772B"/>
    <w:rsid w:val="008C304F"/>
    <w:rsid w:val="008C60C2"/>
    <w:rsid w:val="008C6C9B"/>
    <w:rsid w:val="008C7A1D"/>
    <w:rsid w:val="008D526A"/>
    <w:rsid w:val="008E2D7A"/>
    <w:rsid w:val="008E4A76"/>
    <w:rsid w:val="008E4AD1"/>
    <w:rsid w:val="00910D74"/>
    <w:rsid w:val="00924F4E"/>
    <w:rsid w:val="00926A00"/>
    <w:rsid w:val="00931DBB"/>
    <w:rsid w:val="009403E0"/>
    <w:rsid w:val="00942C81"/>
    <w:rsid w:val="00951FE8"/>
    <w:rsid w:val="00953EE0"/>
    <w:rsid w:val="0096015C"/>
    <w:rsid w:val="00967E28"/>
    <w:rsid w:val="00984C3C"/>
    <w:rsid w:val="0099203A"/>
    <w:rsid w:val="00992C69"/>
    <w:rsid w:val="009C30E8"/>
    <w:rsid w:val="009C31DE"/>
    <w:rsid w:val="009C3345"/>
    <w:rsid w:val="009C3469"/>
    <w:rsid w:val="009D6869"/>
    <w:rsid w:val="009E73D6"/>
    <w:rsid w:val="009F3FEC"/>
    <w:rsid w:val="00A3485A"/>
    <w:rsid w:val="00A4799C"/>
    <w:rsid w:val="00A55F5A"/>
    <w:rsid w:val="00A57AC4"/>
    <w:rsid w:val="00A63EDE"/>
    <w:rsid w:val="00A678A5"/>
    <w:rsid w:val="00AB61DF"/>
    <w:rsid w:val="00AD4D69"/>
    <w:rsid w:val="00AD5A7D"/>
    <w:rsid w:val="00AE2DBC"/>
    <w:rsid w:val="00AF49A5"/>
    <w:rsid w:val="00B13109"/>
    <w:rsid w:val="00B2238A"/>
    <w:rsid w:val="00B24A34"/>
    <w:rsid w:val="00B267D4"/>
    <w:rsid w:val="00B26F10"/>
    <w:rsid w:val="00B37659"/>
    <w:rsid w:val="00B43882"/>
    <w:rsid w:val="00B620CF"/>
    <w:rsid w:val="00B647D8"/>
    <w:rsid w:val="00B74DA1"/>
    <w:rsid w:val="00B77669"/>
    <w:rsid w:val="00B80520"/>
    <w:rsid w:val="00B871B1"/>
    <w:rsid w:val="00BA242E"/>
    <w:rsid w:val="00BA59D6"/>
    <w:rsid w:val="00BC3465"/>
    <w:rsid w:val="00BC7FD9"/>
    <w:rsid w:val="00BD49CA"/>
    <w:rsid w:val="00BD6A25"/>
    <w:rsid w:val="00BD7156"/>
    <w:rsid w:val="00BF2F05"/>
    <w:rsid w:val="00BF3BA9"/>
    <w:rsid w:val="00C0720C"/>
    <w:rsid w:val="00C3197B"/>
    <w:rsid w:val="00C54C3C"/>
    <w:rsid w:val="00C85A1F"/>
    <w:rsid w:val="00C970AD"/>
    <w:rsid w:val="00C975E7"/>
    <w:rsid w:val="00CC48BB"/>
    <w:rsid w:val="00CC4C06"/>
    <w:rsid w:val="00CC4F65"/>
    <w:rsid w:val="00CD2D7D"/>
    <w:rsid w:val="00CD57A8"/>
    <w:rsid w:val="00D00AAA"/>
    <w:rsid w:val="00D02154"/>
    <w:rsid w:val="00D04938"/>
    <w:rsid w:val="00D22E3C"/>
    <w:rsid w:val="00D24D61"/>
    <w:rsid w:val="00D42661"/>
    <w:rsid w:val="00D47867"/>
    <w:rsid w:val="00D60A31"/>
    <w:rsid w:val="00D77C8A"/>
    <w:rsid w:val="00D82B86"/>
    <w:rsid w:val="00D83845"/>
    <w:rsid w:val="00D8496E"/>
    <w:rsid w:val="00D84F06"/>
    <w:rsid w:val="00D96517"/>
    <w:rsid w:val="00DA47F4"/>
    <w:rsid w:val="00DC256E"/>
    <w:rsid w:val="00DD7228"/>
    <w:rsid w:val="00DD7E34"/>
    <w:rsid w:val="00DF0F95"/>
    <w:rsid w:val="00DF21FF"/>
    <w:rsid w:val="00E16C2F"/>
    <w:rsid w:val="00E24393"/>
    <w:rsid w:val="00E266B6"/>
    <w:rsid w:val="00E32150"/>
    <w:rsid w:val="00E412EE"/>
    <w:rsid w:val="00E67AEA"/>
    <w:rsid w:val="00E7665D"/>
    <w:rsid w:val="00E86DDA"/>
    <w:rsid w:val="00E9562E"/>
    <w:rsid w:val="00EA6CEF"/>
    <w:rsid w:val="00EC2AA2"/>
    <w:rsid w:val="00EC69E0"/>
    <w:rsid w:val="00ED3BCF"/>
    <w:rsid w:val="00EE3E20"/>
    <w:rsid w:val="00EE4C5B"/>
    <w:rsid w:val="00EF0D6C"/>
    <w:rsid w:val="00EF5F69"/>
    <w:rsid w:val="00F00455"/>
    <w:rsid w:val="00F2573F"/>
    <w:rsid w:val="00F34CCE"/>
    <w:rsid w:val="00F54EE3"/>
    <w:rsid w:val="00F60306"/>
    <w:rsid w:val="00F66AB4"/>
    <w:rsid w:val="00F811A0"/>
    <w:rsid w:val="00F84ADB"/>
    <w:rsid w:val="00FA360B"/>
    <w:rsid w:val="00FA4C4B"/>
    <w:rsid w:val="00FB025D"/>
    <w:rsid w:val="00FE69BE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C68C5B"/>
  <w15:chartTrackingRefBased/>
  <w15:docId w15:val="{1C4ACFEC-5845-4530-938F-4541F0BC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AA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869"/>
    <w:pPr>
      <w:ind w:left="720"/>
      <w:contextualSpacing/>
    </w:pPr>
  </w:style>
  <w:style w:type="table" w:styleId="TableGrid">
    <w:name w:val="Table Grid"/>
    <w:basedOn w:val="TableNormal"/>
    <w:uiPriority w:val="39"/>
    <w:rsid w:val="008D5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6CC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semiHidden/>
    <w:unhideWhenUsed/>
    <w:rsid w:val="006B419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B41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419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1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199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0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06"/>
    <w:rPr>
      <w:lang w:val="en-US"/>
    </w:rPr>
  </w:style>
  <w:style w:type="paragraph" w:styleId="Revision">
    <w:name w:val="Revision"/>
    <w:hidden/>
    <w:uiPriority w:val="99"/>
    <w:semiHidden/>
    <w:rsid w:val="00DF21F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D67D8-7599-4F15-9518-902218F4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Румяна Димитрова</dc:creator>
  <cp:keywords/>
  <dc:description/>
  <cp:lastModifiedBy>Весела Петрова</cp:lastModifiedBy>
  <cp:revision>7</cp:revision>
  <dcterms:created xsi:type="dcterms:W3CDTF">2022-05-11T07:41:00Z</dcterms:created>
  <dcterms:modified xsi:type="dcterms:W3CDTF">2022-06-30T14:05:00Z</dcterms:modified>
</cp:coreProperties>
</file>