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DF6" w:rsidRPr="00A56DF6" w:rsidRDefault="00A56DF6" w:rsidP="00A56DF6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 2</w:t>
      </w:r>
      <w:r w:rsidR="00BF211C">
        <w:rPr>
          <w:rFonts w:ascii="Times New Roman" w:hAnsi="Times New Roman" w:cs="Times New Roman"/>
          <w:b/>
          <w:i/>
          <w:sz w:val="24"/>
          <w:szCs w:val="24"/>
        </w:rPr>
        <w:t>.1</w:t>
      </w:r>
    </w:p>
    <w:p w:rsidR="00A56DF6" w:rsidRDefault="00A56DF6" w:rsidP="00683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7E3" w:rsidRDefault="00B95A94" w:rsidP="00683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5A94">
        <w:rPr>
          <w:rFonts w:ascii="Times New Roman" w:hAnsi="Times New Roman" w:cs="Times New Roman"/>
          <w:b/>
          <w:sz w:val="28"/>
          <w:szCs w:val="28"/>
        </w:rPr>
        <w:t xml:space="preserve">Техническо предложение </w:t>
      </w:r>
    </w:p>
    <w:p w:rsidR="006835D1" w:rsidRPr="006835D1" w:rsidRDefault="006835D1" w:rsidP="00683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D1">
        <w:rPr>
          <w:rFonts w:ascii="Times New Roman" w:hAnsi="Times New Roman" w:cs="Times New Roman"/>
          <w:b/>
          <w:sz w:val="28"/>
          <w:szCs w:val="28"/>
        </w:rPr>
        <w:t>въз основа на сключено Рамково споразумение</w:t>
      </w:r>
    </w:p>
    <w:p w:rsidR="006835D1" w:rsidRDefault="006835D1" w:rsidP="00683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35D1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E35A88">
        <w:rPr>
          <w:rFonts w:ascii="Times New Roman" w:hAnsi="Times New Roman" w:cs="Times New Roman"/>
          <w:b/>
          <w:sz w:val="28"/>
          <w:szCs w:val="28"/>
        </w:rPr>
        <w:t xml:space="preserve">СПОР - 2/ 10.03.2020 </w:t>
      </w:r>
      <w:r w:rsidRPr="006835D1">
        <w:rPr>
          <w:rFonts w:ascii="Times New Roman" w:hAnsi="Times New Roman" w:cs="Times New Roman"/>
          <w:b/>
          <w:sz w:val="28"/>
          <w:szCs w:val="28"/>
        </w:rPr>
        <w:t>г., с предмет</w:t>
      </w:r>
      <w:r w:rsidR="00E35A8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6835D1" w:rsidRPr="006835D1" w:rsidRDefault="006835D1" w:rsidP="006835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835D1">
        <w:rPr>
          <w:rFonts w:ascii="Times New Roman" w:hAnsi="Times New Roman" w:cs="Times New Roman"/>
          <w:b/>
          <w:sz w:val="28"/>
          <w:szCs w:val="28"/>
          <w:lang w:val="en-US"/>
        </w:rPr>
        <w:t>„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Доставка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компют</w:t>
      </w:r>
      <w:proofErr w:type="spellEnd"/>
      <w:r w:rsidR="0059716B">
        <w:rPr>
          <w:rFonts w:ascii="Times New Roman" w:hAnsi="Times New Roman" w:cs="Times New Roman"/>
          <w:b/>
          <w:sz w:val="28"/>
          <w:szCs w:val="28"/>
        </w:rPr>
        <w:t>ъ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рни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конфигурации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за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нуждите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Министерство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на</w:t>
      </w:r>
      <w:proofErr w:type="spellEnd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E35A88" w:rsidRPr="00E35A88">
        <w:rPr>
          <w:rFonts w:ascii="Times New Roman" w:hAnsi="Times New Roman" w:cs="Times New Roman"/>
          <w:b/>
          <w:sz w:val="28"/>
          <w:szCs w:val="28"/>
          <w:lang w:val="en-US"/>
        </w:rPr>
        <w:t>финансите</w:t>
      </w:r>
      <w:proofErr w:type="spellEnd"/>
      <w:r w:rsidR="00E35A88" w:rsidRPr="006835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“</w:t>
      </w:r>
    </w:p>
    <w:p w:rsidR="006835D1" w:rsidRDefault="006835D1" w:rsidP="006835D1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14459" w:type="dxa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3544"/>
        <w:gridCol w:w="2976"/>
        <w:gridCol w:w="3969"/>
      </w:tblGrid>
      <w:tr w:rsidR="00654983" w:rsidTr="00E527D3">
        <w:tc>
          <w:tcPr>
            <w:tcW w:w="3970" w:type="dxa"/>
            <w:shd w:val="clear" w:color="auto" w:fill="E7E6E6" w:themeFill="background2"/>
          </w:tcPr>
          <w:p w:rsidR="00654983" w:rsidRDefault="00654983" w:rsidP="00CD07FD">
            <w:r w:rsidRPr="005D0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Устройство</w:t>
            </w:r>
          </w:p>
        </w:tc>
        <w:tc>
          <w:tcPr>
            <w:tcW w:w="3544" w:type="dxa"/>
            <w:shd w:val="clear" w:color="auto" w:fill="E7E6E6" w:themeFill="background2"/>
          </w:tcPr>
          <w:p w:rsidR="00654983" w:rsidRPr="00654983" w:rsidRDefault="00654983" w:rsidP="00CD0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54">
              <w:rPr>
                <w:rFonts w:ascii="Times New Roman" w:hAnsi="Times New Roman" w:cs="Times New Roman"/>
                <w:b/>
                <w:sz w:val="24"/>
                <w:szCs w:val="24"/>
              </w:rPr>
              <w:t>Марка:</w:t>
            </w:r>
          </w:p>
        </w:tc>
        <w:tc>
          <w:tcPr>
            <w:tcW w:w="2976" w:type="dxa"/>
            <w:shd w:val="clear" w:color="auto" w:fill="E7E6E6" w:themeFill="background2"/>
          </w:tcPr>
          <w:p w:rsidR="00654983" w:rsidRPr="00654983" w:rsidRDefault="00654983" w:rsidP="00CD0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Модел:</w:t>
            </w:r>
          </w:p>
        </w:tc>
        <w:tc>
          <w:tcPr>
            <w:tcW w:w="3969" w:type="dxa"/>
            <w:shd w:val="clear" w:color="auto" w:fill="E7E6E6" w:themeFill="background2"/>
          </w:tcPr>
          <w:p w:rsidR="00654983" w:rsidRPr="00654983" w:rsidRDefault="00654983" w:rsidP="00CD07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A54">
              <w:rPr>
                <w:rFonts w:ascii="Times New Roman" w:hAnsi="Times New Roman" w:cs="Times New Roman"/>
                <w:b/>
                <w:sz w:val="24"/>
                <w:szCs w:val="24"/>
              </w:rPr>
              <w:t>Продуктов номер:</w:t>
            </w:r>
          </w:p>
        </w:tc>
      </w:tr>
      <w:tr w:rsidR="00654983" w:rsidTr="00E527D3">
        <w:tc>
          <w:tcPr>
            <w:tcW w:w="3970" w:type="dxa"/>
          </w:tcPr>
          <w:p w:rsidR="00654983" w:rsidRDefault="005F7271" w:rsidP="00CD07FD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[КПУ-1.3</w:t>
            </w:r>
            <w:r w:rsidRPr="005F7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Компютър III вид</w:t>
            </w:r>
          </w:p>
        </w:tc>
        <w:tc>
          <w:tcPr>
            <w:tcW w:w="3544" w:type="dxa"/>
          </w:tcPr>
          <w:p w:rsidR="00654983" w:rsidRDefault="00654983" w:rsidP="00CD07FD"/>
        </w:tc>
        <w:tc>
          <w:tcPr>
            <w:tcW w:w="2976" w:type="dxa"/>
          </w:tcPr>
          <w:p w:rsidR="00654983" w:rsidRDefault="00654983" w:rsidP="00CD07FD"/>
        </w:tc>
        <w:tc>
          <w:tcPr>
            <w:tcW w:w="3969" w:type="dxa"/>
          </w:tcPr>
          <w:p w:rsidR="00654983" w:rsidRDefault="00654983" w:rsidP="00CD07FD"/>
        </w:tc>
      </w:tr>
      <w:tr w:rsidR="00654983" w:rsidTr="00E527D3">
        <w:tc>
          <w:tcPr>
            <w:tcW w:w="3970" w:type="dxa"/>
          </w:tcPr>
          <w:p w:rsidR="00654983" w:rsidRDefault="005F7271" w:rsidP="00CD07FD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[КПУ-1.5</w:t>
            </w:r>
            <w:r w:rsidRPr="005F7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Монитор I вид</w:t>
            </w:r>
          </w:p>
        </w:tc>
        <w:tc>
          <w:tcPr>
            <w:tcW w:w="3544" w:type="dxa"/>
          </w:tcPr>
          <w:p w:rsidR="00654983" w:rsidRDefault="00654983" w:rsidP="00CD07FD"/>
        </w:tc>
        <w:tc>
          <w:tcPr>
            <w:tcW w:w="2976" w:type="dxa"/>
          </w:tcPr>
          <w:p w:rsidR="00654983" w:rsidRDefault="00654983" w:rsidP="00CD07FD"/>
        </w:tc>
        <w:tc>
          <w:tcPr>
            <w:tcW w:w="3969" w:type="dxa"/>
          </w:tcPr>
          <w:p w:rsidR="00654983" w:rsidRDefault="00654983" w:rsidP="00CD07FD"/>
        </w:tc>
      </w:tr>
      <w:tr w:rsidR="00654983" w:rsidTr="00E527D3">
        <w:tc>
          <w:tcPr>
            <w:tcW w:w="3970" w:type="dxa"/>
          </w:tcPr>
          <w:p w:rsidR="00654983" w:rsidRDefault="005F7271" w:rsidP="00CD07FD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[КПУ-1.6</w:t>
            </w:r>
            <w:r w:rsidRPr="005F7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] 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Монитор I</w:t>
            </w:r>
            <w:r w:rsidR="006549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bg-BG"/>
              </w:rPr>
              <w:t>I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вид</w:t>
            </w:r>
          </w:p>
        </w:tc>
        <w:tc>
          <w:tcPr>
            <w:tcW w:w="3544" w:type="dxa"/>
          </w:tcPr>
          <w:p w:rsidR="00654983" w:rsidRDefault="00654983" w:rsidP="00CD07FD"/>
        </w:tc>
        <w:tc>
          <w:tcPr>
            <w:tcW w:w="2976" w:type="dxa"/>
          </w:tcPr>
          <w:p w:rsidR="00654983" w:rsidRDefault="00654983" w:rsidP="00CD07FD"/>
        </w:tc>
        <w:tc>
          <w:tcPr>
            <w:tcW w:w="3969" w:type="dxa"/>
          </w:tcPr>
          <w:p w:rsidR="00654983" w:rsidRDefault="00654983" w:rsidP="00CD07FD"/>
        </w:tc>
      </w:tr>
      <w:tr w:rsidR="00654983" w:rsidTr="00E527D3">
        <w:tc>
          <w:tcPr>
            <w:tcW w:w="3970" w:type="dxa"/>
          </w:tcPr>
          <w:p w:rsidR="00654983" w:rsidRDefault="005F7271" w:rsidP="00CD07FD"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[КПУ-1.9</w:t>
            </w:r>
            <w:r w:rsidRPr="005F7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] </w:t>
            </w:r>
            <w:r w:rsidR="006549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Клавиатура II 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вид</w:t>
            </w:r>
          </w:p>
        </w:tc>
        <w:tc>
          <w:tcPr>
            <w:tcW w:w="3544" w:type="dxa"/>
          </w:tcPr>
          <w:p w:rsidR="00654983" w:rsidRDefault="00654983" w:rsidP="00CD07FD"/>
        </w:tc>
        <w:tc>
          <w:tcPr>
            <w:tcW w:w="2976" w:type="dxa"/>
          </w:tcPr>
          <w:p w:rsidR="00654983" w:rsidRDefault="00654983" w:rsidP="00CD07FD"/>
        </w:tc>
        <w:tc>
          <w:tcPr>
            <w:tcW w:w="3969" w:type="dxa"/>
          </w:tcPr>
          <w:p w:rsidR="00654983" w:rsidRDefault="00654983" w:rsidP="00CD07FD"/>
        </w:tc>
      </w:tr>
      <w:tr w:rsidR="00654983" w:rsidTr="00E527D3">
        <w:tc>
          <w:tcPr>
            <w:tcW w:w="3970" w:type="dxa"/>
          </w:tcPr>
          <w:p w:rsidR="00654983" w:rsidRDefault="005F7271" w:rsidP="00CD07F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[КПУ-1.10</w:t>
            </w:r>
            <w:r w:rsidRPr="005F7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] </w:t>
            </w:r>
            <w:r w:rsidR="00654983"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Мишка</w:t>
            </w:r>
          </w:p>
        </w:tc>
        <w:tc>
          <w:tcPr>
            <w:tcW w:w="3544" w:type="dxa"/>
          </w:tcPr>
          <w:p w:rsidR="00654983" w:rsidRDefault="00654983" w:rsidP="00CD07FD"/>
        </w:tc>
        <w:tc>
          <w:tcPr>
            <w:tcW w:w="2976" w:type="dxa"/>
          </w:tcPr>
          <w:p w:rsidR="00654983" w:rsidRDefault="00654983" w:rsidP="00CD07FD"/>
        </w:tc>
        <w:tc>
          <w:tcPr>
            <w:tcW w:w="3969" w:type="dxa"/>
          </w:tcPr>
          <w:p w:rsidR="00654983" w:rsidRDefault="00654983" w:rsidP="00CD07FD"/>
        </w:tc>
      </w:tr>
    </w:tbl>
    <w:p w:rsidR="007D742E" w:rsidRDefault="007D742E" w:rsidP="007D742E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RANGE!A1:C91"/>
      <w:bookmarkEnd w:id="0"/>
    </w:p>
    <w:tbl>
      <w:tblPr>
        <w:tblW w:w="14459" w:type="dxa"/>
        <w:tblInd w:w="-3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2268"/>
        <w:gridCol w:w="5528"/>
        <w:gridCol w:w="4961"/>
      </w:tblGrid>
      <w:tr w:rsidR="005721C7" w:rsidRPr="005D0AA7" w:rsidTr="008811D4">
        <w:trPr>
          <w:trHeight w:val="345"/>
          <w:tblHeader/>
        </w:trPr>
        <w:tc>
          <w:tcPr>
            <w:tcW w:w="1702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bookmarkStart w:id="1" w:name="RANGE!A1:C125"/>
            <w:r w:rsidRPr="005D0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Устройство</w:t>
            </w:r>
            <w:bookmarkEnd w:id="1"/>
          </w:p>
        </w:tc>
        <w:tc>
          <w:tcPr>
            <w:tcW w:w="2268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Показател</w:t>
            </w:r>
          </w:p>
        </w:tc>
        <w:tc>
          <w:tcPr>
            <w:tcW w:w="5528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Минимални изисквания</w:t>
            </w:r>
          </w:p>
        </w:tc>
        <w:tc>
          <w:tcPr>
            <w:tcW w:w="4961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000000" w:fill="F2F2F2"/>
          </w:tcPr>
          <w:p w:rsidR="005721C7" w:rsidRPr="005D0AA7" w:rsidRDefault="005721C7" w:rsidP="00E5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 xml:space="preserve">Предложение на </w:t>
            </w:r>
            <w:r w:rsidR="00E527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участника</w:t>
            </w:r>
          </w:p>
        </w:tc>
      </w:tr>
      <w:tr w:rsidR="005721C7" w:rsidRPr="005D0AA7" w:rsidTr="008811D4">
        <w:trPr>
          <w:trHeight w:val="1260"/>
        </w:trPr>
        <w:tc>
          <w:tcPr>
            <w:tcW w:w="170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Default="005721C7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[КПУ-1.3</w:t>
            </w:r>
            <w:r w:rsidRPr="00045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</w:p>
          <w:p w:rsidR="005721C7" w:rsidRPr="005D0AA7" w:rsidRDefault="005721C7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Компютър III вид</w:t>
            </w:r>
            <w:r w:rsidR="00A85E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– 100 броя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Процесор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7-мо поколение, не по-малко от 4 ядра/4 нишки, с честота не по-малко от 3,0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GHz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не по-малко от 6 MB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Cache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или еквивалентен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Оперативна памет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8GB DDR4, разширяема до 32GB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Твърд диск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 ТB, 7200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rpm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SATA3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Оптично устройство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DVD±RW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Видео карта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Вградена в процесора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Мрежова карта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10/100/1000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Mbps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RJ45,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Wake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LAN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bottom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Преден панел: мин. 4 x USB от които мин. 1 x USB 3.0,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microphone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headphone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(3,5mm)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Заден панел: мин. 4 x USB,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(RJ-45),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DisplayPort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VGA, 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line-in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line-out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Звуков контролер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Вграден в дъното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Допълнителни изисквания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Наличие на вграден TPM 2.0 (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Trusted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platform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 чип или еквивалент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Кутия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Small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Form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(SFF), с възможност за хоризонтално и вертикално използване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Мин. 82%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efficient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Съвместимост на предложения модел компютър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Операционни системи: MS Windows 7 Pro/8/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.1/10 Pro (32/64bit) от Windows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Certified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Products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List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(WCPL)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Софтуер: MS Office Professional 2013; MS Office Professional 2016,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Adobe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Acrobat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Reader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Abby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Fine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Reader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AutoCAD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630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Операционна система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Инсталирана и активирана операционна система MS Windows 10 Pro (64bit) OEM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5721C7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бъде съвместим с контакт тип „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Шуко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 – CEE 7/3 и CEE 7/5 или еквивалентно, с дължина не по-малко от 1,5 метра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5721C7" w:rsidRPr="005D0AA7" w:rsidRDefault="005721C7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30"/>
        </w:trPr>
        <w:tc>
          <w:tcPr>
            <w:tcW w:w="170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Default="00A85EE2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[КПУ-1.5</w:t>
            </w:r>
            <w:r w:rsidRPr="00045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</w:p>
          <w:p w:rsidR="00A85EE2" w:rsidRPr="005D0AA7" w:rsidRDefault="00A85EE2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Монитор I вид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- </w:t>
            </w:r>
            <w:r w:rsidR="00E35A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60 броя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 на панела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LED/LCD или еквивалентен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Размер на дисплея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22 инча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(55,88 см)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Резолюция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по-ниска от 1920 x 1080 (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HD)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16:9 или 16:10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Време за реакция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Не повече от 5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Контраст статичен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1000:1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7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Яркост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250 cd/m</w:t>
            </w: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вградено захранване;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x HDMI, 1 x VGA и/или 1 х DVI/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съвместими с предлаганите компютри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бъде съвместим с контакт тип „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Шуко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“– CEE 7/3 и CEE 7/5 или еквивалентно, с дължина не по-малко от 1,5 метра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Възможност за регулиране на монитора по височина и спрямо позицията на оператора;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 бъде окомплектован с всички необходими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интерфейсни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захранващи кабели за нормална експлоатация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C04826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048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C04826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  <w:r w:rsidRPr="00C048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  <w:t>TCO или еквивалент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A30E1F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Default="00A85EE2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[КПУ-1.6</w:t>
            </w:r>
            <w:r w:rsidRPr="00045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</w:p>
          <w:p w:rsidR="00A85EE2" w:rsidRPr="005D0AA7" w:rsidRDefault="00A85EE2" w:rsidP="00A85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Монитор II вид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– 40 броя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Тип на панела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LED/LCD или еквивалентен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Размер на дисплея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24 инча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Резолюция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по-ниска от 1920 x 1080 (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HD)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Формат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16:9 или 16:10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Време за реакция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Не повече от 5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ms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Контраст статичен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1000:1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7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Яркост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Не по-малко от 300 cd/m</w:t>
            </w: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Захранване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 вградено захранване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x HDMI, 1 x VGA и/или 1 х DVI/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Display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съвместими с предлаганите компютри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Захранващ кабел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Да бъде съвместим с контакт тип „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Шуко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“– CEE 7/3 и CEE 7/5 или еквивалентно, с дължина не по-малко от 1,5 метра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Други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Възможност за регулиране на монитора по височина и спрямо позицията на оператора;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94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Да бъде окомплектован с всички необходими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интерфейсни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и захранващи кабели за нормална експлоатация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A85EE2" w:rsidRPr="005D0AA7" w:rsidTr="008811D4">
        <w:trPr>
          <w:trHeight w:val="315"/>
        </w:trPr>
        <w:tc>
          <w:tcPr>
            <w:tcW w:w="1702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Сертификати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TCO или еквивалент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A85EE2" w:rsidRPr="005D0AA7" w:rsidRDefault="00A85EE2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27D3" w:rsidRPr="005D0AA7" w:rsidTr="008811D4">
        <w:trPr>
          <w:trHeight w:val="945"/>
        </w:trPr>
        <w:tc>
          <w:tcPr>
            <w:tcW w:w="17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7D3" w:rsidRDefault="00E527D3" w:rsidP="00E5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[КПУ-1.9</w:t>
            </w:r>
            <w:r w:rsidRPr="00045E2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]</w:t>
            </w:r>
          </w:p>
          <w:p w:rsidR="00E527D3" w:rsidRPr="005D0AA7" w:rsidRDefault="00E527D3" w:rsidP="00E5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Клавиатура II вид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– 100 броя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7D3" w:rsidRPr="005D0AA7" w:rsidRDefault="00E527D3" w:rsidP="00D67C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Начина на свързване към компютъра, тип надписване, други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27D3" w:rsidRPr="005D0AA7" w:rsidRDefault="00E527D3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USB, гравирана/надписана с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English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(US) и кирилица по БДС, с вграден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Smart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card</w:t>
            </w:r>
            <w:proofErr w:type="spellEnd"/>
            <w:r w:rsidRPr="005D0A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четец за карти по ISO 7816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</w:tcPr>
          <w:p w:rsidR="00E527D3" w:rsidRPr="005D0AA7" w:rsidRDefault="00E527D3" w:rsidP="00D67C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E527D3" w:rsidRPr="00E527D3" w:rsidTr="008811D4">
        <w:trPr>
          <w:trHeight w:val="960"/>
        </w:trPr>
        <w:tc>
          <w:tcPr>
            <w:tcW w:w="17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7D3" w:rsidRPr="00E527D3" w:rsidRDefault="00E527D3" w:rsidP="00E5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E527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[КПУ-1.10]</w:t>
            </w:r>
          </w:p>
          <w:p w:rsidR="00E527D3" w:rsidRPr="00E527D3" w:rsidRDefault="00E527D3" w:rsidP="00E52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E527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Мишка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 – 100 броя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7D3" w:rsidRPr="00E527D3" w:rsidRDefault="00E527D3" w:rsidP="00E527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Начина на свързване към компютъра, тип, други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527D3" w:rsidRPr="00E527D3" w:rsidRDefault="00E527D3" w:rsidP="00E52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USB, </w:t>
            </w:r>
            <w:proofErr w:type="spellStart"/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двубутонна</w:t>
            </w:r>
            <w:proofErr w:type="spellEnd"/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скрол</w:t>
            </w:r>
            <w:proofErr w:type="spellEnd"/>
            <w:r w:rsidRPr="00E52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, оптична</w:t>
            </w:r>
          </w:p>
        </w:tc>
        <w:tc>
          <w:tcPr>
            <w:tcW w:w="4961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E527D3" w:rsidRPr="00E527D3" w:rsidRDefault="00E527D3" w:rsidP="00E52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8811D4" w:rsidRPr="00E527D3" w:rsidTr="008811D4">
        <w:trPr>
          <w:trHeight w:val="960"/>
        </w:trPr>
        <w:tc>
          <w:tcPr>
            <w:tcW w:w="3970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1D4" w:rsidRPr="008811D4" w:rsidRDefault="008811D4" w:rsidP="008811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8811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Гаранционен срок за всеки от продуктите </w:t>
            </w:r>
            <w:r w:rsidRPr="008811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ab/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11D4" w:rsidRPr="00E527D3" w:rsidRDefault="008811D4" w:rsidP="00E52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8811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 (тридесет и шест) месеца</w:t>
            </w:r>
          </w:p>
        </w:tc>
        <w:tc>
          <w:tcPr>
            <w:tcW w:w="4961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811D4" w:rsidRPr="00E527D3" w:rsidRDefault="008811D4" w:rsidP="008811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5721C7" w:rsidRDefault="005721C7" w:rsidP="007D742E">
      <w:pPr>
        <w:tabs>
          <w:tab w:val="left" w:pos="32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4814" w:rsidRDefault="00944814" w:rsidP="00944814">
      <w:pPr>
        <w:tabs>
          <w:tab w:val="left" w:pos="3255"/>
        </w:tabs>
        <w:rPr>
          <w:rFonts w:ascii="Times New Roman" w:hAnsi="Times New Roman" w:cs="Times New Roman"/>
          <w:b/>
          <w:sz w:val="24"/>
          <w:szCs w:val="24"/>
        </w:rPr>
      </w:pPr>
    </w:p>
    <w:p w:rsidR="007D742E" w:rsidRPr="005C1329" w:rsidRDefault="005C1329" w:rsidP="005C1329">
      <w:pPr>
        <w:tabs>
          <w:tab w:val="left" w:pos="3255"/>
        </w:tabs>
        <w:jc w:val="both"/>
        <w:rPr>
          <w:rFonts w:ascii="Times New Roman" w:hAnsi="Times New Roman" w:cs="Times New Roman"/>
          <w:i/>
          <w:sz w:val="24"/>
          <w:szCs w:val="24"/>
        </w:rPr>
      </w:pPr>
      <w:r w:rsidRPr="005C1329">
        <w:rPr>
          <w:rFonts w:ascii="Times New Roman" w:hAnsi="Times New Roman" w:cs="Times New Roman"/>
          <w:b/>
          <w:i/>
          <w:sz w:val="24"/>
          <w:szCs w:val="24"/>
        </w:rPr>
        <w:t>Забележка:</w:t>
      </w:r>
      <w:r w:rsidRPr="005C132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527D3">
        <w:rPr>
          <w:rFonts w:ascii="Times New Roman" w:hAnsi="Times New Roman" w:cs="Times New Roman"/>
          <w:i/>
          <w:sz w:val="24"/>
          <w:szCs w:val="24"/>
        </w:rPr>
        <w:t>Участниците</w:t>
      </w:r>
      <w:r w:rsidRPr="005C1329">
        <w:rPr>
          <w:rFonts w:ascii="Times New Roman" w:hAnsi="Times New Roman" w:cs="Times New Roman"/>
          <w:i/>
          <w:sz w:val="24"/>
          <w:szCs w:val="24"/>
        </w:rPr>
        <w:t xml:space="preserve"> следва да попълнят </w:t>
      </w:r>
      <w:r w:rsidR="00E527D3">
        <w:rPr>
          <w:rFonts w:ascii="Times New Roman" w:hAnsi="Times New Roman" w:cs="Times New Roman"/>
          <w:i/>
          <w:sz w:val="24"/>
          <w:szCs w:val="24"/>
        </w:rPr>
        <w:t>техническото предложение</w:t>
      </w:r>
      <w:r w:rsidRPr="005C1329">
        <w:rPr>
          <w:rFonts w:ascii="Times New Roman" w:hAnsi="Times New Roman" w:cs="Times New Roman"/>
          <w:i/>
          <w:sz w:val="24"/>
          <w:szCs w:val="24"/>
        </w:rPr>
        <w:t xml:space="preserve"> с конкретните техническите параметри на техниката, която ще доставят. Техническите параметри на техниката следва да са същите или по-добри от тези, заложени в Техническата спецификация на ЦОП. Рамковите изпълнители нямат право да оставят празен ред при попълването на параметрите за съответната техника. Рамковите изпълнители нямат право да предлагат техника</w:t>
      </w:r>
      <w:r w:rsidR="007E4443">
        <w:rPr>
          <w:rFonts w:ascii="Times New Roman" w:hAnsi="Times New Roman" w:cs="Times New Roman"/>
          <w:i/>
          <w:sz w:val="24"/>
          <w:szCs w:val="24"/>
        </w:rPr>
        <w:t>,</w:t>
      </w:r>
      <w:r w:rsidRPr="005C1329">
        <w:rPr>
          <w:rFonts w:ascii="Times New Roman" w:hAnsi="Times New Roman" w:cs="Times New Roman"/>
          <w:i/>
          <w:sz w:val="24"/>
          <w:szCs w:val="24"/>
        </w:rPr>
        <w:t xml:space="preserve"> различна от търговската марка, която са декларирали в откритата централ</w:t>
      </w:r>
      <w:bookmarkStart w:id="2" w:name="_GoBack"/>
      <w:bookmarkEnd w:id="2"/>
      <w:r w:rsidRPr="005C1329">
        <w:rPr>
          <w:rFonts w:ascii="Times New Roman" w:hAnsi="Times New Roman" w:cs="Times New Roman"/>
          <w:i/>
          <w:sz w:val="24"/>
          <w:szCs w:val="24"/>
        </w:rPr>
        <w:t>изирана процедура.</w:t>
      </w:r>
    </w:p>
    <w:p w:rsidR="007D742E" w:rsidRPr="005C1329" w:rsidRDefault="007D742E" w:rsidP="005C1329">
      <w:pPr>
        <w:jc w:val="both"/>
        <w:rPr>
          <w:i/>
        </w:rPr>
      </w:pPr>
    </w:p>
    <w:p w:rsidR="00DD6A54" w:rsidRDefault="00DD6A54" w:rsidP="005C1329">
      <w:pPr>
        <w:jc w:val="both"/>
      </w:pPr>
    </w:p>
    <w:sectPr w:rsidR="00DD6A54" w:rsidSect="006C3BC3">
      <w:headerReference w:type="default" r:id="rId8"/>
      <w:footerReference w:type="default" r:id="rId9"/>
      <w:pgSz w:w="16838" w:h="11906" w:orient="landscape"/>
      <w:pgMar w:top="1418" w:right="1417" w:bottom="1135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C8" w:rsidRDefault="00177AC8" w:rsidP="00B95A94">
      <w:pPr>
        <w:spacing w:after="0" w:line="240" w:lineRule="auto"/>
      </w:pPr>
      <w:r>
        <w:separator/>
      </w:r>
    </w:p>
  </w:endnote>
  <w:endnote w:type="continuationSeparator" w:id="0">
    <w:p w:rsidR="00177AC8" w:rsidRDefault="00177AC8" w:rsidP="00B95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1591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0"/>
        <w:szCs w:val="20"/>
      </w:rPr>
    </w:sdtEndPr>
    <w:sdtContent>
      <w:p w:rsidR="005D25FB" w:rsidRPr="006C3BC3" w:rsidRDefault="005D25FB">
        <w:pPr>
          <w:pStyle w:val="Footer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C3BC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C3BC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C3BC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E444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6C3BC3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p>
    </w:sdtContent>
  </w:sdt>
  <w:p w:rsidR="00EB4B4F" w:rsidRDefault="00EB4B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C8" w:rsidRDefault="00177AC8" w:rsidP="00B95A94">
      <w:pPr>
        <w:spacing w:after="0" w:line="240" w:lineRule="auto"/>
      </w:pPr>
      <w:r>
        <w:separator/>
      </w:r>
    </w:p>
  </w:footnote>
  <w:footnote w:type="continuationSeparator" w:id="0">
    <w:p w:rsidR="00177AC8" w:rsidRDefault="00177AC8" w:rsidP="00B95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EA0" w:rsidRPr="00013EA0" w:rsidRDefault="00013EA0" w:rsidP="00013EA0">
    <w:pPr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</w:rPr>
    </w:pPr>
  </w:p>
  <w:p w:rsidR="00345C68" w:rsidRPr="0044221E" w:rsidRDefault="00EB4B4F" w:rsidP="0044221E">
    <w:pPr>
      <w:pStyle w:val="Header"/>
      <w:jc w:val="center"/>
      <w:rPr>
        <w:rFonts w:ascii="Times New Roman" w:hAnsi="Times New Roman" w:cs="Times New Roman"/>
        <w:i/>
        <w:iCs/>
      </w:rPr>
    </w:pPr>
    <w:r>
      <w:rPr>
        <w:rFonts w:ascii="Times New Roman" w:hAnsi="Times New Roman" w:cs="Times New Roman"/>
        <w:i/>
        <w:iCs/>
      </w:rPr>
      <w:tab/>
    </w:r>
    <w:r>
      <w:rPr>
        <w:rFonts w:ascii="Times New Roman" w:hAnsi="Times New Roman" w:cs="Times New Roman"/>
        <w:i/>
        <w:iCs/>
      </w:rPr>
      <w:tab/>
      <w:t xml:space="preserve">                          </w:t>
    </w:r>
    <w:r w:rsidR="00A85EE2">
      <w:rPr>
        <w:rFonts w:ascii="Times New Roman" w:hAnsi="Times New Roman" w:cs="Times New Roman"/>
        <w:i/>
        <w:iCs/>
      </w:rPr>
      <w:t xml:space="preserve">                               </w:t>
    </w:r>
  </w:p>
  <w:p w:rsidR="00345C68" w:rsidRDefault="00345C68" w:rsidP="00B95A94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A94"/>
    <w:rsid w:val="00013EA0"/>
    <w:rsid w:val="00177AC8"/>
    <w:rsid w:val="001A3897"/>
    <w:rsid w:val="001C678E"/>
    <w:rsid w:val="00221966"/>
    <w:rsid w:val="002867E3"/>
    <w:rsid w:val="00345C68"/>
    <w:rsid w:val="00390C62"/>
    <w:rsid w:val="0044221E"/>
    <w:rsid w:val="005721C7"/>
    <w:rsid w:val="0059716B"/>
    <w:rsid w:val="005C1329"/>
    <w:rsid w:val="005D25FB"/>
    <w:rsid w:val="005E25D7"/>
    <w:rsid w:val="005F7271"/>
    <w:rsid w:val="00627216"/>
    <w:rsid w:val="00654983"/>
    <w:rsid w:val="006835D1"/>
    <w:rsid w:val="006C3BC3"/>
    <w:rsid w:val="007D742E"/>
    <w:rsid w:val="007E4443"/>
    <w:rsid w:val="008172C9"/>
    <w:rsid w:val="008650DA"/>
    <w:rsid w:val="008811D4"/>
    <w:rsid w:val="008B2EA6"/>
    <w:rsid w:val="00944814"/>
    <w:rsid w:val="00A30E1F"/>
    <w:rsid w:val="00A4541A"/>
    <w:rsid w:val="00A56DF6"/>
    <w:rsid w:val="00A634E4"/>
    <w:rsid w:val="00A85EE2"/>
    <w:rsid w:val="00A939E2"/>
    <w:rsid w:val="00AE6B78"/>
    <w:rsid w:val="00B95A94"/>
    <w:rsid w:val="00BB3204"/>
    <w:rsid w:val="00BE415D"/>
    <w:rsid w:val="00BF211C"/>
    <w:rsid w:val="00C04826"/>
    <w:rsid w:val="00DD259F"/>
    <w:rsid w:val="00DD6A54"/>
    <w:rsid w:val="00DE3A1C"/>
    <w:rsid w:val="00DF5FCC"/>
    <w:rsid w:val="00E35A88"/>
    <w:rsid w:val="00E527D3"/>
    <w:rsid w:val="00EB4B4F"/>
    <w:rsid w:val="00F110BD"/>
    <w:rsid w:val="00F4685B"/>
    <w:rsid w:val="00F7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9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5A94"/>
  </w:style>
  <w:style w:type="paragraph" w:styleId="Footer">
    <w:name w:val="footer"/>
    <w:basedOn w:val="Normal"/>
    <w:link w:val="FooterChar"/>
    <w:uiPriority w:val="99"/>
    <w:unhideWhenUsed/>
    <w:rsid w:val="00B95A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5A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384B9-59D5-4669-BC83-EA9E34953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Finance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Съева-Стаменкова</dc:creator>
  <cp:keywords/>
  <dc:description/>
  <cp:lastModifiedBy>Анка Дончева</cp:lastModifiedBy>
  <cp:revision>11</cp:revision>
  <dcterms:created xsi:type="dcterms:W3CDTF">2020-05-04T14:57:00Z</dcterms:created>
  <dcterms:modified xsi:type="dcterms:W3CDTF">2020-05-13T08:16:00Z</dcterms:modified>
</cp:coreProperties>
</file>