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C56EA" w14:textId="1E93D447" w:rsidR="00925C4A" w:rsidRPr="00925C4A" w:rsidRDefault="00925C4A" w:rsidP="00925C4A">
      <w:pPr>
        <w:widowControl w:val="0"/>
        <w:pBdr>
          <w:bottom w:val="thickThinSmallGap" w:sz="24" w:space="0" w:color="00B0F0"/>
        </w:pBdr>
        <w:tabs>
          <w:tab w:val="center" w:pos="4536"/>
          <w:tab w:val="right" w:pos="10773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Cambria" w:eastAsia="Times New Roman" w:hAnsi="Cambria" w:cs="Times New Roman"/>
          <w:sz w:val="32"/>
          <w:szCs w:val="32"/>
          <w:lang w:val="en-GB" w:eastAsia="bg-BG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24"/>
          <w:u w:val="single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2EF51" wp14:editId="73D8969D">
                <wp:simplePos x="0" y="0"/>
                <wp:positionH relativeFrom="column">
                  <wp:posOffset>-108585</wp:posOffset>
                </wp:positionH>
                <wp:positionV relativeFrom="paragraph">
                  <wp:posOffset>-48260</wp:posOffset>
                </wp:positionV>
                <wp:extent cx="514350" cy="518795"/>
                <wp:effectExtent l="0" t="0" r="0" b="0"/>
                <wp:wrapNone/>
                <wp:docPr id="4" name="Текстово 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777F58" w14:textId="77777777" w:rsidR="00D73BF3" w:rsidRDefault="00D73BF3" w:rsidP="00925C4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086F6FC0" wp14:editId="361ED392">
                                  <wp:extent cx="276225" cy="428625"/>
                                  <wp:effectExtent l="0" t="0" r="9525" b="9525"/>
                                  <wp:docPr id="3" name="Картина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5D0D0A" w14:textId="77777777" w:rsidR="00D73BF3" w:rsidRDefault="00D73BF3" w:rsidP="00925C4A"/>
                          <w:p w14:paraId="35CA09B5" w14:textId="77777777" w:rsidR="00D73BF3" w:rsidRDefault="00D73BF3" w:rsidP="00925C4A">
                            <w:r>
                              <w:fldChar w:fldCharType="begin"/>
                            </w:r>
                            <w:r>
                              <w:fldChar w:fldCharType="end"/>
                            </w:r>
                            <w:r>
                              <w:t xml:space="preserve"> EMBED </w:t>
                            </w:r>
                            <w:proofErr w:type="spellStart"/>
                            <w:r>
                              <w:t>CorelPh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2EF51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4" o:spid="_x0000_s1026" type="#_x0000_t202" style="position:absolute;left:0;text-align:left;margin-left:-8.55pt;margin-top:-3.8pt;width:40.5pt;height:4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" filled="f" stroked="f" strokecolor="white">
                <v:textbox>
                  <w:txbxContent>
                    <w:p w14:paraId="02777F58" w14:textId="77777777" w:rsidR="00D73BF3" w:rsidRDefault="00D73BF3" w:rsidP="00925C4A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086F6FC0" wp14:editId="361ED392">
                            <wp:extent cx="276225" cy="428625"/>
                            <wp:effectExtent l="0" t="0" r="9525" b="9525"/>
                            <wp:docPr id="3" name="Картина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5D0D0A" w14:textId="77777777" w:rsidR="00D73BF3" w:rsidRDefault="00D73BF3" w:rsidP="00925C4A"/>
                    <w:p w14:paraId="35CA09B5" w14:textId="77777777" w:rsidR="00D73BF3" w:rsidRDefault="00D73BF3" w:rsidP="00925C4A">
                      <w:r>
                        <w:fldChar w:fldCharType="begin"/>
                      </w:r>
                      <w:r>
                        <w:fldChar w:fldCharType="end"/>
                      </w:r>
                      <w:r>
                        <w:t xml:space="preserve"> EMBED </w:t>
                      </w:r>
                      <w:proofErr w:type="spellStart"/>
                      <w:r>
                        <w:t>CorelPh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25C4A">
        <w:rPr>
          <w:rFonts w:ascii="Times New Roman" w:eastAsia="Times New Roman" w:hAnsi="Times New Roman" w:cs="Times New Roman"/>
          <w:b/>
          <w:noProof/>
          <w:sz w:val="16"/>
          <w:szCs w:val="24"/>
          <w:u w:val="single"/>
          <w:lang w:val="en-GB" w:eastAsia="bg-BG"/>
        </w:rPr>
        <w:t>М И Н И С Т Е Р С Т В О   Н А   О Т Б Р А Н А Т А   Н А   Р Е П У Б Л И К А   Б Ъ Л Г А Р И Я</w:t>
      </w:r>
      <w:r w:rsidRPr="00925C4A">
        <w:rPr>
          <w:rFonts w:ascii="Times New Roman" w:eastAsia="Times New Roman" w:hAnsi="Times New Roman" w:cs="Times New Roman"/>
          <w:b/>
          <w:noProof/>
          <w:sz w:val="16"/>
          <w:szCs w:val="24"/>
          <w:lang w:val="en-US" w:eastAsia="bg-BG"/>
        </w:rPr>
        <w:t xml:space="preserve">                                                                                                             </w:t>
      </w:r>
      <w:r w:rsidR="003632CB">
        <w:rPr>
          <w:rFonts w:ascii="Times New Roman" w:eastAsia="Times New Roman" w:hAnsi="Times New Roman" w:cs="Times New Roman"/>
          <w:b/>
          <w:noProof/>
          <w:sz w:val="16"/>
          <w:szCs w:val="24"/>
          <w:lang w:eastAsia="bg-BG"/>
        </w:rPr>
        <w:t>СПЕЦИАЛИЗИРАНА</w:t>
      </w:r>
      <w:r w:rsidRPr="00925C4A">
        <w:rPr>
          <w:rFonts w:ascii="Times New Roman" w:eastAsia="Times New Roman" w:hAnsi="Times New Roman" w:cs="Times New Roman"/>
          <w:b/>
          <w:noProof/>
          <w:sz w:val="16"/>
          <w:szCs w:val="24"/>
          <w:lang w:val="en-GB" w:eastAsia="bg-BG"/>
        </w:rPr>
        <w:t xml:space="preserve">  БОЛНИЦА  ЗА</w:t>
      </w:r>
      <w:r w:rsidRPr="00925C4A">
        <w:rPr>
          <w:rFonts w:ascii="Times New Roman" w:eastAsia="Times New Roman" w:hAnsi="Times New Roman" w:cs="Times New Roman"/>
          <w:b/>
          <w:noProof/>
          <w:sz w:val="16"/>
          <w:szCs w:val="24"/>
          <w:lang w:val="en-US" w:eastAsia="bg-BG"/>
        </w:rPr>
        <w:t xml:space="preserve">  </w:t>
      </w:r>
      <w:r w:rsidRPr="00925C4A">
        <w:rPr>
          <w:rFonts w:ascii="Times New Roman" w:eastAsia="Times New Roman" w:hAnsi="Times New Roman" w:cs="Times New Roman"/>
          <w:b/>
          <w:noProof/>
          <w:sz w:val="16"/>
          <w:szCs w:val="24"/>
          <w:lang w:val="en-GB" w:eastAsia="bg-BG"/>
        </w:rPr>
        <w:t>РЕХАБИЛИТАЦИЯ</w:t>
      </w:r>
      <w:r w:rsidRPr="00925C4A">
        <w:rPr>
          <w:rFonts w:ascii="Times New Roman" w:eastAsia="Times New Roman" w:hAnsi="Times New Roman" w:cs="Times New Roman"/>
          <w:b/>
          <w:noProof/>
          <w:sz w:val="16"/>
          <w:szCs w:val="24"/>
          <w:lang w:val="en-US" w:eastAsia="bg-BG"/>
        </w:rPr>
        <w:t xml:space="preserve">  </w:t>
      </w:r>
      <w:r w:rsidR="003632CB">
        <w:rPr>
          <w:rFonts w:ascii="Times New Roman" w:eastAsia="Times New Roman" w:hAnsi="Times New Roman" w:cs="Times New Roman"/>
          <w:b/>
          <w:noProof/>
          <w:sz w:val="16"/>
          <w:szCs w:val="24"/>
          <w:lang w:eastAsia="bg-BG"/>
        </w:rPr>
        <w:t xml:space="preserve">         </w:t>
      </w:r>
      <w:r w:rsidRPr="00925C4A">
        <w:rPr>
          <w:rFonts w:ascii="Times New Roman" w:eastAsia="Times New Roman" w:hAnsi="Times New Roman" w:cs="Times New Roman"/>
          <w:b/>
          <w:noProof/>
          <w:sz w:val="16"/>
          <w:szCs w:val="24"/>
          <w:lang w:val="en-US" w:eastAsia="bg-BG"/>
        </w:rPr>
        <w:t xml:space="preserve">                                                                                                            </w:t>
      </w:r>
      <w:r w:rsidRPr="00925C4A">
        <w:rPr>
          <w:rFonts w:ascii="Times New Roman" w:eastAsia="Times New Roman" w:hAnsi="Times New Roman" w:cs="Times New Roman"/>
          <w:b/>
          <w:noProof/>
          <w:color w:val="0066FF"/>
          <w:sz w:val="16"/>
          <w:szCs w:val="24"/>
          <w:lang w:val="en-GB" w:eastAsia="bg-BG"/>
        </w:rPr>
        <w:t>“СВЕТА  БОГОРОДИЦА“</w:t>
      </w:r>
      <w:r w:rsidRPr="00925C4A">
        <w:rPr>
          <w:rFonts w:ascii="Times New Roman" w:eastAsia="Times New Roman" w:hAnsi="Times New Roman" w:cs="Times New Roman"/>
          <w:b/>
          <w:noProof/>
          <w:color w:val="0066FF"/>
          <w:sz w:val="16"/>
          <w:szCs w:val="24"/>
          <w:lang w:val="en-US" w:eastAsia="bg-BG"/>
        </w:rPr>
        <w:t xml:space="preserve"> </w:t>
      </w:r>
      <w:r w:rsidRPr="00925C4A">
        <w:rPr>
          <w:rFonts w:ascii="Times New Roman" w:eastAsia="Times New Roman" w:hAnsi="Times New Roman" w:cs="Times New Roman"/>
          <w:b/>
          <w:noProof/>
          <w:color w:val="0066FF"/>
          <w:sz w:val="16"/>
          <w:szCs w:val="24"/>
          <w:lang w:val="en-GB" w:eastAsia="bg-BG"/>
        </w:rPr>
        <w:t>ЕООД – НАРЕЧЕНСКИ  БАНИ</w:t>
      </w:r>
      <w:r w:rsidRPr="00925C4A">
        <w:rPr>
          <w:rFonts w:ascii="Times New Roman" w:eastAsia="Times New Roman" w:hAnsi="Times New Roman" w:cs="Times New Roman"/>
          <w:b/>
          <w:noProof/>
          <w:color w:val="0066FF"/>
          <w:sz w:val="16"/>
          <w:szCs w:val="24"/>
          <w:lang w:val="en-US" w:eastAsia="bg-BG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25C4A">
        <w:rPr>
          <w:rFonts w:ascii="Times New Roman" w:eastAsia="Times New Roman" w:hAnsi="Times New Roman" w:cs="Times New Roman"/>
          <w:b/>
          <w:noProof/>
          <w:sz w:val="14"/>
          <w:szCs w:val="24"/>
          <w:lang w:val="en-GB" w:eastAsia="bg-BG"/>
        </w:rPr>
        <w:t>с. Нареченски бани</w:t>
      </w:r>
      <w:r w:rsidRPr="00925C4A">
        <w:rPr>
          <w:rFonts w:ascii="Times New Roman" w:eastAsia="Times New Roman" w:hAnsi="Times New Roman" w:cs="Times New Roman"/>
          <w:b/>
          <w:noProof/>
          <w:sz w:val="14"/>
          <w:szCs w:val="24"/>
          <w:lang w:val="en-US" w:eastAsia="bg-BG"/>
        </w:rPr>
        <w:t xml:space="preserve"> </w:t>
      </w:r>
      <w:r w:rsidRPr="00925C4A">
        <w:rPr>
          <w:rFonts w:ascii="Times New Roman" w:eastAsia="Times New Roman" w:hAnsi="Times New Roman" w:cs="Times New Roman"/>
          <w:b/>
          <w:noProof/>
          <w:sz w:val="14"/>
          <w:szCs w:val="24"/>
          <w:lang w:val="en-GB" w:eastAsia="bg-BG"/>
        </w:rPr>
        <w:t>ул.,  “Панорама” 8,</w:t>
      </w:r>
      <w:r w:rsidRPr="00925C4A">
        <w:rPr>
          <w:rFonts w:ascii="Times New Roman" w:eastAsia="Times New Roman" w:hAnsi="Times New Roman" w:cs="Times New Roman"/>
          <w:b/>
          <w:noProof/>
          <w:sz w:val="14"/>
          <w:szCs w:val="24"/>
          <w:lang w:val="en-US" w:eastAsia="bg-BG"/>
        </w:rPr>
        <w:t xml:space="preserve"> </w:t>
      </w:r>
      <w:r w:rsidRPr="00925C4A">
        <w:rPr>
          <w:rFonts w:ascii="Times New Roman" w:eastAsia="Times New Roman" w:hAnsi="Times New Roman" w:cs="Times New Roman"/>
          <w:b/>
          <w:noProof/>
          <w:sz w:val="14"/>
          <w:szCs w:val="24"/>
          <w:lang w:val="en-GB" w:eastAsia="bg-BG"/>
        </w:rPr>
        <w:t>тел. 03342/2212,</w:t>
      </w:r>
      <w:r w:rsidRPr="00925C4A">
        <w:rPr>
          <w:rFonts w:ascii="Times New Roman" w:eastAsia="Times New Roman" w:hAnsi="Times New Roman" w:cs="Times New Roman"/>
          <w:b/>
          <w:noProof/>
          <w:sz w:val="14"/>
          <w:szCs w:val="24"/>
          <w:lang w:val="en-US" w:eastAsia="bg-BG"/>
        </w:rPr>
        <w:t xml:space="preserve"> </w:t>
      </w:r>
      <w:r w:rsidRPr="00925C4A">
        <w:rPr>
          <w:rFonts w:ascii="Times New Roman" w:eastAsia="Times New Roman" w:hAnsi="Times New Roman" w:cs="Times New Roman"/>
          <w:b/>
          <w:noProof/>
          <w:sz w:val="14"/>
          <w:szCs w:val="24"/>
          <w:lang w:val="en-GB" w:eastAsia="bg-BG"/>
        </w:rPr>
        <w:t>GSM: 0888 105 105,</w:t>
      </w:r>
      <w:r w:rsidRPr="00925C4A">
        <w:rPr>
          <w:rFonts w:ascii="Times New Roman" w:eastAsia="Times New Roman" w:hAnsi="Times New Roman" w:cs="Times New Roman"/>
          <w:b/>
          <w:noProof/>
          <w:sz w:val="14"/>
          <w:szCs w:val="24"/>
          <w:lang w:val="en-US" w:eastAsia="bg-BG"/>
        </w:rPr>
        <w:t xml:space="preserve"> </w:t>
      </w:r>
      <w:r w:rsidRPr="00925C4A">
        <w:rPr>
          <w:rFonts w:ascii="Times New Roman" w:eastAsia="Times New Roman" w:hAnsi="Times New Roman" w:cs="Times New Roman"/>
          <w:b/>
          <w:noProof/>
          <w:sz w:val="14"/>
          <w:szCs w:val="24"/>
          <w:lang w:val="en-GB" w:eastAsia="bg-BG"/>
        </w:rPr>
        <w:t>Факс 03342/2243,</w:t>
      </w:r>
      <w:r w:rsidRPr="00925C4A">
        <w:rPr>
          <w:rFonts w:ascii="Times New Roman" w:eastAsia="Times New Roman" w:hAnsi="Times New Roman" w:cs="Times New Roman"/>
          <w:b/>
          <w:noProof/>
          <w:sz w:val="14"/>
          <w:szCs w:val="24"/>
          <w:lang w:val="en-US" w:eastAsia="bg-BG"/>
        </w:rPr>
        <w:t xml:space="preserve"> email: s</w:t>
      </w:r>
      <w:r w:rsidRPr="00925C4A">
        <w:rPr>
          <w:rFonts w:ascii="Times New Roman" w:eastAsia="Times New Roman" w:hAnsi="Times New Roman" w:cs="Times New Roman"/>
          <w:b/>
          <w:noProof/>
          <w:sz w:val="14"/>
          <w:szCs w:val="24"/>
          <w:lang w:val="en-GB" w:eastAsia="bg-BG"/>
        </w:rPr>
        <w:t>vbogoroditsahospital@abv.bg</w:t>
      </w:r>
    </w:p>
    <w:p w14:paraId="288EF9B8" w14:textId="77777777" w:rsidR="00925C4A" w:rsidRPr="00925C4A" w:rsidRDefault="00925C4A" w:rsidP="00925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</w:pPr>
    </w:p>
    <w:p w14:paraId="100ECFDB" w14:textId="77777777" w:rsidR="00925C4A" w:rsidRPr="00925C4A" w:rsidRDefault="00925C4A" w:rsidP="00925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</w:pPr>
    </w:p>
    <w:p w14:paraId="2348BE08" w14:textId="77777777" w:rsidR="00925C4A" w:rsidRPr="00925C4A" w:rsidRDefault="00925C4A" w:rsidP="00925C4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О  Т  Ч  Е  Т</w:t>
      </w:r>
    </w:p>
    <w:p w14:paraId="38AEF899" w14:textId="6937A3F0" w:rsidR="00865EA8" w:rsidRDefault="00925C4A" w:rsidP="00865EA8">
      <w:pPr>
        <w:spacing w:after="0" w:line="360" w:lineRule="auto"/>
        <w:ind w:right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ЗА ДЕЙНОС</w:t>
      </w:r>
      <w:r w:rsidR="00865E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ТТА НА </w:t>
      </w:r>
      <w:r w:rsidR="003632CB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СПЕЦИАЛИЗИРАНА</w:t>
      </w:r>
      <w:r w:rsidR="00865E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БОЛНИЦА ЗА</w:t>
      </w:r>
    </w:p>
    <w:p w14:paraId="2B83C832" w14:textId="14747E91" w:rsidR="00925C4A" w:rsidRPr="00865EA8" w:rsidRDefault="00925C4A" w:rsidP="00865EA8">
      <w:pPr>
        <w:spacing w:after="0" w:line="360" w:lineRule="auto"/>
        <w:ind w:right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РЕХАБИЛИТАЦИЯ</w:t>
      </w:r>
    </w:p>
    <w:p w14:paraId="79A3EBFE" w14:textId="77777777" w:rsidR="00925C4A" w:rsidRPr="00925C4A" w:rsidRDefault="00925C4A" w:rsidP="00925C4A">
      <w:pPr>
        <w:spacing w:after="0" w:line="360" w:lineRule="auto"/>
        <w:ind w:right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“СВЕТА БОГОРОДИЦА” ЕООД</w:t>
      </w:r>
    </w:p>
    <w:p w14:paraId="20A17A91" w14:textId="56B5821D" w:rsidR="00925C4A" w:rsidRPr="00925C4A" w:rsidRDefault="00925C4A" w:rsidP="00925C4A">
      <w:pPr>
        <w:spacing w:after="0" w:line="360" w:lineRule="auto"/>
        <w:ind w:right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с. Нареченски бани за първо тримесечие на 20</w:t>
      </w:r>
      <w:r w:rsidR="003632CB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год.</w:t>
      </w:r>
    </w:p>
    <w:p w14:paraId="6DE7D9ED" w14:textId="77777777" w:rsidR="00925C4A" w:rsidRPr="00925C4A" w:rsidRDefault="00925C4A" w:rsidP="00925C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72A03D59" w14:textId="77777777" w:rsidR="00925C4A" w:rsidRPr="00925C4A" w:rsidRDefault="00925C4A" w:rsidP="00925C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85E8109" w14:textId="77777777" w:rsidR="00925C4A" w:rsidRPr="00925C4A" w:rsidRDefault="00925C4A" w:rsidP="00865EA8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УВАЖАЕМИ  ГОСПОДИН МИНИСТЪР,</w:t>
      </w:r>
    </w:p>
    <w:p w14:paraId="2C88F9EE" w14:textId="30ACA905" w:rsidR="00F621A4" w:rsidRDefault="00925C4A" w:rsidP="00F621A4">
      <w:pPr>
        <w:shd w:val="clear" w:color="auto" w:fill="FFFFFF"/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Устои</w:t>
      </w:r>
      <w:proofErr w:type="spellEnd"/>
      <w:r w:rsidR="00865EA8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="00236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="00236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здравна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236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реформа</w:t>
      </w:r>
      <w:proofErr w:type="spellEnd"/>
      <w:r w:rsidR="00236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се</w:t>
      </w:r>
      <w:proofErr w:type="spellEnd"/>
      <w:r w:rsidR="00236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явяват</w:t>
      </w:r>
      <w:proofErr w:type="spellEnd"/>
      <w:r w:rsidR="00236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36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65EA8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изграждането</w:t>
      </w:r>
      <w:proofErr w:type="spellEnd"/>
      <w:r w:rsidR="00236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65EA8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="00236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65EA8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здравно</w:t>
      </w:r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осигурителната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система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с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приемането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330, ЗЛЗ, ЗСОЛС и 33, с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което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въведе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договорното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начало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при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предоставяне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заплащане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медицински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услуги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дефинират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правата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задълженията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всички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участници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в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здравеопазването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.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Министерство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здравеопазването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динамично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променя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Правилниците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Наредбите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, а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също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така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съвместно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със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съсловните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организации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насочва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провеждането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реформата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чрез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осъществяването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акредитацията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лечебните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заведения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въвеждането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медицинските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стандарти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подготовката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правилата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за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добра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медицинска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практика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.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По-късно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с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промените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в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модела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финансиране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лечебните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заведения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формирането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работната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заплата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направиха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още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по-категорични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стъпки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в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тази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насока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.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последно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място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голяма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роля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играеха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договорните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отношения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между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лекарския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съюз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съсловните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организации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от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една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страна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и НЗОК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от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друга</w:t>
      </w:r>
      <w:proofErr w:type="spellEnd"/>
      <w:r w:rsidRPr="00925C4A">
        <w:rPr>
          <w:rFonts w:ascii="Times New Roman" w:eastAsia="Times New Roman" w:hAnsi="Times New Roman" w:cs="Times New Roman"/>
          <w:color w:val="000000"/>
          <w:sz w:val="28"/>
          <w:szCs w:val="28"/>
          <w:lang w:val="en-GB"/>
        </w:rPr>
        <w:t>.</w:t>
      </w:r>
    </w:p>
    <w:p w14:paraId="1DE8FA20" w14:textId="7C8A384E" w:rsidR="00865EA8" w:rsidRPr="00F621A4" w:rsidRDefault="00925C4A" w:rsidP="00F621A4">
      <w:pPr>
        <w:shd w:val="clear" w:color="auto" w:fill="FFFFFF"/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Елементите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здравната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реформа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насочени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към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осигуряване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съпоставимост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съвместимост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здравната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система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със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Световните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Европейски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практики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в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тази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област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осигуряващи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принципи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като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: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социална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ориентираност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здравните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услуги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;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гарантиране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населението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равен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достъп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сигурност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качество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ползване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медицинските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услуги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;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прилагане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пазарни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механизми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разпределяне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ресурсите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в и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извън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системата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задължителното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здравно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осигуряване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чрез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които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да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създаде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благоприятна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lastRenderedPageBreak/>
        <w:t>конкурентна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среда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водеща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до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повишаване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качеството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предлаганите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услуги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;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адекватно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преструктуриране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>лечебните</w:t>
      </w:r>
      <w:proofErr w:type="spellEnd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>заведения</w:t>
      </w:r>
      <w:proofErr w:type="spellEnd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в </w:t>
      </w:r>
      <w:proofErr w:type="spellStart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>новото</w:t>
      </w:r>
      <w:proofErr w:type="spellEnd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>им</w:t>
      </w:r>
      <w:proofErr w:type="spellEnd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качество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самостоятелни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юриди</w:t>
      </w:r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>чески</w:t>
      </w:r>
      <w:proofErr w:type="spellEnd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>субекти</w:t>
      </w:r>
      <w:proofErr w:type="spellEnd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, с </w:t>
      </w:r>
      <w:proofErr w:type="spellStart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>възможности</w:t>
      </w:r>
      <w:proofErr w:type="spellEnd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D61EAF">
        <w:rPr>
          <w:rFonts w:ascii="Times New Roman" w:eastAsia="Times New Roman" w:hAnsi="Times New Roman" w:cs="Times New Roman"/>
          <w:sz w:val="28"/>
          <w:szCs w:val="28"/>
          <w:lang w:val="en-GB"/>
        </w:rPr>
        <w:t>за</w:t>
      </w:r>
      <w:proofErr w:type="spellEnd"/>
      <w:r w:rsidR="00236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икономическа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независимост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предполагаща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рационално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използване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собствен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ресурс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.</w:t>
      </w:r>
    </w:p>
    <w:p w14:paraId="0DD06F3A" w14:textId="77777777" w:rsidR="00865EA8" w:rsidRDefault="00925C4A" w:rsidP="00865EA8">
      <w:pPr>
        <w:shd w:val="clear" w:color="auto" w:fill="FFFFFF"/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Това описва здравната реформа като един непрекъснат динамичен процес, основаващ се на съответната нормативна база, чието непоследователно възприемане и адаптиране на дейността към нея оставя лечебните заведения в критична ситуация при изпълнение на мисията им.</w:t>
      </w:r>
    </w:p>
    <w:p w14:paraId="1047B022" w14:textId="77777777" w:rsidR="00865EA8" w:rsidRDefault="00925C4A" w:rsidP="00865EA8">
      <w:pPr>
        <w:shd w:val="clear" w:color="auto" w:fill="FFFFFF"/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На практика към днешна дата структурните и организационни модели, универсално приложими само преди няколко години са в състояние на много кратък срок да доведат едно лечебно заведение до невъзможност да осигури адекватен финансов, материален и човешки ресурс за осъществяване на дейността си. Нещо повече, за да избегнат този риск и да обезпечат стабилното си развитие, лечебните заведения за болнична помощ, трябва да умеят, изпреварващо да генерират готовност, да приемат предизвикателствата на едни като цяло ясно очертани тенденции.</w:t>
      </w:r>
    </w:p>
    <w:p w14:paraId="293CB456" w14:textId="77777777" w:rsidR="00865EA8" w:rsidRDefault="00925C4A" w:rsidP="00865EA8">
      <w:pPr>
        <w:shd w:val="clear" w:color="auto" w:fill="FFFFFF"/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proofErr w:type="spellStart"/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Неосъзнаването</w:t>
      </w:r>
      <w:proofErr w:type="spellEnd"/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нереализирането</w:t>
      </w:r>
      <w:proofErr w:type="spellEnd"/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тези императивни </w:t>
      </w:r>
      <w:proofErr w:type="spellStart"/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необходимости</w:t>
      </w:r>
      <w:proofErr w:type="spellEnd"/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, преди всичко от страна на ръководителите на лечебните заведения за болнична помощ, рефлектират в натрупващи се проблеми за собствениците им, изпитание на персонала и от там неудовлетвореност и </w:t>
      </w:r>
      <w:proofErr w:type="spellStart"/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демотивация</w:t>
      </w:r>
      <w:proofErr w:type="spellEnd"/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, а в крайна сметка неизбежно се появява и най-негативния резултат – компрометира се качеството на цялостната дейност на лечебното заведение. В светлината на казаното от управителя на болницата се очаква да притежава ясна визия, да е способен на бързи компетентни и отговорни решения, за изпълнението на които да умее да приобщи всички  нива в структурата на болницата.</w:t>
      </w:r>
    </w:p>
    <w:p w14:paraId="18DF129F" w14:textId="77777777" w:rsidR="00925C4A" w:rsidRPr="00865EA8" w:rsidRDefault="00925C4A" w:rsidP="00865EA8">
      <w:pPr>
        <w:shd w:val="clear" w:color="auto" w:fill="FFFFFF"/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Преди да дам данни за отчета за първото тримесечие бих желал накратко да опиша дейността и функциите на болница „Света Богородица” ЕООД.</w:t>
      </w:r>
    </w:p>
    <w:p w14:paraId="40DA2D43" w14:textId="77777777" w:rsidR="00925C4A" w:rsidRPr="00925C4A" w:rsidRDefault="00925C4A" w:rsidP="00925C4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D073278" w14:textId="77777777" w:rsidR="00925C4A" w:rsidRPr="00925C4A" w:rsidRDefault="00925C4A" w:rsidP="00865EA8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ГОСПОДИН МИНИСТЪР,</w:t>
      </w:r>
    </w:p>
    <w:p w14:paraId="6827D1E0" w14:textId="39DADF16" w:rsidR="00865EA8" w:rsidRDefault="00925C4A" w:rsidP="00865EA8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Болница „Света Богородица” е здравно заведение с над 80-годишна история. Създадено през 1939 год. за лечение и рехабилитация на военноинвалидите и пострадалите, а по-късно като военен санаториум. Същата непрекъснато се е доказвала като елитна болница за възстановяване здравето на военнослужещите и гражданите на Република България.</w:t>
      </w:r>
    </w:p>
    <w:p w14:paraId="5AAB65A0" w14:textId="77777777" w:rsidR="00865EA8" w:rsidRDefault="00925C4A" w:rsidP="00865EA8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Мисията на болницата е укрепване здравето, както на военнослужещи и работещи в Министерството на отбраната, така и на гражданите на Република България.</w:t>
      </w:r>
    </w:p>
    <w:p w14:paraId="7C669080" w14:textId="77777777" w:rsidR="00865EA8" w:rsidRDefault="00925C4A" w:rsidP="00865EA8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Пред колектива на болницата стои нелеката задача, за качествено изпълнение на национални здравно-</w:t>
      </w:r>
      <w:proofErr w:type="spellStart"/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промотивни</w:t>
      </w:r>
      <w:proofErr w:type="spellEnd"/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, лечебни и рехабилитационни програми за борба с редица социално-значими заболявания като стреса, заболявания на сърдечно-съдова система и диабет.</w:t>
      </w:r>
    </w:p>
    <w:p w14:paraId="05C2757D" w14:textId="77777777" w:rsidR="00865EA8" w:rsidRDefault="00925C4A" w:rsidP="00865EA8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>В началото на годината, пред колектива на лечебното заведение, бяха поставени за решаване няколко задачи, съобразявайки се със световната финансова криза, подготовката за структурни реформи в системата на здравеопазването, въвеждането на лимитиране при заплащането на медицинск</w:t>
      </w:r>
      <w:r w:rsidR="00865EA8">
        <w:rPr>
          <w:rFonts w:ascii="Times New Roman" w:eastAsia="Times New Roman" w:hAnsi="Times New Roman" w:cs="Times New Roman"/>
          <w:sz w:val="28"/>
          <w:szCs w:val="28"/>
        </w:rPr>
        <w:t>ите услуги от страна на Здравно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осигурителната каса, както и изготвянето на Програма за развитие за следващите три години, която да бъде предложена на Министъра на отбраната за утвърждаване, а именно:</w:t>
      </w:r>
    </w:p>
    <w:p w14:paraId="102200F9" w14:textId="77777777" w:rsidR="00865EA8" w:rsidRDefault="00925C4A" w:rsidP="00865EA8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Обновяване и осъвременяване на материалната база, с цел подобряване на битовите условия и условията за лечение на пациентите.</w:t>
      </w:r>
    </w:p>
    <w:p w14:paraId="038C0BA8" w14:textId="393DEDFA" w:rsidR="00865EA8" w:rsidRDefault="00925C4A" w:rsidP="00865EA8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Подобряване качеството на приема на пациентите, извършването на диагностични и лечебни услуги и постигане на пълен комфорт при битовото им обслужване.</w:t>
      </w:r>
    </w:p>
    <w:p w14:paraId="2EA7CC2D" w14:textId="17DF52A9" w:rsidR="00865EA8" w:rsidRDefault="00925C4A" w:rsidP="00865EA8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Преразглеждане и утвърждаване на механизмите за управление и разпределение на материалните, финансовите и човешките ресурси.</w:t>
      </w:r>
    </w:p>
    <w:p w14:paraId="7650B143" w14:textId="77777777" w:rsidR="001345D0" w:rsidRDefault="00925C4A" w:rsidP="001345D0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lastRenderedPageBreak/>
        <w:t>4.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Разширяване пазара на медицинските услуги на болницата чрез сключване на договори с МО,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НЗОК, туроператорски фирми, осъществяване на рекламна дейност, задълбоча</w:t>
      </w:r>
      <w:r w:rsidR="00865EA8">
        <w:rPr>
          <w:rFonts w:ascii="Times New Roman" w:eastAsia="Times New Roman" w:hAnsi="Times New Roman" w:cs="Times New Roman"/>
          <w:sz w:val="28"/>
          <w:szCs w:val="28"/>
        </w:rPr>
        <w:t>ване на контакти с Военно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медицинска академия и подчинените й здравни заве</w:t>
      </w:r>
      <w:r w:rsidR="001345D0">
        <w:rPr>
          <w:rFonts w:ascii="Times New Roman" w:eastAsia="Times New Roman" w:hAnsi="Times New Roman" w:cs="Times New Roman"/>
          <w:sz w:val="28"/>
          <w:szCs w:val="28"/>
        </w:rPr>
        <w:t>дения,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Министерство на здравеопазването, Асоциацията по балнеология, както и с общински и районни болници, профилни завеждащи клиники и отделения в тези болници и общо практикуващи лекари.</w:t>
      </w:r>
    </w:p>
    <w:p w14:paraId="10AD4C28" w14:textId="6CA8967B" w:rsidR="001345D0" w:rsidRPr="009D79C3" w:rsidRDefault="00925C4A" w:rsidP="001345D0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D79C3">
        <w:rPr>
          <w:rFonts w:ascii="Times New Roman" w:eastAsia="Times New Roman" w:hAnsi="Times New Roman" w:cs="Times New Roman"/>
          <w:sz w:val="28"/>
          <w:szCs w:val="28"/>
        </w:rPr>
        <w:t>През отчетния период продължава да се работи по клиничните пътеки съг</w:t>
      </w:r>
      <w:r w:rsidR="001345D0" w:rsidRPr="009D79C3">
        <w:rPr>
          <w:rFonts w:ascii="Times New Roman" w:eastAsia="Times New Roman" w:hAnsi="Times New Roman" w:cs="Times New Roman"/>
          <w:sz w:val="28"/>
          <w:szCs w:val="28"/>
        </w:rPr>
        <w:t>ласно сключен договор за 20</w:t>
      </w:r>
      <w:r w:rsidR="00236252" w:rsidRPr="009D79C3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9D7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45D0" w:rsidRPr="009D79C3">
        <w:rPr>
          <w:rFonts w:ascii="Times New Roman" w:eastAsia="Times New Roman" w:hAnsi="Times New Roman" w:cs="Times New Roman"/>
          <w:sz w:val="28"/>
          <w:szCs w:val="28"/>
        </w:rPr>
        <w:t>с РЗОК – гр. Пловдив по НРД 20</w:t>
      </w:r>
      <w:r w:rsidR="00236252" w:rsidRPr="009D79C3">
        <w:rPr>
          <w:rFonts w:ascii="Times New Roman" w:eastAsia="Times New Roman" w:hAnsi="Times New Roman" w:cs="Times New Roman"/>
          <w:sz w:val="28"/>
          <w:szCs w:val="28"/>
        </w:rPr>
        <w:t>20 – 2022</w:t>
      </w:r>
      <w:r w:rsidRPr="009D79C3">
        <w:rPr>
          <w:rFonts w:ascii="Times New Roman" w:eastAsia="Times New Roman" w:hAnsi="Times New Roman" w:cs="Times New Roman"/>
          <w:sz w:val="28"/>
          <w:szCs w:val="28"/>
        </w:rPr>
        <w:t xml:space="preserve"> г..</w:t>
      </w:r>
    </w:p>
    <w:p w14:paraId="634F54E6" w14:textId="11A629AE" w:rsidR="001345D0" w:rsidRDefault="00925C4A" w:rsidP="001345D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 xml:space="preserve">Видно от мисията на болницата, целите които си бяхме поставили за изтеклото деветмесечие, отговарят на основните цели на националната здравна политика и </w:t>
      </w:r>
      <w:r w:rsidR="009D79C3" w:rsidRPr="00925C4A">
        <w:rPr>
          <w:rFonts w:ascii="Times New Roman" w:eastAsia="Times New Roman" w:hAnsi="Times New Roman" w:cs="Times New Roman"/>
          <w:sz w:val="28"/>
          <w:szCs w:val="28"/>
        </w:rPr>
        <w:t>съответстват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 xml:space="preserve"> на мисията и на интересите на собственика. Те могат да се обобщят като:</w:t>
      </w:r>
    </w:p>
    <w:p w14:paraId="7578E87F" w14:textId="77777777" w:rsidR="001345D0" w:rsidRDefault="00925C4A" w:rsidP="001345D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предоставяне на медицински услуги, задоволяващи здравните потребности, изисквания и очаквания на пациенти;</w:t>
      </w:r>
    </w:p>
    <w:p w14:paraId="3A7C5463" w14:textId="77777777" w:rsidR="001345D0" w:rsidRDefault="00925C4A" w:rsidP="001345D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създаване на оптимален баланс на материални, финансови и човешки ресурси, които осигуряват предоставянето на услуги, отговарящи на изисквани</w:t>
      </w:r>
      <w:r w:rsidR="001345D0">
        <w:rPr>
          <w:rFonts w:ascii="Times New Roman" w:eastAsia="Times New Roman" w:hAnsi="Times New Roman" w:cs="Times New Roman"/>
          <w:sz w:val="28"/>
          <w:szCs w:val="28"/>
        </w:rPr>
        <w:t>ята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 xml:space="preserve"> за качество;</w:t>
      </w:r>
    </w:p>
    <w:p w14:paraId="4EBE245E" w14:textId="77777777" w:rsidR="001345D0" w:rsidRDefault="00925C4A" w:rsidP="001345D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укрепване здравето на военнослужещите и работещите в МО, и по този начин косвено влияещи в повишаване боеспособността на Въоръжените сили на Република България;</w:t>
      </w:r>
    </w:p>
    <w:p w14:paraId="6F861225" w14:textId="77777777" w:rsidR="001345D0" w:rsidRDefault="00925C4A" w:rsidP="001345D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изпълнение на национални здравно-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</w:rPr>
        <w:t>промотивни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</w:rPr>
        <w:t>, лечебни и рехабилит</w:t>
      </w:r>
      <w:r w:rsidR="001345D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ционни програми за борба със социално-значимите заболявания;</w:t>
      </w:r>
    </w:p>
    <w:p w14:paraId="05731A25" w14:textId="77777777" w:rsidR="001345D0" w:rsidRDefault="001345D0" w:rsidP="001345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BEA4EE" w14:textId="77777777" w:rsidR="001345D0" w:rsidRDefault="001345D0" w:rsidP="001345D0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Уважаеми Господин Министър,</w:t>
      </w:r>
    </w:p>
    <w:p w14:paraId="4BCA0DBC" w14:textId="42603492" w:rsidR="00C21F8E" w:rsidRDefault="00925C4A" w:rsidP="00C21F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 xml:space="preserve">Заведения от типа на </w:t>
      </w:r>
      <w:r w:rsidR="009D79C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БР ”Света Богородица”, в началото на годин</w:t>
      </w:r>
      <w:r w:rsidR="00C21F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 xml:space="preserve">та по принцип са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</w:rPr>
        <w:t>ненатоварени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</w:rPr>
        <w:t>, поради което за този неактивен сезон предприехме нетрадиционни мерки като въведохме промоционални цени които значителн</w:t>
      </w:r>
      <w:r w:rsidR="00C21F8E">
        <w:rPr>
          <w:rFonts w:ascii="Times New Roman" w:eastAsia="Times New Roman" w:hAnsi="Times New Roman" w:cs="Times New Roman"/>
          <w:sz w:val="28"/>
          <w:szCs w:val="28"/>
        </w:rPr>
        <w:t>о увеличиха приема на пациенти.</w:t>
      </w:r>
    </w:p>
    <w:p w14:paraId="217DC5E2" w14:textId="77777777" w:rsidR="00C21F8E" w:rsidRDefault="00C21F8E" w:rsidP="00C21F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1D27BF" w14:textId="01D32FC3" w:rsidR="00C21F8E" w:rsidRDefault="00925C4A" w:rsidP="00C21F8E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 xml:space="preserve">Обем на извършената лечебно-рехабилитационна и профилактична дейност в </w:t>
      </w:r>
      <w:r w:rsidR="00EE44A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</w:t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олница “Света Богородица” ЕООД </w:t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  <w:t xml:space="preserve">- </w:t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с.</w:t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  <w:t xml:space="preserve"> </w:t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Нареченски бани.</w:t>
      </w:r>
    </w:p>
    <w:p w14:paraId="594D7D58" w14:textId="549D566C" w:rsidR="00EE44A3" w:rsidRPr="00C21F8E" w:rsidRDefault="00925C4A" w:rsidP="00EE44A3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>Разполагайки с необходимия кадрови ресурс, леглова</w:t>
      </w:r>
      <w:r w:rsidR="00C21F8E">
        <w:rPr>
          <w:rFonts w:ascii="Times New Roman" w:eastAsia="Times New Roman" w:hAnsi="Times New Roman" w:cs="Times New Roman"/>
          <w:sz w:val="28"/>
          <w:szCs w:val="28"/>
        </w:rPr>
        <w:t xml:space="preserve"> база, лечебна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апарату</w:t>
      </w:r>
      <w:r w:rsidR="00C21F8E">
        <w:rPr>
          <w:rFonts w:ascii="Times New Roman" w:eastAsia="Times New Roman" w:hAnsi="Times New Roman" w:cs="Times New Roman"/>
          <w:sz w:val="28"/>
          <w:szCs w:val="28"/>
        </w:rPr>
        <w:t xml:space="preserve">ра, </w:t>
      </w:r>
      <w:r w:rsidR="00EE44A3">
        <w:rPr>
          <w:rFonts w:ascii="Times New Roman" w:eastAsia="Times New Roman" w:hAnsi="Times New Roman" w:cs="Times New Roman"/>
          <w:sz w:val="28"/>
          <w:szCs w:val="28"/>
        </w:rPr>
        <w:t>б</w:t>
      </w:r>
      <w:r w:rsidR="00C21F8E">
        <w:rPr>
          <w:rFonts w:ascii="Times New Roman" w:eastAsia="Times New Roman" w:hAnsi="Times New Roman" w:cs="Times New Roman"/>
          <w:sz w:val="28"/>
          <w:szCs w:val="28"/>
        </w:rPr>
        <w:t>олница „Св</w:t>
      </w:r>
      <w:r w:rsidR="009D79C3">
        <w:rPr>
          <w:rFonts w:ascii="Times New Roman" w:eastAsia="Times New Roman" w:hAnsi="Times New Roman" w:cs="Times New Roman"/>
          <w:sz w:val="28"/>
          <w:szCs w:val="28"/>
        </w:rPr>
        <w:t>ета</w:t>
      </w:r>
      <w:r w:rsidR="00C21F8E">
        <w:rPr>
          <w:rFonts w:ascii="Times New Roman" w:eastAsia="Times New Roman" w:hAnsi="Times New Roman" w:cs="Times New Roman"/>
          <w:sz w:val="28"/>
          <w:szCs w:val="28"/>
        </w:rPr>
        <w:t xml:space="preserve"> Богородица” извършва сериозна</w:t>
      </w:r>
      <w:r w:rsidR="009D7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F8E">
        <w:rPr>
          <w:rFonts w:ascii="Times New Roman" w:eastAsia="Times New Roman" w:hAnsi="Times New Roman" w:cs="Times New Roman"/>
          <w:sz w:val="28"/>
          <w:szCs w:val="28"/>
        </w:rPr>
        <w:t xml:space="preserve">лечебно-рехабилитационна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дейност, както по обем, така и по постигнато качество и ефективност. Това личи от приложените по-долу таблици.</w:t>
      </w:r>
    </w:p>
    <w:p w14:paraId="11A2819C" w14:textId="01138596" w:rsidR="00925C4A" w:rsidRPr="00925C4A" w:rsidRDefault="00925C4A" w:rsidP="00925C4A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Сведение за преминали пациенти в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D3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</w:t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БР “Света Богородица” ЕООД </w:t>
      </w:r>
    </w:p>
    <w:p w14:paraId="2253065B" w14:textId="00B49321" w:rsidR="00925C4A" w:rsidRPr="00925C4A" w:rsidRDefault="00925C4A" w:rsidP="00925C4A">
      <w:pPr>
        <w:spacing w:after="12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  <w:t>от 01.01.20</w:t>
      </w:r>
      <w:r w:rsidR="00211D3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</w:t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– 31.03.20</w:t>
      </w:r>
      <w:r w:rsidR="00211D3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</w:t>
      </w:r>
      <w:r w:rsidRPr="00925C4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година.</w:t>
      </w:r>
    </w:p>
    <w:tbl>
      <w:tblPr>
        <w:tblW w:w="9651" w:type="dxa"/>
        <w:tblInd w:w="85" w:type="dxa"/>
        <w:tblLook w:val="04A0" w:firstRow="1" w:lastRow="0" w:firstColumn="1" w:lastColumn="0" w:noHBand="0" w:noVBand="1"/>
      </w:tblPr>
      <w:tblGrid>
        <w:gridCol w:w="708"/>
        <w:gridCol w:w="5183"/>
        <w:gridCol w:w="1114"/>
        <w:gridCol w:w="1114"/>
        <w:gridCol w:w="1532"/>
      </w:tblGrid>
      <w:tr w:rsidR="00925C4A" w:rsidRPr="00925C4A" w14:paraId="209F8E26" w14:textId="77777777" w:rsidTr="00D73BF3">
        <w:trPr>
          <w:trHeight w:val="300"/>
        </w:trPr>
        <w:tc>
          <w:tcPr>
            <w:tcW w:w="708" w:type="dxa"/>
            <w:vMerge w:val="restart"/>
            <w:tcBorders>
              <w:top w:val="double" w:sz="6" w:space="0" w:color="FF6600"/>
              <w:left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center"/>
            <w:hideMark/>
          </w:tcPr>
          <w:p w14:paraId="66278BE0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183" w:type="dxa"/>
            <w:vMerge w:val="restart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noWrap/>
            <w:vAlign w:val="center"/>
            <w:hideMark/>
          </w:tcPr>
          <w:p w14:paraId="162E00C5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Контингент преминали пациенти</w:t>
            </w:r>
          </w:p>
        </w:tc>
        <w:tc>
          <w:tcPr>
            <w:tcW w:w="3760" w:type="dxa"/>
            <w:gridSpan w:val="3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  <w:hideMark/>
          </w:tcPr>
          <w:p w14:paraId="7DE04AB9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Брой преминали пациенти</w:t>
            </w:r>
          </w:p>
        </w:tc>
      </w:tr>
      <w:tr w:rsidR="00925C4A" w:rsidRPr="00925C4A" w14:paraId="5DD044F0" w14:textId="77777777" w:rsidTr="00D73BF3">
        <w:trPr>
          <w:trHeight w:val="689"/>
        </w:trPr>
        <w:tc>
          <w:tcPr>
            <w:tcW w:w="708" w:type="dxa"/>
            <w:vMerge/>
            <w:tcBorders>
              <w:left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</w:tcPr>
          <w:p w14:paraId="241D13DC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5183" w:type="dxa"/>
            <w:vMerge/>
            <w:tcBorders>
              <w:left w:val="nil"/>
              <w:right w:val="double" w:sz="6" w:space="0" w:color="FF6600"/>
            </w:tcBorders>
            <w:shd w:val="clear" w:color="000000" w:fill="FF6600"/>
            <w:noWrap/>
            <w:vAlign w:val="bottom"/>
          </w:tcPr>
          <w:p w14:paraId="0A8FA06A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noWrap/>
            <w:vAlign w:val="center"/>
          </w:tcPr>
          <w:p w14:paraId="4309AC8B" w14:textId="1A3D03F1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  <w:t>201</w:t>
            </w:r>
            <w:r w:rsidR="00211D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1114" w:type="dxa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vAlign w:val="center"/>
          </w:tcPr>
          <w:p w14:paraId="652D2683" w14:textId="22BB9953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  <w:t>20</w:t>
            </w:r>
            <w:r w:rsidR="00211D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1532" w:type="dxa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</w:tcPr>
          <w:p w14:paraId="102B5D83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 ъ с т</w:t>
            </w:r>
          </w:p>
          <w:p w14:paraId="6AAF2FF9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</w:t>
            </w: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ab/>
              <w:t>–</w:t>
            </w:r>
          </w:p>
        </w:tc>
      </w:tr>
      <w:tr w:rsidR="00925C4A" w:rsidRPr="00925C4A" w14:paraId="79B7546B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19F19118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83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6357FA64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Кадрови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военнослужещи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412DC2C4" w14:textId="1DC72C74" w:rsidR="00925C4A" w:rsidRPr="00211D3B" w:rsidRDefault="00D61EAF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  <w:r w:rsidR="00211D3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1395BD63" w14:textId="1054B3B4" w:rsidR="00925C4A" w:rsidRPr="00D61EAF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61E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3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728F2CD1" w14:textId="150F45AA" w:rsidR="00925C4A" w:rsidRPr="00D61EAF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</w:t>
            </w:r>
          </w:p>
        </w:tc>
      </w:tr>
      <w:tr w:rsidR="00925C4A" w:rsidRPr="00925C4A" w14:paraId="132FA0B9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092E8EE0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83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5A2BE08B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Офицери и сержанти от резерва.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60522509" w14:textId="2F39E30C" w:rsidR="00925C4A" w:rsidRPr="00211D3B" w:rsidRDefault="00D61EAF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211D3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4A63C3BA" w14:textId="22E878A7" w:rsidR="00925C4A" w:rsidRPr="00C65A3E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3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7058A144" w14:textId="77777777" w:rsidR="00925C4A" w:rsidRPr="00D61EAF" w:rsidRDefault="00D61EAF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925C4A" w:rsidRPr="00925C4A" w14:paraId="2C71ABA0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253585CB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83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115A7326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Граждански лица в МО.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56002756" w14:textId="486012DB" w:rsidR="00925C4A" w:rsidRPr="00925C4A" w:rsidRDefault="00211D3B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5EF1E05D" w14:textId="47701E07" w:rsidR="00925C4A" w:rsidRPr="00925C4A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53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00392CA0" w14:textId="05F04EF2" w:rsidR="00925C4A" w:rsidRPr="00C65A3E" w:rsidRDefault="00D61EAF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  <w:r w:rsidR="00C65A3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5C4A" w:rsidRPr="00925C4A" w14:paraId="258D8361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1FD1E721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83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529CA239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Ветерани от войните и военноинвалиди.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5E083840" w14:textId="729F06C6" w:rsidR="00925C4A" w:rsidRPr="00211D3B" w:rsidRDefault="00211D3B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7C62DD64" w14:textId="3F0C36AE" w:rsidR="00925C4A" w:rsidRPr="00C65A3E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77D445FA" w14:textId="6E1CDCF7" w:rsidR="00925C4A" w:rsidRPr="00925C4A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</w:p>
        </w:tc>
      </w:tr>
      <w:tr w:rsidR="00925C4A" w:rsidRPr="00925C4A" w14:paraId="41A7EA29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40F5E7F2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83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34D0023C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Членове, семейства на военнослужещи.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2AF2910A" w14:textId="2ED50D2B" w:rsidR="00925C4A" w:rsidRPr="00211D3B" w:rsidRDefault="00211D3B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36B2ECEC" w14:textId="2BB877F6" w:rsidR="00925C4A" w:rsidRPr="00C65A3E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3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0937EDBC" w14:textId="4F193EA0" w:rsidR="00925C4A" w:rsidRPr="00D61EAF" w:rsidRDefault="00D61EAF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65A3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5C4A" w:rsidRPr="00925C4A" w14:paraId="556AD576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61CF0ED1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83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5F7865A7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Клинични пътеки.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28E0AFEE" w14:textId="6DBB1CA6" w:rsidR="00925C4A" w:rsidRPr="00211D3B" w:rsidRDefault="00D61EAF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  <w:r w:rsidR="00211D3B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4ECA0564" w14:textId="5EEF664A" w:rsidR="00925C4A" w:rsidRPr="00C65A3E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818</w:t>
            </w:r>
          </w:p>
        </w:tc>
        <w:tc>
          <w:tcPr>
            <w:tcW w:w="153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373DB58E" w14:textId="29DFE855" w:rsidR="00925C4A" w:rsidRPr="00D61EAF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154</w:t>
            </w:r>
          </w:p>
        </w:tc>
      </w:tr>
      <w:tr w:rsidR="00925C4A" w:rsidRPr="00925C4A" w14:paraId="2CD6DA2C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7E8BF7A4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83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5AA83E5F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Д р у г и.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036D9CA8" w14:textId="6E02C202" w:rsidR="00925C4A" w:rsidRPr="00D61EAF" w:rsidRDefault="00D61EAF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11D3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1F1F79DA" w14:textId="61045C0D" w:rsidR="00925C4A" w:rsidRPr="00C65A3E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662</w:t>
            </w:r>
          </w:p>
        </w:tc>
        <w:tc>
          <w:tcPr>
            <w:tcW w:w="153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1592691A" w14:textId="387AE00F" w:rsidR="00925C4A" w:rsidRPr="00D61EAF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+ 344</w:t>
            </w:r>
          </w:p>
        </w:tc>
      </w:tr>
      <w:tr w:rsidR="00925C4A" w:rsidRPr="00925C4A" w14:paraId="04464E87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497C87A6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83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496CD7F3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Чужди граждани.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6FA56DA6" w14:textId="0D24E77E" w:rsidR="00925C4A" w:rsidRPr="00211D3B" w:rsidRDefault="00211D3B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386C7A7B" w14:textId="2D9DD5E5" w:rsidR="00925C4A" w:rsidRPr="00C65A3E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34A3A038" w14:textId="6EB7216C" w:rsidR="00925C4A" w:rsidRPr="00D61EAF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+ 1</w:t>
            </w:r>
          </w:p>
        </w:tc>
      </w:tr>
      <w:tr w:rsidR="00925C4A" w:rsidRPr="00925C4A" w14:paraId="57210B12" w14:textId="77777777" w:rsidTr="00D73BF3">
        <w:trPr>
          <w:trHeight w:val="300"/>
        </w:trPr>
        <w:tc>
          <w:tcPr>
            <w:tcW w:w="5891" w:type="dxa"/>
            <w:gridSpan w:val="2"/>
            <w:tcBorders>
              <w:top w:val="double" w:sz="6" w:space="0" w:color="FF6600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center"/>
          </w:tcPr>
          <w:p w14:paraId="183F3DC7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В С И Ч К О:</w:t>
            </w:r>
          </w:p>
        </w:tc>
        <w:tc>
          <w:tcPr>
            <w:tcW w:w="1114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center"/>
          </w:tcPr>
          <w:p w14:paraId="4D31BFA1" w14:textId="67421C50" w:rsidR="00925C4A" w:rsidRPr="00211D3B" w:rsidRDefault="00D61EAF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C65A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="00211D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114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center"/>
          </w:tcPr>
          <w:p w14:paraId="08915025" w14:textId="6E450E5D" w:rsidR="00925C4A" w:rsidRPr="00D61EAF" w:rsidRDefault="00D61EAF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C65A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565</w:t>
            </w:r>
          </w:p>
        </w:tc>
        <w:tc>
          <w:tcPr>
            <w:tcW w:w="1532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center"/>
          </w:tcPr>
          <w:p w14:paraId="49BC47F3" w14:textId="40A7F123" w:rsidR="00925C4A" w:rsidRPr="00C65A3E" w:rsidRDefault="00D61EAF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C65A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97</w:t>
            </w:r>
          </w:p>
        </w:tc>
      </w:tr>
    </w:tbl>
    <w:p w14:paraId="29B28A8E" w14:textId="77777777" w:rsidR="00925C4A" w:rsidRPr="00925C4A" w:rsidRDefault="00925C4A" w:rsidP="00925C4A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</w:rPr>
      </w:pPr>
    </w:p>
    <w:p w14:paraId="417A3B55" w14:textId="25F5B314" w:rsidR="00C21F8E" w:rsidRDefault="00925C4A" w:rsidP="00C21F8E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>От таблицата се вижда, че броя на пациентите лекувани в болница „Света Богородиц</w:t>
      </w:r>
      <w:r w:rsidR="00C21F8E">
        <w:rPr>
          <w:rFonts w:ascii="Times New Roman" w:eastAsia="Times New Roman" w:hAnsi="Times New Roman" w:cs="Times New Roman"/>
          <w:sz w:val="28"/>
          <w:szCs w:val="28"/>
        </w:rPr>
        <w:t>а” за първото тримесечие на 20</w:t>
      </w:r>
      <w:r w:rsidR="009D79C3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 xml:space="preserve"> год. е увеличен</w:t>
      </w:r>
      <w:r w:rsidR="00F621A4">
        <w:rPr>
          <w:rFonts w:ascii="Times New Roman" w:eastAsia="Times New Roman" w:hAnsi="Times New Roman" w:cs="Times New Roman"/>
          <w:sz w:val="28"/>
          <w:szCs w:val="28"/>
        </w:rPr>
        <w:t>, макар и малко,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 xml:space="preserve"> в резултат на предприетите и споменати по-горе мерки, спрямо съответния период на предходната година.</w:t>
      </w:r>
    </w:p>
    <w:p w14:paraId="09430C3E" w14:textId="77777777" w:rsidR="00C21F8E" w:rsidRDefault="00925C4A" w:rsidP="00C21F8E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За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отбелязване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е,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че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тази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година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отсъстват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група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пациенти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контингент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лекуван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Програма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НОИ,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поради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обстоятелството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че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отново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r w:rsidRPr="00925C4A">
        <w:rPr>
          <w:rFonts w:ascii="Times New Roman" w:eastAsia="Times New Roman" w:hAnsi="Times New Roman" w:cs="Times New Roman"/>
          <w:sz w:val="28"/>
          <w:szCs w:val="28"/>
        </w:rPr>
        <w:t>кандидатстването и тази година като изпълнители на същата програма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нашите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лечебни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заведения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бяха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допуснати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.</w:t>
      </w:r>
    </w:p>
    <w:p w14:paraId="6C394A43" w14:textId="45788E07" w:rsidR="00925C4A" w:rsidRPr="00925C4A" w:rsidRDefault="00C21F8E" w:rsidP="00C21F8E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GB"/>
        </w:rPr>
        <w:t>Графично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съпоставимостта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пациентопотока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спрямо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първото</w:t>
      </w:r>
      <w:proofErr w:type="spellEnd"/>
      <w:r w:rsidR="009D7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тримесечие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201</w:t>
      </w:r>
      <w:r w:rsidR="009D79C3">
        <w:rPr>
          <w:rFonts w:ascii="Times New Roman" w:eastAsia="Times New Roman" w:hAnsi="Times New Roman" w:cs="Times New Roman"/>
          <w:sz w:val="28"/>
          <w:szCs w:val="28"/>
        </w:rPr>
        <w:t>9</w:t>
      </w:r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год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.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може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да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се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изрази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по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следния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начин</w:t>
      </w:r>
      <w:proofErr w:type="spellEnd"/>
      <w:r w:rsidR="00925C4A"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:</w:t>
      </w:r>
    </w:p>
    <w:p w14:paraId="6CE2DED4" w14:textId="77777777" w:rsidR="00925C4A" w:rsidRPr="00925C4A" w:rsidRDefault="00925C4A" w:rsidP="00925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bg-BG"/>
        </w:rPr>
        <w:lastRenderedPageBreak/>
        <w:drawing>
          <wp:inline distT="0" distB="0" distL="0" distR="0" wp14:anchorId="50C83A18" wp14:editId="2BC71BD7">
            <wp:extent cx="6019800" cy="2009775"/>
            <wp:effectExtent l="0" t="0" r="0" b="0"/>
            <wp:docPr id="2" name="Диагра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68B59D5" w14:textId="77777777" w:rsidR="00F621A4" w:rsidRDefault="00F621A4" w:rsidP="00F621A4">
      <w:pPr>
        <w:keepNext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023318" w14:textId="41A8AD73" w:rsidR="00F621A4" w:rsidRPr="00F621A4" w:rsidRDefault="00F621A4" w:rsidP="00F621A4">
      <w:pPr>
        <w:keepNext/>
        <w:spacing w:after="0" w:line="36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621A4">
        <w:rPr>
          <w:rFonts w:ascii="Times New Roman" w:eastAsia="Times New Roman" w:hAnsi="Times New Roman" w:cs="Times New Roman"/>
          <w:bCs/>
          <w:sz w:val="28"/>
          <w:szCs w:val="28"/>
        </w:rPr>
        <w:t>На преминалите през лечебното заведение пациенти през първото тримесечие на 20</w:t>
      </w:r>
      <w:r w:rsidR="00290123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Pr="00F621A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год. са извършени над </w:t>
      </w:r>
      <w:r w:rsidR="00290123">
        <w:rPr>
          <w:rFonts w:ascii="Times New Roman" w:eastAsia="Times New Roman" w:hAnsi="Times New Roman" w:cs="Times New Roman"/>
          <w:bCs/>
          <w:sz w:val="28"/>
          <w:szCs w:val="28"/>
        </w:rPr>
        <w:t>26</w:t>
      </w:r>
      <w:r w:rsidRPr="00F621A4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290123">
        <w:rPr>
          <w:rFonts w:ascii="Times New Roman" w:eastAsia="Times New Roman" w:hAnsi="Times New Roman" w:cs="Times New Roman"/>
          <w:bCs/>
          <w:sz w:val="28"/>
          <w:szCs w:val="28"/>
        </w:rPr>
        <w:t>834</w:t>
      </w:r>
      <w:r w:rsidRPr="00F621A4">
        <w:rPr>
          <w:rFonts w:ascii="Times New Roman" w:eastAsia="Times New Roman" w:hAnsi="Times New Roman" w:cs="Times New Roman"/>
          <w:bCs/>
          <w:sz w:val="28"/>
          <w:szCs w:val="28"/>
        </w:rPr>
        <w:t xml:space="preserve"> бр. лечебно-профилактични процедури, които могат да се изразят по следния начин.</w:t>
      </w:r>
    </w:p>
    <w:p w14:paraId="5E6EFD14" w14:textId="77777777" w:rsidR="00925C4A" w:rsidRPr="00925C4A" w:rsidRDefault="00925C4A" w:rsidP="00925C4A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С В Е Д Е Н И Е</w:t>
      </w:r>
    </w:p>
    <w:p w14:paraId="62EFCE8A" w14:textId="77844E85" w:rsidR="00925C4A" w:rsidRPr="00925C4A" w:rsidRDefault="00925C4A" w:rsidP="00925C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За извършени процедури за периода от 01.01.20</w:t>
      </w:r>
      <w:r w:rsidR="00211D3B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 – 31.03.20</w:t>
      </w:r>
      <w:r w:rsidR="00211D3B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 </w:t>
      </w:r>
    </w:p>
    <w:tbl>
      <w:tblPr>
        <w:tblW w:w="9707" w:type="dxa"/>
        <w:tblInd w:w="85" w:type="dxa"/>
        <w:tblLook w:val="04A0" w:firstRow="1" w:lastRow="0" w:firstColumn="1" w:lastColumn="0" w:noHBand="0" w:noVBand="1"/>
      </w:tblPr>
      <w:tblGrid>
        <w:gridCol w:w="708"/>
        <w:gridCol w:w="5485"/>
        <w:gridCol w:w="1114"/>
        <w:gridCol w:w="1114"/>
        <w:gridCol w:w="1286"/>
      </w:tblGrid>
      <w:tr w:rsidR="00925C4A" w:rsidRPr="00925C4A" w14:paraId="02564B00" w14:textId="77777777" w:rsidTr="00D73BF3">
        <w:trPr>
          <w:trHeight w:val="300"/>
        </w:trPr>
        <w:tc>
          <w:tcPr>
            <w:tcW w:w="708" w:type="dxa"/>
            <w:vMerge w:val="restart"/>
            <w:tcBorders>
              <w:top w:val="double" w:sz="6" w:space="0" w:color="FF6600"/>
              <w:left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center"/>
            <w:hideMark/>
          </w:tcPr>
          <w:p w14:paraId="24D38204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485" w:type="dxa"/>
            <w:vMerge w:val="restart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noWrap/>
            <w:vAlign w:val="center"/>
            <w:hideMark/>
          </w:tcPr>
          <w:p w14:paraId="612F8CEC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Видове процедури</w:t>
            </w:r>
          </w:p>
        </w:tc>
        <w:tc>
          <w:tcPr>
            <w:tcW w:w="3514" w:type="dxa"/>
            <w:gridSpan w:val="3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  <w:hideMark/>
          </w:tcPr>
          <w:p w14:paraId="783E1FC9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>-во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B3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тримесечие</w:t>
            </w:r>
          </w:p>
        </w:tc>
      </w:tr>
      <w:tr w:rsidR="00925C4A" w:rsidRPr="00925C4A" w14:paraId="6817DD3F" w14:textId="77777777" w:rsidTr="00D73BF3">
        <w:trPr>
          <w:trHeight w:val="689"/>
        </w:trPr>
        <w:tc>
          <w:tcPr>
            <w:tcW w:w="708" w:type="dxa"/>
            <w:vMerge/>
            <w:tcBorders>
              <w:left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</w:tcPr>
          <w:p w14:paraId="4387DE8C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5485" w:type="dxa"/>
            <w:vMerge/>
            <w:tcBorders>
              <w:left w:val="nil"/>
              <w:right w:val="double" w:sz="6" w:space="0" w:color="FF6600"/>
            </w:tcBorders>
            <w:shd w:val="clear" w:color="000000" w:fill="FF6600"/>
            <w:noWrap/>
            <w:vAlign w:val="bottom"/>
          </w:tcPr>
          <w:p w14:paraId="4E716665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noWrap/>
            <w:vAlign w:val="center"/>
          </w:tcPr>
          <w:p w14:paraId="6F7210BF" w14:textId="0F137D61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  <w:t>201</w:t>
            </w:r>
            <w:r w:rsidR="00211D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1114" w:type="dxa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vAlign w:val="center"/>
          </w:tcPr>
          <w:p w14:paraId="05F96A59" w14:textId="041AA3BC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  <w:t>20</w:t>
            </w:r>
            <w:r w:rsidR="00211D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1286" w:type="dxa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</w:tcPr>
          <w:p w14:paraId="4C718EA8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 ъ с т</w:t>
            </w:r>
          </w:p>
          <w:p w14:paraId="3B7A90F5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</w:t>
            </w: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ab/>
              <w:t>–</w:t>
            </w:r>
          </w:p>
        </w:tc>
      </w:tr>
      <w:tr w:rsidR="00925C4A" w:rsidRPr="00925C4A" w14:paraId="0ABE3006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768F9658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8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7D87B3B6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Физиотерапевтични процедури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5A065629" w14:textId="61746B7B" w:rsidR="00925C4A" w:rsidRPr="009B36DC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11D3B">
              <w:rPr>
                <w:rFonts w:ascii="Times New Roman" w:eastAsia="Times New Roman" w:hAnsi="Times New Roman" w:cs="Times New Roman"/>
                <w:sz w:val="28"/>
                <w:szCs w:val="28"/>
              </w:rPr>
              <w:t>6 815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40244547" w14:textId="6F805EA4" w:rsidR="00925C4A" w:rsidRPr="009B36DC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65A3E">
              <w:rPr>
                <w:rFonts w:ascii="Times New Roman" w:eastAsia="Times New Roman" w:hAnsi="Times New Roman" w:cs="Times New Roman"/>
                <w:sz w:val="28"/>
                <w:szCs w:val="28"/>
              </w:rPr>
              <w:t>3 014</w:t>
            </w:r>
          </w:p>
        </w:tc>
        <w:tc>
          <w:tcPr>
            <w:tcW w:w="128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4A827B3A" w14:textId="7A4F5364" w:rsidR="00925C4A" w:rsidRPr="00925C4A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65A3E">
              <w:rPr>
                <w:rFonts w:ascii="Times New Roman" w:eastAsia="Times New Roman" w:hAnsi="Times New Roman" w:cs="Times New Roman"/>
                <w:sz w:val="28"/>
                <w:szCs w:val="28"/>
              </w:rPr>
              <w:t>3 801</w:t>
            </w:r>
          </w:p>
        </w:tc>
      </w:tr>
      <w:tr w:rsidR="00925C4A" w:rsidRPr="00925C4A" w14:paraId="12CDEB9D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3D450263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8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1B797040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Балнеолечение и подводно-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струеви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масаж.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1CD40A63" w14:textId="387E3C0F" w:rsidR="00925C4A" w:rsidRPr="00211D3B" w:rsidRDefault="00211D3B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10 239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0D9F4837" w14:textId="65189B16" w:rsidR="00925C4A" w:rsidRPr="00C65A3E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6 141</w:t>
            </w:r>
          </w:p>
        </w:tc>
        <w:tc>
          <w:tcPr>
            <w:tcW w:w="128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32A22E10" w14:textId="2588CB7B" w:rsidR="00925C4A" w:rsidRPr="00925C4A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4 098</w:t>
            </w:r>
            <w:r w:rsidR="00925C4A"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5C4A" w:rsidRPr="00925C4A" w14:paraId="76C9D404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00D4AAAC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8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79A44AA5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Кинезитерапия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ЛФК, масаж – сух.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2ED084B2" w14:textId="3D075980" w:rsidR="00925C4A" w:rsidRPr="00211D3B" w:rsidRDefault="00211D3B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5 865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107F5D22" w14:textId="1EDFB6F8" w:rsidR="00925C4A" w:rsidRPr="00C65A3E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2 726</w:t>
            </w:r>
          </w:p>
        </w:tc>
        <w:tc>
          <w:tcPr>
            <w:tcW w:w="128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0124AB3C" w14:textId="51806511" w:rsidR="00925C4A" w:rsidRPr="00925C4A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3 139</w:t>
            </w:r>
          </w:p>
        </w:tc>
      </w:tr>
      <w:tr w:rsidR="00925C4A" w:rsidRPr="00925C4A" w14:paraId="41F13580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37D798A3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8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65077BE8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Механотерапия /иглотерапия/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6B295330" w14:textId="16B23D4C" w:rsidR="00925C4A" w:rsidRPr="00211D3B" w:rsidRDefault="00211D3B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1 148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2B694576" w14:textId="57849941" w:rsidR="00925C4A" w:rsidRPr="00C65A3E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1 701</w:t>
            </w:r>
          </w:p>
        </w:tc>
        <w:tc>
          <w:tcPr>
            <w:tcW w:w="128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009A7E70" w14:textId="7CD76DD5" w:rsidR="00925C4A" w:rsidRPr="00925C4A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+ </w:t>
            </w:r>
            <w:r w:rsidR="00C65A3E">
              <w:rPr>
                <w:rFonts w:ascii="Times New Roman" w:eastAsia="Times New Roman" w:hAnsi="Times New Roman" w:cs="Times New Roman"/>
                <w:sz w:val="28"/>
                <w:szCs w:val="28"/>
              </w:rPr>
              <w:t>553</w:t>
            </w:r>
          </w:p>
        </w:tc>
      </w:tr>
      <w:tr w:rsidR="00925C4A" w:rsidRPr="00925C4A" w14:paraId="2F675B92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5D9E4CC9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8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1CF4A5CB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Лаборатория.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7089305D" w14:textId="6AFE856C" w:rsidR="00925C4A" w:rsidRPr="00211D3B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211D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726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5A1154E6" w14:textId="799FD72D" w:rsidR="00925C4A" w:rsidRPr="00C65A3E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65A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339</w:t>
            </w:r>
          </w:p>
        </w:tc>
        <w:tc>
          <w:tcPr>
            <w:tcW w:w="128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65F2D1CC" w14:textId="1D4E3AA9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65A3E">
              <w:rPr>
                <w:rFonts w:ascii="Times New Roman" w:eastAsia="Times New Roman" w:hAnsi="Times New Roman" w:cs="Times New Roman"/>
                <w:sz w:val="28"/>
                <w:szCs w:val="28"/>
              </w:rPr>
              <w:t>387</w:t>
            </w:r>
          </w:p>
        </w:tc>
      </w:tr>
      <w:tr w:rsidR="00925C4A" w:rsidRPr="00925C4A" w14:paraId="73456D61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2B30CF6D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48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0A9244D8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Психотерапия.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2867C772" w14:textId="4958B7FA" w:rsidR="00925C4A" w:rsidRPr="00211D3B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  <w:r w:rsidR="00211D3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305B2400" w14:textId="26EC1B10" w:rsidR="00925C4A" w:rsidRPr="00C65A3E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28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3380E7B2" w14:textId="7DA201BC" w:rsidR="00925C4A" w:rsidRPr="00925C4A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65A3E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925C4A" w:rsidRPr="00925C4A" w14:paraId="33047CB8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49821AA6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48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1F452840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Функционален кабинет.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3B25DFD7" w14:textId="5A282B81" w:rsidR="00925C4A" w:rsidRPr="00211D3B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211D3B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3709049C" w14:textId="7B15F6EB" w:rsidR="00925C4A" w:rsidRPr="00C65A3E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8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7002B5C7" w14:textId="11650086" w:rsidR="00925C4A" w:rsidRPr="00925C4A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65A3E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925C4A" w:rsidRPr="00925C4A" w14:paraId="53D9B399" w14:textId="77777777" w:rsidTr="00D73BF3">
        <w:trPr>
          <w:trHeight w:val="300"/>
        </w:trPr>
        <w:tc>
          <w:tcPr>
            <w:tcW w:w="708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4E316833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48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58773FB2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Парафин.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center"/>
            <w:hideMark/>
          </w:tcPr>
          <w:p w14:paraId="71D38154" w14:textId="693AAA3C" w:rsidR="00925C4A" w:rsidRPr="00211D3B" w:rsidRDefault="00211D3B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1 778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5A156269" w14:textId="04D257BF" w:rsidR="00925C4A" w:rsidRPr="00C65A3E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65A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490</w:t>
            </w:r>
          </w:p>
        </w:tc>
        <w:tc>
          <w:tcPr>
            <w:tcW w:w="128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center"/>
          </w:tcPr>
          <w:p w14:paraId="016D2965" w14:textId="77431155" w:rsidR="00925C4A" w:rsidRPr="00925C4A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65A3E">
              <w:rPr>
                <w:rFonts w:ascii="Times New Roman" w:eastAsia="Times New Roman" w:hAnsi="Times New Roman" w:cs="Times New Roman"/>
                <w:sz w:val="28"/>
                <w:szCs w:val="28"/>
              </w:rPr>
              <w:t>288</w:t>
            </w:r>
          </w:p>
        </w:tc>
      </w:tr>
      <w:tr w:rsidR="00925C4A" w:rsidRPr="00925C4A" w14:paraId="6DDF5949" w14:textId="77777777" w:rsidTr="00D73BF3">
        <w:trPr>
          <w:trHeight w:val="300"/>
        </w:trPr>
        <w:tc>
          <w:tcPr>
            <w:tcW w:w="6193" w:type="dxa"/>
            <w:gridSpan w:val="2"/>
            <w:tcBorders>
              <w:top w:val="double" w:sz="6" w:space="0" w:color="FF6600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center"/>
          </w:tcPr>
          <w:p w14:paraId="61CBDF5B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В С И Ч К О:</w:t>
            </w:r>
          </w:p>
        </w:tc>
        <w:tc>
          <w:tcPr>
            <w:tcW w:w="1114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center"/>
          </w:tcPr>
          <w:p w14:paraId="65448524" w14:textId="6293B062" w:rsidR="00925C4A" w:rsidRPr="00211D3B" w:rsidRDefault="009B36D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="00211D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8 221</w:t>
            </w:r>
          </w:p>
        </w:tc>
        <w:tc>
          <w:tcPr>
            <w:tcW w:w="1114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center"/>
          </w:tcPr>
          <w:p w14:paraId="10B4A32D" w14:textId="7E537855" w:rsidR="00925C4A" w:rsidRPr="00925C4A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C65A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26 834</w:t>
            </w:r>
          </w:p>
        </w:tc>
        <w:tc>
          <w:tcPr>
            <w:tcW w:w="1286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center"/>
          </w:tcPr>
          <w:p w14:paraId="7CE4BACE" w14:textId="0A106896" w:rsidR="00925C4A" w:rsidRPr="00290123" w:rsidRDefault="00C65A3E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2901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Pr="002901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290123" w:rsidRPr="002901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1 387</w:t>
            </w:r>
          </w:p>
        </w:tc>
      </w:tr>
    </w:tbl>
    <w:p w14:paraId="2C712774" w14:textId="77777777" w:rsidR="00F621A4" w:rsidRDefault="00F621A4" w:rsidP="00F621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474F8D3" w14:textId="77777777" w:rsidR="00E44CC4" w:rsidRDefault="00E44CC4" w:rsidP="00E44C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Графично това се отразява по следният начин:</w:t>
      </w:r>
    </w:p>
    <w:p w14:paraId="567A8840" w14:textId="77777777" w:rsidR="00E44CC4" w:rsidRPr="00AA60B8" w:rsidRDefault="00E44CC4" w:rsidP="00E44C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18"/>
          <w:szCs w:val="28"/>
        </w:rPr>
      </w:pPr>
    </w:p>
    <w:p w14:paraId="4FB7423D" w14:textId="219C6354" w:rsidR="00E44CC4" w:rsidRPr="00E44CC4" w:rsidRDefault="00E44CC4" w:rsidP="00E44CC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bg-BG"/>
        </w:rPr>
        <w:drawing>
          <wp:inline distT="0" distB="0" distL="0" distR="0" wp14:anchorId="1A7D85D5" wp14:editId="25524055">
            <wp:extent cx="6353175" cy="2181225"/>
            <wp:effectExtent l="0" t="0" r="0" b="0"/>
            <wp:docPr id="7" name="Диагра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06FADA6" w14:textId="09D448C8" w:rsidR="00605C05" w:rsidRDefault="009D79C3" w:rsidP="00605C05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По-малкия брой извършени процедури за тримесечието се дължи най вече на въведеното извънредно положение и спрения планов прием на пациенти по клинични пътеки на основание Заповед на № РД-09-913 / 16.03.2020 г. на управителя на НЗОК</w:t>
      </w:r>
      <w:r w:rsidR="00605C05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писмо № 29-05-00-10 / 16.03.2020 г. на директора на РЗОК-Пловдив, което доведе съответно и до спиране дейността на болницата.</w:t>
      </w:r>
    </w:p>
    <w:p w14:paraId="2FF8CE70" w14:textId="77777777" w:rsidR="00605C05" w:rsidRPr="009D79C3" w:rsidRDefault="00605C05" w:rsidP="00605C05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4F418EF" w14:textId="3CED6E85" w:rsidR="00D73BF3" w:rsidRPr="00D73BF3" w:rsidRDefault="00925C4A" w:rsidP="00D73BF3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>ИЗПЪЛНЕНИЕ</w:t>
      </w:r>
      <w:r w:rsidR="002706B5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 xml:space="preserve"> НА ИКОНОМИЧЕСКИТЕ ПОКАЗАТЕЛИ В </w:t>
      </w:r>
      <w:r w:rsidRPr="00925C4A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>ПРОГРАМАТА ЗА РАЗВИТИЕ НА БОЛНИЦАТА ПРЕЗ ПЪРВО</w:t>
      </w:r>
      <w:r w:rsidR="002706B5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en-GB"/>
        </w:rPr>
        <w:t xml:space="preserve"> </w:t>
      </w:r>
      <w:r w:rsidRPr="00925C4A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>ТРИМЕСЕЧИЕ НА 20</w:t>
      </w:r>
      <w:r w:rsidR="00E44CC4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>20</w:t>
      </w:r>
      <w:r w:rsidRPr="00925C4A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>год</w:t>
      </w:r>
      <w:proofErr w:type="spellEnd"/>
      <w:r w:rsidRPr="00925C4A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>.</w:t>
      </w:r>
    </w:p>
    <w:p w14:paraId="536D7E50" w14:textId="14CE55CE" w:rsidR="00925C4A" w:rsidRDefault="00925C4A" w:rsidP="00C21F8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Съгласно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отчета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за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приходите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и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разходите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изготвен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за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първото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тримесечие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20</w:t>
      </w:r>
      <w:r w:rsidR="00EE44A3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год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.,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приходите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болницата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възлизат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r w:rsidR="00D73BF3">
        <w:rPr>
          <w:rFonts w:ascii="Times New Roman" w:eastAsia="Times New Roman" w:hAnsi="Times New Roman" w:cs="Times New Roman"/>
          <w:sz w:val="28"/>
          <w:szCs w:val="28"/>
          <w:lang w:val="en-US"/>
        </w:rPr>
        <w:t>6</w:t>
      </w:r>
      <w:r w:rsidR="00605C05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хил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.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лв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което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е с </w:t>
      </w:r>
      <w:r w:rsidR="00605C0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хил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.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лв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. </w:t>
      </w:r>
      <w:r w:rsidR="00605C05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о</w:t>
      </w:r>
      <w:r w:rsidR="00605C05">
        <w:rPr>
          <w:rFonts w:ascii="Times New Roman" w:eastAsia="Times New Roman" w:hAnsi="Times New Roman" w:cs="Times New Roman"/>
          <w:sz w:val="28"/>
          <w:szCs w:val="28"/>
        </w:rPr>
        <w:t xml:space="preserve"> малко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спрямо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същия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период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на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201</w:t>
      </w:r>
      <w:r w:rsidR="00605C0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год</w:t>
      </w:r>
      <w:proofErr w:type="spellEnd"/>
      <w:r w:rsidRPr="00925C4A">
        <w:rPr>
          <w:rFonts w:ascii="Times New Roman" w:eastAsia="Times New Roman" w:hAnsi="Times New Roman" w:cs="Times New Roman"/>
          <w:sz w:val="28"/>
          <w:szCs w:val="28"/>
          <w:lang w:val="en-GB"/>
        </w:rPr>
        <w:t>.</w:t>
      </w:r>
      <w:r w:rsidR="00D73BF3">
        <w:rPr>
          <w:rFonts w:ascii="Times New Roman" w:eastAsia="Times New Roman" w:hAnsi="Times New Roman" w:cs="Times New Roman"/>
          <w:sz w:val="28"/>
          <w:szCs w:val="28"/>
        </w:rPr>
        <w:t xml:space="preserve">, което се дължи на </w:t>
      </w:r>
      <w:r w:rsidR="00605C05">
        <w:rPr>
          <w:rFonts w:ascii="Times New Roman" w:eastAsia="Times New Roman" w:hAnsi="Times New Roman" w:cs="Times New Roman"/>
          <w:sz w:val="28"/>
          <w:szCs w:val="28"/>
        </w:rPr>
        <w:t>предприетите извънредни мерки</w:t>
      </w:r>
      <w:r w:rsidR="00EE44A3">
        <w:rPr>
          <w:rFonts w:ascii="Times New Roman" w:eastAsia="Times New Roman" w:hAnsi="Times New Roman" w:cs="Times New Roman"/>
          <w:sz w:val="28"/>
          <w:szCs w:val="28"/>
        </w:rPr>
        <w:t xml:space="preserve"> и спиране дейността на лечебното заведение.</w:t>
      </w:r>
    </w:p>
    <w:p w14:paraId="2A9395B6" w14:textId="77777777" w:rsidR="00D73BF3" w:rsidRPr="00D73BF3" w:rsidRDefault="00D73BF3" w:rsidP="00D73B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E32800" w14:textId="77777777" w:rsidR="00925C4A" w:rsidRPr="00925C4A" w:rsidRDefault="00925C4A" w:rsidP="00925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 НА ПРИХОДИТЕ</w:t>
      </w:r>
    </w:p>
    <w:p w14:paraId="778293BD" w14:textId="5D5B8453" w:rsidR="00925C4A" w:rsidRPr="00925C4A" w:rsidRDefault="00925C4A" w:rsidP="00925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 </w:t>
      </w:r>
      <w:r w:rsidR="00211D3B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БР „Света Богородица“ ЕООД</w:t>
      </w:r>
    </w:p>
    <w:p w14:paraId="676AB0B8" w14:textId="77777777" w:rsidR="00925C4A" w:rsidRPr="00925C4A" w:rsidRDefault="00925C4A" w:rsidP="00925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 </w:t>
      </w: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en-US"/>
        </w:rPr>
        <w:t>-</w:t>
      </w: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  <w:t>во</w:t>
      </w: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тримесечие</w:t>
      </w:r>
    </w:p>
    <w:p w14:paraId="030A74D0" w14:textId="77777777" w:rsidR="00925C4A" w:rsidRPr="00925C4A" w:rsidRDefault="00925C4A" w:rsidP="00925C4A">
      <w:pPr>
        <w:spacing w:after="0" w:line="240" w:lineRule="auto"/>
        <w:ind w:left="7080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в хил. лв.</w:t>
      </w:r>
    </w:p>
    <w:tbl>
      <w:tblPr>
        <w:tblW w:w="9552" w:type="dxa"/>
        <w:tblInd w:w="85" w:type="dxa"/>
        <w:tblLook w:val="04A0" w:firstRow="1" w:lastRow="0" w:firstColumn="1" w:lastColumn="0" w:noHBand="0" w:noVBand="1"/>
      </w:tblPr>
      <w:tblGrid>
        <w:gridCol w:w="624"/>
        <w:gridCol w:w="4361"/>
        <w:gridCol w:w="1375"/>
        <w:gridCol w:w="916"/>
        <w:gridCol w:w="916"/>
        <w:gridCol w:w="1360"/>
      </w:tblGrid>
      <w:tr w:rsidR="00925C4A" w:rsidRPr="00925C4A" w14:paraId="001F4196" w14:textId="77777777" w:rsidTr="00D73BF3">
        <w:trPr>
          <w:trHeight w:val="300"/>
        </w:trPr>
        <w:tc>
          <w:tcPr>
            <w:tcW w:w="624" w:type="dxa"/>
            <w:vMerge w:val="restart"/>
            <w:tcBorders>
              <w:top w:val="double" w:sz="6" w:space="0" w:color="FF6600"/>
              <w:left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center"/>
            <w:hideMark/>
          </w:tcPr>
          <w:p w14:paraId="43300D9A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61" w:type="dxa"/>
            <w:vMerge w:val="restart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noWrap/>
            <w:vAlign w:val="center"/>
            <w:hideMark/>
          </w:tcPr>
          <w:p w14:paraId="2586B613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Източници на приходи по</w:t>
            </w:r>
          </w:p>
          <w:p w14:paraId="3C03BB50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Бизнес-задача</w:t>
            </w:r>
          </w:p>
        </w:tc>
        <w:tc>
          <w:tcPr>
            <w:tcW w:w="1375" w:type="dxa"/>
            <w:vMerge w:val="restart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noWrap/>
            <w:vAlign w:val="center"/>
            <w:hideMark/>
          </w:tcPr>
          <w:p w14:paraId="7635BFAE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Годишна</w:t>
            </w:r>
          </w:p>
          <w:p w14:paraId="07076B54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</w:t>
            </w:r>
          </w:p>
          <w:p w14:paraId="42AD2565" w14:textId="2809632F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 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/>
              </w:rPr>
              <w:t>20</w:t>
            </w:r>
            <w:r w:rsidR="00211D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/>
              </w:rPr>
              <w:t xml:space="preserve"> г.</w:t>
            </w:r>
          </w:p>
        </w:tc>
        <w:tc>
          <w:tcPr>
            <w:tcW w:w="1832" w:type="dxa"/>
            <w:gridSpan w:val="2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bottom"/>
          </w:tcPr>
          <w:p w14:paraId="07807028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Приходи І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 xml:space="preserve">-во 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тримесечие </w:t>
            </w:r>
          </w:p>
          <w:p w14:paraId="655B678D" w14:textId="4E48A408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20</w:t>
            </w:r>
            <w:r w:rsidR="00605C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г.</w:t>
            </w:r>
          </w:p>
        </w:tc>
        <w:tc>
          <w:tcPr>
            <w:tcW w:w="1360" w:type="dxa"/>
            <w:vMerge w:val="restart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vAlign w:val="center"/>
          </w:tcPr>
          <w:p w14:paraId="7EA06ED3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/>
              </w:rPr>
              <w:t>%</w:t>
            </w:r>
          </w:p>
          <w:p w14:paraId="6BC8965A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</w:t>
            </w:r>
          </w:p>
          <w:p w14:paraId="093CE4B9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трим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25C4A" w:rsidRPr="00925C4A" w14:paraId="70BFA80E" w14:textId="77777777" w:rsidTr="00D73BF3">
        <w:trPr>
          <w:trHeight w:val="300"/>
        </w:trPr>
        <w:tc>
          <w:tcPr>
            <w:tcW w:w="624" w:type="dxa"/>
            <w:vMerge/>
            <w:tcBorders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</w:tcPr>
          <w:p w14:paraId="4A23C9B2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1" w:type="dxa"/>
            <w:vMerge/>
            <w:tcBorders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</w:tcPr>
          <w:p w14:paraId="59FD7FF7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</w:p>
        </w:tc>
        <w:tc>
          <w:tcPr>
            <w:tcW w:w="1375" w:type="dxa"/>
            <w:vMerge/>
            <w:tcBorders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</w:tcPr>
          <w:p w14:paraId="6D2307D6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</w:p>
        </w:tc>
        <w:tc>
          <w:tcPr>
            <w:tcW w:w="916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bottom"/>
          </w:tcPr>
          <w:p w14:paraId="73F0862A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 </w:t>
            </w:r>
          </w:p>
          <w:p w14:paraId="6D57E8F9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БЗ</w:t>
            </w:r>
          </w:p>
        </w:tc>
        <w:tc>
          <w:tcPr>
            <w:tcW w:w="916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bottom"/>
          </w:tcPr>
          <w:p w14:paraId="60919210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отчет</w:t>
            </w:r>
          </w:p>
        </w:tc>
        <w:tc>
          <w:tcPr>
            <w:tcW w:w="1360" w:type="dxa"/>
            <w:vMerge/>
            <w:tcBorders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bottom"/>
          </w:tcPr>
          <w:p w14:paraId="4B9D6886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</w:p>
        </w:tc>
      </w:tr>
      <w:tr w:rsidR="00925C4A" w:rsidRPr="00925C4A" w14:paraId="72587FF4" w14:textId="77777777" w:rsidTr="00D73BF3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039F16F4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6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0940377B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Приходи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от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Договори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с МО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7F9D1CEE" w14:textId="77777777" w:rsidR="00925C4A" w:rsidRPr="00D73BF3" w:rsidRDefault="00D73BF3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645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bottom"/>
          </w:tcPr>
          <w:p w14:paraId="496BDFF4" w14:textId="13B0688D" w:rsidR="00925C4A" w:rsidRPr="00E44CC4" w:rsidRDefault="00D73BF3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bottom"/>
          </w:tcPr>
          <w:p w14:paraId="4A7B7978" w14:textId="24966B8A" w:rsidR="00925C4A" w:rsidRPr="00E44CC4" w:rsidRDefault="00D73BF3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bottom"/>
          </w:tcPr>
          <w:p w14:paraId="7DEFC4A9" w14:textId="050ECC5D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95.36</w:t>
            </w:r>
            <w:r w:rsidR="00D73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5C4A"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925C4A" w:rsidRPr="00925C4A" w14:paraId="35CD60AE" w14:textId="77777777" w:rsidTr="00D73BF3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  <w:hideMark/>
          </w:tcPr>
          <w:p w14:paraId="48319785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6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  <w:hideMark/>
          </w:tcPr>
          <w:p w14:paraId="318EA81A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Приходи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от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Договори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и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други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юридически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лица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НОИ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  <w:hideMark/>
          </w:tcPr>
          <w:p w14:paraId="48D3BEAB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7E467C0F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711258C3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67E420DB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</w:p>
        </w:tc>
      </w:tr>
      <w:tr w:rsidR="00925C4A" w:rsidRPr="00925C4A" w14:paraId="6C6FACEF" w14:textId="77777777" w:rsidTr="00D73BF3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2302B500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6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39E686E9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Приходи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от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извършени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медицин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ски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услуги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на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пациенти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по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жела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ние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и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предлагане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на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пакетни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цени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5BD25E2D" w14:textId="78FA4934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670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3073D3C4" w14:textId="0D4EEFDD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49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668FE3DD" w14:textId="2529C1C1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79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39257113" w14:textId="3D019F60" w:rsidR="00925C4A" w:rsidRPr="00925C4A" w:rsidRDefault="00D73BF3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61.22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5C4A"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925C4A" w:rsidRPr="00925C4A" w14:paraId="2694AB18" w14:textId="77777777" w:rsidTr="00D73BF3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134A2E29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6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1FD98C93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Приходи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от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Договори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с 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ЗОК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77F2A749" w14:textId="074AABD8" w:rsidR="00925C4A" w:rsidRPr="00D73BF3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33088B17" w14:textId="7CD6A1CF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296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69CCB6A9" w14:textId="2C251B2C" w:rsidR="00925C4A" w:rsidRPr="00E44CC4" w:rsidRDefault="00D73BF3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6D887245" w14:textId="7F2BD9AD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3.24</w:t>
            </w:r>
            <w:r w:rsidR="00D73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925C4A" w:rsidRPr="00925C4A" w14:paraId="3DCFDC13" w14:textId="77777777" w:rsidTr="00D73BF3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30746C18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6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7D63AD48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Други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приходи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от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стопанска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дейност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73FB97D1" w14:textId="32AF6715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74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15FC2616" w14:textId="527DA95A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18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054DE8E5" w14:textId="7E4CC3C8" w:rsidR="00925C4A" w:rsidRPr="00D73BF3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D73BF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18EC56EF" w14:textId="7B6FA0F3" w:rsidR="00925C4A" w:rsidRPr="00E44CC4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66.67 %</w:t>
            </w:r>
          </w:p>
        </w:tc>
      </w:tr>
      <w:tr w:rsidR="00925C4A" w:rsidRPr="00925C4A" w14:paraId="61813E45" w14:textId="77777777" w:rsidTr="00D73BF3">
        <w:trPr>
          <w:trHeight w:val="432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6A3AA927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67783EB8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/>
              </w:rPr>
              <w:t>Всичко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375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0B0AF4DC" w14:textId="52E35415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E44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571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bottom"/>
          </w:tcPr>
          <w:p w14:paraId="3E60517F" w14:textId="15A9E9B8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643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bottom"/>
          </w:tcPr>
          <w:p w14:paraId="10234A1C" w14:textId="00E0967E" w:rsidR="00925C4A" w:rsidRPr="00E44CC4" w:rsidRDefault="00D73BF3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="00E44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bottom"/>
          </w:tcPr>
          <w:p w14:paraId="34DEC6E6" w14:textId="2AC0AD74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98.60</w:t>
            </w:r>
            <w:r w:rsidR="00D73BF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25C4A"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%</w:t>
            </w:r>
          </w:p>
        </w:tc>
      </w:tr>
    </w:tbl>
    <w:p w14:paraId="363EB94E" w14:textId="77777777" w:rsidR="00925C4A" w:rsidRPr="00925C4A" w:rsidRDefault="00925C4A" w:rsidP="00925C4A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F57AFD1" w14:textId="5031B5FE" w:rsidR="00C100CE" w:rsidRDefault="00925C4A" w:rsidP="00AA60B8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</w:t>
      </w: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Разходите</w:t>
      </w:r>
      <w:r w:rsidR="00D73BF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тримесечието възлизат на </w:t>
      </w:r>
      <w:r w:rsidR="00605C05">
        <w:rPr>
          <w:rFonts w:ascii="Times New Roman" w:eastAsia="Times New Roman" w:hAnsi="Times New Roman" w:cs="Times New Roman"/>
          <w:bCs/>
          <w:sz w:val="28"/>
          <w:szCs w:val="28"/>
        </w:rPr>
        <w:t>799</w:t>
      </w:r>
      <w:r w:rsidR="00D73BF3">
        <w:rPr>
          <w:rFonts w:ascii="Times New Roman" w:eastAsia="Times New Roman" w:hAnsi="Times New Roman" w:cs="Times New Roman"/>
          <w:bCs/>
          <w:sz w:val="28"/>
          <w:szCs w:val="28"/>
        </w:rPr>
        <w:t xml:space="preserve"> хил. лв., което е с 1</w:t>
      </w:r>
      <w:r w:rsidR="00605C05">
        <w:rPr>
          <w:rFonts w:ascii="Times New Roman" w:eastAsia="Times New Roman" w:hAnsi="Times New Roman" w:cs="Times New Roman"/>
          <w:bCs/>
          <w:sz w:val="28"/>
          <w:szCs w:val="28"/>
        </w:rPr>
        <w:t>04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хил. лв. повече спрямо първото </w:t>
      </w:r>
      <w:r w:rsidR="00D73BF3">
        <w:rPr>
          <w:rFonts w:ascii="Times New Roman" w:eastAsia="Times New Roman" w:hAnsi="Times New Roman" w:cs="Times New Roman"/>
          <w:bCs/>
          <w:sz w:val="28"/>
          <w:szCs w:val="28"/>
        </w:rPr>
        <w:t>тримесечие на 201</w:t>
      </w:r>
      <w:r w:rsidR="00605C05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год.</w:t>
      </w:r>
      <w:r w:rsidR="00F621A4">
        <w:rPr>
          <w:rFonts w:ascii="Times New Roman" w:eastAsia="Times New Roman" w:hAnsi="Times New Roman" w:cs="Times New Roman"/>
          <w:bCs/>
          <w:sz w:val="28"/>
          <w:szCs w:val="28"/>
        </w:rPr>
        <w:t>, като една от най важните причини е инфлацията и нарастването цените на горивата, които при нас са съществен разход в структурата на същите</w:t>
      </w:r>
      <w:r w:rsidR="00D73BF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Най-голям дял се пада на разходите за персонал /разходи за възнагражден</w:t>
      </w:r>
      <w:r w:rsidR="00D73BF3">
        <w:rPr>
          <w:rFonts w:ascii="Times New Roman" w:eastAsia="Times New Roman" w:hAnsi="Times New Roman" w:cs="Times New Roman"/>
          <w:bCs/>
          <w:sz w:val="28"/>
          <w:szCs w:val="28"/>
        </w:rPr>
        <w:t xml:space="preserve">ие и разходи за осигуровки/ - </w:t>
      </w:r>
      <w:r w:rsidR="00605C05">
        <w:rPr>
          <w:rFonts w:ascii="Times New Roman" w:eastAsia="Times New Roman" w:hAnsi="Times New Roman" w:cs="Times New Roman"/>
          <w:bCs/>
          <w:sz w:val="28"/>
          <w:szCs w:val="28"/>
        </w:rPr>
        <w:t>438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хил. лв. и на разходите за издръжка на материалната база и текущи ремонти – видно от таблицата</w:t>
      </w:r>
      <w:r w:rsidR="00D73BF3">
        <w:rPr>
          <w:rFonts w:ascii="Times New Roman" w:eastAsia="Times New Roman" w:hAnsi="Times New Roman" w:cs="Times New Roman"/>
          <w:bCs/>
          <w:sz w:val="28"/>
          <w:szCs w:val="28"/>
        </w:rPr>
        <w:t xml:space="preserve">. През периода сме работили с </w:t>
      </w:r>
      <w:r w:rsidR="00605C05">
        <w:rPr>
          <w:rFonts w:ascii="Times New Roman" w:eastAsia="Times New Roman" w:hAnsi="Times New Roman" w:cs="Times New Roman"/>
          <w:bCs/>
          <w:sz w:val="28"/>
          <w:szCs w:val="28"/>
        </w:rPr>
        <w:t>89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73BF3">
        <w:rPr>
          <w:rFonts w:ascii="Times New Roman" w:eastAsia="Times New Roman" w:hAnsi="Times New Roman" w:cs="Times New Roman"/>
          <w:bCs/>
          <w:sz w:val="28"/>
          <w:szCs w:val="28"/>
        </w:rPr>
        <w:t>човека, или с 1</w:t>
      </w:r>
      <w:r w:rsidR="00605C05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човека по малко отколкото определените ни в Бизнес-програмата бройки.</w:t>
      </w:r>
    </w:p>
    <w:p w14:paraId="0200AD89" w14:textId="77777777" w:rsidR="00AA60B8" w:rsidRDefault="00AA60B8" w:rsidP="00AA60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0E149E" w14:textId="77777777" w:rsidR="00925C4A" w:rsidRPr="00925C4A" w:rsidRDefault="00925C4A" w:rsidP="00C100CE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 НА РАЗХОДИТЕ</w:t>
      </w:r>
    </w:p>
    <w:p w14:paraId="0A39E5EB" w14:textId="77777777" w:rsidR="00925C4A" w:rsidRPr="00925C4A" w:rsidRDefault="00925C4A" w:rsidP="00925C4A">
      <w:pPr>
        <w:spacing w:after="0" w:line="240" w:lineRule="auto"/>
        <w:ind w:left="7787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в хил. лв.</w:t>
      </w:r>
    </w:p>
    <w:tbl>
      <w:tblPr>
        <w:tblW w:w="9804" w:type="dxa"/>
        <w:tblInd w:w="85" w:type="dxa"/>
        <w:tblLook w:val="04A0" w:firstRow="1" w:lastRow="0" w:firstColumn="1" w:lastColumn="0" w:noHBand="0" w:noVBand="1"/>
      </w:tblPr>
      <w:tblGrid>
        <w:gridCol w:w="624"/>
        <w:gridCol w:w="4219"/>
        <w:gridCol w:w="1701"/>
        <w:gridCol w:w="850"/>
        <w:gridCol w:w="1038"/>
        <w:gridCol w:w="1372"/>
      </w:tblGrid>
      <w:tr w:rsidR="00925C4A" w:rsidRPr="00925C4A" w14:paraId="3D0326F7" w14:textId="77777777" w:rsidTr="00E44CC4">
        <w:trPr>
          <w:trHeight w:val="300"/>
        </w:trPr>
        <w:tc>
          <w:tcPr>
            <w:tcW w:w="624" w:type="dxa"/>
            <w:vMerge w:val="restart"/>
            <w:tcBorders>
              <w:top w:val="double" w:sz="6" w:space="0" w:color="FF6600"/>
              <w:left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center"/>
            <w:hideMark/>
          </w:tcPr>
          <w:p w14:paraId="6A361DCB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19" w:type="dxa"/>
            <w:vMerge w:val="restart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noWrap/>
            <w:vAlign w:val="center"/>
            <w:hideMark/>
          </w:tcPr>
          <w:p w14:paraId="3921E224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 а з х о д и</w:t>
            </w:r>
          </w:p>
        </w:tc>
        <w:tc>
          <w:tcPr>
            <w:tcW w:w="1701" w:type="dxa"/>
            <w:vMerge w:val="restart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noWrap/>
            <w:vAlign w:val="center"/>
            <w:hideMark/>
          </w:tcPr>
          <w:p w14:paraId="63ED6068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Разходи за</w:t>
            </w:r>
          </w:p>
          <w:p w14:paraId="2498741D" w14:textId="76B5090F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/>
              </w:rPr>
              <w:t>20</w:t>
            </w:r>
            <w:r w:rsidR="00211D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/>
              </w:rPr>
              <w:t xml:space="preserve"> г.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</w:t>
            </w:r>
          </w:p>
          <w:p w14:paraId="07AB3975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утвърдена</w:t>
            </w:r>
          </w:p>
          <w:p w14:paraId="4EC7E477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Бизнес</w:t>
            </w:r>
          </w:p>
          <w:p w14:paraId="65949473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програма</w:t>
            </w:r>
          </w:p>
        </w:tc>
        <w:tc>
          <w:tcPr>
            <w:tcW w:w="1888" w:type="dxa"/>
            <w:gridSpan w:val="2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bottom"/>
          </w:tcPr>
          <w:p w14:paraId="100FFD36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Разходи І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 xml:space="preserve">-во 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тримесечие</w:t>
            </w:r>
          </w:p>
          <w:p w14:paraId="5071B6A4" w14:textId="65455C10" w:rsidR="00925C4A" w:rsidRPr="00925C4A" w:rsidRDefault="00D73BF3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20</w:t>
            </w:r>
            <w:r w:rsidR="00211D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 </w:t>
            </w:r>
            <w:r w:rsidR="00925C4A"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г.</w:t>
            </w:r>
          </w:p>
        </w:tc>
        <w:tc>
          <w:tcPr>
            <w:tcW w:w="1372" w:type="dxa"/>
            <w:vMerge w:val="restart"/>
            <w:tcBorders>
              <w:top w:val="double" w:sz="6" w:space="0" w:color="FF6600"/>
              <w:left w:val="nil"/>
              <w:right w:val="double" w:sz="6" w:space="0" w:color="FF6600"/>
            </w:tcBorders>
            <w:shd w:val="clear" w:color="000000" w:fill="FF6600"/>
            <w:vAlign w:val="center"/>
          </w:tcPr>
          <w:p w14:paraId="357889FF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/>
              </w:rPr>
              <w:t>%</w:t>
            </w:r>
          </w:p>
          <w:p w14:paraId="6C52BBFF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5C4A" w:rsidRPr="00925C4A" w14:paraId="2FE3A0D3" w14:textId="77777777" w:rsidTr="00E44CC4">
        <w:trPr>
          <w:trHeight w:val="300"/>
        </w:trPr>
        <w:tc>
          <w:tcPr>
            <w:tcW w:w="624" w:type="dxa"/>
            <w:vMerge/>
            <w:tcBorders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</w:tcPr>
          <w:p w14:paraId="3CFA98FD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9" w:type="dxa"/>
            <w:vMerge/>
            <w:tcBorders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</w:tcPr>
          <w:p w14:paraId="74CBF1C8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Merge/>
            <w:tcBorders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</w:tcPr>
          <w:p w14:paraId="4F07779F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</w:p>
        </w:tc>
        <w:tc>
          <w:tcPr>
            <w:tcW w:w="850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bottom"/>
          </w:tcPr>
          <w:p w14:paraId="6C84F33D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 </w:t>
            </w:r>
          </w:p>
          <w:p w14:paraId="43745B41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БЗ</w:t>
            </w:r>
          </w:p>
        </w:tc>
        <w:tc>
          <w:tcPr>
            <w:tcW w:w="1038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bottom"/>
          </w:tcPr>
          <w:p w14:paraId="61DD9C43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отчет</w:t>
            </w:r>
          </w:p>
        </w:tc>
        <w:tc>
          <w:tcPr>
            <w:tcW w:w="1372" w:type="dxa"/>
            <w:vMerge/>
            <w:tcBorders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vAlign w:val="bottom"/>
          </w:tcPr>
          <w:p w14:paraId="0DC09367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</w:p>
        </w:tc>
      </w:tr>
      <w:tr w:rsidR="00925C4A" w:rsidRPr="00925C4A" w14:paraId="5764DAA9" w14:textId="77777777" w:rsidTr="00E44CC4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4A9D804A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19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174F7538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Разходи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за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РЗ и ДОО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5E50B31E" w14:textId="63EBA9BA" w:rsidR="00925C4A" w:rsidRPr="00E44CC4" w:rsidRDefault="00D73BF3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361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bottom"/>
          </w:tcPr>
          <w:p w14:paraId="58F47491" w14:textId="367C8929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340</w:t>
            </w:r>
          </w:p>
        </w:tc>
        <w:tc>
          <w:tcPr>
            <w:tcW w:w="1038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bottom"/>
          </w:tcPr>
          <w:p w14:paraId="3528C361" w14:textId="04FE2933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438</w:t>
            </w:r>
          </w:p>
        </w:tc>
        <w:tc>
          <w:tcPr>
            <w:tcW w:w="137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vAlign w:val="bottom"/>
          </w:tcPr>
          <w:p w14:paraId="77DC3EDF" w14:textId="235AD3A5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128.82</w:t>
            </w:r>
            <w:r w:rsidR="00D73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925C4A" w:rsidRPr="00925C4A" w14:paraId="4AE31E5F" w14:textId="77777777" w:rsidTr="00E44CC4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  <w:hideMark/>
          </w:tcPr>
          <w:p w14:paraId="532563BA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19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  <w:hideMark/>
          </w:tcPr>
          <w:p w14:paraId="5C6FCAB5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Издръжка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на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материалната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база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  <w:hideMark/>
          </w:tcPr>
          <w:p w14:paraId="47C0706C" w14:textId="13E10582" w:rsidR="00925C4A" w:rsidRPr="00E44CC4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775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3CA5C3F0" w14:textId="29766975" w:rsidR="00925C4A" w:rsidRPr="00E44CC4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194</w:t>
            </w:r>
          </w:p>
        </w:tc>
        <w:tc>
          <w:tcPr>
            <w:tcW w:w="1038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3E5AACD3" w14:textId="103743E6" w:rsidR="00925C4A" w:rsidRPr="00E44CC4" w:rsidRDefault="00D73BF3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37A4DDF0" w14:textId="443D6974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109.79</w:t>
            </w:r>
            <w:r w:rsidR="00D73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925C4A" w:rsidRPr="00925C4A" w14:paraId="37A6A685" w14:textId="77777777" w:rsidTr="00E44CC4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061108B8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19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56882507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Ремонти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,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материали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и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др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.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4001617F" w14:textId="3BB816D8" w:rsidR="00925C4A" w:rsidRPr="00E44CC4" w:rsidRDefault="00D73BF3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10062AD1" w14:textId="2967E85C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45</w:t>
            </w:r>
          </w:p>
        </w:tc>
        <w:tc>
          <w:tcPr>
            <w:tcW w:w="1038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57A55A0F" w14:textId="38D61AE2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  <w:r w:rsidR="00925C4A"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7D7CCBE2" w14:textId="1D153D72" w:rsidR="00925C4A" w:rsidRPr="00925C4A" w:rsidRDefault="00D73BF3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8.88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925C4A" w:rsidRPr="00925C4A" w14:paraId="00DA9C88" w14:textId="77777777" w:rsidTr="00E44CC4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0F4F1B41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19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68D54568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Инвестиционни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разходи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58D49AD8" w14:textId="6BE735A3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  <w:r w:rsidR="00925C4A"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6F45382B" w14:textId="7B0BB682" w:rsidR="00925C4A" w:rsidRPr="00E44CC4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4D88B272" w14:textId="0B65A08D" w:rsidR="00925C4A" w:rsidRPr="00E44CC4" w:rsidRDefault="00D73BF3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37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10329DC1" w14:textId="1E46DBC9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240.00</w:t>
            </w:r>
            <w:r w:rsidR="00D73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925C4A" w:rsidRPr="00925C4A" w14:paraId="21AB91A2" w14:textId="77777777" w:rsidTr="00E44CC4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5DB3AF59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19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515ACE09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Други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разходи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239F195F" w14:textId="5288522D" w:rsidR="00925C4A" w:rsidRPr="00E44CC4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299D0CC8" w14:textId="1B650223" w:rsidR="00925C4A" w:rsidRPr="00925C4A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40</w:t>
            </w:r>
          </w:p>
        </w:tc>
        <w:tc>
          <w:tcPr>
            <w:tcW w:w="1038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09002223" w14:textId="5F9845CF" w:rsidR="00925C4A" w:rsidRPr="00E44CC4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51</w:t>
            </w:r>
          </w:p>
        </w:tc>
        <w:tc>
          <w:tcPr>
            <w:tcW w:w="137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652A4525" w14:textId="3DAB783A" w:rsidR="00925C4A" w:rsidRPr="00E44CC4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127.50 %</w:t>
            </w:r>
          </w:p>
        </w:tc>
      </w:tr>
      <w:tr w:rsidR="00925C4A" w:rsidRPr="00925C4A" w14:paraId="37DAA63F" w14:textId="77777777" w:rsidTr="00E44CC4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4DFEAAA0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19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3DE48D7F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Всичко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04152505" w14:textId="34DD2445" w:rsidR="00925C4A" w:rsidRPr="00E44CC4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44CC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557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3A39E92A" w14:textId="51D31986" w:rsidR="00925C4A" w:rsidRPr="00E44CC4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639</w:t>
            </w:r>
          </w:p>
        </w:tc>
        <w:tc>
          <w:tcPr>
            <w:tcW w:w="1038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5AB2BA83" w14:textId="252ABA90" w:rsidR="00925C4A" w:rsidRPr="00E44CC4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799</w:t>
            </w:r>
          </w:p>
        </w:tc>
        <w:tc>
          <w:tcPr>
            <w:tcW w:w="137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15AA0DA8" w14:textId="3968BBBB" w:rsidR="00925C4A" w:rsidRPr="00E44CC4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125.00 %</w:t>
            </w:r>
          </w:p>
        </w:tc>
      </w:tr>
      <w:tr w:rsidR="00925C4A" w:rsidRPr="00925C4A" w14:paraId="4FA6B7FF" w14:textId="77777777" w:rsidTr="00E44CC4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5A288BE9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19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608C5F5B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Печалба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загуба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04330D9D" w14:textId="69935D6D" w:rsidR="00925C4A" w:rsidRPr="00E44CC4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359DF490" w14:textId="32ABCDC5" w:rsidR="00925C4A" w:rsidRPr="00E44CC4" w:rsidRDefault="00E44CC4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038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07BBF874" w14:textId="2EDB6C10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(</w:t>
            </w:r>
            <w:r w:rsidR="00824A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165</w:t>
            </w: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137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51374033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5C4A" w:rsidRPr="00925C4A" w14:paraId="282862A8" w14:textId="77777777" w:rsidTr="00E44CC4">
        <w:trPr>
          <w:trHeight w:val="300"/>
        </w:trPr>
        <w:tc>
          <w:tcPr>
            <w:tcW w:w="624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49ED98D0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19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3B0C41F9" w14:textId="77777777" w:rsidR="00925C4A" w:rsidRPr="00925C4A" w:rsidRDefault="00925C4A" w:rsidP="00925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Численост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на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персонала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</w:tcPr>
          <w:p w14:paraId="604BC233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55660913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467702FB" w14:textId="4746D9BB" w:rsidR="00925C4A" w:rsidRPr="00824A62" w:rsidRDefault="00824A62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89</w:t>
            </w:r>
          </w:p>
        </w:tc>
        <w:tc>
          <w:tcPr>
            <w:tcW w:w="1372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vAlign w:val="bottom"/>
          </w:tcPr>
          <w:p w14:paraId="5EBA324B" w14:textId="7BE0E4F0" w:rsidR="00925C4A" w:rsidRPr="00925C4A" w:rsidRDefault="00824A62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89</w:t>
            </w:r>
            <w:r w:rsidR="00D73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</w:tbl>
    <w:p w14:paraId="305D80BA" w14:textId="77777777" w:rsidR="00925C4A" w:rsidRPr="00925C4A" w:rsidRDefault="00925C4A" w:rsidP="00925C4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A36C74C" w14:textId="77777777" w:rsidR="00782EA5" w:rsidRDefault="00925C4A" w:rsidP="00D73BF3">
      <w:pPr>
        <w:spacing w:before="120"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3. Болницата </w:t>
      </w:r>
      <w:r w:rsidR="00D73BF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приключва отчетния период със </w:t>
      </w:r>
      <w:r w:rsidR="00605C05">
        <w:rPr>
          <w:rFonts w:ascii="Times New Roman" w:eastAsia="Times New Roman" w:hAnsi="Times New Roman" w:cs="Times New Roman"/>
          <w:bCs/>
          <w:sz w:val="28"/>
          <w:szCs w:val="28"/>
        </w:rPr>
        <w:t>165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хил. лв. загуба, </w:t>
      </w:r>
      <w:r w:rsidR="00605C05">
        <w:rPr>
          <w:rFonts w:ascii="Times New Roman" w:eastAsia="Times New Roman" w:hAnsi="Times New Roman" w:cs="Times New Roman"/>
          <w:bCs/>
          <w:sz w:val="28"/>
          <w:szCs w:val="28"/>
        </w:rPr>
        <w:t>което се дължи най-вече на въведеното извънредно положение, спрения плано</w:t>
      </w:r>
      <w:r w:rsidR="00782EA5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605C05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прием и </w:t>
      </w:r>
      <w:r w:rsidR="00782EA5">
        <w:rPr>
          <w:rFonts w:ascii="Times New Roman" w:eastAsia="Times New Roman" w:hAnsi="Times New Roman" w:cs="Times New Roman"/>
          <w:bCs/>
          <w:sz w:val="28"/>
          <w:szCs w:val="28"/>
        </w:rPr>
        <w:t>временното</w:t>
      </w:r>
      <w:r w:rsidR="00605C0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спиране дейността на лечебното заведение</w:t>
      </w:r>
      <w:r w:rsidR="00782EA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21B6F3C" w14:textId="77777777" w:rsidR="00782EA5" w:rsidRDefault="00782EA5" w:rsidP="00782EA5">
      <w:pPr>
        <w:spacing w:before="120"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Въпреки всичко през първото тримесечие се извършиха много ефективни инвестиционни разходи / 48 хил. лв. /, които се изразяват както следва:</w:t>
      </w:r>
    </w:p>
    <w:p w14:paraId="2AE3E41E" w14:textId="6AB5A026" w:rsidR="00782EA5" w:rsidRDefault="00782EA5" w:rsidP="00782EA5">
      <w:pPr>
        <w:spacing w:before="120"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Pr="00782EA5">
        <w:rPr>
          <w:rFonts w:ascii="Times New Roman" w:eastAsia="Times New Roman" w:hAnsi="Times New Roman" w:cs="Times New Roman"/>
          <w:bCs/>
          <w:sz w:val="28"/>
          <w:szCs w:val="28"/>
        </w:rPr>
        <w:t>Доставени и монтирани 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82EA5">
        <w:rPr>
          <w:rFonts w:ascii="Times New Roman" w:eastAsia="Times New Roman" w:hAnsi="Times New Roman" w:cs="Times New Roman"/>
          <w:bCs/>
          <w:sz w:val="28"/>
          <w:szCs w:val="28"/>
        </w:rPr>
        <w:t>13 броя климатици на стойност 14 635 лв., с което се подобриха значително битовите усл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782EA5">
        <w:rPr>
          <w:rFonts w:ascii="Times New Roman" w:eastAsia="Times New Roman" w:hAnsi="Times New Roman" w:cs="Times New Roman"/>
          <w:bCs/>
          <w:sz w:val="28"/>
          <w:szCs w:val="28"/>
        </w:rPr>
        <w:t>вия на четвъртия етажа, особ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782EA5">
        <w:rPr>
          <w:rFonts w:ascii="Times New Roman" w:eastAsia="Times New Roman" w:hAnsi="Times New Roman" w:cs="Times New Roman"/>
          <w:bCs/>
          <w:sz w:val="28"/>
          <w:szCs w:val="28"/>
        </w:rPr>
        <w:t>но през есенно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782EA5">
        <w:rPr>
          <w:rFonts w:ascii="Times New Roman" w:eastAsia="Times New Roman" w:hAnsi="Times New Roman" w:cs="Times New Roman"/>
          <w:bCs/>
          <w:sz w:val="28"/>
          <w:szCs w:val="28"/>
        </w:rPr>
        <w:t>зимния период.</w:t>
      </w:r>
    </w:p>
    <w:p w14:paraId="0EC9A876" w14:textId="753DFC92" w:rsidR="00782EA5" w:rsidRDefault="00782EA5" w:rsidP="00782EA5">
      <w:pPr>
        <w:spacing w:before="120"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2. </w:t>
      </w:r>
      <w:r w:rsidRPr="00782EA5">
        <w:rPr>
          <w:rFonts w:ascii="Times New Roman" w:eastAsia="Times New Roman" w:hAnsi="Times New Roman" w:cs="Times New Roman"/>
          <w:bCs/>
          <w:sz w:val="28"/>
          <w:szCs w:val="28"/>
        </w:rPr>
        <w:t>Подменихме два бро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782EA5">
        <w:rPr>
          <w:rFonts w:ascii="Times New Roman" w:eastAsia="Times New Roman" w:hAnsi="Times New Roman" w:cs="Times New Roman"/>
          <w:bCs/>
          <w:sz w:val="28"/>
          <w:szCs w:val="28"/>
        </w:rPr>
        <w:t xml:space="preserve"> бойлери по един тон в парната централа на стойност 4 090 лв. за осигуряване на 24 часово подаване на топла вода за хотелската част и на лечебно-процедурните звена.</w:t>
      </w:r>
    </w:p>
    <w:p w14:paraId="5606E4B9" w14:textId="0DA4B2F1" w:rsidR="00782EA5" w:rsidRPr="00782EA5" w:rsidRDefault="00782EA5" w:rsidP="00782EA5">
      <w:pPr>
        <w:spacing w:before="120"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Pr="00782EA5">
        <w:rPr>
          <w:rFonts w:ascii="Times New Roman" w:eastAsia="Times New Roman" w:hAnsi="Times New Roman" w:cs="Times New Roman"/>
          <w:bCs/>
          <w:sz w:val="28"/>
          <w:szCs w:val="28"/>
        </w:rPr>
        <w:t>Доставихме и монтирахме два броя резервоари по 20 хил. л</w:t>
      </w:r>
      <w:r w:rsidR="001513BC">
        <w:rPr>
          <w:rFonts w:ascii="Times New Roman" w:eastAsia="Times New Roman" w:hAnsi="Times New Roman" w:cs="Times New Roman"/>
          <w:bCs/>
          <w:sz w:val="28"/>
          <w:szCs w:val="28"/>
        </w:rPr>
        <w:t>итра</w:t>
      </w:r>
      <w:r w:rsidRPr="00782EA5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гориво на стойност 29 000 хил. лв. в изграждащото се ново нафтово стопанства.</w:t>
      </w:r>
    </w:p>
    <w:p w14:paraId="047E0BE0" w14:textId="77777777" w:rsidR="00C100CE" w:rsidRPr="00925C4A" w:rsidRDefault="00C100CE" w:rsidP="00C100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29A30F7" w14:textId="77777777" w:rsidR="00925C4A" w:rsidRPr="00925C4A" w:rsidRDefault="00925C4A" w:rsidP="00925C4A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Ефективност на разходите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9662" w:type="dxa"/>
        <w:tblInd w:w="85" w:type="dxa"/>
        <w:tblLook w:val="04A0" w:firstRow="1" w:lastRow="0" w:firstColumn="1" w:lastColumn="0" w:noHBand="0" w:noVBand="1"/>
      </w:tblPr>
      <w:tblGrid>
        <w:gridCol w:w="5903"/>
        <w:gridCol w:w="2151"/>
        <w:gridCol w:w="1608"/>
      </w:tblGrid>
      <w:tr w:rsidR="00925C4A" w:rsidRPr="00925C4A" w14:paraId="700B3C77" w14:textId="77777777" w:rsidTr="00D73BF3">
        <w:trPr>
          <w:trHeight w:val="300"/>
        </w:trPr>
        <w:tc>
          <w:tcPr>
            <w:tcW w:w="5903" w:type="dxa"/>
            <w:tcBorders>
              <w:top w:val="double" w:sz="6" w:space="0" w:color="FF6600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  <w:hideMark/>
          </w:tcPr>
          <w:p w14:paraId="20557476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 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GB"/>
              </w:rPr>
              <w:t>Показатели</w:t>
            </w:r>
            <w:proofErr w:type="spellEnd"/>
          </w:p>
        </w:tc>
        <w:tc>
          <w:tcPr>
            <w:tcW w:w="2151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  <w:hideMark/>
          </w:tcPr>
          <w:p w14:paraId="096188BF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Бизнес-задача</w:t>
            </w:r>
          </w:p>
        </w:tc>
        <w:tc>
          <w:tcPr>
            <w:tcW w:w="1608" w:type="dxa"/>
            <w:tcBorders>
              <w:top w:val="double" w:sz="6" w:space="0" w:color="FF6600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6600"/>
            <w:noWrap/>
            <w:vAlign w:val="bottom"/>
            <w:hideMark/>
          </w:tcPr>
          <w:p w14:paraId="7DC7AB80" w14:textId="77777777" w:rsidR="00925C4A" w:rsidRPr="00925C4A" w:rsidRDefault="00925C4A" w:rsidP="0092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Отчет</w:t>
            </w:r>
          </w:p>
        </w:tc>
      </w:tr>
      <w:tr w:rsidR="00925C4A" w:rsidRPr="00925C4A" w14:paraId="136645C0" w14:textId="77777777" w:rsidTr="00D73BF3">
        <w:trPr>
          <w:trHeight w:val="300"/>
        </w:trPr>
        <w:tc>
          <w:tcPr>
            <w:tcW w:w="5903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7A1BA1E1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Ефективност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на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разходите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–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Приходи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/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Разходи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111E304C" w14:textId="18109538" w:rsidR="00925C4A" w:rsidRPr="00824A62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1,0</w:t>
            </w:r>
            <w:r w:rsidR="00824A6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608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auto" w:fill="auto"/>
            <w:noWrap/>
            <w:vAlign w:val="bottom"/>
            <w:hideMark/>
          </w:tcPr>
          <w:p w14:paraId="4E2F9B51" w14:textId="642051D2" w:rsidR="00925C4A" w:rsidRPr="00824A62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824A6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79</w:t>
            </w:r>
          </w:p>
        </w:tc>
      </w:tr>
      <w:tr w:rsidR="00925C4A" w:rsidRPr="00925C4A" w14:paraId="695EBD1C" w14:textId="77777777" w:rsidTr="00D73BF3">
        <w:trPr>
          <w:trHeight w:val="300"/>
        </w:trPr>
        <w:tc>
          <w:tcPr>
            <w:tcW w:w="5903" w:type="dxa"/>
            <w:tcBorders>
              <w:top w:val="nil"/>
              <w:left w:val="double" w:sz="6" w:space="0" w:color="FF6600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  <w:hideMark/>
          </w:tcPr>
          <w:p w14:paraId="558E89A0" w14:textId="77777777" w:rsidR="00925C4A" w:rsidRPr="00925C4A" w:rsidRDefault="00925C4A" w:rsidP="0092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Рентабилност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на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база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приходи</w:t>
            </w:r>
            <w:proofErr w:type="spellEnd"/>
            <w:r w:rsidRPr="00925C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1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  <w:hideMark/>
          </w:tcPr>
          <w:p w14:paraId="5842A5C7" w14:textId="76595B56" w:rsidR="00925C4A" w:rsidRPr="00824A62" w:rsidRDefault="00824A62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  <w:r w:rsidR="00C100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54</w:t>
            </w:r>
          </w:p>
        </w:tc>
        <w:tc>
          <w:tcPr>
            <w:tcW w:w="1608" w:type="dxa"/>
            <w:tcBorders>
              <w:top w:val="nil"/>
              <w:left w:val="nil"/>
              <w:bottom w:val="double" w:sz="6" w:space="0" w:color="FF6600"/>
              <w:right w:val="double" w:sz="6" w:space="0" w:color="FF6600"/>
            </w:tcBorders>
            <w:shd w:val="clear" w:color="000000" w:fill="FFFFFF"/>
            <w:noWrap/>
            <w:vAlign w:val="bottom"/>
            <w:hideMark/>
          </w:tcPr>
          <w:p w14:paraId="0FDE974A" w14:textId="3BFD5436" w:rsidR="00925C4A" w:rsidRPr="00824A62" w:rsidRDefault="00824A62" w:rsidP="00824A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24A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C100CE" w:rsidRPr="00824A62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Pr="00824A6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</w:tbl>
    <w:p w14:paraId="7289C318" w14:textId="77777777" w:rsidR="00925C4A" w:rsidRPr="00925C4A" w:rsidRDefault="00925C4A" w:rsidP="00925C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A0E6D73" w14:textId="03054B22" w:rsidR="00925C4A" w:rsidRPr="00925C4A" w:rsidRDefault="00925C4A" w:rsidP="00782E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Използваемостта на болничната ба</w:t>
      </w:r>
      <w:r w:rsidR="00C100CE">
        <w:rPr>
          <w:rFonts w:ascii="Times New Roman" w:eastAsia="Times New Roman" w:hAnsi="Times New Roman" w:cs="Times New Roman"/>
          <w:bCs/>
          <w:sz w:val="28"/>
          <w:szCs w:val="28"/>
        </w:rPr>
        <w:t>за за първото тримесечие на 20</w:t>
      </w:r>
      <w:r w:rsidR="00782EA5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</w:t>
      </w:r>
      <w:r w:rsidR="00C100CE">
        <w:rPr>
          <w:rFonts w:ascii="Times New Roman" w:eastAsia="Times New Roman" w:hAnsi="Times New Roman" w:cs="Times New Roman"/>
          <w:bCs/>
          <w:sz w:val="28"/>
          <w:szCs w:val="28"/>
        </w:rPr>
        <w:t xml:space="preserve">дина е </w:t>
      </w:r>
      <w:r w:rsidR="001513BC">
        <w:rPr>
          <w:rFonts w:ascii="Times New Roman" w:eastAsia="Times New Roman" w:hAnsi="Times New Roman" w:cs="Times New Roman"/>
          <w:bCs/>
          <w:sz w:val="28"/>
          <w:szCs w:val="28"/>
        </w:rPr>
        <w:t>51</w:t>
      </w:r>
      <w:r w:rsidR="00C100C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%, което е благоприятно спрямо неактивната част на курортния сезон и обективните причини които ни съпътстваха през зимата.</w:t>
      </w:r>
      <w:r w:rsidR="00F621A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Реализирани са </w:t>
      </w:r>
      <w:r w:rsidR="001513BC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F621A4">
        <w:rPr>
          <w:rFonts w:ascii="Times New Roman" w:eastAsia="Times New Roman" w:hAnsi="Times New Roman" w:cs="Times New Roman"/>
          <w:bCs/>
          <w:sz w:val="28"/>
          <w:szCs w:val="28"/>
        </w:rPr>
        <w:t> 6</w:t>
      </w:r>
      <w:r w:rsidR="001513BC">
        <w:rPr>
          <w:rFonts w:ascii="Times New Roman" w:eastAsia="Times New Roman" w:hAnsi="Times New Roman" w:cs="Times New Roman"/>
          <w:bCs/>
          <w:sz w:val="28"/>
          <w:szCs w:val="28"/>
        </w:rPr>
        <w:t>87</w:t>
      </w:r>
      <w:r w:rsidR="00F621A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513BC">
        <w:rPr>
          <w:rFonts w:ascii="Times New Roman" w:eastAsia="Times New Roman" w:hAnsi="Times New Roman" w:cs="Times New Roman"/>
          <w:bCs/>
          <w:sz w:val="28"/>
          <w:szCs w:val="28"/>
        </w:rPr>
        <w:t>леглодни</w:t>
      </w:r>
      <w:proofErr w:type="spellEnd"/>
      <w:r w:rsidR="00F621A4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лечебното заведение.</w:t>
      </w:r>
    </w:p>
    <w:p w14:paraId="69D1C285" w14:textId="77777777" w:rsidR="00C100CE" w:rsidRDefault="00C100CE" w:rsidP="00C100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F20484D" w14:textId="77777777" w:rsidR="00C100CE" w:rsidRPr="00925C4A" w:rsidRDefault="00C100CE" w:rsidP="00C100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4827F9A" w14:textId="450AD7D8" w:rsidR="00C100CE" w:rsidRDefault="00925C4A" w:rsidP="00C100CE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МЕРОПРИЯТИЯ ЗА НЕУТРАЛИЗИРАНЕ ВРЕДНИТЕ ВЛИЯНИЯ ОТ ФИНАНСОВО-ИКОНОМИЧЕСКАТА КРИЗА</w:t>
      </w:r>
      <w:r w:rsidR="001513B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В СЛЕДСТВИЕ НА   ВЪВЕДЕНОТО ИЗВЪНРЕДНО ПОЛОЖЕНИЕ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D65F151" w14:textId="77777777" w:rsidR="00C100CE" w:rsidRDefault="00C100CE" w:rsidP="00C100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AE77702" w14:textId="77777777" w:rsidR="00C100CE" w:rsidRDefault="00925C4A" w:rsidP="00C100CE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/>
          <w:bCs/>
          <w:sz w:val="28"/>
          <w:szCs w:val="28"/>
        </w:rPr>
        <w:t>Господин Министър,</w:t>
      </w:r>
    </w:p>
    <w:p w14:paraId="4CCD659C" w14:textId="4C075E2C" w:rsidR="00C100CE" w:rsidRDefault="00925C4A" w:rsidP="00C100CE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При направения анализ на работата на болницата, отбелязвам, че ни предстои значително подобряване на дейността, за да може да се компенсира изоставането през първото тримесечие</w:t>
      </w:r>
      <w:r w:rsidR="00F621A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спрямо заложените показатели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още през предстоящото второ такова. В същото време, въпреки наложените ограничения по отношение лимитиране от Здравната каса, както и нежеланието на Надзорния съвет на НОИ за сключване на договор, възможностите на болницата са много по-големи. Това ни задължава упорито да търсим начини, било чрез реклама, било чрез договори с туроператорски фирми, било със срещи и разговори със специалисти касаещи обема на дейността на болницата за постигане на една единствена цел – увеличаване приходите на дружеството.</w:t>
      </w:r>
    </w:p>
    <w:p w14:paraId="51B49C9E" w14:textId="2BFEE1B9" w:rsidR="001513BC" w:rsidRDefault="001513BC" w:rsidP="00C100CE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 запазване на медицинските специалисти и обслужващия персонал в лечебното заведение предприех редица действия за осигуряване на месечните възнаграждения и издръжката през периода на извънредното положение, докладна записка до Вас, допълнителни споразумения с РЗОК – Пловдив и др..</w:t>
      </w:r>
    </w:p>
    <w:p w14:paraId="6C264E65" w14:textId="4ABE7988" w:rsidR="001513BC" w:rsidRDefault="001513BC" w:rsidP="00C100CE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8492B01" w14:textId="77777777" w:rsidR="00EE44A3" w:rsidRDefault="00EE44A3" w:rsidP="00C100CE">
      <w:pPr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C0026F" w14:textId="77777777" w:rsidR="00C100CE" w:rsidRDefault="00925C4A" w:rsidP="00C100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Прила</w:t>
      </w:r>
      <w:r w:rsidR="00C100CE">
        <w:rPr>
          <w:rFonts w:ascii="Times New Roman" w:eastAsia="Times New Roman" w:hAnsi="Times New Roman" w:cs="Times New Roman"/>
          <w:bCs/>
          <w:sz w:val="28"/>
          <w:szCs w:val="28"/>
        </w:rPr>
        <w:t>гам следните сведения и отчети:</w:t>
      </w:r>
    </w:p>
    <w:p w14:paraId="272A6AB1" w14:textId="6B7DFA60" w:rsidR="00C100CE" w:rsidRDefault="00C100CE" w:rsidP="00C100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 Баланс към 31.03.20</w:t>
      </w:r>
      <w:r w:rsidR="001513BC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година.</w:t>
      </w:r>
    </w:p>
    <w:p w14:paraId="214BC046" w14:textId="2FA5C105" w:rsidR="00C100CE" w:rsidRDefault="00925C4A" w:rsidP="00C100CE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C100C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Отчет за приходите и разходите на </w:t>
      </w:r>
      <w:r w:rsidR="001513BC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БР ”Света</w:t>
      </w:r>
      <w:r w:rsidR="00C100CE">
        <w:rPr>
          <w:rFonts w:ascii="Times New Roman" w:eastAsia="Times New Roman" w:hAnsi="Times New Roman" w:cs="Times New Roman"/>
          <w:bCs/>
          <w:sz w:val="28"/>
          <w:szCs w:val="28"/>
        </w:rPr>
        <w:t xml:space="preserve"> Богородица” ЕООД към 31.03.20</w:t>
      </w:r>
      <w:r w:rsidR="001513BC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год.</w:t>
      </w:r>
      <w:r w:rsidR="00C100C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21C0B34" w14:textId="68BAA7A0" w:rsidR="00925C4A" w:rsidRPr="00925C4A" w:rsidRDefault="00925C4A" w:rsidP="00C100CE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="00C100C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>Отчет за</w:t>
      </w:r>
      <w:r w:rsidR="00C100C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паричните потоци към 31.03.20</w:t>
      </w:r>
      <w:r w:rsidR="001513BC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Pr="00925C4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год.</w:t>
      </w:r>
      <w:r w:rsidR="00C100C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8E6B88F" w14:textId="77777777" w:rsidR="00585295" w:rsidRDefault="00585295">
      <w:pPr>
        <w:rPr>
          <w:lang w:val="en-US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8910"/>
      </w:tblGrid>
      <w:tr w:rsidR="00925C4A" w:rsidRPr="00925C4A" w14:paraId="59CB072C" w14:textId="77777777" w:rsidTr="00D73BF3">
        <w:trPr>
          <w:jc w:val="right"/>
        </w:trPr>
        <w:tc>
          <w:tcPr>
            <w:tcW w:w="8910" w:type="dxa"/>
          </w:tcPr>
          <w:p w14:paraId="06432ABB" w14:textId="77777777" w:rsidR="00925C4A" w:rsidRPr="00925C4A" w:rsidRDefault="00925C4A" w:rsidP="00C100CE">
            <w:pPr>
              <w:spacing w:after="0" w:line="240" w:lineRule="auto"/>
              <w:ind w:firstLine="92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  <w:t>ИЗГОТВИЛ:</w:t>
            </w:r>
          </w:p>
        </w:tc>
      </w:tr>
      <w:tr w:rsidR="00925C4A" w:rsidRPr="00925C4A" w14:paraId="73566826" w14:textId="77777777" w:rsidTr="00D73BF3">
        <w:trPr>
          <w:jc w:val="right"/>
        </w:trPr>
        <w:tc>
          <w:tcPr>
            <w:tcW w:w="8910" w:type="dxa"/>
          </w:tcPr>
          <w:p w14:paraId="5CDF0883" w14:textId="75CDCE1C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Управител </w:t>
            </w:r>
            <w:r w:rsidR="001513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БР</w:t>
            </w:r>
            <w:r w:rsidR="00C100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”Света Богородица”</w:t>
            </w:r>
            <w:r w:rsidR="00C100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ЕООД </w:t>
            </w:r>
          </w:p>
        </w:tc>
      </w:tr>
      <w:tr w:rsidR="00925C4A" w:rsidRPr="00925C4A" w14:paraId="7FFFB964" w14:textId="77777777" w:rsidTr="00D73BF3">
        <w:trPr>
          <w:jc w:val="right"/>
        </w:trPr>
        <w:tc>
          <w:tcPr>
            <w:tcW w:w="8910" w:type="dxa"/>
          </w:tcPr>
          <w:p w14:paraId="54E65C7C" w14:textId="77777777" w:rsidR="00C100CE" w:rsidRPr="00C100CE" w:rsidRDefault="00C100CE" w:rsidP="00C100CE">
            <w:pPr>
              <w:jc w:val="right"/>
              <w:rPr>
                <w:sz w:val="4"/>
                <w:u w:val="dotted"/>
              </w:rPr>
            </w:pPr>
          </w:p>
          <w:p w14:paraId="2476E36E" w14:textId="0C3F04DA" w:rsidR="00925C4A" w:rsidRPr="00C100CE" w:rsidRDefault="00C100CE" w:rsidP="00C100CE">
            <w:pPr>
              <w:jc w:val="right"/>
            </w:pPr>
            <w:r>
              <w:rPr>
                <w:u w:val="dotted"/>
              </w:rPr>
              <w:t xml:space="preserve">                                                               </w:t>
            </w:r>
            <w:r w:rsidRPr="00C100CE">
              <w:rPr>
                <w:color w:val="FFFFFF" w:themeColor="background1"/>
              </w:rPr>
              <w:t>.</w:t>
            </w:r>
            <w:r w:rsidR="00925C4A"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  <w:t>/</w:t>
            </w:r>
            <w:r w:rsidR="00925C4A"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Д-р Атанас Тилев</w:t>
            </w:r>
            <w:r w:rsidR="00925C4A"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  <w:t>/</w:t>
            </w:r>
          </w:p>
        </w:tc>
      </w:tr>
      <w:tr w:rsidR="00925C4A" w:rsidRPr="00925C4A" w14:paraId="40F11EF5" w14:textId="77777777" w:rsidTr="00D73BF3">
        <w:trPr>
          <w:jc w:val="right"/>
        </w:trPr>
        <w:tc>
          <w:tcPr>
            <w:tcW w:w="8910" w:type="dxa"/>
          </w:tcPr>
          <w:p w14:paraId="107827A5" w14:textId="77777777" w:rsidR="00925C4A" w:rsidRPr="00925C4A" w:rsidRDefault="00925C4A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</w:p>
          <w:p w14:paraId="6C959139" w14:textId="249D58E6" w:rsidR="00925C4A" w:rsidRPr="00925C4A" w:rsidRDefault="001513BC" w:rsidP="00925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</w:t>
            </w:r>
            <w:r w:rsidR="00925C4A"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.04</w:t>
            </w:r>
            <w:r w:rsidR="00925C4A"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925C4A"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925C4A" w:rsidRPr="00925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  <w:t>г.</w:t>
            </w:r>
          </w:p>
        </w:tc>
      </w:tr>
    </w:tbl>
    <w:p w14:paraId="7D3D8287" w14:textId="77777777" w:rsidR="00925C4A" w:rsidRDefault="00925C4A">
      <w:pPr>
        <w:rPr>
          <w:lang w:val="en-US"/>
        </w:rPr>
      </w:pPr>
    </w:p>
    <w:p w14:paraId="3BC579F7" w14:textId="77777777" w:rsidR="00925C4A" w:rsidRDefault="00925C4A">
      <w:pPr>
        <w:rPr>
          <w:lang w:val="en-US"/>
        </w:rPr>
      </w:pPr>
    </w:p>
    <w:p w14:paraId="21E4DB90" w14:textId="77777777" w:rsidR="00925C4A" w:rsidRDefault="00925C4A">
      <w:pPr>
        <w:rPr>
          <w:lang w:val="en-US"/>
        </w:rPr>
      </w:pPr>
    </w:p>
    <w:p w14:paraId="63C7ED31" w14:textId="436833F7" w:rsidR="00925C4A" w:rsidRDefault="00925C4A"/>
    <w:p w14:paraId="0F9E5E5B" w14:textId="49967172" w:rsidR="001513BC" w:rsidRDefault="001513BC"/>
    <w:p w14:paraId="2B8AF895" w14:textId="0D6F41A0" w:rsidR="001513BC" w:rsidRDefault="001513BC"/>
    <w:p w14:paraId="00355445" w14:textId="18EE96F0" w:rsidR="001513BC" w:rsidRDefault="001513BC"/>
    <w:p w14:paraId="14212DB0" w14:textId="57E27922" w:rsidR="001513BC" w:rsidRDefault="001513BC"/>
    <w:p w14:paraId="264DE23A" w14:textId="14ECA510" w:rsidR="001513BC" w:rsidRDefault="001513BC"/>
    <w:p w14:paraId="69C8D2A1" w14:textId="30D4CF8A" w:rsidR="001513BC" w:rsidRDefault="001513BC"/>
    <w:p w14:paraId="6F2AB2E1" w14:textId="7A037B9C" w:rsidR="001513BC" w:rsidRDefault="001513BC"/>
    <w:p w14:paraId="72A9FCFD" w14:textId="77777777" w:rsidR="00EE44A3" w:rsidRDefault="00EE44A3"/>
    <w:p w14:paraId="07E34E64" w14:textId="77777777" w:rsidR="00C100CE" w:rsidRPr="00C100CE" w:rsidRDefault="00C100CE"/>
    <w:sectPr w:rsidR="00C100CE" w:rsidRPr="00C100CE" w:rsidSect="00925C4A">
      <w:pgSz w:w="11906" w:h="16838" w:code="9"/>
      <w:pgMar w:top="1021" w:right="454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DD117" w14:textId="77777777" w:rsidR="00290123" w:rsidRDefault="00290123" w:rsidP="00290123">
      <w:pPr>
        <w:spacing w:after="0" w:line="240" w:lineRule="auto"/>
      </w:pPr>
      <w:r>
        <w:separator/>
      </w:r>
    </w:p>
  </w:endnote>
  <w:endnote w:type="continuationSeparator" w:id="0">
    <w:p w14:paraId="40040F73" w14:textId="77777777" w:rsidR="00290123" w:rsidRDefault="00290123" w:rsidP="00290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A0F5D" w14:textId="77777777" w:rsidR="00290123" w:rsidRDefault="00290123" w:rsidP="00290123">
      <w:pPr>
        <w:spacing w:after="0" w:line="240" w:lineRule="auto"/>
      </w:pPr>
      <w:r>
        <w:separator/>
      </w:r>
    </w:p>
  </w:footnote>
  <w:footnote w:type="continuationSeparator" w:id="0">
    <w:p w14:paraId="753ECD55" w14:textId="77777777" w:rsidR="00290123" w:rsidRDefault="00290123" w:rsidP="002901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03CC6"/>
    <w:multiLevelType w:val="hybridMultilevel"/>
    <w:tmpl w:val="0D0CE486"/>
    <w:lvl w:ilvl="0" w:tplc="1D409A7C">
      <w:start w:val="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1431A3E"/>
    <w:multiLevelType w:val="hybridMultilevel"/>
    <w:tmpl w:val="50A4FC46"/>
    <w:lvl w:ilvl="0" w:tplc="2CBEDB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1715DCB"/>
    <w:multiLevelType w:val="hybridMultilevel"/>
    <w:tmpl w:val="1EA4C56C"/>
    <w:lvl w:ilvl="0" w:tplc="C456BA56">
      <w:start w:val="1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5C4A"/>
    <w:rsid w:val="001345D0"/>
    <w:rsid w:val="001513BC"/>
    <w:rsid w:val="00211D3B"/>
    <w:rsid w:val="00236252"/>
    <w:rsid w:val="002706B5"/>
    <w:rsid w:val="00290123"/>
    <w:rsid w:val="003632CB"/>
    <w:rsid w:val="00402A1A"/>
    <w:rsid w:val="00585295"/>
    <w:rsid w:val="00605C05"/>
    <w:rsid w:val="006C4788"/>
    <w:rsid w:val="007465BD"/>
    <w:rsid w:val="00782EA5"/>
    <w:rsid w:val="00824A62"/>
    <w:rsid w:val="00865EA8"/>
    <w:rsid w:val="00925C4A"/>
    <w:rsid w:val="009807DE"/>
    <w:rsid w:val="009B36DC"/>
    <w:rsid w:val="009D79C3"/>
    <w:rsid w:val="00AA60B8"/>
    <w:rsid w:val="00C100CE"/>
    <w:rsid w:val="00C21F8E"/>
    <w:rsid w:val="00C65A3E"/>
    <w:rsid w:val="00C9565B"/>
    <w:rsid w:val="00D61EAF"/>
    <w:rsid w:val="00D73BF3"/>
    <w:rsid w:val="00E44CC4"/>
    <w:rsid w:val="00E973DC"/>
    <w:rsid w:val="00EE44A3"/>
    <w:rsid w:val="00F6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A3386"/>
  <w15:docId w15:val="{1985A514-A641-449A-8723-E5495A6B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925C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00C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90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290123"/>
  </w:style>
  <w:style w:type="paragraph" w:styleId="a8">
    <w:name w:val="footer"/>
    <w:basedOn w:val="a"/>
    <w:link w:val="a9"/>
    <w:uiPriority w:val="99"/>
    <w:unhideWhenUsed/>
    <w:rsid w:val="00290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290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FFFFFF"/>
          </a:solidFill>
          <a:prstDash val="solid"/>
        </a:ln>
      </c:spPr>
    </c:sideWall>
    <c:backWall>
      <c:thickness val="0"/>
      <c:spPr>
        <a:noFill/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1828798298946815E-2"/>
          <c:y val="6.9672853393325837E-2"/>
          <c:w val="0.88496445064620088"/>
          <c:h val="0.7961107986501687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CC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056310798160286E-2"/>
                  <c:y val="-0.10612985730755617"/>
                </c:manualLayout>
              </c:layout>
              <c:tx>
                <c:rich>
                  <a:bodyPr/>
                  <a:lstStyle/>
                  <a:p>
                    <a:pPr>
                      <a:defRPr sz="1650" b="1" i="1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1368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D70-4FCA-8B9E-728B0AC24B19}"/>
                </c:ext>
              </c:extLst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bg-BG"/>
              </a:p>
            </c:txPr>
            <c:showLegendKey val="0"/>
            <c:showVal val="1"/>
            <c:showCatName val="1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2019г.</c:v>
                </c:pt>
                <c:pt idx="1">
                  <c:v>2020г.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1368</c:v>
                </c:pt>
              </c:numCache>
            </c:numRef>
          </c:val>
          <c:shape val="cone"/>
          <c:extLst>
            <c:ext xmlns:c16="http://schemas.microsoft.com/office/drawing/2014/chart" uri="{C3380CC4-5D6E-409C-BE32-E72D297353CC}">
              <c16:uniqueId val="{00000001-0D70-4FCA-8B9E-728B0AC24B1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FF66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3.6289472500662161E-2"/>
                  <c:y val="-7.0051556055493069E-2"/>
                </c:manualLayout>
              </c:layout>
              <c:tx>
                <c:rich>
                  <a:bodyPr/>
                  <a:lstStyle/>
                  <a:p>
                    <a:pPr>
                      <a:defRPr sz="1650" b="1" i="1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1565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D70-4FCA-8B9E-728B0AC24B19}"/>
                </c:ext>
              </c:extLst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2019г.</c:v>
                </c:pt>
                <c:pt idx="1">
                  <c:v>2020г.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  <c:pt idx="1">
                  <c:v>1565</c:v>
                </c:pt>
              </c:numCache>
            </c:numRef>
          </c:val>
          <c:shape val="cone"/>
          <c:extLst>
            <c:ext xmlns:c16="http://schemas.microsoft.com/office/drawing/2014/chart" uri="{C3380CC4-5D6E-409C-BE32-E72D297353CC}">
              <c16:uniqueId val="{00000003-0D70-4FCA-8B9E-728B0AC24B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97199232"/>
        <c:axId val="97200768"/>
        <c:axId val="0"/>
      </c:bar3DChart>
      <c:catAx>
        <c:axId val="97199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chemeClr val="bg1"/>
                </a:solidFill>
                <a:latin typeface="Arial"/>
                <a:ea typeface="Arial"/>
                <a:cs typeface="Arial"/>
              </a:defRPr>
            </a:pPr>
            <a:endParaRPr lang="bg-BG"/>
          </a:p>
        </c:txPr>
        <c:crossAx val="97200768"/>
        <c:crosses val="autoZero"/>
        <c:auto val="1"/>
        <c:lblAlgn val="ctr"/>
        <c:lblOffset val="100"/>
        <c:tickMarkSkip val="1"/>
        <c:noMultiLvlLbl val="0"/>
      </c:catAx>
      <c:valAx>
        <c:axId val="97200768"/>
        <c:scaling>
          <c:orientation val="minMax"/>
          <c:max val="1500"/>
          <c:min val="1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bg-BG"/>
          </a:p>
        </c:txPr>
        <c:crossAx val="97199232"/>
        <c:crosses val="autoZero"/>
        <c:crossBetween val="between"/>
        <c:majorUnit val="150"/>
      </c:valAx>
      <c:spPr>
        <a:gradFill rotWithShape="0">
          <a:gsLst>
            <a:gs pos="0">
              <a:srgbClr xmlns:mc="http://schemas.openxmlformats.org/markup-compatibility/2006" xmlns:a14="http://schemas.microsoft.com/office/drawing/2010/main" val="FFCC99" mc:Ignorable="a14" a14:legacySpreadsheetColorIndex="47"/>
            </a:gs>
            <a:gs pos="100000">
              <a:srgbClr xmlns:mc="http://schemas.openxmlformats.org/markup-compatibility/2006" xmlns:a14="http://schemas.microsoft.com/office/drawing/2010/main" val="000000" mc:Ignorable="a14" a14:legacySpreadsheetColorIndex="47">
                <a:gamma/>
                <a:shade val="46275"/>
                <a:invGamma/>
              </a:srgbClr>
            </a:gs>
          </a:gsLst>
          <a:lin ang="5400000" scaled="1"/>
        </a:gradFill>
        <a:ln w="25399">
          <a:noFill/>
        </a:ln>
      </c:spPr>
    </c:plotArea>
    <c:plotVisOnly val="1"/>
    <c:dispBlanksAs val="gap"/>
    <c:showDLblsOverMax val="0"/>
  </c:chart>
  <c:spPr>
    <a:gradFill rotWithShape="0">
      <a:gsLst>
        <a:gs pos="0">
          <a:srgbClr xmlns:mc="http://schemas.openxmlformats.org/markup-compatibility/2006" xmlns:a14="http://schemas.microsoft.com/office/drawing/2010/main" val="FFCC99" mc:Ignorable="a14" a14:legacySpreadsheetColorIndex="47"/>
        </a:gs>
        <a:gs pos="100000">
          <a:srgbClr xmlns:mc="http://schemas.openxmlformats.org/markup-compatibility/2006" xmlns:a14="http://schemas.microsoft.com/office/drawing/2010/main" val="000000" mc:Ignorable="a14" a14:legacySpreadsheetColorIndex="47">
            <a:gamma/>
            <a:shade val="46275"/>
            <a:invGamma/>
          </a:srgbClr>
        </a:gs>
      </a:gsLst>
      <a:lin ang="5400000" scaled="1"/>
    </a:gradFill>
    <a:ln>
      <a:noFill/>
    </a:ln>
  </c:spPr>
  <c:txPr>
    <a:bodyPr/>
    <a:lstStyle/>
    <a:p>
      <a:pPr>
        <a:defRPr sz="9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24"/>
      <c:hPercent val="29"/>
      <c:rotY val="26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gradFill rotWithShape="0">
          <a:gsLst>
            <a:gs pos="0">
              <a:srgbClr xmlns:mc="http://schemas.openxmlformats.org/markup-compatibility/2006" xmlns:a14="http://schemas.microsoft.com/office/drawing/2010/main" val="FFCC99" mc:Ignorable="a14" a14:legacySpreadsheetColorIndex="47"/>
            </a:gs>
            <a:gs pos="100000">
              <a:srgbClr xmlns:mc="http://schemas.openxmlformats.org/markup-compatibility/2006" xmlns:a14="http://schemas.microsoft.com/office/drawing/2010/main" val="000000" mc:Ignorable="a14" a14:legacySpreadsheetColorIndex="47">
                <a:gamma/>
                <a:shade val="46275"/>
                <a:invGamma/>
              </a:srgbClr>
            </a:gs>
          </a:gsLst>
          <a:lin ang="5400000" scaled="1"/>
        </a:gradFill>
        <a:ln w="12700">
          <a:solidFill>
            <a:srgbClr val="FFFFFF"/>
          </a:solidFill>
          <a:prstDash val="solid"/>
        </a:ln>
      </c:spPr>
    </c:sideWall>
    <c:backWall>
      <c:thickness val="0"/>
      <c:spPr>
        <a:gradFill rotWithShape="0">
          <a:gsLst>
            <a:gs pos="0">
              <a:srgbClr xmlns:mc="http://schemas.openxmlformats.org/markup-compatibility/2006" xmlns:a14="http://schemas.microsoft.com/office/drawing/2010/main" val="FFCC99" mc:Ignorable="a14" a14:legacySpreadsheetColorIndex="47"/>
            </a:gs>
            <a:gs pos="100000">
              <a:srgbClr xmlns:mc="http://schemas.openxmlformats.org/markup-compatibility/2006" xmlns:a14="http://schemas.microsoft.com/office/drawing/2010/main" val="000000" mc:Ignorable="a14" a14:legacySpreadsheetColorIndex="47">
                <a:gamma/>
                <a:shade val="46275"/>
                <a:invGamma/>
              </a:srgbClr>
            </a:gs>
          </a:gsLst>
          <a:lin ang="5400000" scaled="1"/>
        </a:gra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2019226607168854E-2"/>
          <c:y val="3.3222591362126248E-2"/>
          <c:w val="0.91676303580493212"/>
          <c:h val="0.5249169435215946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Физиотерапевтични процедури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893873902224812E-2"/>
                  <c:y val="-1.5708607491994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D2D-4CB8-B4E0-1A3789882C4F}"/>
                </c:ext>
              </c:extLst>
            </c:dLbl>
            <c:dLbl>
              <c:idx val="1"/>
              <c:layout>
                <c:manualLayout>
                  <c:x val="2.5694784290880457E-2"/>
                  <c:y val="-1.4900348288777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D2D-4CB8-B4E0-1A3789882C4F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4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2019г.</c:v>
                </c:pt>
                <c:pt idx="1">
                  <c:v>2020г.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16815</c:v>
                </c:pt>
                <c:pt idx="1">
                  <c:v>13014</c:v>
                </c:pt>
              </c:numCache>
            </c:numRef>
          </c:val>
          <c:shape val="cone"/>
          <c:extLst>
            <c:ext xmlns:c16="http://schemas.microsoft.com/office/drawing/2014/chart" uri="{C3380CC4-5D6E-409C-BE32-E72D297353CC}">
              <c16:uniqueId val="{00000002-CD2D-4CB8-B4E0-1A3789882C4F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Балнеолечение и подводно-струеви масаж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0702330674090538E-2"/>
                  <c:y val="-5.84087484780436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D2D-4CB8-B4E0-1A3789882C4F}"/>
                </c:ext>
              </c:extLst>
            </c:dLbl>
            <c:dLbl>
              <c:idx val="1"/>
              <c:layout>
                <c:manualLayout>
                  <c:x val="3.0502515973164248E-2"/>
                  <c:y val="-5.43545620138978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D2D-4CB8-B4E0-1A3789882C4F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4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2019г.</c:v>
                </c:pt>
                <c:pt idx="1">
                  <c:v>2020г.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  <c:pt idx="0">
                  <c:v>10239</c:v>
                </c:pt>
                <c:pt idx="1">
                  <c:v>6141</c:v>
                </c:pt>
              </c:numCache>
            </c:numRef>
          </c:val>
          <c:shape val="cone"/>
          <c:extLst>
            <c:ext xmlns:c16="http://schemas.microsoft.com/office/drawing/2014/chart" uri="{C3380CC4-5D6E-409C-BE32-E72D297353CC}">
              <c16:uniqueId val="{00000005-CD2D-4CB8-B4E0-1A3789882C4F}"/>
            </c:ext>
          </c:extLst>
        </c:ser>
        <c:ser>
          <c:idx val="3"/>
          <c:order val="2"/>
          <c:tx>
            <c:strRef>
              <c:f>Sheet1!$A$4</c:f>
              <c:strCache>
                <c:ptCount val="1"/>
                <c:pt idx="0">
                  <c:v>Кинезитерапия - ЛФК, масаж - сух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735935972617007E-2"/>
                  <c:y val="-5.85450418758855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D2D-4CB8-B4E0-1A3789882C4F}"/>
                </c:ext>
              </c:extLst>
            </c:dLbl>
            <c:dLbl>
              <c:idx val="1"/>
              <c:layout>
                <c:manualLayout>
                  <c:x val="3.0203685055685207E-2"/>
                  <c:y val="-1.26974389829178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D2D-4CB8-B4E0-1A3789882C4F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4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2019г.</c:v>
                </c:pt>
                <c:pt idx="1">
                  <c:v>2020г.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  <c:pt idx="0">
                  <c:v>5865</c:v>
                </c:pt>
                <c:pt idx="1">
                  <c:v>2726</c:v>
                </c:pt>
              </c:numCache>
            </c:numRef>
          </c:val>
          <c:shape val="cone"/>
          <c:extLst>
            <c:ext xmlns:c16="http://schemas.microsoft.com/office/drawing/2014/chart" uri="{C3380CC4-5D6E-409C-BE32-E72D297353CC}">
              <c16:uniqueId val="{00000008-CD2D-4CB8-B4E0-1A3789882C4F}"/>
            </c:ext>
          </c:extLst>
        </c:ser>
        <c:ser>
          <c:idx val="1"/>
          <c:order val="3"/>
          <c:tx>
            <c:strRef>
              <c:f>Sheet1!$A$5</c:f>
              <c:strCache>
                <c:ptCount val="1"/>
                <c:pt idx="0">
                  <c:v>Механотерапия /иглотерапия/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6903132045956657E-3"/>
                  <c:y val="-1.343876997015520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bg-BG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D2D-4CB8-B4E0-1A3789882C4F}"/>
                </c:ext>
              </c:extLst>
            </c:dLbl>
            <c:dLbl>
              <c:idx val="1"/>
              <c:layout>
                <c:manualLayout>
                  <c:x val="1.801256851889016E-2"/>
                  <c:y val="-1.353305094819084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bg-BG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D2D-4CB8-B4E0-1A3789882C4F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2019г.</c:v>
                </c:pt>
                <c:pt idx="1">
                  <c:v>2020г.</c:v>
                </c:pt>
              </c:strCache>
            </c:strRef>
          </c:cat>
          <c:val>
            <c:numRef>
              <c:f>Sheet1!$B$5:$C$5</c:f>
              <c:numCache>
                <c:formatCode>General</c:formatCode>
                <c:ptCount val="2"/>
                <c:pt idx="0">
                  <c:v>1148</c:v>
                </c:pt>
                <c:pt idx="1">
                  <c:v>1701</c:v>
                </c:pt>
              </c:numCache>
            </c:numRef>
          </c:val>
          <c:shape val="cone"/>
          <c:extLst>
            <c:ext xmlns:c16="http://schemas.microsoft.com/office/drawing/2014/chart" uri="{C3380CC4-5D6E-409C-BE32-E72D297353CC}">
              <c16:uniqueId val="{0000000B-CD2D-4CB8-B4E0-1A3789882C4F}"/>
            </c:ext>
          </c:extLst>
        </c:ser>
        <c:ser>
          <c:idx val="5"/>
          <c:order val="4"/>
          <c:tx>
            <c:strRef>
              <c:f>Sheet1!$A$6</c:f>
              <c:strCache>
                <c:ptCount val="1"/>
                <c:pt idx="0">
                  <c:v>Лаборатория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8283767906432574E-2"/>
                  <c:y val="-1.3560633179726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D2D-4CB8-B4E0-1A3789882C4F}"/>
                </c:ext>
              </c:extLst>
            </c:dLbl>
            <c:dLbl>
              <c:idx val="1"/>
              <c:layout>
                <c:manualLayout>
                  <c:x val="3.417223326638906E-2"/>
                  <c:y val="-3.73066088587152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CD2D-4CB8-B4E0-1A3789882C4F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4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2019г.</c:v>
                </c:pt>
                <c:pt idx="1">
                  <c:v>2020г.</c:v>
                </c:pt>
              </c:strCache>
            </c:strRef>
          </c:cat>
          <c:val>
            <c:numRef>
              <c:f>Sheet1!$B$6:$C$6</c:f>
              <c:numCache>
                <c:formatCode>General</c:formatCode>
                <c:ptCount val="2"/>
                <c:pt idx="0">
                  <c:v>1726</c:v>
                </c:pt>
                <c:pt idx="1">
                  <c:v>1339</c:v>
                </c:pt>
              </c:numCache>
            </c:numRef>
          </c:val>
          <c:shape val="cone"/>
          <c:extLst>
            <c:ext xmlns:c16="http://schemas.microsoft.com/office/drawing/2014/chart" uri="{C3380CC4-5D6E-409C-BE32-E72D297353CC}">
              <c16:uniqueId val="{0000000E-CD2D-4CB8-B4E0-1A3789882C4F}"/>
            </c:ext>
          </c:extLst>
        </c:ser>
        <c:ser>
          <c:idx val="7"/>
          <c:order val="5"/>
          <c:tx>
            <c:strRef>
              <c:f>Sheet1!$A$7</c:f>
              <c:strCache>
                <c:ptCount val="1"/>
                <c:pt idx="0">
                  <c:v>Психотерапия</c:v>
                </c:pt>
              </c:strCache>
            </c:strRef>
          </c:tx>
          <c:spPr>
            <a:solidFill>
              <a:srgbClr val="CCCC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7003376929447717E-2"/>
                  <c:y val="-1.13136141030106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D2D-4CB8-B4E0-1A3789882C4F}"/>
                </c:ext>
              </c:extLst>
            </c:dLbl>
            <c:dLbl>
              <c:idx val="1"/>
              <c:layout>
                <c:manualLayout>
                  <c:x val="2.8325474842128114E-2"/>
                  <c:y val="-1.2041246909619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D2D-4CB8-B4E0-1A3789882C4F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4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2019г.</c:v>
                </c:pt>
                <c:pt idx="1">
                  <c:v>2020г.</c:v>
                </c:pt>
              </c:strCache>
            </c:strRef>
          </c:cat>
          <c:val>
            <c:numRef>
              <c:f>Sheet1!$B$7:$C$7</c:f>
              <c:numCache>
                <c:formatCode>General</c:formatCode>
                <c:ptCount val="2"/>
                <c:pt idx="0">
                  <c:v>510</c:v>
                </c:pt>
                <c:pt idx="1">
                  <c:v>380</c:v>
                </c:pt>
              </c:numCache>
            </c:numRef>
          </c:val>
          <c:shape val="cone"/>
          <c:extLst>
            <c:ext xmlns:c16="http://schemas.microsoft.com/office/drawing/2014/chart" uri="{C3380CC4-5D6E-409C-BE32-E72D297353CC}">
              <c16:uniqueId val="{00000011-CD2D-4CB8-B4E0-1A3789882C4F}"/>
            </c:ext>
          </c:extLst>
        </c:ser>
        <c:ser>
          <c:idx val="4"/>
          <c:order val="6"/>
          <c:tx>
            <c:strRef>
              <c:f>Sheet1!$A$8</c:f>
              <c:strCache>
                <c:ptCount val="1"/>
                <c:pt idx="0">
                  <c:v>Функционален кабинет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704546011968621E-2"/>
                  <c:y val="-4.05957326019680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D2D-4CB8-B4E0-1A3789882C4F}"/>
                </c:ext>
              </c:extLst>
            </c:dLbl>
            <c:dLbl>
              <c:idx val="1"/>
              <c:layout>
                <c:manualLayout>
                  <c:x val="2.954887134148387E-2"/>
                  <c:y val="-1.70419376127555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D2D-4CB8-B4E0-1A3789882C4F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4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2019г.</c:v>
                </c:pt>
                <c:pt idx="1">
                  <c:v>2020г.</c:v>
                </c:pt>
              </c:strCache>
            </c:strRef>
          </c:cat>
          <c:val>
            <c:numRef>
              <c:f>Sheet1!$B$8:$C$8</c:f>
              <c:numCache>
                <c:formatCode>General</c:formatCode>
                <c:ptCount val="2"/>
                <c:pt idx="0">
                  <c:v>140</c:v>
                </c:pt>
                <c:pt idx="1">
                  <c:v>43</c:v>
                </c:pt>
              </c:numCache>
            </c:numRef>
          </c:val>
          <c:shape val="cone"/>
          <c:extLst>
            <c:ext xmlns:c16="http://schemas.microsoft.com/office/drawing/2014/chart" uri="{C3380CC4-5D6E-409C-BE32-E72D297353CC}">
              <c16:uniqueId val="{00000014-CD2D-4CB8-B4E0-1A3789882C4F}"/>
            </c:ext>
          </c:extLst>
        </c:ser>
        <c:ser>
          <c:idx val="6"/>
          <c:order val="7"/>
          <c:tx>
            <c:strRef>
              <c:f>Sheet1!$A$9</c:f>
              <c:strCache>
                <c:ptCount val="1"/>
                <c:pt idx="0">
                  <c:v>Парафин</c:v>
                </c:pt>
              </c:strCache>
            </c:strRef>
          </c:tx>
          <c:spPr>
            <a:solidFill>
              <a:srgbClr val="0066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5865362540388738E-2"/>
                  <c:y val="-3.87955330553082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CD2D-4CB8-B4E0-1A3789882C4F}"/>
                </c:ext>
              </c:extLst>
            </c:dLbl>
            <c:dLbl>
              <c:idx val="1"/>
              <c:layout>
                <c:manualLayout>
                  <c:x val="2.4143477824241772E-2"/>
                  <c:y val="-6.81356843858409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CD2D-4CB8-B4E0-1A3789882C4F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4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2019г.</c:v>
                </c:pt>
                <c:pt idx="1">
                  <c:v>2020г.</c:v>
                </c:pt>
              </c:strCache>
            </c:strRef>
          </c:cat>
          <c:val>
            <c:numRef>
              <c:f>Sheet1!$B$9:$C$9</c:f>
              <c:numCache>
                <c:formatCode>General</c:formatCode>
                <c:ptCount val="2"/>
                <c:pt idx="0">
                  <c:v>1778</c:v>
                </c:pt>
                <c:pt idx="1">
                  <c:v>1490</c:v>
                </c:pt>
              </c:numCache>
            </c:numRef>
          </c:val>
          <c:shape val="cone"/>
          <c:extLst>
            <c:ext xmlns:c16="http://schemas.microsoft.com/office/drawing/2014/chart" uri="{C3380CC4-5D6E-409C-BE32-E72D297353CC}">
              <c16:uniqueId val="{00000017-CD2D-4CB8-B4E0-1A3789882C4F}"/>
            </c:ext>
          </c:extLst>
        </c:ser>
        <c:ser>
          <c:idx val="8"/>
          <c:order val="8"/>
          <c:tx>
            <c:strRef>
              <c:f>Sheet1!$A$10</c:f>
              <c:strCache>
                <c:ptCount val="1"/>
                <c:pt idx="0">
                  <c:v>ВСИЧКО</c:v>
                </c:pt>
              </c:strCache>
            </c:strRef>
          </c:tx>
          <c:spPr>
            <a:solidFill>
              <a:srgbClr val="00008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2636529144912296E-2"/>
                  <c:y val="-1.2271441513507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CD2D-4CB8-B4E0-1A3789882C4F}"/>
                </c:ext>
              </c:extLst>
            </c:dLbl>
            <c:dLbl>
              <c:idx val="1"/>
              <c:layout>
                <c:manualLayout>
                  <c:x val="3.3958784459206789E-2"/>
                  <c:y val="-1.15203282423234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CD2D-4CB8-B4E0-1A3789882C4F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4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Sheet1!$B$1:$C$1</c:f>
              <c:strCache>
                <c:ptCount val="2"/>
                <c:pt idx="0">
                  <c:v>2019г.</c:v>
                </c:pt>
                <c:pt idx="1">
                  <c:v>2020г.</c:v>
                </c:pt>
              </c:strCache>
            </c:strRef>
          </c:cat>
          <c:val>
            <c:numRef>
              <c:f>Sheet1!$B$10:$C$10</c:f>
              <c:numCache>
                <c:formatCode>General</c:formatCode>
                <c:ptCount val="2"/>
                <c:pt idx="0">
                  <c:v>38221</c:v>
                </c:pt>
                <c:pt idx="1">
                  <c:v>26834</c:v>
                </c:pt>
              </c:numCache>
            </c:numRef>
          </c:val>
          <c:shape val="cone"/>
          <c:extLst>
            <c:ext xmlns:c16="http://schemas.microsoft.com/office/drawing/2014/chart" uri="{C3380CC4-5D6E-409C-BE32-E72D297353CC}">
              <c16:uniqueId val="{0000001A-CD2D-4CB8-B4E0-1A3789882C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94884992"/>
        <c:axId val="94886528"/>
        <c:axId val="0"/>
      </c:bar3DChart>
      <c:catAx>
        <c:axId val="94884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bg-BG"/>
          </a:p>
        </c:txPr>
        <c:crossAx val="948865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4886528"/>
        <c:scaling>
          <c:orientation val="minMax"/>
          <c:min val="-1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bg-BG"/>
          </a:p>
        </c:txPr>
        <c:crossAx val="94884992"/>
        <c:crosses val="autoZero"/>
        <c:crossBetween val="between"/>
      </c:valAx>
      <c:spPr>
        <a:solidFill>
          <a:srgbClr val="FFCC99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"/>
          <c:y val="0.62392906478795418"/>
          <c:w val="0.978508541005088"/>
          <c:h val="0.37274865312888522"/>
        </c:manualLayout>
      </c:layout>
      <c:overlay val="0"/>
      <c:spPr>
        <a:solidFill>
          <a:srgbClr val="FFCC99"/>
        </a:solidFill>
        <a:ln w="25400">
          <a:noFill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bg-BG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bg-BG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О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О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10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Petyo</dc:creator>
  <cp:lastModifiedBy>Petyo</cp:lastModifiedBy>
  <cp:revision>12</cp:revision>
  <dcterms:created xsi:type="dcterms:W3CDTF">2018-04-17T09:38:00Z</dcterms:created>
  <dcterms:modified xsi:type="dcterms:W3CDTF">2020-04-21T08:00:00Z</dcterms:modified>
</cp:coreProperties>
</file>