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C09" w:rsidRDefault="00A0303B">
      <w:pPr>
        <w:ind w:left="5580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>ДО</w:t>
      </w:r>
    </w:p>
    <w:p w:rsidR="00572C09" w:rsidRDefault="00A0303B">
      <w:pPr>
        <w:ind w:left="5580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>ИЗПЪЛНИТЕЛНИЯ ДИРЕКТОР</w:t>
      </w:r>
    </w:p>
    <w:p w:rsidR="00572C09" w:rsidRDefault="00A0303B">
      <w:pPr>
        <w:ind w:left="5580"/>
      </w:pPr>
      <w:r>
        <w:rPr>
          <w:b/>
          <w:sz w:val="26"/>
          <w:szCs w:val="26"/>
          <w:lang w:val="bg-BG"/>
        </w:rPr>
        <w:t>НА „ТЕРЕМ</w:t>
      </w:r>
      <w:r>
        <w:rPr>
          <w:b/>
          <w:sz w:val="26"/>
          <w:szCs w:val="26"/>
          <w:lang w:val="en-US"/>
        </w:rPr>
        <w:t xml:space="preserve"> </w:t>
      </w:r>
      <w:r>
        <w:rPr>
          <w:b/>
          <w:sz w:val="26"/>
          <w:szCs w:val="26"/>
          <w:lang w:val="bg-BG"/>
        </w:rPr>
        <w:t>Холдинг” ЕАД</w:t>
      </w:r>
    </w:p>
    <w:p w:rsidR="00572C09" w:rsidRDefault="00572C09">
      <w:pPr>
        <w:ind w:left="4680"/>
        <w:rPr>
          <w:b/>
          <w:sz w:val="32"/>
          <w:szCs w:val="32"/>
          <w:lang w:val="bg-BG"/>
        </w:rPr>
      </w:pPr>
    </w:p>
    <w:p w:rsidR="00572C09" w:rsidRDefault="00572C09">
      <w:pPr>
        <w:ind w:left="4680"/>
        <w:rPr>
          <w:b/>
          <w:sz w:val="32"/>
          <w:szCs w:val="32"/>
          <w:lang w:val="bg-BG"/>
        </w:rPr>
      </w:pP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9889"/>
      </w:tblGrid>
      <w:tr w:rsidR="00572C09">
        <w:tc>
          <w:tcPr>
            <w:tcW w:w="9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108" w:type="dxa"/>
            </w:tcMar>
          </w:tcPr>
          <w:p w:rsidR="00572C09" w:rsidRDefault="00A0303B">
            <w:pPr>
              <w:spacing w:before="60" w:line="320" w:lineRule="atLeast"/>
              <w:jc w:val="center"/>
              <w:rPr>
                <w:b/>
                <w:sz w:val="32"/>
                <w:szCs w:val="32"/>
                <w:lang w:val="bg-BG"/>
              </w:rPr>
            </w:pPr>
            <w:r>
              <w:rPr>
                <w:b/>
                <w:sz w:val="32"/>
                <w:szCs w:val="32"/>
                <w:lang w:val="bg-BG"/>
              </w:rPr>
              <w:t>ОТЧЕТ</w:t>
            </w:r>
          </w:p>
          <w:p w:rsidR="00572C09" w:rsidRDefault="00A0303B">
            <w:pPr>
              <w:spacing w:before="60" w:line="320" w:lineRule="atLeast"/>
              <w:jc w:val="center"/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bg-BG"/>
              </w:rPr>
              <w:t>От  инж.  Валерий Петров Владинов</w:t>
            </w:r>
          </w:p>
          <w:p w:rsidR="00572C09" w:rsidRDefault="00A0303B">
            <w:pPr>
              <w:spacing w:before="60" w:line="320" w:lineRule="atLeast"/>
              <w:jc w:val="center"/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bg-BG"/>
              </w:rPr>
              <w:t>управител на „ТЕРЕМ – ЛЕТЕЦ” ЕООД, гр. София</w:t>
            </w:r>
          </w:p>
        </w:tc>
      </w:tr>
    </w:tbl>
    <w:p w:rsidR="00572C09" w:rsidRDefault="00572C09">
      <w:pPr>
        <w:ind w:left="4680"/>
        <w:rPr>
          <w:b/>
          <w:sz w:val="32"/>
          <w:szCs w:val="32"/>
          <w:lang w:val="bg-BG"/>
        </w:rPr>
      </w:pPr>
      <w:bookmarkStart w:id="0" w:name="_Toc180308915"/>
      <w:bookmarkStart w:id="1" w:name="_Toc175573963"/>
      <w:bookmarkStart w:id="2" w:name="_Toc175470700"/>
      <w:bookmarkStart w:id="3" w:name="_Toc175379530"/>
      <w:bookmarkEnd w:id="0"/>
      <w:bookmarkEnd w:id="1"/>
      <w:bookmarkEnd w:id="2"/>
      <w:bookmarkEnd w:id="3"/>
    </w:p>
    <w:tbl>
      <w:tblPr>
        <w:tblW w:w="10171" w:type="dxa"/>
        <w:tblInd w:w="-34" w:type="dxa"/>
        <w:tblLook w:val="0000"/>
      </w:tblPr>
      <w:tblGrid>
        <w:gridCol w:w="1417"/>
        <w:gridCol w:w="8506"/>
        <w:gridCol w:w="248"/>
      </w:tblGrid>
      <w:tr w:rsidR="00572C09">
        <w:trPr>
          <w:trHeight w:val="585"/>
        </w:trPr>
        <w:tc>
          <w:tcPr>
            <w:tcW w:w="1417" w:type="dxa"/>
            <w:shd w:val="clear" w:color="auto" w:fill="auto"/>
            <w:vAlign w:val="center"/>
          </w:tcPr>
          <w:p w:rsidR="00572C09" w:rsidRDefault="00A0303B">
            <w:pPr>
              <w:pStyle w:val="Title"/>
              <w:spacing w:after="140"/>
              <w:jc w:val="left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u w:val="single"/>
                <w:lang w:val="bg-BG"/>
              </w:rPr>
              <w:t>Относно</w:t>
            </w:r>
            <w:r>
              <w:rPr>
                <w:sz w:val="22"/>
                <w:szCs w:val="22"/>
                <w:lang w:val="bg-BG"/>
              </w:rPr>
              <w:t>:</w:t>
            </w:r>
          </w:p>
        </w:tc>
        <w:tc>
          <w:tcPr>
            <w:tcW w:w="8753" w:type="dxa"/>
            <w:gridSpan w:val="2"/>
            <w:shd w:val="clear" w:color="auto" w:fill="auto"/>
          </w:tcPr>
          <w:p w:rsidR="00572C09" w:rsidRDefault="00A0303B">
            <w:pPr>
              <w:pStyle w:val="Title"/>
              <w:spacing w:before="140" w:after="140"/>
              <w:jc w:val="left"/>
              <w:rPr>
                <w:sz w:val="22"/>
                <w:szCs w:val="22"/>
                <w:lang w:val="bg-BG"/>
              </w:rPr>
            </w:pPr>
            <w:r>
              <w:rPr>
                <w:i/>
                <w:sz w:val="22"/>
                <w:szCs w:val="22"/>
                <w:lang w:val="bg-BG"/>
              </w:rPr>
              <w:t>Резултати от дейността на „Терем – Летец” ЕООД за периода 01.0</w:t>
            </w:r>
            <w:r>
              <w:rPr>
                <w:i/>
                <w:sz w:val="22"/>
                <w:szCs w:val="22"/>
              </w:rPr>
              <w:t>1.</w:t>
            </w:r>
            <w:r>
              <w:rPr>
                <w:i/>
                <w:sz w:val="22"/>
                <w:szCs w:val="22"/>
                <w:lang w:val="bg-BG"/>
              </w:rPr>
              <w:t xml:space="preserve"> до 30.06.2019 г.</w:t>
            </w:r>
          </w:p>
        </w:tc>
      </w:tr>
      <w:tr w:rsidR="00572C09">
        <w:trPr>
          <w:trHeight w:val="465"/>
        </w:trPr>
        <w:tc>
          <w:tcPr>
            <w:tcW w:w="9922" w:type="dxa"/>
            <w:gridSpan w:val="2"/>
            <w:shd w:val="clear" w:color="auto" w:fill="FFFFFF"/>
          </w:tcPr>
          <w:p w:rsidR="00572C09" w:rsidRDefault="00A0303B">
            <w:pPr>
              <w:ind w:left="5" w:firstLine="697"/>
              <w:jc w:val="both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Уважаеми господин </w:t>
            </w:r>
            <w:r>
              <w:rPr>
                <w:b/>
                <w:sz w:val="22"/>
                <w:szCs w:val="22"/>
                <w:lang w:val="bg-BG"/>
              </w:rPr>
              <w:t>Председател на Съвета на директорите,</w:t>
            </w:r>
          </w:p>
          <w:p w:rsidR="00572C09" w:rsidRDefault="00A0303B">
            <w:pPr>
              <w:tabs>
                <w:tab w:val="left" w:pos="639"/>
              </w:tabs>
              <w:ind w:left="5" w:right="-9" w:firstLine="697"/>
              <w:jc w:val="both"/>
            </w:pPr>
            <w:r>
              <w:rPr>
                <w:sz w:val="22"/>
                <w:szCs w:val="22"/>
                <w:lang w:val="bg-BG"/>
              </w:rPr>
              <w:t>В съответствие с чл. 24, ал. 1 от Правилника за реда за упражняване правата на държавата в търговските дружества с държавно участие в капитала и в изпълнение на чл. 4 от Договора за възлагане на управление на еднолично</w:t>
            </w:r>
            <w:r>
              <w:rPr>
                <w:sz w:val="22"/>
                <w:szCs w:val="22"/>
                <w:lang w:val="bg-BG"/>
              </w:rPr>
              <w:t xml:space="preserve"> търговско дружество с ограничена отговорност с държавно имущество „Терем – Летец” ЕООД , Ви представям следния отчет за резултатите от дейността, структуриран по основни направления:</w:t>
            </w:r>
          </w:p>
        </w:tc>
        <w:tc>
          <w:tcPr>
            <w:tcW w:w="248" w:type="dxa"/>
            <w:shd w:val="clear" w:color="auto" w:fill="auto"/>
          </w:tcPr>
          <w:p w:rsidR="00572C09" w:rsidRDefault="00572C09"/>
        </w:tc>
      </w:tr>
    </w:tbl>
    <w:p w:rsidR="00572C09" w:rsidRDefault="00572C09">
      <w:pPr>
        <w:rPr>
          <w:sz w:val="22"/>
          <w:szCs w:val="22"/>
          <w:lang w:val="bg-BG"/>
        </w:rPr>
      </w:pPr>
    </w:p>
    <w:p w:rsidR="00572C09" w:rsidRDefault="00A0303B">
      <w:pPr>
        <w:keepNext/>
        <w:numPr>
          <w:ilvl w:val="0"/>
          <w:numId w:val="1"/>
        </w:numPr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Изпълнение на целите заложени в Бизнеспрограмата на дружеството</w:t>
      </w:r>
    </w:p>
    <w:p w:rsidR="00572C09" w:rsidRDefault="00572C09">
      <w:pPr>
        <w:jc w:val="both"/>
        <w:rPr>
          <w:b/>
          <w:sz w:val="22"/>
          <w:szCs w:val="22"/>
          <w:lang w:val="bg-BG"/>
        </w:rPr>
      </w:pPr>
    </w:p>
    <w:tbl>
      <w:tblPr>
        <w:tblW w:w="10314" w:type="dxa"/>
        <w:tblInd w:w="-2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10496"/>
      </w:tblGrid>
      <w:tr w:rsidR="00572C09"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108" w:type="dxa"/>
            </w:tcMar>
          </w:tcPr>
          <w:p w:rsidR="00572C09" w:rsidRDefault="00A0303B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1.1.</w:t>
            </w:r>
            <w:r>
              <w:rPr>
                <w:sz w:val="22"/>
                <w:szCs w:val="22"/>
                <w:lang w:val="bg-BG"/>
              </w:rPr>
              <w:t xml:space="preserve"> Реализирани приходи през отчетния период, при спазване принципа на съпоставимост на приходите с разходите. Анализ на тенденциите и отклоненията спрямо Бизнеспрограмата. Причини за отклоненията.</w:t>
            </w:r>
          </w:p>
        </w:tc>
      </w:tr>
      <w:tr w:rsidR="00572C09">
        <w:trPr>
          <w:trHeight w:val="512"/>
        </w:trPr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2C09" w:rsidRDefault="00572C09"/>
          <w:tbl>
            <w:tblPr>
              <w:tblW w:w="978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0280"/>
            </w:tblGrid>
            <w:tr w:rsidR="00572C09">
              <w:trPr>
                <w:trHeight w:val="270"/>
              </w:trPr>
              <w:tc>
                <w:tcPr>
                  <w:tcW w:w="9780" w:type="dxa"/>
                  <w:shd w:val="clear" w:color="auto" w:fill="auto"/>
                </w:tcPr>
                <w:p w:rsidR="00572C09" w:rsidRDefault="00A0303B">
                  <w:pPr>
                    <w:ind w:firstLine="72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ru-RU"/>
                    </w:rPr>
                    <w:t xml:space="preserve">Реализираните приходи </w:t>
                  </w: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от продукция</w:t>
                  </w:r>
                  <w:r>
                    <w:rPr>
                      <w:color w:val="000000"/>
                      <w:sz w:val="22"/>
                      <w:szCs w:val="22"/>
                      <w:lang w:val="ru-RU"/>
                    </w:rPr>
                    <w:t xml:space="preserve"> в периода 01.01. до 30.0</w:t>
                  </w:r>
                  <w:r>
                    <w:rPr>
                      <w:color w:val="000000"/>
                      <w:sz w:val="22"/>
                      <w:szCs w:val="22"/>
                      <w:lang w:val="ru-RU"/>
                    </w:rPr>
                    <w:t>6.2019 г., при спазване принципа на съпоставимост на приходите с разходите, са в размер на 2 486 000 лева</w:t>
                  </w: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., от които за специална продукция са 1 320 000 лева, а за гражданска продукция – 1 166 000 лева.</w:t>
                  </w:r>
                  <w:r>
                    <w:rPr>
                      <w:color w:val="000000"/>
                      <w:sz w:val="22"/>
                      <w:szCs w:val="22"/>
                      <w:lang w:val="ru-RU"/>
                    </w:rPr>
                    <w:t xml:space="preserve"> Анализ на тенденциите и отклоненията спрямо Бизнеспро</w:t>
                  </w:r>
                  <w:r>
                    <w:rPr>
                      <w:color w:val="000000"/>
                      <w:sz w:val="22"/>
                      <w:szCs w:val="22"/>
                      <w:lang w:val="ru-RU"/>
                    </w:rPr>
                    <w:t xml:space="preserve">грамата, показва, че </w:t>
                  </w: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през</w:t>
                  </w:r>
                  <w:r>
                    <w:rPr>
                      <w:color w:val="000000"/>
                      <w:sz w:val="22"/>
                      <w:szCs w:val="22"/>
                      <w:lang w:val="ru-RU"/>
                    </w:rPr>
                    <w:t xml:space="preserve"> съответния </w:t>
                  </w: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период</w:t>
                  </w:r>
                  <w:r>
                    <w:rPr>
                      <w:color w:val="000000"/>
                      <w:sz w:val="22"/>
                      <w:szCs w:val="22"/>
                      <w:lang w:val="ru-RU"/>
                    </w:rPr>
                    <w:t xml:space="preserve"> дружеството отчита</w:t>
                  </w: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 xml:space="preserve"> </w:t>
                  </w:r>
                  <w:r>
                    <w:rPr>
                      <w:color w:val="000000"/>
                      <w:sz w:val="22"/>
                      <w:szCs w:val="22"/>
                      <w:lang w:val="ru-RU"/>
                    </w:rPr>
                    <w:t xml:space="preserve">ръст в гражданската продукция, дължащ се основно на дейностите по оказване на техническа помощ на граждански авиационни фирми. В същото време липсата на новосключени договори за КВР на вертолети и забавата с </w:t>
                  </w: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доставката на лапоти носещ винт (ЛНВ) з</w:t>
                  </w:r>
                  <w:r>
                    <w:rPr>
                      <w:color w:val="000000"/>
                      <w:sz w:val="22"/>
                      <w:szCs w:val="22"/>
                      <w:lang w:val="ru-RU"/>
                    </w:rPr>
                    <w:t>а вертоле</w:t>
                  </w:r>
                  <w:r>
                    <w:rPr>
                      <w:color w:val="000000"/>
                      <w:sz w:val="22"/>
                      <w:szCs w:val="22"/>
                      <w:lang w:val="ru-RU"/>
                    </w:rPr>
                    <w:t xml:space="preserve">т Ми 24П, собственост на Р. Конго, а също забавянето в доставката на извънобемните агрегати </w:t>
                  </w: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(двигатели, главен редуктор и спомагателен двигател)</w:t>
                  </w:r>
                  <w:r>
                    <w:rPr>
                      <w:color w:val="000000"/>
                      <w:sz w:val="22"/>
                      <w:szCs w:val="22"/>
                      <w:lang w:val="ru-RU"/>
                    </w:rPr>
                    <w:t>, необходими за завършването на ремонта на вертолет Ми</w:t>
                  </w:r>
                  <w:r>
                    <w:rPr>
                      <w:color w:val="000000"/>
                      <w:sz w:val="22"/>
                      <w:szCs w:val="22"/>
                      <w:lang w:val="ru-RU"/>
                    </w:rPr>
                    <w:noBreakHyphen/>
                    <w:t xml:space="preserve">17 № 418 на ВВС на </w:t>
                  </w: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Р. България</w:t>
                  </w:r>
                  <w:r>
                    <w:rPr>
                      <w:color w:val="000000"/>
                      <w:sz w:val="22"/>
                      <w:szCs w:val="22"/>
                      <w:lang w:val="ru-RU"/>
                    </w:rPr>
                    <w:t>, са предпоставки за неизпъ</w:t>
                  </w:r>
                  <w:r>
                    <w:rPr>
                      <w:color w:val="000000"/>
                      <w:sz w:val="22"/>
                      <w:szCs w:val="22"/>
                      <w:lang w:val="ru-RU"/>
                    </w:rPr>
                    <w:t>лнението на Бизнеспрограмата през 2019 г. в частта специална продукция.</w:t>
                  </w:r>
                </w:p>
                <w:p w:rsidR="00572C09" w:rsidRDefault="00572C09">
                  <w:pPr>
                    <w:ind w:firstLine="720"/>
                    <w:jc w:val="both"/>
                    <w:rPr>
                      <w:sz w:val="22"/>
                      <w:szCs w:val="22"/>
                      <w:lang w:val="en-US"/>
                    </w:rPr>
                  </w:pPr>
                </w:p>
                <w:tbl>
                  <w:tblPr>
                    <w:tblW w:w="10060" w:type="dxa"/>
                    <w:tblBorders>
                      <w:top w:val="single" w:sz="4" w:space="0" w:color="000001"/>
                      <w:left w:val="single" w:sz="4" w:space="0" w:color="000001"/>
                      <w:bottom w:val="single" w:sz="4" w:space="0" w:color="000001"/>
                      <w:right w:val="single" w:sz="4" w:space="0" w:color="000001"/>
                      <w:insideH w:val="single" w:sz="4" w:space="0" w:color="000001"/>
                      <w:insideV w:val="single" w:sz="4" w:space="0" w:color="000001"/>
                    </w:tblBorders>
                    <w:tblCellMar>
                      <w:left w:w="103" w:type="dxa"/>
                    </w:tblCellMar>
                    <w:tblLook w:val="0000"/>
                  </w:tblPr>
                  <w:tblGrid>
                    <w:gridCol w:w="537"/>
                    <w:gridCol w:w="2880"/>
                    <w:gridCol w:w="975"/>
                    <w:gridCol w:w="1167"/>
                    <w:gridCol w:w="1384"/>
                    <w:gridCol w:w="1417"/>
                    <w:gridCol w:w="1290"/>
                    <w:gridCol w:w="410"/>
                  </w:tblGrid>
                  <w:tr w:rsidR="00572C09">
                    <w:tc>
                      <w:tcPr>
                        <w:tcW w:w="10058" w:type="dxa"/>
                        <w:gridSpan w:val="8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pct10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center"/>
                          <w:rPr>
                            <w:b/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  <w:lang w:val="bg-BG"/>
                          </w:rPr>
                          <w:t>Направления на реализация</w:t>
                        </w:r>
                      </w:p>
                    </w:tc>
                  </w:tr>
                  <w:tr w:rsidR="00572C09">
                    <w:tc>
                      <w:tcPr>
                        <w:tcW w:w="536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both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№ по ред</w:t>
                        </w:r>
                      </w:p>
                    </w:tc>
                    <w:tc>
                      <w:tcPr>
                        <w:tcW w:w="2879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572C09">
                        <w:pPr>
                          <w:tabs>
                            <w:tab w:val="left" w:pos="0"/>
                          </w:tabs>
                          <w:jc w:val="center"/>
                          <w:rPr>
                            <w:sz w:val="22"/>
                            <w:szCs w:val="22"/>
                            <w:lang w:val="bg-BG"/>
                          </w:rPr>
                        </w:pPr>
                      </w:p>
                      <w:p w:rsidR="00572C09" w:rsidRDefault="00A0303B">
                        <w:pPr>
                          <w:tabs>
                            <w:tab w:val="left" w:pos="0"/>
                          </w:tabs>
                          <w:jc w:val="center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Показатели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both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мярка</w:t>
                        </w:r>
                      </w:p>
                    </w:tc>
                    <w:tc>
                      <w:tcPr>
                        <w:tcW w:w="1167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Разчет</w:t>
                        </w: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по БП за периода</w:t>
                        </w:r>
                      </w:p>
                      <w:p w:rsidR="00572C09" w:rsidRDefault="00572C09">
                        <w:pPr>
                          <w:jc w:val="center"/>
                          <w:rPr>
                            <w:sz w:val="22"/>
                            <w:szCs w:val="22"/>
                            <w:lang w:val="bg-BG"/>
                          </w:rPr>
                        </w:pPr>
                      </w:p>
                    </w:tc>
                    <w:tc>
                      <w:tcPr>
                        <w:tcW w:w="1384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jc w:val="center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Отчетни</w:t>
                        </w:r>
                      </w:p>
                      <w:p w:rsidR="00572C09" w:rsidRDefault="00A0303B">
                        <w:pPr>
                          <w:jc w:val="center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данни за периода</w:t>
                        </w:r>
                      </w:p>
                      <w:p w:rsidR="00572C09" w:rsidRDefault="00A0303B">
                        <w:pPr>
                          <w:jc w:val="center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.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отклонения</w:t>
                        </w:r>
                      </w:p>
                    </w:tc>
                    <w:tc>
                      <w:tcPr>
                        <w:tcW w:w="1700" w:type="dxa"/>
                        <w:gridSpan w:val="2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center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Изменение,</w:t>
                        </w: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%</w:t>
                        </w: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 xml:space="preserve"> %</w:t>
                        </w:r>
                      </w:p>
                    </w:tc>
                  </w:tr>
                  <w:tr w:rsidR="00572C09">
                    <w:tc>
                      <w:tcPr>
                        <w:tcW w:w="536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572C09">
                        <w:pPr>
                          <w:tabs>
                            <w:tab w:val="left" w:pos="0"/>
                          </w:tabs>
                          <w:jc w:val="both"/>
                          <w:rPr>
                            <w:sz w:val="22"/>
                            <w:szCs w:val="22"/>
                            <w:lang w:val="bg-BG"/>
                          </w:rPr>
                        </w:pPr>
                      </w:p>
                    </w:tc>
                    <w:tc>
                      <w:tcPr>
                        <w:tcW w:w="2879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572C09">
                        <w:pPr>
                          <w:tabs>
                            <w:tab w:val="left" w:pos="0"/>
                          </w:tabs>
                          <w:jc w:val="both"/>
                          <w:rPr>
                            <w:sz w:val="22"/>
                            <w:szCs w:val="22"/>
                            <w:lang w:val="bg-BG"/>
                          </w:rPr>
                        </w:pPr>
                      </w:p>
                    </w:tc>
                    <w:tc>
                      <w:tcPr>
                        <w:tcW w:w="97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572C09">
                        <w:pPr>
                          <w:tabs>
                            <w:tab w:val="left" w:pos="0"/>
                          </w:tabs>
                          <w:jc w:val="both"/>
                          <w:rPr>
                            <w:sz w:val="22"/>
                            <w:szCs w:val="22"/>
                            <w:lang w:val="bg-BG"/>
                          </w:rPr>
                        </w:pPr>
                      </w:p>
                    </w:tc>
                    <w:tc>
                      <w:tcPr>
                        <w:tcW w:w="1167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572C09">
                        <w:pPr>
                          <w:tabs>
                            <w:tab w:val="left" w:pos="0"/>
                          </w:tabs>
                          <w:jc w:val="right"/>
                          <w:rPr>
                            <w:sz w:val="22"/>
                            <w:szCs w:val="22"/>
                            <w:lang w:val="bg-BG"/>
                          </w:rPr>
                        </w:pPr>
                      </w:p>
                    </w:tc>
                    <w:tc>
                      <w:tcPr>
                        <w:tcW w:w="1384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572C09">
                        <w:pPr>
                          <w:tabs>
                            <w:tab w:val="left" w:pos="0"/>
                          </w:tabs>
                          <w:jc w:val="right"/>
                          <w:rPr>
                            <w:sz w:val="22"/>
                            <w:szCs w:val="22"/>
                            <w:lang w:val="en-US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572C09">
                        <w:pPr>
                          <w:pStyle w:val="ListParagraph"/>
                          <w:ind w:left="0"/>
                          <w:jc w:val="right"/>
                          <w:rPr>
                            <w:sz w:val="22"/>
                            <w:szCs w:val="22"/>
                            <w:lang w:val="bg-BG"/>
                          </w:rPr>
                        </w:pPr>
                      </w:p>
                    </w:tc>
                    <w:tc>
                      <w:tcPr>
                        <w:tcW w:w="129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572C09">
                        <w:pPr>
                          <w:tabs>
                            <w:tab w:val="left" w:pos="0"/>
                          </w:tabs>
                          <w:jc w:val="right"/>
                          <w:rPr>
                            <w:sz w:val="22"/>
                            <w:szCs w:val="22"/>
                            <w:lang w:val="bg-BG"/>
                          </w:rPr>
                        </w:pPr>
                      </w:p>
                    </w:tc>
                    <w:tc>
                      <w:tcPr>
                        <w:tcW w:w="410" w:type="dxa"/>
                        <w:shd w:val="clear" w:color="auto" w:fill="auto"/>
                      </w:tcPr>
                      <w:p w:rsidR="00572C09" w:rsidRDefault="00572C09"/>
                    </w:tc>
                  </w:tr>
                  <w:tr w:rsidR="00572C09">
                    <w:tc>
                      <w:tcPr>
                        <w:tcW w:w="536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both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1</w:t>
                        </w:r>
                      </w:p>
                    </w:tc>
                    <w:tc>
                      <w:tcPr>
                        <w:tcW w:w="2879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both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Специална продукция и услуги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both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хил. лв.</w:t>
                        </w:r>
                      </w:p>
                    </w:tc>
                    <w:tc>
                      <w:tcPr>
                        <w:tcW w:w="1167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right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2</w:t>
                        </w: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550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righ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2486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pStyle w:val="ListParagraph"/>
                          <w:ind w:left="0"/>
                          <w:jc w:val="right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-64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right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98 %</w:t>
                        </w:r>
                      </w:p>
                    </w:tc>
                    <w:tc>
                      <w:tcPr>
                        <w:tcW w:w="410" w:type="dxa"/>
                        <w:shd w:val="clear" w:color="auto" w:fill="auto"/>
                      </w:tcPr>
                      <w:p w:rsidR="00572C09" w:rsidRDefault="00572C09"/>
                    </w:tc>
                  </w:tr>
                  <w:tr w:rsidR="00572C09">
                    <w:tc>
                      <w:tcPr>
                        <w:tcW w:w="536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both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1.1</w:t>
                        </w:r>
                      </w:p>
                    </w:tc>
                    <w:tc>
                      <w:tcPr>
                        <w:tcW w:w="2879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both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 xml:space="preserve"> - за МО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both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хил. лв.</w:t>
                        </w:r>
                      </w:p>
                    </w:tc>
                    <w:tc>
                      <w:tcPr>
                        <w:tcW w:w="1167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right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0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righ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pStyle w:val="ListParagraph"/>
                          <w:jc w:val="right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right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0%</w:t>
                        </w:r>
                      </w:p>
                    </w:tc>
                    <w:tc>
                      <w:tcPr>
                        <w:tcW w:w="410" w:type="dxa"/>
                        <w:shd w:val="clear" w:color="auto" w:fill="auto"/>
                      </w:tcPr>
                      <w:p w:rsidR="00572C09" w:rsidRDefault="00572C09"/>
                    </w:tc>
                  </w:tr>
                  <w:tr w:rsidR="00572C09">
                    <w:tc>
                      <w:tcPr>
                        <w:tcW w:w="536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both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1.2</w:t>
                        </w:r>
                      </w:p>
                    </w:tc>
                    <w:tc>
                      <w:tcPr>
                        <w:tcW w:w="2879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both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 xml:space="preserve"> - специален износ, ВОП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both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хил. лв.</w:t>
                        </w:r>
                      </w:p>
                    </w:tc>
                    <w:tc>
                      <w:tcPr>
                        <w:tcW w:w="1167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right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0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righ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pStyle w:val="ListParagraph"/>
                          <w:jc w:val="right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right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0%</w:t>
                        </w:r>
                      </w:p>
                    </w:tc>
                    <w:tc>
                      <w:tcPr>
                        <w:tcW w:w="410" w:type="dxa"/>
                        <w:shd w:val="clear" w:color="auto" w:fill="auto"/>
                      </w:tcPr>
                      <w:p w:rsidR="00572C09" w:rsidRDefault="00572C09"/>
                    </w:tc>
                  </w:tr>
                  <w:tr w:rsidR="00572C09">
                    <w:tc>
                      <w:tcPr>
                        <w:tcW w:w="536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both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1.3</w:t>
                        </w:r>
                      </w:p>
                    </w:tc>
                    <w:tc>
                      <w:tcPr>
                        <w:tcW w:w="2879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both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 xml:space="preserve"> - друга спец. продукция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both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хил. лв.</w:t>
                        </w:r>
                      </w:p>
                    </w:tc>
                    <w:tc>
                      <w:tcPr>
                        <w:tcW w:w="1167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right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2350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ind w:left="360"/>
                          <w:jc w:val="righ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 xml:space="preserve">1 </w:t>
                        </w: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320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ind w:left="360"/>
                          <w:jc w:val="right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-1 030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right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56 %</w:t>
                        </w:r>
                      </w:p>
                    </w:tc>
                    <w:tc>
                      <w:tcPr>
                        <w:tcW w:w="410" w:type="dxa"/>
                        <w:shd w:val="clear" w:color="auto" w:fill="auto"/>
                      </w:tcPr>
                      <w:p w:rsidR="00572C09" w:rsidRDefault="00572C09"/>
                    </w:tc>
                  </w:tr>
                  <w:tr w:rsidR="00572C09">
                    <w:tc>
                      <w:tcPr>
                        <w:tcW w:w="536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both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2</w:t>
                        </w:r>
                      </w:p>
                    </w:tc>
                    <w:tc>
                      <w:tcPr>
                        <w:tcW w:w="2879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both"/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Гражданска продукция и услуги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both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хил. лв.</w:t>
                        </w:r>
                      </w:p>
                    </w:tc>
                    <w:tc>
                      <w:tcPr>
                        <w:tcW w:w="1167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right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200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righ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1</w:t>
                        </w: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166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pStyle w:val="ListParagraph"/>
                          <w:jc w:val="right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966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572C09" w:rsidRDefault="00A0303B">
                        <w:pPr>
                          <w:tabs>
                            <w:tab w:val="left" w:pos="0"/>
                          </w:tabs>
                          <w:jc w:val="right"/>
                          <w:rPr>
                            <w:sz w:val="22"/>
                            <w:szCs w:val="22"/>
                            <w:lang w:val="bg-BG"/>
                          </w:rPr>
                        </w:pPr>
                        <w:r>
                          <w:rPr>
                            <w:sz w:val="22"/>
                            <w:szCs w:val="22"/>
                            <w:lang w:val="bg-BG"/>
                          </w:rPr>
                          <w:t>583 %</w:t>
                        </w:r>
                      </w:p>
                    </w:tc>
                    <w:tc>
                      <w:tcPr>
                        <w:tcW w:w="410" w:type="dxa"/>
                        <w:shd w:val="clear" w:color="auto" w:fill="auto"/>
                      </w:tcPr>
                      <w:p w:rsidR="00572C09" w:rsidRDefault="00572C09"/>
                    </w:tc>
                  </w:tr>
                </w:tbl>
                <w:p w:rsidR="00572C09" w:rsidRDefault="00572C09">
                  <w:pPr>
                    <w:spacing w:beforeAutospacing="1"/>
                    <w:ind w:hanging="45"/>
                    <w:rPr>
                      <w:color w:val="FF0000"/>
                      <w:sz w:val="22"/>
                      <w:szCs w:val="22"/>
                      <w:lang w:val="bg-BG" w:eastAsia="bg-BG"/>
                    </w:rPr>
                  </w:pPr>
                </w:p>
              </w:tc>
            </w:tr>
          </w:tbl>
          <w:p w:rsidR="00572C09" w:rsidRDefault="00572C09">
            <w:pPr>
              <w:tabs>
                <w:tab w:val="left" w:pos="0"/>
              </w:tabs>
              <w:ind w:hanging="45"/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572C09"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108" w:type="dxa"/>
            </w:tcMar>
          </w:tcPr>
          <w:p w:rsidR="00572C09" w:rsidRDefault="00A0303B">
            <w:pPr>
              <w:tabs>
                <w:tab w:val="left" w:pos="7088"/>
              </w:tabs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1.2. Финансов резултат – </w:t>
            </w:r>
            <w:r>
              <w:rPr>
                <w:sz w:val="22"/>
                <w:szCs w:val="22"/>
                <w:lang w:val="bg-BG"/>
              </w:rPr>
              <w:t xml:space="preserve">анализ по видове дейности (оперативна, инвестициона, финансова) и причини за </w:t>
            </w:r>
            <w:r>
              <w:rPr>
                <w:sz w:val="22"/>
                <w:szCs w:val="22"/>
                <w:lang w:val="bg-BG"/>
              </w:rPr>
              <w:lastRenderedPageBreak/>
              <w:t>отклоненията спрямо Бизнеспрограмата.</w:t>
            </w:r>
          </w:p>
        </w:tc>
      </w:tr>
      <w:tr w:rsidR="00572C09">
        <w:trPr>
          <w:trHeight w:val="405"/>
        </w:trPr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2C09" w:rsidRDefault="00A0303B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 xml:space="preserve">       </w:t>
            </w:r>
          </w:p>
          <w:p w:rsidR="00572C09" w:rsidRDefault="00A0303B">
            <w:pPr>
              <w:tabs>
                <w:tab w:val="left" w:pos="567"/>
              </w:tabs>
              <w:jc w:val="both"/>
            </w:pPr>
            <w:r>
              <w:rPr>
                <w:sz w:val="22"/>
                <w:szCs w:val="22"/>
                <w:lang w:val="bg-BG"/>
              </w:rPr>
              <w:t xml:space="preserve">Планираната в Бизнеспрограмата счетоводна печалба за периода 01.01. 2019 – 30.06.2019 г. е в размер на </w:t>
            </w:r>
            <w:r>
              <w:rPr>
                <w:sz w:val="22"/>
                <w:szCs w:val="22"/>
                <w:lang w:val="en-US"/>
              </w:rPr>
              <w:t>95</w:t>
            </w:r>
            <w:r>
              <w:rPr>
                <w:sz w:val="22"/>
                <w:szCs w:val="22"/>
                <w:lang w:val="bg-BG"/>
              </w:rPr>
              <w:t xml:space="preserve"> 000 лв. Резултатите от изпълнението на планираното производство генерираха отрицателен финансов резултат в размер на </w:t>
            </w:r>
            <w:r>
              <w:rPr>
                <w:sz w:val="22"/>
                <w:szCs w:val="22"/>
                <w:lang w:val="en-US"/>
              </w:rPr>
              <w:t>407</w:t>
            </w:r>
            <w:r>
              <w:rPr>
                <w:sz w:val="22"/>
                <w:szCs w:val="22"/>
                <w:lang w:val="bg-BG"/>
              </w:rPr>
              <w:t xml:space="preserve"> 000 лв. Това се дължи на </w:t>
            </w:r>
            <w:r>
              <w:rPr>
                <w:sz w:val="22"/>
                <w:szCs w:val="22"/>
                <w:lang w:val="ru-RU"/>
              </w:rPr>
              <w:t xml:space="preserve"> забавянето </w:t>
            </w:r>
            <w:r>
              <w:rPr>
                <w:sz w:val="22"/>
                <w:szCs w:val="22"/>
                <w:lang w:val="bg-BG"/>
              </w:rPr>
              <w:t xml:space="preserve">на финалната фаза на </w:t>
            </w:r>
            <w:r>
              <w:rPr>
                <w:sz w:val="22"/>
                <w:szCs w:val="22"/>
                <w:lang w:val="ru-RU"/>
              </w:rPr>
              <w:t xml:space="preserve">ремонта на  вертолет Ми 24П, собственост на Р Конго, в </w:t>
            </w:r>
            <w:r>
              <w:rPr>
                <w:sz w:val="22"/>
                <w:szCs w:val="22"/>
                <w:lang w:val="bg-BG"/>
              </w:rPr>
              <w:t>стартирането на ремонта втория вертолет Ми-17 борд. № 421, собственост на МО и направените допълнителни разходи, свързани с ремонти по вертолет Ми-17 борд. № 419 във връзка с предписанията на външен одит от Вертолети Русия и конструкторското бюро на МиЛ, Р</w:t>
            </w:r>
            <w:r>
              <w:rPr>
                <w:sz w:val="22"/>
                <w:szCs w:val="22"/>
                <w:lang w:val="bg-BG"/>
              </w:rPr>
              <w:t>усия. Оперативната дейност на дружеството се основава в най-висока степен на работната сила и в този смисъл разходите за персонала са с най-голям дял в общите разходи и представляват относително постоянна величина за дружеството.</w:t>
            </w:r>
          </w:p>
          <w:p w:rsidR="00572C09" w:rsidRDefault="00572C09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572C09">
        <w:trPr>
          <w:trHeight w:val="332"/>
        </w:trPr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108" w:type="dxa"/>
            </w:tcMar>
          </w:tcPr>
          <w:p w:rsidR="00572C09" w:rsidRDefault="00A0303B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1.3. Финансови показател</w:t>
            </w:r>
            <w:r>
              <w:rPr>
                <w:sz w:val="22"/>
                <w:szCs w:val="22"/>
                <w:lang w:val="bg-BG"/>
              </w:rPr>
              <w:t>и – анализ на тенденцията и причини за отклоненията</w:t>
            </w:r>
          </w:p>
        </w:tc>
      </w:tr>
      <w:tr w:rsidR="00572C09">
        <w:trPr>
          <w:trHeight w:val="870"/>
        </w:trPr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2C09" w:rsidRDefault="00572C09">
            <w:pPr>
              <w:rPr>
                <w:sz w:val="22"/>
                <w:szCs w:val="22"/>
                <w:lang w:val="bg-BG"/>
              </w:rPr>
            </w:pPr>
          </w:p>
          <w:tbl>
            <w:tblPr>
              <w:tblW w:w="9714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000"/>
            </w:tblPr>
            <w:tblGrid>
              <w:gridCol w:w="537"/>
              <w:gridCol w:w="2968"/>
              <w:gridCol w:w="810"/>
              <w:gridCol w:w="1250"/>
              <w:gridCol w:w="1450"/>
              <w:gridCol w:w="1344"/>
              <w:gridCol w:w="1355"/>
            </w:tblGrid>
            <w:tr w:rsidR="00572C09">
              <w:tc>
                <w:tcPr>
                  <w:tcW w:w="5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№ по ред</w:t>
                  </w:r>
                </w:p>
              </w:tc>
              <w:tc>
                <w:tcPr>
                  <w:tcW w:w="296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Показатели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мярка</w:t>
                  </w:r>
                </w:p>
              </w:tc>
              <w:tc>
                <w:tcPr>
                  <w:tcW w:w="125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Разчет по АБП за периода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Отчетни данни за периода</w:t>
                  </w:r>
                </w:p>
              </w:tc>
              <w:tc>
                <w:tcPr>
                  <w:tcW w:w="13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отклонения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Изменение, %</w:t>
                  </w:r>
                </w:p>
              </w:tc>
            </w:tr>
            <w:tr w:rsidR="00572C09">
              <w:tc>
                <w:tcPr>
                  <w:tcW w:w="5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1.</w:t>
                  </w:r>
                </w:p>
              </w:tc>
              <w:tc>
                <w:tcPr>
                  <w:tcW w:w="296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 xml:space="preserve">Нетни приходи от продажби 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х. лв</w:t>
                  </w:r>
                </w:p>
              </w:tc>
              <w:tc>
                <w:tcPr>
                  <w:tcW w:w="125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2 550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right"/>
                    <w:rPr>
                      <w:color w:val="000000"/>
                      <w:sz w:val="22"/>
                      <w:szCs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 xml:space="preserve">  </w:t>
                  </w:r>
                  <w:r>
                    <w:rPr>
                      <w:color w:val="000000"/>
                      <w:sz w:val="22"/>
                      <w:szCs w:val="22"/>
                      <w:lang w:val="en-US"/>
                    </w:rPr>
                    <w:t>2</w:t>
                  </w: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 xml:space="preserve"> </w:t>
                  </w:r>
                  <w:r>
                    <w:rPr>
                      <w:color w:val="000000"/>
                      <w:sz w:val="22"/>
                      <w:szCs w:val="22"/>
                      <w:lang w:val="en-US"/>
                    </w:rPr>
                    <w:t>529</w:t>
                  </w:r>
                </w:p>
              </w:tc>
              <w:tc>
                <w:tcPr>
                  <w:tcW w:w="13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 xml:space="preserve">   </w:t>
                  </w:r>
                  <w:r>
                    <w:rPr>
                      <w:sz w:val="22"/>
                      <w:szCs w:val="22"/>
                      <w:lang w:val="en-US"/>
                    </w:rPr>
                    <w:t>-</w:t>
                  </w:r>
                  <w:r>
                    <w:rPr>
                      <w:sz w:val="22"/>
                      <w:szCs w:val="22"/>
                      <w:lang w:val="bg-BG"/>
                    </w:rPr>
                    <w:t>21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 xml:space="preserve">    </w:t>
                  </w:r>
                  <w:r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bg-BG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en-US"/>
                    </w:rPr>
                    <w:t>99</w:t>
                  </w:r>
                  <w:r>
                    <w:rPr>
                      <w:sz w:val="22"/>
                      <w:szCs w:val="22"/>
                      <w:lang w:val="bg-BG"/>
                    </w:rPr>
                    <w:t xml:space="preserve"> %</w:t>
                  </w:r>
                </w:p>
              </w:tc>
            </w:tr>
            <w:tr w:rsidR="00572C09">
              <w:tc>
                <w:tcPr>
                  <w:tcW w:w="5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2.</w:t>
                  </w:r>
                </w:p>
              </w:tc>
              <w:tc>
                <w:tcPr>
                  <w:tcW w:w="296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 xml:space="preserve">Други доходи (без финансови </w:t>
                  </w:r>
                  <w:r>
                    <w:rPr>
                      <w:sz w:val="22"/>
                      <w:szCs w:val="22"/>
                      <w:lang w:val="bg-BG"/>
                    </w:rPr>
                    <w:t>приходи/разходи)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х. лв</w:t>
                  </w:r>
                </w:p>
              </w:tc>
              <w:tc>
                <w:tcPr>
                  <w:tcW w:w="125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 xml:space="preserve">   </w:t>
                  </w:r>
                  <w:r>
                    <w:rPr>
                      <w:sz w:val="22"/>
                      <w:szCs w:val="22"/>
                      <w:lang w:val="bg-BG"/>
                    </w:rPr>
                    <w:t>450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righ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39</w:t>
                  </w:r>
                </w:p>
                <w:p w:rsidR="00572C09" w:rsidRDefault="00572C09">
                  <w:pPr>
                    <w:tabs>
                      <w:tab w:val="left" w:pos="0"/>
                    </w:tabs>
                    <w:jc w:val="righ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13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righ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-136</w:t>
                  </w:r>
                </w:p>
                <w:p w:rsidR="00572C09" w:rsidRDefault="00A0303B">
                  <w:pPr>
                    <w:tabs>
                      <w:tab w:val="left" w:pos="0"/>
                    </w:tabs>
                    <w:jc w:val="righ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 xml:space="preserve">    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 xml:space="preserve">        9 %</w:t>
                  </w:r>
                </w:p>
              </w:tc>
            </w:tr>
            <w:tr w:rsidR="00572C09">
              <w:trPr>
                <w:trHeight w:val="64"/>
              </w:trPr>
              <w:tc>
                <w:tcPr>
                  <w:tcW w:w="5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3.</w:t>
                  </w:r>
                </w:p>
              </w:tc>
              <w:tc>
                <w:tcPr>
                  <w:tcW w:w="296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Финансов резултат (балансов)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х. лв</w:t>
                  </w:r>
                </w:p>
              </w:tc>
              <w:tc>
                <w:tcPr>
                  <w:tcW w:w="125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95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 xml:space="preserve">    -407</w:t>
                  </w:r>
                </w:p>
                <w:p w:rsidR="00572C09" w:rsidRDefault="00572C09">
                  <w:pPr>
                    <w:tabs>
                      <w:tab w:val="left" w:pos="0"/>
                    </w:tabs>
                    <w:jc w:val="right"/>
                    <w:rPr>
                      <w:sz w:val="22"/>
                      <w:szCs w:val="22"/>
                      <w:lang w:val="bg-BG"/>
                    </w:rPr>
                  </w:pPr>
                </w:p>
              </w:tc>
              <w:tc>
                <w:tcPr>
                  <w:tcW w:w="13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 xml:space="preserve"> -</w:t>
                  </w:r>
                  <w:r>
                    <w:rPr>
                      <w:sz w:val="22"/>
                      <w:szCs w:val="22"/>
                      <w:lang w:val="en-US"/>
                    </w:rPr>
                    <w:t>502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 xml:space="preserve">      </w:t>
                  </w:r>
                  <w:r>
                    <w:rPr>
                      <w:sz w:val="22"/>
                      <w:szCs w:val="22"/>
                      <w:lang w:val="en-US"/>
                    </w:rPr>
                    <w:t>-428</w:t>
                  </w:r>
                  <w:r>
                    <w:rPr>
                      <w:sz w:val="22"/>
                      <w:szCs w:val="22"/>
                      <w:lang w:val="bg-BG"/>
                    </w:rPr>
                    <w:t xml:space="preserve"> %</w:t>
                  </w:r>
                </w:p>
              </w:tc>
            </w:tr>
            <w:tr w:rsidR="00572C09">
              <w:tc>
                <w:tcPr>
                  <w:tcW w:w="5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4.</w:t>
                  </w:r>
                </w:p>
              </w:tc>
              <w:tc>
                <w:tcPr>
                  <w:tcW w:w="296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Рентабилност на приходите от продажби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%</w:t>
                  </w:r>
                </w:p>
              </w:tc>
              <w:tc>
                <w:tcPr>
                  <w:tcW w:w="125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3,85</w:t>
                  </w:r>
                </w:p>
                <w:p w:rsidR="00572C09" w:rsidRDefault="00572C09">
                  <w:pPr>
                    <w:tabs>
                      <w:tab w:val="left" w:pos="0"/>
                    </w:tabs>
                    <w:jc w:val="right"/>
                    <w:rPr>
                      <w:sz w:val="22"/>
                      <w:szCs w:val="22"/>
                      <w:lang w:val="bg-BG"/>
                    </w:rPr>
                  </w:pPr>
                </w:p>
              </w:tc>
              <w:tc>
                <w:tcPr>
                  <w:tcW w:w="145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righ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0</w:t>
                  </w:r>
                </w:p>
              </w:tc>
              <w:tc>
                <w:tcPr>
                  <w:tcW w:w="13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0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righ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0</w:t>
                  </w:r>
                </w:p>
              </w:tc>
            </w:tr>
          </w:tbl>
          <w:p w:rsidR="00572C09" w:rsidRDefault="00A0303B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         </w:t>
            </w:r>
          </w:p>
          <w:p w:rsidR="00572C09" w:rsidRDefault="00A0303B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         Нетните приходи от продажби на продукция за </w:t>
            </w:r>
            <w:r>
              <w:rPr>
                <w:sz w:val="22"/>
                <w:szCs w:val="22"/>
                <w:lang w:val="bg-BG"/>
              </w:rPr>
              <w:t>отчетния период са в размер 2 486 000 лева, като за второто тримесечие на 2019 г. са 1 252 000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лв. </w:t>
            </w:r>
          </w:p>
          <w:p w:rsidR="00572C09" w:rsidRDefault="00A0303B">
            <w:p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         По отношение събирането на вземанията от фирмите „Скорпион Ер” ЕАД и „ Еър Скорпио” ЕООД са предприети извънсъдебни действия, целящи да се възмезди</w:t>
            </w:r>
            <w:r>
              <w:rPr>
                <w:sz w:val="22"/>
                <w:szCs w:val="22"/>
                <w:lang w:val="bg-BG"/>
              </w:rPr>
              <w:t xml:space="preserve">  „ТЕРЕМ-ЛЕТЕЦ” ЕООД адекватно на дължимите финансови средства от страна на горепосочените фирми.</w:t>
            </w:r>
          </w:p>
          <w:p w:rsidR="00572C09" w:rsidRDefault="00572C09">
            <w:pPr>
              <w:rPr>
                <w:sz w:val="22"/>
                <w:szCs w:val="22"/>
                <w:lang w:val="bg-BG"/>
              </w:rPr>
            </w:pPr>
          </w:p>
          <w:p w:rsidR="00572C09" w:rsidRDefault="00572C09">
            <w:pPr>
              <w:rPr>
                <w:sz w:val="22"/>
                <w:szCs w:val="22"/>
                <w:lang w:val="bg-BG"/>
              </w:rPr>
            </w:pPr>
          </w:p>
        </w:tc>
      </w:tr>
      <w:tr w:rsidR="00572C09">
        <w:trPr>
          <w:trHeight w:val="503"/>
        </w:trPr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108" w:type="dxa"/>
            </w:tcMar>
          </w:tcPr>
          <w:p w:rsidR="00572C09" w:rsidRDefault="00A0303B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1.4. Себестойност на реализираната продукция/извършени услуги – анализ на ефекта от работа под нормален (обичаен) капацитет на натовареност; анализ по </w:t>
            </w:r>
            <w:r>
              <w:rPr>
                <w:sz w:val="22"/>
                <w:szCs w:val="22"/>
                <w:lang w:val="bg-BG"/>
              </w:rPr>
              <w:t>статии и елементи на калкулация. Причини за отклоненията – на ниво производствена себестойност и за пълна себестойност.</w:t>
            </w:r>
          </w:p>
        </w:tc>
      </w:tr>
      <w:tr w:rsidR="00572C09">
        <w:trPr>
          <w:trHeight w:val="6226"/>
        </w:trPr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2C09" w:rsidRDefault="00A0303B">
            <w:pPr>
              <w:ind w:firstLine="426"/>
              <w:rPr>
                <w:sz w:val="22"/>
                <w:szCs w:val="22"/>
                <w:lang w:val="ru-RU" w:eastAsia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 xml:space="preserve">  </w:t>
            </w:r>
            <w:r>
              <w:rPr>
                <w:sz w:val="22"/>
                <w:szCs w:val="22"/>
                <w:lang w:val="ru-RU" w:eastAsia="bg-BG"/>
              </w:rPr>
              <w:t xml:space="preserve">За периода  01 </w:t>
            </w:r>
            <w:r>
              <w:rPr>
                <w:sz w:val="22"/>
                <w:szCs w:val="22"/>
                <w:lang w:val="bg-BG" w:eastAsia="bg-BG"/>
              </w:rPr>
              <w:t>януари</w:t>
            </w:r>
            <w:r>
              <w:rPr>
                <w:sz w:val="22"/>
                <w:szCs w:val="22"/>
                <w:lang w:val="ru-RU" w:eastAsia="bg-BG"/>
              </w:rPr>
              <w:t xml:space="preserve"> – 30 юни </w:t>
            </w:r>
            <w:r>
              <w:rPr>
                <w:sz w:val="22"/>
                <w:szCs w:val="22"/>
                <w:lang w:val="bg-BG" w:eastAsia="bg-BG"/>
              </w:rPr>
              <w:t>2</w:t>
            </w:r>
            <w:r>
              <w:rPr>
                <w:sz w:val="22"/>
                <w:szCs w:val="22"/>
                <w:lang w:val="ru-RU" w:eastAsia="bg-BG"/>
              </w:rPr>
              <w:t>019</w:t>
            </w:r>
            <w:r>
              <w:rPr>
                <w:sz w:val="22"/>
                <w:szCs w:val="22"/>
                <w:lang w:val="en-US" w:eastAsia="bg-BG"/>
              </w:rPr>
              <w:t xml:space="preserve"> </w:t>
            </w:r>
            <w:r>
              <w:rPr>
                <w:sz w:val="22"/>
                <w:szCs w:val="22"/>
                <w:lang w:val="ru-RU" w:eastAsia="bg-BG"/>
              </w:rPr>
              <w:t xml:space="preserve">г. натовареността на производствения персонал е както следва: </w:t>
            </w:r>
          </w:p>
          <w:p w:rsidR="00572C09" w:rsidRDefault="00A0303B">
            <w:pPr>
              <w:ind w:firstLine="567"/>
              <w:rPr>
                <w:sz w:val="22"/>
                <w:szCs w:val="22"/>
                <w:lang w:val="ru-RU" w:eastAsia="bg-BG"/>
              </w:rPr>
            </w:pPr>
            <w:r>
              <w:rPr>
                <w:sz w:val="22"/>
                <w:szCs w:val="22"/>
                <w:lang w:val="ru-RU" w:eastAsia="bg-BG"/>
              </w:rPr>
              <w:t xml:space="preserve">      </w:t>
            </w:r>
            <w:r>
              <w:rPr>
                <w:sz w:val="22"/>
                <w:szCs w:val="22"/>
                <w:lang w:val="ru-RU" w:eastAsia="bg-BG"/>
              </w:rPr>
              <w:t xml:space="preserve">-  заработка – 125 030 лева ( 66%) </w:t>
            </w:r>
          </w:p>
          <w:p w:rsidR="00572C09" w:rsidRDefault="00A0303B">
            <w:pPr>
              <w:ind w:firstLine="567"/>
              <w:rPr>
                <w:sz w:val="22"/>
                <w:szCs w:val="22"/>
                <w:lang w:val="ru-RU" w:eastAsia="bg-BG"/>
              </w:rPr>
            </w:pPr>
            <w:r>
              <w:rPr>
                <w:sz w:val="22"/>
                <w:szCs w:val="22"/>
                <w:lang w:val="ru-RU" w:eastAsia="bg-BG"/>
              </w:rPr>
              <w:t xml:space="preserve">      - незаработка (доплащане до щат) – 65 823 лева ( 34%)</w:t>
            </w:r>
          </w:p>
          <w:p w:rsidR="00572C09" w:rsidRDefault="00A0303B">
            <w:pPr>
              <w:tabs>
                <w:tab w:val="left" w:pos="557"/>
              </w:tabs>
              <w:ind w:firstLine="567"/>
              <w:jc w:val="both"/>
            </w:pPr>
            <w:r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Предвид спецификата на основната дейност на „ТЕРЕМ-ЛЕТЕЦ” ЕООД – капитално - възстановителен ремонт на вертолети и  ремонт на агрегати, най-голям дял от общите разходи за шестмесечието на 2019 г. се падат на разходите за труд (персонал) – 47 %. Разходите з</w:t>
            </w:r>
            <w:r>
              <w:rPr>
                <w:sz w:val="22"/>
                <w:szCs w:val="22"/>
                <w:lang w:val="bg-BG"/>
              </w:rPr>
              <w:t xml:space="preserve">а материали за отчетния период са 42% от разходите за оперативна дейност, а външните услуги - 11%. Разходите за амортизация са в размер на 148 000 лв. и представляват  </w:t>
            </w:r>
            <w:r>
              <w:rPr>
                <w:sz w:val="22"/>
                <w:szCs w:val="22"/>
                <w:lang w:val="ru-RU"/>
              </w:rPr>
              <w:t>4,88</w:t>
            </w:r>
            <w:r>
              <w:rPr>
                <w:sz w:val="22"/>
                <w:szCs w:val="22"/>
                <w:lang w:val="bg-BG"/>
              </w:rPr>
              <w:t xml:space="preserve"> %  от общите разходи за оперативна дейност. С най-нисък относителен дял са </w:t>
            </w:r>
            <w:r>
              <w:rPr>
                <w:sz w:val="22"/>
                <w:szCs w:val="22"/>
                <w:lang w:val="en-US"/>
              </w:rPr>
              <w:t>други</w:t>
            </w:r>
            <w:r>
              <w:rPr>
                <w:sz w:val="22"/>
                <w:szCs w:val="22"/>
                <w:lang w:val="bg-BG"/>
              </w:rPr>
              <w:t xml:space="preserve">  р</w:t>
            </w:r>
            <w:r>
              <w:rPr>
                <w:sz w:val="22"/>
                <w:szCs w:val="22"/>
                <w:lang w:val="bg-BG"/>
              </w:rPr>
              <w:t>азходи -1,71 %.</w:t>
            </w:r>
          </w:p>
          <w:p w:rsidR="00572C09" w:rsidRDefault="00572C09">
            <w:pPr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  <w:tbl>
            <w:tblPr>
              <w:tblW w:w="9634" w:type="dxa"/>
              <w:tblBorders>
                <w:top w:val="single" w:sz="4" w:space="0" w:color="00000A"/>
                <w:left w:val="single" w:sz="4" w:space="0" w:color="00000A"/>
                <w:bottom w:val="single" w:sz="4" w:space="0" w:color="000001"/>
                <w:right w:val="single" w:sz="4" w:space="0" w:color="00000A"/>
                <w:insideH w:val="single" w:sz="4" w:space="0" w:color="000001"/>
                <w:insideV w:val="single" w:sz="4" w:space="0" w:color="00000A"/>
              </w:tblBorders>
              <w:tblCellMar>
                <w:left w:w="65" w:type="dxa"/>
                <w:right w:w="70" w:type="dxa"/>
              </w:tblCellMar>
              <w:tblLook w:val="0000"/>
            </w:tblPr>
            <w:tblGrid>
              <w:gridCol w:w="3115"/>
              <w:gridCol w:w="992"/>
              <w:gridCol w:w="1134"/>
              <w:gridCol w:w="993"/>
              <w:gridCol w:w="1134"/>
              <w:gridCol w:w="1134"/>
              <w:gridCol w:w="1132"/>
            </w:tblGrid>
            <w:tr w:rsidR="00572C09">
              <w:trPr>
                <w:trHeight w:val="300"/>
              </w:trPr>
              <w:tc>
                <w:tcPr>
                  <w:tcW w:w="3114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1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  <w:vAlign w:val="center"/>
                </w:tcPr>
                <w:p w:rsidR="00572C09" w:rsidRDefault="00A0303B">
                  <w:pPr>
                    <w:jc w:val="center"/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 xml:space="preserve">НАИМЕНОВАНИЕ НА РАЗХОДИТЕ 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center"/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>01.01-30.06.2019 г.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center"/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>01.01-30.06.2018 г.</w:t>
                  </w:r>
                </w:p>
              </w:tc>
              <w:tc>
                <w:tcPr>
                  <w:tcW w:w="2266" w:type="dxa"/>
                  <w:gridSpan w:val="2"/>
                  <w:tcBorders>
                    <w:top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center"/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>Изменение</w:t>
                  </w:r>
                </w:p>
              </w:tc>
            </w:tr>
            <w:tr w:rsidR="00572C09">
              <w:trPr>
                <w:trHeight w:val="300"/>
              </w:trPr>
              <w:tc>
                <w:tcPr>
                  <w:tcW w:w="3114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1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  <w:vAlign w:val="center"/>
                </w:tcPr>
                <w:p w:rsidR="00572C09" w:rsidRDefault="00572C09">
                  <w:pPr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center"/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>х. лв.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center"/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>%</w:t>
                  </w:r>
                </w:p>
              </w:tc>
              <w:tc>
                <w:tcPr>
                  <w:tcW w:w="993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center"/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>х. лв.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center"/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center"/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>х. лв.</w:t>
                  </w:r>
                </w:p>
              </w:tc>
              <w:tc>
                <w:tcPr>
                  <w:tcW w:w="113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center"/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>%</w:t>
                  </w:r>
                </w:p>
              </w:tc>
            </w:tr>
            <w:tr w:rsidR="00572C09">
              <w:trPr>
                <w:trHeight w:val="300"/>
              </w:trPr>
              <w:tc>
                <w:tcPr>
                  <w:tcW w:w="31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  <w:vAlign w:val="bottom"/>
                </w:tcPr>
                <w:p w:rsidR="00572C09" w:rsidRDefault="00A0303B">
                  <w:pPr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>Нам-е на запасите от прод-я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>72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2.37</w:t>
                  </w:r>
                </w:p>
              </w:tc>
              <w:tc>
                <w:tcPr>
                  <w:tcW w:w="993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>173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>6,75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-101</w:t>
                  </w:r>
                </w:p>
              </w:tc>
              <w:tc>
                <w:tcPr>
                  <w:tcW w:w="113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en-US"/>
                    </w:rPr>
                    <w:t>41,62</w:t>
                  </w:r>
                </w:p>
              </w:tc>
            </w:tr>
            <w:tr w:rsidR="00572C09">
              <w:trPr>
                <w:trHeight w:val="300"/>
              </w:trPr>
              <w:tc>
                <w:tcPr>
                  <w:tcW w:w="31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  <w:vAlign w:val="bottom"/>
                </w:tcPr>
                <w:p w:rsidR="00572C09" w:rsidRDefault="00A0303B">
                  <w:pPr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>Разходи за материали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1003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</w:rPr>
                    <w:t>33,07</w:t>
                  </w:r>
                </w:p>
              </w:tc>
              <w:tc>
                <w:tcPr>
                  <w:tcW w:w="993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511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19,93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492</w:t>
                  </w:r>
                </w:p>
              </w:tc>
              <w:tc>
                <w:tcPr>
                  <w:tcW w:w="113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196,28</w:t>
                  </w:r>
                </w:p>
              </w:tc>
            </w:tr>
            <w:tr w:rsidR="00572C09">
              <w:trPr>
                <w:trHeight w:val="300"/>
              </w:trPr>
              <w:tc>
                <w:tcPr>
                  <w:tcW w:w="31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  <w:vAlign w:val="bottom"/>
                </w:tcPr>
                <w:p w:rsidR="00572C09" w:rsidRDefault="00A0303B">
                  <w:pPr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 xml:space="preserve">Разходи за външни </w:t>
                  </w: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>услуги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</w:rPr>
                    <w:t>345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</w:rPr>
                    <w:t>11,37</w:t>
                  </w:r>
                </w:p>
              </w:tc>
              <w:tc>
                <w:tcPr>
                  <w:tcW w:w="993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465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18,14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-</w:t>
                  </w: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120</w:t>
                  </w:r>
                </w:p>
              </w:tc>
              <w:tc>
                <w:tcPr>
                  <w:tcW w:w="113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74,19</w:t>
                  </w:r>
                </w:p>
              </w:tc>
            </w:tr>
            <w:tr w:rsidR="00572C09">
              <w:trPr>
                <w:trHeight w:val="300"/>
              </w:trPr>
              <w:tc>
                <w:tcPr>
                  <w:tcW w:w="31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  <w:vAlign w:val="bottom"/>
                </w:tcPr>
                <w:p w:rsidR="00572C09" w:rsidRDefault="00A0303B">
                  <w:pPr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>Разходи за персонала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1413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46,59</w:t>
                  </w:r>
                </w:p>
              </w:tc>
              <w:tc>
                <w:tcPr>
                  <w:tcW w:w="993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1252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48,83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161</w:t>
                  </w:r>
                </w:p>
              </w:tc>
              <w:tc>
                <w:tcPr>
                  <w:tcW w:w="113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112,86</w:t>
                  </w:r>
                </w:p>
              </w:tc>
            </w:tr>
            <w:tr w:rsidR="00572C09">
              <w:trPr>
                <w:trHeight w:val="300"/>
              </w:trPr>
              <w:tc>
                <w:tcPr>
                  <w:tcW w:w="31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  <w:vAlign w:val="bottom"/>
                </w:tcPr>
                <w:p w:rsidR="00572C09" w:rsidRDefault="00A0303B">
                  <w:pPr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>Разходи за амортизация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148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</w:rPr>
                    <w:t>4,</w:t>
                  </w:r>
                  <w:r>
                    <w:rPr>
                      <w:sz w:val="22"/>
                      <w:szCs w:val="22"/>
                      <w:lang w:val="bg-BG"/>
                    </w:rPr>
                    <w:t>88</w:t>
                  </w:r>
                </w:p>
              </w:tc>
              <w:tc>
                <w:tcPr>
                  <w:tcW w:w="993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112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4,37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36</w:t>
                  </w:r>
                </w:p>
              </w:tc>
              <w:tc>
                <w:tcPr>
                  <w:tcW w:w="113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132,14</w:t>
                  </w:r>
                </w:p>
              </w:tc>
            </w:tr>
            <w:tr w:rsidR="00572C09">
              <w:trPr>
                <w:trHeight w:val="300"/>
              </w:trPr>
              <w:tc>
                <w:tcPr>
                  <w:tcW w:w="31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  <w:vAlign w:val="bottom"/>
                </w:tcPr>
                <w:p w:rsidR="00572C09" w:rsidRDefault="00A0303B">
                  <w:pPr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>Други разходи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52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1,71</w:t>
                  </w:r>
                </w:p>
              </w:tc>
              <w:tc>
                <w:tcPr>
                  <w:tcW w:w="993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51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1,99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1</w:t>
                  </w:r>
                </w:p>
              </w:tc>
              <w:tc>
                <w:tcPr>
                  <w:tcW w:w="113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101,96</w:t>
                  </w:r>
                </w:p>
              </w:tc>
            </w:tr>
            <w:tr w:rsidR="00572C09">
              <w:trPr>
                <w:trHeight w:val="300"/>
              </w:trPr>
              <w:tc>
                <w:tcPr>
                  <w:tcW w:w="31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  <w:vAlign w:val="bottom"/>
                </w:tcPr>
                <w:p w:rsidR="00572C09" w:rsidRDefault="00A0303B">
                  <w:pPr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b/>
                      <w:bCs/>
                      <w:color w:val="FF0000"/>
                      <w:sz w:val="22"/>
                      <w:szCs w:val="22"/>
                      <w:lang w:val="bg-BG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bg-BG"/>
                    </w:rPr>
                    <w:t>3 033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572C09">
                  <w:pPr>
                    <w:jc w:val="righ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3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val="bg-BG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val="bg-BG"/>
                    </w:rPr>
                    <w:t>2 564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val="bg-BG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val="bg-BG"/>
                    </w:rPr>
                    <w:t>469</w:t>
                  </w:r>
                </w:p>
              </w:tc>
              <w:tc>
                <w:tcPr>
                  <w:tcW w:w="113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572C09" w:rsidRDefault="00A0303B">
                  <w:pPr>
                    <w:jc w:val="right"/>
                    <w:rPr>
                      <w:b/>
                      <w:bCs/>
                      <w:color w:val="FF0000"/>
                      <w:sz w:val="22"/>
                      <w:szCs w:val="22"/>
                      <w:lang w:val="bg-BG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bg-BG"/>
                    </w:rPr>
                    <w:t>118,29</w:t>
                  </w:r>
                </w:p>
              </w:tc>
            </w:tr>
          </w:tbl>
          <w:p w:rsidR="00572C09" w:rsidRDefault="00572C09">
            <w:pPr>
              <w:rPr>
                <w:sz w:val="22"/>
                <w:szCs w:val="22"/>
                <w:lang w:val="bg-BG"/>
              </w:rPr>
            </w:pPr>
          </w:p>
        </w:tc>
      </w:tr>
      <w:tr w:rsidR="00572C09">
        <w:trPr>
          <w:trHeight w:val="530"/>
        </w:trPr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108" w:type="dxa"/>
            </w:tcMar>
          </w:tcPr>
          <w:p w:rsidR="00572C09" w:rsidRDefault="00A0303B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1.5. Проблеми по изпълнение на целите в</w:t>
            </w:r>
            <w:r>
              <w:rPr>
                <w:sz w:val="22"/>
                <w:szCs w:val="22"/>
                <w:lang w:val="bg-BG"/>
              </w:rPr>
              <w:t xml:space="preserve"> Бизнеспрограмата. Предложения за тяхното разрешаване. Предприети превантивни или последващи мерки/дейности</w:t>
            </w:r>
          </w:p>
        </w:tc>
      </w:tr>
      <w:tr w:rsidR="00572C09">
        <w:trPr>
          <w:trHeight w:val="870"/>
        </w:trPr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2C09" w:rsidRDefault="00A0303B">
            <w:pPr>
              <w:spacing w:beforeAutospacing="1"/>
              <w:ind w:firstLine="7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Проблемите, възпрепятстващи изпълнението на целите в Бизнеспрограмата през</w:t>
            </w:r>
            <w:r>
              <w:rPr>
                <w:sz w:val="22"/>
                <w:szCs w:val="22"/>
                <w:lang w:val="ru-RU"/>
              </w:rPr>
              <w:t xml:space="preserve"> 2019 </w:t>
            </w:r>
            <w:r>
              <w:rPr>
                <w:sz w:val="22"/>
                <w:szCs w:val="22"/>
                <w:lang w:val="bg-BG"/>
              </w:rPr>
              <w:t>година са предимно от логистичен характер – забавяне в ремонтите на</w:t>
            </w:r>
            <w:r>
              <w:rPr>
                <w:sz w:val="22"/>
                <w:szCs w:val="22"/>
                <w:lang w:val="bg-BG"/>
              </w:rPr>
              <w:t xml:space="preserve"> агрегати от силовата установка и/или доставки на резевни части</w:t>
            </w:r>
            <w:r>
              <w:rPr>
                <w:sz w:val="22"/>
                <w:szCs w:val="22"/>
                <w:lang w:val="ru-RU"/>
              </w:rPr>
              <w:t>. Тези проблеми оказват съществено влияние на плановото изпълнение на договорите за ремонт на вертолети и авиационни агрегати. Липсата на новосключени договори за КВР на вертолети също е същест</w:t>
            </w:r>
            <w:r>
              <w:rPr>
                <w:sz w:val="22"/>
                <w:szCs w:val="22"/>
                <w:lang w:val="ru-RU"/>
              </w:rPr>
              <w:t>вен проблем. Към момента са п</w:t>
            </w:r>
            <w:r>
              <w:rPr>
                <w:sz w:val="22"/>
                <w:szCs w:val="22"/>
                <w:lang w:val="bg-BG"/>
              </w:rPr>
              <w:t>редприети дейности за осигуряване</w:t>
            </w:r>
            <w:r>
              <w:rPr>
                <w:sz w:val="22"/>
                <w:szCs w:val="22"/>
                <w:lang w:val="ru-RU"/>
              </w:rPr>
              <w:t xml:space="preserve"> сключването на договори за ремонт на вертолети и от типа Ми-17</w:t>
            </w:r>
            <w:r>
              <w:rPr>
                <w:sz w:val="22"/>
                <w:szCs w:val="22"/>
                <w:lang w:val="bg-BG"/>
              </w:rPr>
              <w:t>/171</w:t>
            </w:r>
            <w:r>
              <w:rPr>
                <w:sz w:val="22"/>
                <w:szCs w:val="22"/>
                <w:lang w:val="ru-RU"/>
              </w:rPr>
              <w:t xml:space="preserve"> и Ми-24</w:t>
            </w:r>
            <w:r>
              <w:rPr>
                <w:sz w:val="22"/>
                <w:szCs w:val="22"/>
                <w:lang w:val="bg-BG"/>
              </w:rPr>
              <w:t>/35 и агрегати от комплектацията им.</w:t>
            </w:r>
          </w:p>
        </w:tc>
      </w:tr>
    </w:tbl>
    <w:p w:rsidR="00572C09" w:rsidRDefault="00572C09">
      <w:pPr>
        <w:rPr>
          <w:b/>
          <w:sz w:val="22"/>
          <w:szCs w:val="22"/>
          <w:lang w:val="bg-BG"/>
        </w:rPr>
      </w:pPr>
    </w:p>
    <w:p w:rsidR="00572C09" w:rsidRDefault="00572C09">
      <w:pPr>
        <w:rPr>
          <w:b/>
          <w:sz w:val="22"/>
          <w:szCs w:val="22"/>
          <w:lang w:val="bg-BG"/>
        </w:rPr>
      </w:pPr>
    </w:p>
    <w:p w:rsidR="00572C09" w:rsidRDefault="00A0303B">
      <w:pPr>
        <w:keepNext/>
        <w:numPr>
          <w:ilvl w:val="0"/>
          <w:numId w:val="1"/>
        </w:numPr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Ефективност на политиката за добро корпоративно управление</w:t>
      </w:r>
    </w:p>
    <w:tbl>
      <w:tblPr>
        <w:tblW w:w="10314" w:type="dxa"/>
        <w:tblInd w:w="-2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10314"/>
      </w:tblGrid>
      <w:tr w:rsidR="00572C09"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108" w:type="dxa"/>
            </w:tcMar>
          </w:tcPr>
          <w:p w:rsidR="00572C09" w:rsidRDefault="00A0303B">
            <w:pPr>
              <w:snapToGrid w:val="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2.1. Информация за </w:t>
            </w:r>
            <w:r>
              <w:rPr>
                <w:sz w:val="22"/>
                <w:szCs w:val="22"/>
                <w:lang w:val="bg-BG"/>
              </w:rPr>
              <w:t>политиката и дейността по събиране (извънсъдебно) вземанията на дружеството. Анализ на възрастовата структура на вземанията.</w:t>
            </w:r>
          </w:p>
        </w:tc>
      </w:tr>
      <w:tr w:rsidR="00572C09"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2C09" w:rsidRDefault="00A0303B">
            <w:pPr>
              <w:tabs>
                <w:tab w:val="left" w:pos="611"/>
              </w:tabs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          За успешното проследяване, контролиране и събиране на вземанията на дружеството сроковете и начините за плащане на </w:t>
            </w:r>
            <w:r>
              <w:rPr>
                <w:sz w:val="22"/>
                <w:szCs w:val="22"/>
                <w:lang w:val="bg-BG"/>
              </w:rPr>
              <w:t>продадените продукция и услуги се регламентират в търговските договори и оферти. По голямата част от поръчките стартират изпълнение при 50% авансов превод, а готовите изделия и услуги се предоставят при 100 % заплащане на стойността им.</w:t>
            </w:r>
          </w:p>
          <w:p w:rsidR="00572C09" w:rsidRDefault="00A0303B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           Към 30.0</w:t>
            </w:r>
            <w:r>
              <w:rPr>
                <w:sz w:val="22"/>
                <w:szCs w:val="22"/>
                <w:lang w:val="bg-BG"/>
              </w:rPr>
              <w:t>6.201</w:t>
            </w:r>
            <w:r>
              <w:rPr>
                <w:sz w:val="22"/>
                <w:szCs w:val="22"/>
                <w:lang w:val="ru-RU"/>
              </w:rPr>
              <w:t>9</w:t>
            </w:r>
            <w:r>
              <w:rPr>
                <w:sz w:val="22"/>
                <w:szCs w:val="22"/>
                <w:lang w:val="bg-BG"/>
              </w:rPr>
              <w:t xml:space="preserve"> г. вземанията на „ТЕРЕМ-ЛЕТЕЦ” ЕООД са в размер на 359 000 лв.</w:t>
            </w:r>
            <w:r>
              <w:rPr>
                <w:sz w:val="22"/>
                <w:szCs w:val="22"/>
                <w:lang w:val="ru-RU"/>
              </w:rPr>
              <w:t>.</w:t>
            </w:r>
            <w:r>
              <w:rPr>
                <w:sz w:val="22"/>
                <w:szCs w:val="22"/>
                <w:lang w:val="bg-BG"/>
              </w:rPr>
              <w:t xml:space="preserve"> разпределени както следва: </w:t>
            </w:r>
          </w:p>
          <w:p w:rsidR="00572C09" w:rsidRDefault="00A0303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Вземания от клиенти и доставчици      -    203 000 лв.</w:t>
            </w:r>
          </w:p>
          <w:p w:rsidR="00572C09" w:rsidRDefault="00A0303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Вземания от свързани лица                   -      13 000 лв.</w:t>
            </w:r>
          </w:p>
          <w:p w:rsidR="00572C09" w:rsidRDefault="00A0303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Съдебни и присъдени вземания            </w:t>
            </w:r>
            <w:r>
              <w:rPr>
                <w:sz w:val="22"/>
                <w:szCs w:val="22"/>
                <w:lang w:val="bg-BG"/>
              </w:rPr>
              <w:t xml:space="preserve">      </w:t>
            </w:r>
            <w:r>
              <w:rPr>
                <w:sz w:val="22"/>
                <w:szCs w:val="22"/>
                <w:lang w:val="ru-RU"/>
              </w:rPr>
              <w:t xml:space="preserve">137 </w:t>
            </w:r>
            <w:r>
              <w:rPr>
                <w:sz w:val="22"/>
                <w:szCs w:val="22"/>
                <w:lang w:val="bg-BG"/>
              </w:rPr>
              <w:t>000 лв.</w:t>
            </w:r>
          </w:p>
          <w:p w:rsidR="00572C09" w:rsidRDefault="00A0303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Други краткосрочни вземания        </w:t>
            </w:r>
            <w:r>
              <w:rPr>
                <w:sz w:val="22"/>
                <w:szCs w:val="22"/>
                <w:lang w:val="en-US"/>
              </w:rPr>
              <w:t xml:space="preserve">   </w:t>
            </w:r>
            <w:r>
              <w:rPr>
                <w:sz w:val="22"/>
                <w:szCs w:val="22"/>
                <w:lang w:val="bg-BG"/>
              </w:rPr>
              <w:t xml:space="preserve">            </w:t>
            </w:r>
            <w:r>
              <w:rPr>
                <w:sz w:val="22"/>
                <w:szCs w:val="22"/>
                <w:lang w:val="en-US"/>
              </w:rPr>
              <w:t xml:space="preserve"> 6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000</w:t>
            </w:r>
            <w:r>
              <w:rPr>
                <w:sz w:val="22"/>
                <w:szCs w:val="22"/>
                <w:lang w:val="bg-BG"/>
              </w:rPr>
              <w:t xml:space="preserve"> лв.</w:t>
            </w:r>
          </w:p>
          <w:p w:rsidR="00572C09" w:rsidRDefault="00572C09">
            <w:pPr>
              <w:tabs>
                <w:tab w:val="left" w:pos="598"/>
              </w:tabs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572C09"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108" w:type="dxa"/>
            </w:tcMar>
          </w:tcPr>
          <w:p w:rsidR="00572C09" w:rsidRDefault="00A0303B">
            <w:pPr>
              <w:snapToGrid w:val="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2.2. Информация за съдебните дела (от и срещу дружеството) – етап на висящите производство; вероятностна оценка за положителен изход на делото; новозаведени искове; новообразу</w:t>
            </w:r>
            <w:r>
              <w:rPr>
                <w:sz w:val="22"/>
                <w:szCs w:val="22"/>
                <w:lang w:val="bg-BG"/>
              </w:rPr>
              <w:t>вани дела. Информация за правното осигуряване на дейността.</w:t>
            </w:r>
          </w:p>
        </w:tc>
      </w:tr>
      <w:tr w:rsidR="00572C09"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2C09" w:rsidRDefault="00572C09">
            <w:pPr>
              <w:pStyle w:val="NormalWeb"/>
              <w:spacing w:beforeAutospacing="0" w:afterAutospacing="0" w:line="276" w:lineRule="auto"/>
              <w:ind w:left="5"/>
              <w:jc w:val="both"/>
              <w:rPr>
                <w:color w:val="000000"/>
                <w:sz w:val="22"/>
                <w:szCs w:val="22"/>
              </w:rPr>
            </w:pPr>
          </w:p>
          <w:p w:rsidR="00572C09" w:rsidRDefault="00A0303B">
            <w:pPr>
              <w:pStyle w:val="NormalWeb"/>
              <w:spacing w:beforeAutospacing="0" w:afterAutospacing="0" w:line="276" w:lineRule="auto"/>
              <w:ind w:left="5"/>
              <w:jc w:val="both"/>
              <w:rPr>
                <w:color w:val="FF00FF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•Изпълнително дело 2485/2014 при ЧСИ Стоян Якимов- за вземания на „Терем Летец“ ЕООД от „Скорпион Еър“ ЕАД.</w:t>
            </w:r>
          </w:p>
          <w:p w:rsidR="00572C09" w:rsidRDefault="00A0303B">
            <w:pPr>
              <w:pStyle w:val="NormalWeb"/>
              <w:spacing w:beforeAutospacing="0" w:afterAutospacing="0" w:line="276" w:lineRule="auto"/>
              <w:ind w:left="5"/>
              <w:jc w:val="both"/>
              <w:rPr>
                <w:color w:val="FF00FF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•Изпълнително дело 1082/14 при ЧСИ Стоян Якимов, присъединено към изпълнително дело </w:t>
            </w:r>
            <w:r>
              <w:rPr>
                <w:color w:val="000000"/>
                <w:sz w:val="22"/>
                <w:szCs w:val="22"/>
              </w:rPr>
              <w:t>379/14 при ЧСИ Иван Чолаков- за вземания на „Терем летец“ ЕООД от „Eър Скорпио“ ЕООД.</w:t>
            </w:r>
          </w:p>
          <w:p w:rsidR="00572C09" w:rsidRDefault="00A0303B">
            <w:pPr>
              <w:pStyle w:val="NormalWeb"/>
              <w:spacing w:beforeAutospacing="0" w:afterAutospacing="0" w:line="276" w:lineRule="auto"/>
              <w:ind w:left="5"/>
              <w:rPr>
                <w:color w:val="FF00FF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•Частно гражданско дело №2681/19 г. по описа на ПРС – за вземания на „Терем Летец“ ЕООД от „Риос </w:t>
            </w:r>
            <w:r>
              <w:rPr>
                <w:color w:val="000000"/>
                <w:sz w:val="22"/>
                <w:szCs w:val="22"/>
              </w:rPr>
              <w:lastRenderedPageBreak/>
              <w:t>10“ ЕООД – прекратено поради плащане;</w:t>
            </w:r>
          </w:p>
          <w:p w:rsidR="00572C09" w:rsidRDefault="00A0303B">
            <w:pPr>
              <w:pStyle w:val="NormalWeb"/>
              <w:spacing w:beforeAutospacing="0" w:afterAutospacing="0" w:line="276" w:lineRule="auto"/>
              <w:ind w:left="5"/>
              <w:jc w:val="both"/>
              <w:rPr>
                <w:color w:val="FF00FF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•Изпълнително дело № 195/2019г. при</w:t>
            </w:r>
            <w:r>
              <w:rPr>
                <w:color w:val="000000"/>
                <w:sz w:val="22"/>
                <w:szCs w:val="22"/>
              </w:rPr>
              <w:t xml:space="preserve"> ЧСИ Миладин Миладинов - за вземания на „Терем Летец“ЕООД от „Брайт Флайт“ ООД;</w:t>
            </w:r>
          </w:p>
          <w:p w:rsidR="00572C09" w:rsidRDefault="00A0303B">
            <w:pPr>
              <w:pStyle w:val="NormalWeb"/>
              <w:spacing w:beforeAutospacing="0" w:afterAutospacing="0" w:line="276" w:lineRule="auto"/>
              <w:ind w:left="5"/>
              <w:jc w:val="both"/>
              <w:rPr>
                <w:color w:val="FF00FF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Правното осигуряване на дейността на дружеството през периода се осъществява от адвокат, чиито основни задължения са :</w:t>
            </w:r>
          </w:p>
          <w:p w:rsidR="00572C09" w:rsidRDefault="00A0303B">
            <w:pPr>
              <w:pStyle w:val="NormalWeb"/>
              <w:spacing w:beforeAutospacing="0" w:afterAutospacing="0" w:line="276" w:lineRule="auto"/>
              <w:ind w:left="5"/>
              <w:jc w:val="both"/>
              <w:rPr>
                <w:color w:val="FF00FF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•оказва правна помощ на ръководството на дружеството;</w:t>
            </w:r>
          </w:p>
          <w:p w:rsidR="00572C09" w:rsidRDefault="00A0303B">
            <w:pPr>
              <w:pStyle w:val="NormalWeb"/>
              <w:spacing w:beforeAutospacing="0" w:afterAutospacing="0" w:line="276" w:lineRule="auto"/>
              <w:ind w:left="5"/>
              <w:jc w:val="both"/>
              <w:rPr>
                <w:color w:val="FF00FF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•</w:t>
            </w:r>
            <w:r>
              <w:rPr>
                <w:color w:val="000000"/>
                <w:sz w:val="22"/>
                <w:szCs w:val="22"/>
              </w:rPr>
              <w:t xml:space="preserve">извършва действия във връзка с подготовката и осъществяването на процесуалното представителство на дружеството и на управителя по граждански, административни и наказателни дела и пред другите юрисдикции, Прокуратурата на Р. България, следствието, органите </w:t>
            </w:r>
            <w:r>
              <w:rPr>
                <w:color w:val="000000"/>
                <w:sz w:val="22"/>
                <w:szCs w:val="22"/>
              </w:rPr>
              <w:t>на централната и местната администрация;</w:t>
            </w:r>
          </w:p>
          <w:p w:rsidR="00572C09" w:rsidRDefault="00A0303B">
            <w:pPr>
              <w:pStyle w:val="NormalWeb"/>
              <w:spacing w:beforeAutospacing="0" w:afterAutospacing="0" w:line="276" w:lineRule="auto"/>
              <w:ind w:left="5"/>
              <w:jc w:val="both"/>
              <w:rPr>
                <w:color w:val="FF00FF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•отговаря за изготвянето на искови молби, молби за образуване на изпълнителни дела и предприемането на други процесуални действия за своевременното събиране на вземанията на дружеството;</w:t>
            </w:r>
          </w:p>
          <w:p w:rsidR="00572C09" w:rsidRDefault="00A0303B">
            <w:pPr>
              <w:pStyle w:val="NormalWeb"/>
              <w:spacing w:beforeAutospacing="0" w:afterAutospacing="0" w:line="276" w:lineRule="auto"/>
              <w:ind w:left="5"/>
              <w:rPr>
                <w:color w:val="FF00FF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•участва в изготвянето или д</w:t>
            </w:r>
            <w:r>
              <w:rPr>
                <w:color w:val="000000"/>
                <w:sz w:val="22"/>
                <w:szCs w:val="22"/>
              </w:rPr>
              <w:t>ава становища по законосъобразността на договори, страна по които е дружеството, като при несъгласие прилага мотивирано мнение;</w:t>
            </w:r>
          </w:p>
          <w:p w:rsidR="00572C09" w:rsidRDefault="00A0303B">
            <w:pPr>
              <w:pStyle w:val="NormalWeb"/>
              <w:spacing w:beforeAutospacing="0" w:afterAutospacing="0" w:line="276" w:lineRule="auto"/>
              <w:ind w:left="5"/>
              <w:jc w:val="both"/>
              <w:rPr>
                <w:color w:val="FF00FF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•съгласува заповедите за налагане на дисциплинарно наказание „уволнение“</w:t>
            </w:r>
          </w:p>
          <w:p w:rsidR="00572C09" w:rsidRDefault="00A0303B">
            <w:pPr>
              <w:pStyle w:val="NormalWeb"/>
              <w:spacing w:beforeAutospacing="0" w:afterAutospacing="0" w:line="276" w:lineRule="auto"/>
              <w:ind w:left="5"/>
              <w:jc w:val="both"/>
              <w:rPr>
                <w:color w:val="FF00FF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•по разпореждане на управителя на дружеството изготвя п</w:t>
            </w:r>
            <w:r>
              <w:rPr>
                <w:color w:val="000000"/>
                <w:sz w:val="22"/>
                <w:szCs w:val="22"/>
              </w:rPr>
              <w:t>роекти или предварително съгласува административни актове , издавани от ръководителя на структурата;</w:t>
            </w:r>
          </w:p>
          <w:p w:rsidR="00572C09" w:rsidRDefault="00A0303B">
            <w:pPr>
              <w:pStyle w:val="NormalWeb"/>
              <w:spacing w:beforeAutospacing="0" w:afterAutospacing="0" w:line="276" w:lineRule="auto"/>
              <w:ind w:left="5"/>
              <w:rPr>
                <w:color w:val="FF00FF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•обобщава и анализира състоянието на заведените дела, страна по които е дружеството или управителя на дружеството.</w:t>
            </w:r>
          </w:p>
          <w:p w:rsidR="00572C09" w:rsidRDefault="00572C09">
            <w:pPr>
              <w:pStyle w:val="NormalWeb"/>
              <w:spacing w:beforeAutospacing="0" w:afterAutospacing="0" w:line="276" w:lineRule="auto"/>
              <w:ind w:left="5"/>
              <w:rPr>
                <w:color w:val="000000"/>
                <w:sz w:val="22"/>
                <w:szCs w:val="22"/>
              </w:rPr>
            </w:pPr>
          </w:p>
        </w:tc>
      </w:tr>
      <w:tr w:rsidR="00572C09"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108" w:type="dxa"/>
            </w:tcMar>
          </w:tcPr>
          <w:p w:rsidR="00572C09" w:rsidRDefault="00A0303B">
            <w:pPr>
              <w:snapToGrid w:val="0"/>
              <w:jc w:val="both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lastRenderedPageBreak/>
              <w:t xml:space="preserve">2.3. Информация за събрани присъдени </w:t>
            </w:r>
            <w:r>
              <w:rPr>
                <w:color w:val="000000"/>
                <w:sz w:val="22"/>
                <w:szCs w:val="22"/>
                <w:lang w:val="bg-BG"/>
              </w:rPr>
              <w:t>вземания</w:t>
            </w:r>
          </w:p>
        </w:tc>
      </w:tr>
      <w:tr w:rsidR="00572C09"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2C09" w:rsidRDefault="00572C09">
            <w:pPr>
              <w:jc w:val="both"/>
              <w:rPr>
                <w:sz w:val="22"/>
                <w:szCs w:val="22"/>
                <w:lang w:val="bg-BG"/>
              </w:rPr>
            </w:pPr>
          </w:p>
          <w:p w:rsidR="00572C09" w:rsidRDefault="00A0303B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         Събрано е присъдено вземане от „РИОС 10“ ЕООД  по изпълнителен лист от 17.05.2019 г. в размер на 2000 лв. </w:t>
            </w:r>
          </w:p>
          <w:p w:rsidR="00572C09" w:rsidRDefault="00572C09">
            <w:pPr>
              <w:ind w:firstLine="567"/>
              <w:jc w:val="both"/>
              <w:rPr>
                <w:sz w:val="22"/>
                <w:szCs w:val="22"/>
                <w:lang w:val="bg-BG"/>
              </w:rPr>
            </w:pPr>
          </w:p>
          <w:p w:rsidR="00572C09" w:rsidRDefault="00572C09">
            <w:pPr>
              <w:snapToGrid w:val="0"/>
              <w:ind w:firstLine="567"/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572C09"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108" w:type="dxa"/>
            </w:tcMar>
          </w:tcPr>
          <w:p w:rsidR="00572C09" w:rsidRDefault="00A0303B">
            <w:pPr>
              <w:snapToGrid w:val="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2.4. Информация за начислени глоби, санкции, неустойки. Информация за щети, брак и изплатени застрахователни обезщетения.</w:t>
            </w:r>
          </w:p>
        </w:tc>
      </w:tr>
      <w:tr w:rsidR="00572C09"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2C09" w:rsidRDefault="00572C09">
            <w:pPr>
              <w:shd w:val="clear" w:color="auto" w:fill="FFFFFF"/>
              <w:ind w:firstLine="567"/>
              <w:jc w:val="both"/>
              <w:rPr>
                <w:sz w:val="22"/>
                <w:szCs w:val="22"/>
                <w:lang w:val="bg-BG"/>
              </w:rPr>
            </w:pPr>
          </w:p>
          <w:p w:rsidR="00572C09" w:rsidRDefault="00A0303B">
            <w:pPr>
              <w:shd w:val="clear" w:color="auto" w:fill="FFFFFF"/>
              <w:ind w:firstLine="567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През периода 01.01.2019-30.06.2019 г. няма наложени глоби, санкции и неустойки.</w:t>
            </w:r>
          </w:p>
          <w:p w:rsidR="00572C09" w:rsidRDefault="00572C09">
            <w:pPr>
              <w:shd w:val="clear" w:color="auto" w:fill="FFFFFF"/>
              <w:ind w:firstLine="567"/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572C09"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108" w:type="dxa"/>
            </w:tcMar>
          </w:tcPr>
          <w:p w:rsidR="00572C09" w:rsidRDefault="00A0303B">
            <w:pPr>
              <w:snapToGrid w:val="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2.5. Информация по отписани вземания - причини</w:t>
            </w:r>
          </w:p>
        </w:tc>
      </w:tr>
      <w:tr w:rsidR="00572C09"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2C09" w:rsidRDefault="00572C09">
            <w:pPr>
              <w:ind w:firstLine="567"/>
              <w:rPr>
                <w:sz w:val="22"/>
                <w:szCs w:val="22"/>
                <w:lang w:val="bg-BG"/>
              </w:rPr>
            </w:pPr>
          </w:p>
          <w:p w:rsidR="00572C09" w:rsidRDefault="00A0303B">
            <w:pPr>
              <w:ind w:firstLine="567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Няма  отписани вземания.</w:t>
            </w:r>
          </w:p>
          <w:p w:rsidR="00572C09" w:rsidRDefault="00572C09">
            <w:pPr>
              <w:snapToGrid w:val="0"/>
              <w:ind w:firstLine="567"/>
              <w:rPr>
                <w:sz w:val="22"/>
                <w:szCs w:val="22"/>
                <w:lang w:val="en-US"/>
              </w:rPr>
            </w:pPr>
          </w:p>
        </w:tc>
      </w:tr>
      <w:tr w:rsidR="00572C09"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108" w:type="dxa"/>
            </w:tcMar>
          </w:tcPr>
          <w:p w:rsidR="00572C09" w:rsidRDefault="00A0303B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2.6. Информация по нововъзникнали задължения – причини. Анализ на възрастовата структура на </w:t>
            </w:r>
            <w:r>
              <w:rPr>
                <w:sz w:val="22"/>
                <w:szCs w:val="22"/>
                <w:lang w:val="bg-BG"/>
              </w:rPr>
              <w:t>задълженията</w:t>
            </w:r>
          </w:p>
        </w:tc>
      </w:tr>
      <w:tr w:rsidR="00572C09"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2C09" w:rsidRDefault="00572C09">
            <w:pPr>
              <w:rPr>
                <w:sz w:val="22"/>
                <w:szCs w:val="22"/>
                <w:lang w:val="bg-BG"/>
              </w:rPr>
            </w:pPr>
          </w:p>
          <w:p w:rsidR="00572C09" w:rsidRDefault="00A0303B">
            <w:pPr>
              <w:ind w:firstLine="567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Нововъзникналите задължения на дружеството произтичат от дейността. Към 30.06.2019 г. данъчните задължения и задълженията към персонала и осигурителните институции са текущи. Търговските задължения към края на отчетния период не са в </w:t>
            </w:r>
            <w:r>
              <w:rPr>
                <w:sz w:val="22"/>
                <w:szCs w:val="22"/>
                <w:lang w:val="bg-BG"/>
              </w:rPr>
              <w:t>просрочие.</w:t>
            </w:r>
          </w:p>
          <w:p w:rsidR="00572C09" w:rsidRDefault="00572C09">
            <w:pPr>
              <w:ind w:firstLine="567"/>
              <w:jc w:val="both"/>
              <w:rPr>
                <w:sz w:val="22"/>
                <w:szCs w:val="22"/>
                <w:lang w:val="bg-BG"/>
              </w:rPr>
            </w:pPr>
          </w:p>
        </w:tc>
      </w:tr>
    </w:tbl>
    <w:p w:rsidR="00572C09" w:rsidRDefault="00572C09">
      <w:pPr>
        <w:keepNext/>
        <w:jc w:val="both"/>
        <w:rPr>
          <w:b/>
          <w:sz w:val="22"/>
          <w:szCs w:val="22"/>
          <w:lang w:val="bg-BG"/>
        </w:rPr>
      </w:pPr>
    </w:p>
    <w:p w:rsidR="00572C09" w:rsidRDefault="00A0303B">
      <w:pPr>
        <w:keepNext/>
        <w:numPr>
          <w:ilvl w:val="0"/>
          <w:numId w:val="1"/>
        </w:numPr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Продукти, пазари и маркетингова политика</w:t>
      </w:r>
    </w:p>
    <w:p w:rsidR="00572C09" w:rsidRDefault="00572C09">
      <w:pPr>
        <w:ind w:left="454"/>
        <w:jc w:val="both"/>
        <w:rPr>
          <w:b/>
          <w:sz w:val="22"/>
          <w:szCs w:val="22"/>
          <w:lang w:val="bg-BG"/>
        </w:rPr>
      </w:pPr>
    </w:p>
    <w:tbl>
      <w:tblPr>
        <w:tblW w:w="12529" w:type="dxa"/>
        <w:tblInd w:w="-3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/>
      </w:tblPr>
      <w:tblGrid>
        <w:gridCol w:w="10398"/>
        <w:gridCol w:w="146"/>
        <w:gridCol w:w="1985"/>
      </w:tblGrid>
      <w:tr w:rsidR="00572C09">
        <w:trPr>
          <w:trHeight w:val="260"/>
        </w:trPr>
        <w:tc>
          <w:tcPr>
            <w:tcW w:w="10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70" w:type="dxa"/>
            </w:tcMar>
          </w:tcPr>
          <w:p w:rsidR="00572C09" w:rsidRDefault="00A0303B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3.1. Търговска политика и дейност – по направления на реализация. Анализ на средата за реализация на продукцията/услугите.</w:t>
            </w:r>
          </w:p>
        </w:tc>
        <w:tc>
          <w:tcPr>
            <w:tcW w:w="41" w:type="dxa"/>
            <w:shd w:val="clear" w:color="auto" w:fill="auto"/>
          </w:tcPr>
          <w:p w:rsidR="00572C09" w:rsidRDefault="00572C09"/>
        </w:tc>
        <w:tc>
          <w:tcPr>
            <w:tcW w:w="2072" w:type="dxa"/>
            <w:shd w:val="clear" w:color="auto" w:fill="auto"/>
          </w:tcPr>
          <w:p w:rsidR="00572C09" w:rsidRDefault="00572C09"/>
        </w:tc>
      </w:tr>
      <w:tr w:rsidR="00572C09">
        <w:trPr>
          <w:trHeight w:val="519"/>
        </w:trPr>
        <w:tc>
          <w:tcPr>
            <w:tcW w:w="10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72C09" w:rsidRDefault="00572C09">
            <w:pPr>
              <w:spacing w:line="240" w:lineRule="atLeast"/>
              <w:ind w:left="-18" w:firstLine="555"/>
              <w:jc w:val="both"/>
              <w:rPr>
                <w:color w:val="000000"/>
                <w:sz w:val="22"/>
                <w:szCs w:val="22"/>
                <w:lang w:val="bg-BG"/>
              </w:rPr>
            </w:pPr>
          </w:p>
          <w:p w:rsidR="00572C09" w:rsidRDefault="00A0303B">
            <w:pPr>
              <w:spacing w:line="240" w:lineRule="atLeast"/>
              <w:ind w:left="-18" w:firstLine="555"/>
              <w:jc w:val="both"/>
              <w:rPr>
                <w:color w:val="00B05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Търговската дейност на дружеството през 2019 година е насочена към реализация на продукцията от производствената дейност. Произведената продукция е в изпълнение на предварително сключените договори през 2018 г. за ремонт на авиационна техника и новите склю</w:t>
            </w:r>
            <w:r>
              <w:rPr>
                <w:color w:val="000000"/>
                <w:sz w:val="22"/>
                <w:szCs w:val="22"/>
                <w:lang w:val="bg-BG"/>
              </w:rPr>
              <w:t xml:space="preserve">чени договори в началото на тази година за оказване на техническа помощ. </w:t>
            </w:r>
          </w:p>
          <w:p w:rsidR="00572C09" w:rsidRDefault="00A0303B">
            <w:pPr>
              <w:spacing w:line="240" w:lineRule="atLeast"/>
              <w:ind w:left="-18" w:firstLine="555"/>
              <w:jc w:val="both"/>
              <w:rPr>
                <w:color w:val="00B05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Основна задача през второто тримесечие на 2019  година бе търсенето на клиенти за изпълнение на капитални ремонти на вертолетите от серията „Ми” и компоненти от оборудването им. Бяха</w:t>
            </w:r>
            <w:r>
              <w:rPr>
                <w:color w:val="000000"/>
                <w:sz w:val="22"/>
                <w:szCs w:val="22"/>
                <w:lang w:val="bg-BG"/>
              </w:rPr>
              <w:t xml:space="preserve"> подписани следните по-големи договори:</w:t>
            </w:r>
          </w:p>
          <w:p w:rsidR="00572C09" w:rsidRDefault="00A0303B">
            <w:pPr>
              <w:pStyle w:val="ListParagraph"/>
              <w:numPr>
                <w:ilvl w:val="0"/>
                <w:numId w:val="8"/>
              </w:numPr>
              <w:snapToGrid w:val="0"/>
              <w:spacing w:line="240" w:lineRule="atLeast"/>
              <w:jc w:val="both"/>
              <w:rPr>
                <w:color w:val="00B05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КВР на ВНВ с ТЕРЕМ-ХОЛДИНГ ЕАД</w:t>
            </w:r>
          </w:p>
          <w:p w:rsidR="00572C09" w:rsidRDefault="00A0303B">
            <w:pPr>
              <w:pStyle w:val="ListParagraph"/>
              <w:numPr>
                <w:ilvl w:val="0"/>
                <w:numId w:val="8"/>
              </w:numPr>
              <w:snapToGrid w:val="0"/>
              <w:spacing w:line="240" w:lineRule="atLeast"/>
              <w:jc w:val="both"/>
              <w:rPr>
                <w:color w:val="00B05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lastRenderedPageBreak/>
              <w:t>КВР на ВНВ на ХЕЛИ ЕР – САУ АД</w:t>
            </w:r>
          </w:p>
          <w:p w:rsidR="00572C09" w:rsidRDefault="00A0303B">
            <w:pPr>
              <w:pStyle w:val="ListParagraph"/>
              <w:numPr>
                <w:ilvl w:val="0"/>
                <w:numId w:val="8"/>
              </w:numPr>
              <w:snapToGrid w:val="0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КВР на агрегати на  ИНОКСИС 01 ООД</w:t>
            </w:r>
          </w:p>
          <w:p w:rsidR="00572C09" w:rsidRDefault="00A0303B">
            <w:pPr>
              <w:pStyle w:val="ListParagraph"/>
              <w:numPr>
                <w:ilvl w:val="0"/>
                <w:numId w:val="8"/>
              </w:numPr>
              <w:snapToGrid w:val="0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КВР на агрегати с ТЕРЕМ-ХОЛДИНГ ЕАД (ИНОКСИС 01 ООД)</w:t>
            </w:r>
          </w:p>
          <w:p w:rsidR="00572C09" w:rsidRDefault="00A0303B">
            <w:pPr>
              <w:pStyle w:val="ListParagraph"/>
              <w:numPr>
                <w:ilvl w:val="0"/>
                <w:numId w:val="8"/>
              </w:numPr>
              <w:snapToGrid w:val="0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КВР на агрегати на МЕТАЛИКА АБ ООД</w:t>
            </w:r>
          </w:p>
          <w:p w:rsidR="00572C09" w:rsidRDefault="00A0303B">
            <w:pPr>
              <w:spacing w:line="240" w:lineRule="atLeast"/>
              <w:ind w:left="-18" w:firstLine="555"/>
              <w:jc w:val="both"/>
              <w:rPr>
                <w:color w:val="00B05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Нашето внимание бе насочено пре</w:t>
            </w:r>
            <w:r>
              <w:rPr>
                <w:color w:val="000000"/>
                <w:sz w:val="22"/>
                <w:szCs w:val="22"/>
                <w:lang w:val="bg-BG"/>
              </w:rPr>
              <w:t xml:space="preserve">димно към потенциални клиенти зад граница. </w:t>
            </w:r>
          </w:p>
          <w:p w:rsidR="00572C09" w:rsidRDefault="00A0303B">
            <w:pPr>
              <w:spacing w:line="240" w:lineRule="atLeast"/>
              <w:ind w:left="-18" w:firstLine="555"/>
              <w:jc w:val="both"/>
              <w:rPr>
                <w:color w:val="00B05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 xml:space="preserve">Паралелно с основното  направление се работи за осигуряване на заетост на поддържащите производства в предприятието – бояджийския участък и механичен цех. </w:t>
            </w:r>
          </w:p>
          <w:p w:rsidR="00572C09" w:rsidRDefault="00A0303B">
            <w:pPr>
              <w:spacing w:line="240" w:lineRule="atLeast"/>
              <w:ind w:left="-18" w:firstLine="555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 xml:space="preserve">Продължава допълването на регистъра на фирмите в света, </w:t>
            </w:r>
            <w:r>
              <w:rPr>
                <w:color w:val="000000"/>
                <w:sz w:val="22"/>
                <w:szCs w:val="22"/>
                <w:lang w:val="bg-BG"/>
              </w:rPr>
              <w:t xml:space="preserve">занимаващи се с всякакъв вид ремонт на хеликоптери и самолети, както и на доставчиците на всякакъв вид авиационни резервни части. Поддържа се  регистъра на производителите и доставчиците на всички видове резервни части за хеликоптери от Русия. </w:t>
            </w:r>
          </w:p>
          <w:p w:rsidR="00572C09" w:rsidRDefault="00A0303B">
            <w:pPr>
              <w:spacing w:line="240" w:lineRule="atLeast"/>
              <w:ind w:left="-18" w:firstLine="555"/>
              <w:jc w:val="both"/>
              <w:rPr>
                <w:color w:val="00B05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 xml:space="preserve">Продължава </w:t>
            </w:r>
            <w:r>
              <w:rPr>
                <w:color w:val="000000"/>
                <w:sz w:val="22"/>
                <w:szCs w:val="22"/>
                <w:lang w:val="bg-BG"/>
              </w:rPr>
              <w:t>попълването на регистър на руски хеликоптери в света.</w:t>
            </w:r>
          </w:p>
          <w:p w:rsidR="00572C09" w:rsidRDefault="00A0303B">
            <w:pPr>
              <w:spacing w:line="240" w:lineRule="atLeast"/>
              <w:ind w:left="-18" w:firstLine="555"/>
              <w:jc w:val="both"/>
              <w:rPr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Продължаваме търсенето на фирми посредници, чрез които да установим директни контакти с клиенти от чужбина.</w:t>
            </w:r>
          </w:p>
          <w:p w:rsidR="00572C09" w:rsidRDefault="00572C09">
            <w:pPr>
              <w:spacing w:line="240" w:lineRule="atLeast"/>
              <w:ind w:left="-18" w:firstLine="555"/>
              <w:jc w:val="both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41" w:type="dxa"/>
            <w:shd w:val="clear" w:color="auto" w:fill="auto"/>
          </w:tcPr>
          <w:p w:rsidR="00572C09" w:rsidRDefault="00572C09">
            <w:pPr>
              <w:rPr>
                <w:color w:val="000000"/>
              </w:rPr>
            </w:pPr>
          </w:p>
        </w:tc>
        <w:tc>
          <w:tcPr>
            <w:tcW w:w="2072" w:type="dxa"/>
            <w:shd w:val="clear" w:color="auto" w:fill="auto"/>
          </w:tcPr>
          <w:p w:rsidR="00572C09" w:rsidRDefault="00572C09">
            <w:pPr>
              <w:rPr>
                <w:color w:val="000000"/>
              </w:rPr>
            </w:pPr>
          </w:p>
        </w:tc>
      </w:tr>
      <w:tr w:rsidR="00572C09">
        <w:trPr>
          <w:trHeight w:val="420"/>
        </w:trPr>
        <w:tc>
          <w:tcPr>
            <w:tcW w:w="10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70" w:type="dxa"/>
            </w:tcMar>
          </w:tcPr>
          <w:p w:rsidR="00572C09" w:rsidRDefault="00A0303B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3.2. Логистично и материално-техническо осигуряване на дейността</w:t>
            </w:r>
          </w:p>
        </w:tc>
        <w:tc>
          <w:tcPr>
            <w:tcW w:w="41" w:type="dxa"/>
            <w:shd w:val="clear" w:color="auto" w:fill="auto"/>
          </w:tcPr>
          <w:p w:rsidR="00572C09" w:rsidRDefault="00572C09"/>
        </w:tc>
        <w:tc>
          <w:tcPr>
            <w:tcW w:w="2072" w:type="dxa"/>
            <w:shd w:val="clear" w:color="auto" w:fill="auto"/>
          </w:tcPr>
          <w:p w:rsidR="00572C09" w:rsidRDefault="00572C09"/>
        </w:tc>
      </w:tr>
      <w:tr w:rsidR="00572C09">
        <w:trPr>
          <w:trHeight w:val="519"/>
        </w:trPr>
        <w:tc>
          <w:tcPr>
            <w:tcW w:w="10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72C09" w:rsidRDefault="00572C09">
            <w:pPr>
              <w:pStyle w:val="NormalWeb"/>
              <w:spacing w:beforeAutospacing="0" w:afterAutospacing="0" w:line="276" w:lineRule="auto"/>
              <w:ind w:firstLine="537"/>
              <w:jc w:val="both"/>
              <w:rPr>
                <w:color w:val="000000"/>
                <w:sz w:val="22"/>
                <w:szCs w:val="22"/>
              </w:rPr>
            </w:pPr>
          </w:p>
          <w:p w:rsidR="00572C09" w:rsidRDefault="00A0303B">
            <w:pPr>
              <w:pStyle w:val="NormalWeb"/>
              <w:spacing w:beforeAutospacing="0" w:afterAutospacing="0" w:line="276" w:lineRule="auto"/>
              <w:ind w:firstLine="537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За осигуряване на </w:t>
            </w:r>
            <w:r>
              <w:rPr>
                <w:color w:val="000000"/>
                <w:sz w:val="22"/>
                <w:szCs w:val="22"/>
              </w:rPr>
              <w:t xml:space="preserve">производствената дейност с резервни части от внос през второто тримесечие на 2019 година се доставиха резервни части от фирмите утвърдени доставчици на ТЕРЕМ-ЛЕТЕЦ ЕООД. Необходимите финансови средства за реализиране на доставките се осигуряваха за сметка </w:t>
            </w:r>
            <w:r>
              <w:rPr>
                <w:color w:val="000000"/>
                <w:sz w:val="22"/>
                <w:szCs w:val="22"/>
              </w:rPr>
              <w:t>на авансовото плащане по договорите за ремонт на авиационната техника. По-голямата част от груповите комплекти за ремонт на отделните блокове и агрегати от оборудването на вертолетите се осигуряваха от нашето собствено производство. Ежедневно влаганите в п</w:t>
            </w:r>
            <w:r>
              <w:rPr>
                <w:color w:val="000000"/>
                <w:sz w:val="22"/>
                <w:szCs w:val="22"/>
              </w:rPr>
              <w:t>роизводството материали и общоразходните материали, горива, смазки, бои, химикали и др., необходими за поддържане на производствената база се търсеха и закупуваха от вътрешния пазар.</w:t>
            </w:r>
          </w:p>
          <w:p w:rsidR="00572C09" w:rsidRDefault="00572C09">
            <w:pPr>
              <w:pStyle w:val="NormalWeb"/>
              <w:spacing w:beforeAutospacing="0" w:afterAutospacing="0" w:line="276" w:lineRule="auto"/>
              <w:ind w:firstLine="53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1" w:type="dxa"/>
            <w:shd w:val="clear" w:color="auto" w:fill="auto"/>
          </w:tcPr>
          <w:p w:rsidR="00572C09" w:rsidRDefault="00572C09">
            <w:pPr>
              <w:rPr>
                <w:color w:val="000000"/>
              </w:rPr>
            </w:pPr>
          </w:p>
        </w:tc>
        <w:tc>
          <w:tcPr>
            <w:tcW w:w="2072" w:type="dxa"/>
            <w:shd w:val="clear" w:color="auto" w:fill="auto"/>
          </w:tcPr>
          <w:p w:rsidR="00572C09" w:rsidRDefault="00572C09">
            <w:pPr>
              <w:rPr>
                <w:color w:val="000000"/>
              </w:rPr>
            </w:pPr>
          </w:p>
        </w:tc>
      </w:tr>
      <w:tr w:rsidR="00572C09">
        <w:trPr>
          <w:trHeight w:val="167"/>
        </w:trPr>
        <w:tc>
          <w:tcPr>
            <w:tcW w:w="10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70" w:type="dxa"/>
            </w:tcMar>
          </w:tcPr>
          <w:p w:rsidR="00572C09" w:rsidRDefault="00A0303B">
            <w:pPr>
              <w:ind w:left="-18" w:firstLine="18"/>
              <w:jc w:val="both"/>
              <w:rPr>
                <w:b/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3.3. Производствена дейност</w:t>
            </w:r>
          </w:p>
        </w:tc>
        <w:tc>
          <w:tcPr>
            <w:tcW w:w="41" w:type="dxa"/>
            <w:shd w:val="clear" w:color="auto" w:fill="auto"/>
          </w:tcPr>
          <w:p w:rsidR="00572C09" w:rsidRDefault="00572C09"/>
        </w:tc>
        <w:tc>
          <w:tcPr>
            <w:tcW w:w="2072" w:type="dxa"/>
            <w:shd w:val="clear" w:color="auto" w:fill="auto"/>
          </w:tcPr>
          <w:p w:rsidR="00572C09" w:rsidRDefault="00572C09"/>
        </w:tc>
      </w:tr>
      <w:tr w:rsidR="00572C09">
        <w:trPr>
          <w:trHeight w:val="385"/>
        </w:trPr>
        <w:tc>
          <w:tcPr>
            <w:tcW w:w="10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72C09" w:rsidRDefault="00A0303B">
            <w:pPr>
              <w:spacing w:line="276" w:lineRule="auto"/>
              <w:jc w:val="both"/>
              <w:rPr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 xml:space="preserve">           </w:t>
            </w:r>
          </w:p>
          <w:p w:rsidR="00572C09" w:rsidRDefault="00A0303B">
            <w:pPr>
              <w:spacing w:line="276" w:lineRule="auto"/>
              <w:jc w:val="both"/>
              <w:rPr>
                <w:color w:val="FF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color w:val="000000"/>
                <w:sz w:val="22"/>
                <w:szCs w:val="22"/>
                <w:lang w:val="bg-BG"/>
              </w:rPr>
              <w:t xml:space="preserve">В периода 01.04.2019 г. – 30.06.2019 г. се изпълниха: </w:t>
            </w:r>
          </w:p>
          <w:p w:rsidR="00572C09" w:rsidRDefault="00A0303B">
            <w:pPr>
              <w:spacing w:line="276" w:lineRule="auto"/>
              <w:jc w:val="both"/>
              <w:rPr>
                <w:color w:val="FF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 Завършиха се 7 (седем) етапа на 100% и 2 (два) етапа частично от КВР на в-т Ми-17 с борден №418, съгласно Договора с „ТЕРЕМ ХОЛДИН“ ЕАД за нуждите на МО.</w:t>
            </w:r>
          </w:p>
          <w:p w:rsidR="00572C09" w:rsidRDefault="00A0303B">
            <w:pPr>
              <w:spacing w:line="276" w:lineRule="auto"/>
              <w:jc w:val="both"/>
              <w:rPr>
                <w:color w:val="FF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 xml:space="preserve">- Завърши и </w:t>
            </w:r>
            <w:r>
              <w:rPr>
                <w:rFonts w:ascii="Times New Roman CYR" w:hAnsi="Times New Roman CYR" w:cs="Times New Roman CYR"/>
                <w:bCs/>
                <w:color w:val="000000"/>
                <w:szCs w:val="24"/>
                <w:lang w:val="ru-RU"/>
              </w:rPr>
              <w:t>Увеличаване на междуремонтният ср</w:t>
            </w:r>
            <w:r>
              <w:rPr>
                <w:rFonts w:ascii="Times New Roman CYR" w:hAnsi="Times New Roman CYR" w:cs="Times New Roman CYR"/>
                <w:bCs/>
                <w:color w:val="000000"/>
                <w:szCs w:val="24"/>
                <w:lang w:val="ru-RU"/>
              </w:rPr>
              <w:t>ок на експлоатация на в-т Ми-17 №419</w:t>
            </w:r>
            <w:r>
              <w:rPr>
                <w:color w:val="000000"/>
                <w:sz w:val="22"/>
                <w:szCs w:val="22"/>
                <w:lang w:val="bg-BG"/>
              </w:rPr>
              <w:t>, съгласно Договора с „ТЕРЕМ ХОЛДИН“ ЕАД за нуждите на МО.</w:t>
            </w:r>
          </w:p>
          <w:p w:rsidR="00572C09" w:rsidRDefault="00A0303B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 xml:space="preserve">- Поръчки за ремонт на авиационни компоненти от вертолети тип „Ми“ общо 8 броя. </w:t>
            </w:r>
          </w:p>
          <w:p w:rsidR="00572C09" w:rsidRDefault="00A0303B">
            <w:pPr>
              <w:spacing w:line="276" w:lineRule="auto"/>
              <w:jc w:val="both"/>
              <w:rPr>
                <w:color w:val="FF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 Поръчки за извършени други услуги общо 7 броя.</w:t>
            </w:r>
          </w:p>
          <w:p w:rsidR="00572C09" w:rsidRDefault="00572C09">
            <w:pPr>
              <w:spacing w:line="276" w:lineRule="auto"/>
              <w:jc w:val="both"/>
              <w:rPr>
                <w:sz w:val="22"/>
                <w:szCs w:val="22"/>
                <w:lang w:val="bg-BG"/>
              </w:rPr>
            </w:pPr>
          </w:p>
          <w:p w:rsidR="00572C09" w:rsidRDefault="00A0303B">
            <w:pPr>
              <w:spacing w:line="276" w:lineRule="auto"/>
              <w:jc w:val="both"/>
              <w:rPr>
                <w:color w:val="FF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Изпълнението на производствена</w:t>
            </w:r>
            <w:r>
              <w:rPr>
                <w:color w:val="000000"/>
                <w:sz w:val="22"/>
                <w:szCs w:val="22"/>
                <w:lang w:val="bg-BG"/>
              </w:rPr>
              <w:t>та дейност, по отношение на специалната продукция през второто тримесечие на 2019 г. се базира на изпълнението на подписаният договор с „ТЕРЕМ-ХОЛДИНГ“ ЕАД – за: извършване на:</w:t>
            </w:r>
            <w:r>
              <w:rPr>
                <w:rFonts w:ascii="Times New Roman CYR" w:hAnsi="Times New Roman CYR" w:cs="Times New Roman CYR"/>
                <w:bCs/>
                <w:color w:val="000000"/>
                <w:szCs w:val="24"/>
                <w:lang w:val="ru-RU"/>
              </w:rPr>
              <w:t xml:space="preserve"> Увеличаване на междуремонтният срок на експлоатация на в-т Ми-17 № 419</w:t>
            </w:r>
            <w:r>
              <w:rPr>
                <w:color w:val="000000"/>
                <w:sz w:val="22"/>
                <w:szCs w:val="22"/>
                <w:lang w:val="bg-BG"/>
              </w:rPr>
              <w:t xml:space="preserve"> и КВР на</w:t>
            </w:r>
            <w:r>
              <w:rPr>
                <w:color w:val="000000"/>
                <w:sz w:val="22"/>
                <w:szCs w:val="22"/>
                <w:lang w:val="bg-BG"/>
              </w:rPr>
              <w:t xml:space="preserve"> вертолет - Ми-17 с борден №418 (собственост на МО –ВВС);</w:t>
            </w:r>
          </w:p>
          <w:p w:rsidR="00572C09" w:rsidRDefault="00A0303B">
            <w:pPr>
              <w:spacing w:line="276" w:lineRule="auto"/>
              <w:jc w:val="both"/>
              <w:rPr>
                <w:color w:val="FF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По отношение на гражданската продукция, изпълнението на производствената дейност, през второто тримесечие на 2019 г. се базира на изпълнението на:</w:t>
            </w:r>
          </w:p>
          <w:p w:rsidR="00572C09" w:rsidRDefault="00A0303B">
            <w:pPr>
              <w:spacing w:before="120" w:after="120"/>
              <w:ind w:firstLine="72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 Поръчки за ремонт на авиационни агрегати от верто</w:t>
            </w:r>
            <w:r>
              <w:rPr>
                <w:color w:val="000000"/>
                <w:sz w:val="22"/>
                <w:szCs w:val="22"/>
                <w:lang w:val="bg-BG"/>
              </w:rPr>
              <w:t>лети тип „Ми“ за: „МЕТАЛИКА-АБ” ЕООД, „ИНОКСИС 01” ООД, „ОГТО ТРЕЙДИНГ“ ЕООД, „Авиоотряд 28“.</w:t>
            </w:r>
          </w:p>
          <w:p w:rsidR="00572C09" w:rsidRDefault="00A0303B">
            <w:pPr>
              <w:spacing w:before="120" w:after="120"/>
              <w:jc w:val="both"/>
              <w:rPr>
                <w:color w:val="FF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 Оказаната техническа помощ при техническо обслужване на въздухоплавателни средства на: „МЕТАЛИКА-АБ” ЕООД, „ХЕЛИ ЕР-САУ” АД, „АЕРО ТЕХНИК БГ“, „АВИОСТАРТ“, „БЛУ</w:t>
            </w:r>
            <w:r>
              <w:rPr>
                <w:color w:val="000000"/>
                <w:sz w:val="22"/>
                <w:szCs w:val="22"/>
                <w:lang w:val="bg-BG"/>
              </w:rPr>
              <w:t xml:space="preserve"> УИНД АВИЕЙШЪН“, „АВИО БРАВО“ ЕООД.</w:t>
            </w:r>
          </w:p>
          <w:p w:rsidR="00572C09" w:rsidRDefault="00A0303B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 Оказани са производствени услуги на: „ЛУФТХАНЗА ТЕХНИК СОФИЯ“, „ИНОКСИС 01“, „МЕТАЛИКА-АБ“ ЕООД.</w:t>
            </w:r>
          </w:p>
          <w:p w:rsidR="00572C09" w:rsidRDefault="00572C09">
            <w:pPr>
              <w:jc w:val="both"/>
              <w:rPr>
                <w:color w:val="000000"/>
                <w:sz w:val="22"/>
                <w:szCs w:val="22"/>
                <w:lang w:val="bg-BG"/>
              </w:rPr>
            </w:pPr>
          </w:p>
          <w:p w:rsidR="00572C09" w:rsidRDefault="00572C09">
            <w:pPr>
              <w:jc w:val="both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41" w:type="dxa"/>
            <w:shd w:val="clear" w:color="auto" w:fill="auto"/>
          </w:tcPr>
          <w:p w:rsidR="00572C09" w:rsidRDefault="00572C09">
            <w:pPr>
              <w:rPr>
                <w:color w:val="000000"/>
              </w:rPr>
            </w:pPr>
          </w:p>
        </w:tc>
        <w:tc>
          <w:tcPr>
            <w:tcW w:w="2072" w:type="dxa"/>
            <w:shd w:val="clear" w:color="auto" w:fill="auto"/>
          </w:tcPr>
          <w:p w:rsidR="00572C09" w:rsidRDefault="00572C09">
            <w:pPr>
              <w:rPr>
                <w:color w:val="000000"/>
              </w:rPr>
            </w:pPr>
          </w:p>
        </w:tc>
      </w:tr>
      <w:tr w:rsidR="00572C09">
        <w:trPr>
          <w:trHeight w:val="260"/>
        </w:trPr>
        <w:tc>
          <w:tcPr>
            <w:tcW w:w="10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70" w:type="dxa"/>
            </w:tcMar>
          </w:tcPr>
          <w:p w:rsidR="00572C09" w:rsidRDefault="00A0303B">
            <w:pPr>
              <w:ind w:left="-18" w:firstLine="18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3.4. Продуктово и технологично развитие. Иновации. Нови изделия и прототипи.</w:t>
            </w:r>
          </w:p>
        </w:tc>
        <w:tc>
          <w:tcPr>
            <w:tcW w:w="41" w:type="dxa"/>
            <w:shd w:val="clear" w:color="auto" w:fill="auto"/>
          </w:tcPr>
          <w:p w:rsidR="00572C09" w:rsidRDefault="00572C09"/>
        </w:tc>
        <w:tc>
          <w:tcPr>
            <w:tcW w:w="2072" w:type="dxa"/>
            <w:shd w:val="clear" w:color="auto" w:fill="auto"/>
          </w:tcPr>
          <w:p w:rsidR="00572C09" w:rsidRDefault="00572C09"/>
        </w:tc>
      </w:tr>
      <w:tr w:rsidR="00572C09">
        <w:trPr>
          <w:trHeight w:val="467"/>
        </w:trPr>
        <w:tc>
          <w:tcPr>
            <w:tcW w:w="10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72C09" w:rsidRDefault="00A0303B">
            <w:pPr>
              <w:pStyle w:val="NormalWeb"/>
              <w:spacing w:beforeAutospacing="0" w:afterAutospacing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 отчетния период дружеството </w:t>
            </w:r>
            <w:r>
              <w:rPr>
                <w:sz w:val="22"/>
                <w:szCs w:val="22"/>
              </w:rPr>
              <w:t>полага усилия за усвояване на основния ремонт на агрегати, дейност осигуряваща предварителната подготовка за ремонт на вертолети Ми-17 В1/В5, Ми-8 МТВ1, Ми-</w:t>
            </w:r>
            <w:r>
              <w:rPr>
                <w:sz w:val="22"/>
                <w:szCs w:val="22"/>
              </w:rPr>
              <w:lastRenderedPageBreak/>
              <w:t>24Д/В/П и др. перспективни изделия, представляващи модификации на сега ремонтираните вертолети Ми-8П</w:t>
            </w:r>
            <w:r>
              <w:rPr>
                <w:sz w:val="22"/>
                <w:szCs w:val="22"/>
              </w:rPr>
              <w:t>/Т, Ми-17 и Ми-24Д/В/П. Процеса е сложен, изискващ осигуреност, ка</w:t>
            </w:r>
            <w:r>
              <w:rPr>
                <w:color w:val="000000"/>
                <w:sz w:val="22"/>
                <w:szCs w:val="22"/>
              </w:rPr>
              <w:t>кто с техническа документация, така и със съответен агрегат за опитен образец, ремонтно-монтажен инструмент и стендово оборудване.</w:t>
            </w:r>
          </w:p>
          <w:p w:rsidR="00572C09" w:rsidRDefault="00A0303B">
            <w:pPr>
              <w:pStyle w:val="NormalWeb"/>
              <w:spacing w:beforeAutospacing="0" w:afterAutospacing="0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След проведения одит от страна на холдинг „Вертолеты России</w:t>
            </w:r>
            <w:r>
              <w:rPr>
                <w:color w:val="000000"/>
                <w:sz w:val="22"/>
                <w:szCs w:val="22"/>
              </w:rPr>
              <w:t>“ съвместно с КБ „Мил“, проведен за получаване на лиценз за ремонт на вертолети Ми-8/17 и Ми-24 военен вариант, се работи по отстраняване на забележките, а именно преработка на Контролно-операционните карти в ремонтните дела съобразно препоръките от страна</w:t>
            </w:r>
            <w:r>
              <w:rPr>
                <w:color w:val="000000"/>
                <w:sz w:val="22"/>
                <w:szCs w:val="22"/>
              </w:rPr>
              <w:t xml:space="preserve"> на КБ „Мил“. Необходимо е и да се сключи Договор за „Технологично съпровождане на ремонта“ с производителите на основните агрегати от трансмисията и носещата система на вертолетите, за да можем да имаме актуална техническа и ремонтна документация, най-нов</w:t>
            </w:r>
            <w:r>
              <w:rPr>
                <w:color w:val="000000"/>
                <w:sz w:val="22"/>
                <w:szCs w:val="22"/>
              </w:rPr>
              <w:t>ите ремонтни и ресурсни бюлетини влезли в сила, и на тази основа да можем да удовлетворим условията при участия в търгове за ремонт на вертолети.</w:t>
            </w:r>
          </w:p>
          <w:p w:rsidR="00572C09" w:rsidRDefault="00A0303B">
            <w:pPr>
              <w:pStyle w:val="NormalWeb"/>
              <w:spacing w:beforeAutospacing="0" w:afterAutospacing="0"/>
              <w:ind w:firstLine="709"/>
              <w:jc w:val="both"/>
              <w:rPr>
                <w:b/>
                <w:color w:val="833C0B" w:themeColor="accent2" w:themeShade="8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Подготвяме се за аналогичен одит от „Вертолеты России“ за продължение на лиценза за ремонт на вертолети </w:t>
            </w:r>
            <w:r>
              <w:rPr>
                <w:color w:val="000000"/>
                <w:sz w:val="22"/>
                <w:szCs w:val="22"/>
              </w:rPr>
              <w:t>Ми-8/17 граждански вариант през 3-то тримесечие.</w:t>
            </w:r>
          </w:p>
          <w:p w:rsidR="00572C09" w:rsidRDefault="00A0303B">
            <w:pPr>
              <w:pStyle w:val="NormalWeb"/>
              <w:spacing w:beforeAutospacing="0" w:afterAutospacing="0"/>
              <w:ind w:firstLine="709"/>
              <w:jc w:val="both"/>
              <w:rPr>
                <w:b/>
                <w:color w:val="833C0B" w:themeColor="accent2" w:themeShade="8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 да осигурим лиценза на предприятието от ГД ГВА на Министерството на транспорта в завода се проведе основен курс за изучаване на вертолет Ми-8/МТВ за специалисти В1 и В2 за получаване на сертификат под над</w:t>
            </w:r>
            <w:r>
              <w:rPr>
                <w:color w:val="000000"/>
                <w:sz w:val="22"/>
                <w:szCs w:val="22"/>
              </w:rPr>
              <w:t>зора на „Частен транспортен колеж“. Курса премина успешно, проведоха се и тестове, предстои бриветиране на съответните специалисти от ГД ГВА.</w:t>
            </w:r>
          </w:p>
          <w:p w:rsidR="00572C09" w:rsidRDefault="00A0303B">
            <w:pPr>
              <w:pStyle w:val="NormalWeb"/>
              <w:spacing w:beforeAutospacing="0" w:afterAutospacing="0"/>
              <w:ind w:firstLine="709"/>
              <w:jc w:val="both"/>
              <w:rPr>
                <w:b/>
                <w:color w:val="833C0B" w:themeColor="accent2" w:themeShade="8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Специалистите от Отдел „Технически“ активно участват при провеждането на Мероприятията по удължаването на междурем</w:t>
            </w:r>
            <w:r>
              <w:rPr>
                <w:color w:val="000000"/>
                <w:sz w:val="22"/>
                <w:szCs w:val="22"/>
              </w:rPr>
              <w:t xml:space="preserve">онтния ресурс на вертолет Ми-17, борден № 419. Своевременно се реагира при възникналите проблеми в процеса на работата и подпомагаха работата на специалистите от КБ“Мил“ при извършването на техните мероприятия по удължаването на ресурса. Вертолета успешно </w:t>
            </w:r>
            <w:r>
              <w:rPr>
                <w:color w:val="000000"/>
                <w:sz w:val="22"/>
                <w:szCs w:val="22"/>
              </w:rPr>
              <w:t>премина заводските изпитания и беше предаден на клиента - ВВС на МО.</w:t>
            </w:r>
          </w:p>
          <w:p w:rsidR="00572C09" w:rsidRDefault="00A0303B">
            <w:pPr>
              <w:pStyle w:val="NormalWeb"/>
              <w:spacing w:beforeAutospacing="0" w:afterAutospacing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отношение на усвояването на ремонта на нови агрегати за разширение на обхвата на дейностите в завода се работи по следните агрегати:</w:t>
            </w:r>
          </w:p>
          <w:p w:rsidR="00572C09" w:rsidRDefault="00A0303B">
            <w:pPr>
              <w:pStyle w:val="NormalWeb"/>
              <w:spacing w:beforeAutospacing="0" w:afterAutospacing="0"/>
              <w:ind w:firstLine="709"/>
              <w:jc w:val="both"/>
            </w:pPr>
            <w:r>
              <w:rPr>
                <w:sz w:val="22"/>
                <w:szCs w:val="22"/>
              </w:rPr>
              <w:t>1.Усвояване на ремонта на „Блок защита и управление</w:t>
            </w:r>
            <w:r>
              <w:rPr>
                <w:sz w:val="22"/>
                <w:szCs w:val="22"/>
              </w:rPr>
              <w:t xml:space="preserve"> БЗУНП355Г“ на енерговъзела за вертолети Ми171, Ми-17-В5, Ка-32 от специалистите по „Авиационно оборудване“ в ТО и ЦАТ. Към настоящия момент дейността по усвояването на ремонта продължава.</w:t>
            </w:r>
          </w:p>
          <w:p w:rsidR="00572C09" w:rsidRDefault="00A0303B">
            <w:pPr>
              <w:pStyle w:val="NormalWeb"/>
              <w:spacing w:beforeAutospacing="0" w:afterAutospacing="0"/>
              <w:ind w:firstLine="709"/>
              <w:jc w:val="both"/>
            </w:pPr>
            <w:r>
              <w:rPr>
                <w:sz w:val="22"/>
                <w:szCs w:val="22"/>
              </w:rPr>
              <w:t>2. Усвояване на ремонта на хидроусилител КАУ-115АМ от вертолети Ми-</w:t>
            </w:r>
            <w:r>
              <w:rPr>
                <w:sz w:val="22"/>
                <w:szCs w:val="22"/>
              </w:rPr>
              <w:t xml:space="preserve">17 (по-новите модификации) и Ми-24/35 (последните модификации). В процес сме на придобиване на ремонтна документация, доработен бе стенда за изпитание на агрегата. </w:t>
            </w:r>
          </w:p>
          <w:p w:rsidR="00572C09" w:rsidRDefault="00A0303B">
            <w:pPr>
              <w:pStyle w:val="NormalWeb"/>
              <w:spacing w:beforeAutospacing="0" w:afterAutospacing="0"/>
              <w:ind w:firstLine="709"/>
              <w:jc w:val="both"/>
            </w:pPr>
            <w:r>
              <w:rPr>
                <w:sz w:val="22"/>
                <w:szCs w:val="22"/>
              </w:rPr>
              <w:t>3. Стартира и усвояването на ремонта на електрохидравлична помпа НП27ТМ (за отваряне/затвар</w:t>
            </w:r>
            <w:r>
              <w:rPr>
                <w:sz w:val="22"/>
                <w:szCs w:val="22"/>
              </w:rPr>
              <w:t>яне на рампата на вертолет Ми171, Ми-17-В5). Ще бъде закупена ремонтно-технологична документация и изработен стенд за изпитание на агрегата. Доставена е помпа за опитен образец и е сформирана група за изпълнение на задачата.</w:t>
            </w:r>
          </w:p>
          <w:p w:rsidR="00572C09" w:rsidRDefault="00A0303B">
            <w:pPr>
              <w:pStyle w:val="NormalWeb"/>
              <w:spacing w:beforeAutospacing="0" w:afterAutospacing="0"/>
              <w:ind w:firstLine="709"/>
              <w:jc w:val="both"/>
              <w:rPr>
                <w:b/>
                <w:color w:val="833C0B" w:themeColor="accent2" w:themeShade="8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4. В Галваничен участък към </w:t>
            </w:r>
            <w:r>
              <w:rPr>
                <w:color w:val="000000"/>
                <w:sz w:val="22"/>
                <w:szCs w:val="22"/>
              </w:rPr>
              <w:t>„Механичен цех“ се монтира нов кран с нов релсов път и нова количка за електротелфера. Това подобри механизацията на работата в участъка и се повиши безопасността на работата</w:t>
            </w:r>
          </w:p>
          <w:p w:rsidR="00572C09" w:rsidRDefault="00A0303B">
            <w:pPr>
              <w:pStyle w:val="NormalWeb"/>
              <w:spacing w:beforeAutospacing="0" w:afterAutospacing="0"/>
              <w:ind w:firstLine="709"/>
              <w:jc w:val="both"/>
              <w:rPr>
                <w:b/>
                <w:color w:val="833C0B" w:themeColor="accent2" w:themeShade="8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Монтираха се аспирационни въздуховоди от пластмасове материали и подвеждане на въ</w:t>
            </w:r>
            <w:r>
              <w:rPr>
                <w:color w:val="000000"/>
                <w:sz w:val="22"/>
                <w:szCs w:val="22"/>
              </w:rPr>
              <w:t>здук към малкия вентилатор с мощност 8к</w:t>
            </w:r>
            <w:r>
              <w:rPr>
                <w:color w:val="000000"/>
                <w:sz w:val="22"/>
                <w:szCs w:val="22"/>
                <w:lang w:val="en-US"/>
              </w:rPr>
              <w:t>W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572C09" w:rsidRDefault="00A0303B">
            <w:pPr>
              <w:pStyle w:val="NormalWeb"/>
              <w:spacing w:beforeAutospacing="0" w:afterAutospacing="0"/>
              <w:ind w:firstLine="709"/>
              <w:jc w:val="both"/>
              <w:rPr>
                <w:b/>
                <w:color w:val="833C0B" w:themeColor="accent2" w:themeShade="8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Предстои монтаж на аналогична аспирационна с-ма за площадка № 2 – хромиране</w:t>
            </w:r>
          </w:p>
          <w:p w:rsidR="00572C09" w:rsidRDefault="00A0303B">
            <w:pPr>
              <w:pStyle w:val="NormalWeb"/>
              <w:spacing w:beforeAutospacing="0" w:afterAutospacing="0"/>
              <w:ind w:firstLine="709"/>
              <w:jc w:val="both"/>
              <w:rPr>
                <w:b/>
                <w:color w:val="833C0B" w:themeColor="accent2" w:themeShade="8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Химическата лаборатория се  ремонтираха 2бр. термостати за извършване на анализ на каучоковите материали.</w:t>
            </w:r>
          </w:p>
          <w:p w:rsidR="00572C09" w:rsidRDefault="00A0303B">
            <w:pPr>
              <w:pStyle w:val="NormalWeb"/>
              <w:spacing w:beforeAutospacing="0" w:afterAutospacing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Стартира и модернизацията н</w:t>
            </w:r>
            <w:r>
              <w:rPr>
                <w:sz w:val="22"/>
                <w:szCs w:val="22"/>
              </w:rPr>
              <w:t>а квадрокоптер с монтаж на термокамера за извършване на наблюдение. За целта се достави квадрокоптер в завода за изпитание, проучва се каква термокамера да се подбере.</w:t>
            </w:r>
          </w:p>
          <w:p w:rsidR="00572C09" w:rsidRDefault="00A0303B">
            <w:pPr>
              <w:pStyle w:val="NormalWeb"/>
              <w:spacing w:beforeAutospacing="0" w:afterAutospacing="0"/>
              <w:ind w:firstLine="709"/>
              <w:jc w:val="both"/>
            </w:pPr>
            <w:r>
              <w:rPr>
                <w:sz w:val="22"/>
                <w:szCs w:val="22"/>
              </w:rPr>
              <w:t>6. Ще бъде направена и модернизация на стенда за изпитание на генераторите с цифрови изм</w:t>
            </w:r>
            <w:r>
              <w:rPr>
                <w:sz w:val="22"/>
                <w:szCs w:val="22"/>
              </w:rPr>
              <w:t>ервателни уреди, за да се подобри процеса „Изпитание“ на генераторите след капитално-възстановителен ремонт.</w:t>
            </w:r>
          </w:p>
          <w:p w:rsidR="00572C09" w:rsidRDefault="00A0303B">
            <w:pPr>
              <w:pStyle w:val="NormalWeb"/>
              <w:spacing w:beforeAutospacing="0" w:afterAutospacing="0"/>
              <w:ind w:firstLine="709"/>
            </w:pPr>
            <w:r>
              <w:rPr>
                <w:sz w:val="22"/>
                <w:szCs w:val="22"/>
              </w:rPr>
              <w:t>Продължава работата по обучение на наши специалисти за придобиване на Бривет по отношение на ремонта на агрегати от въздухоплавателни средства коит</w:t>
            </w:r>
            <w:r>
              <w:rPr>
                <w:sz w:val="22"/>
                <w:szCs w:val="22"/>
              </w:rPr>
              <w:t>о имат Европейски сертификат. Засега сме се насочили към агрегатите от Вертолет Ми-171Е и Ка-32ВС които са сертифициране в Европа. Подготвя се предложение към ГД ГВА с обхвата на дейностите за които ще искаме  разрешение за ремонт. В бъдеще ще се опитаме д</w:t>
            </w:r>
            <w:r>
              <w:rPr>
                <w:sz w:val="22"/>
                <w:szCs w:val="22"/>
              </w:rPr>
              <w:t>а придобием и разрешение за изработка на резервни части(например шлангове). Също така се проучва въпроса и за участие и в Техническото обслужване и на западна авиационна техника.</w:t>
            </w:r>
          </w:p>
        </w:tc>
        <w:tc>
          <w:tcPr>
            <w:tcW w:w="41" w:type="dxa"/>
            <w:shd w:val="clear" w:color="auto" w:fill="auto"/>
          </w:tcPr>
          <w:p w:rsidR="00572C09" w:rsidRDefault="00572C09"/>
        </w:tc>
        <w:tc>
          <w:tcPr>
            <w:tcW w:w="2072" w:type="dxa"/>
            <w:shd w:val="clear" w:color="auto" w:fill="auto"/>
          </w:tcPr>
          <w:p w:rsidR="00572C09" w:rsidRDefault="00572C09"/>
        </w:tc>
      </w:tr>
      <w:tr w:rsidR="00572C09">
        <w:trPr>
          <w:cantSplit/>
          <w:trHeight w:val="262"/>
        </w:trPr>
        <w:tc>
          <w:tcPr>
            <w:tcW w:w="104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572C09" w:rsidRDefault="00A0303B">
            <w:pPr>
              <w:keepNext/>
              <w:numPr>
                <w:ilvl w:val="0"/>
                <w:numId w:val="1"/>
              </w:numPr>
              <w:spacing w:beforeAutospacing="1"/>
              <w:ind w:right="204"/>
              <w:rPr>
                <w:b/>
                <w:bCs/>
              </w:rPr>
            </w:pPr>
            <w:r>
              <w:rPr>
                <w:b/>
                <w:bCs/>
                <w:szCs w:val="24"/>
                <w:lang w:val="bg-BG" w:eastAsia="bg-BG"/>
              </w:rPr>
              <w:lastRenderedPageBreak/>
              <w:t xml:space="preserve">Системи за управление на качеството, лицензи, патенти и права на </w:t>
            </w:r>
            <w:r>
              <w:rPr>
                <w:b/>
                <w:bCs/>
                <w:szCs w:val="24"/>
                <w:lang w:val="bg-BG" w:eastAsia="bg-BG"/>
              </w:rPr>
              <w:t>интелектуална и индустриална собственост</w:t>
            </w:r>
          </w:p>
          <w:tbl>
            <w:tblPr>
              <w:tblW w:w="10023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65" w:type="dxa"/>
                <w:right w:w="70" w:type="dxa"/>
              </w:tblCellMar>
              <w:tblLook w:val="0000"/>
            </w:tblPr>
            <w:tblGrid>
              <w:gridCol w:w="5277"/>
              <w:gridCol w:w="2236"/>
              <w:gridCol w:w="2510"/>
            </w:tblGrid>
            <w:tr w:rsidR="00572C09">
              <w:trPr>
                <w:trHeight w:val="350"/>
              </w:trPr>
              <w:tc>
                <w:tcPr>
                  <w:tcW w:w="10023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pct12" w:color="auto" w:fill="auto"/>
                  <w:tcMar>
                    <w:left w:w="65" w:type="dxa"/>
                  </w:tcMar>
                </w:tcPr>
                <w:p w:rsidR="00572C09" w:rsidRDefault="00A0303B">
                  <w:pPr>
                    <w:keepNext/>
                    <w:spacing w:before="60" w:after="60"/>
                    <w:jc w:val="both"/>
                    <w:outlineLvl w:val="2"/>
                  </w:pPr>
                  <w:r>
                    <w:rPr>
                      <w:sz w:val="22"/>
                    </w:rPr>
                    <w:t xml:space="preserve">4.1. Посочете въведени в предприятието Системи за управление на качеството, както и притежавани права върху обекти на индустриална собственост. </w:t>
                  </w:r>
                  <w:r>
                    <w:rPr>
                      <w:i/>
                      <w:sz w:val="22"/>
                    </w:rPr>
                    <w:t xml:space="preserve">За текущия отчетен период пояснете ново възникналите обстоятелства във </w:t>
                  </w:r>
                  <w:r>
                    <w:rPr>
                      <w:i/>
                      <w:sz w:val="22"/>
                    </w:rPr>
                    <w:t>връзка със сертификатите, патенти и т.н. права</w:t>
                  </w:r>
                </w:p>
                <w:p w:rsidR="00572C09" w:rsidRDefault="00572C09">
                  <w:pPr>
                    <w:keepNext/>
                    <w:spacing w:before="60" w:after="60"/>
                    <w:jc w:val="both"/>
                    <w:outlineLvl w:val="2"/>
                    <w:rPr>
                      <w:sz w:val="22"/>
                      <w:lang w:val="bg-BG"/>
                    </w:rPr>
                  </w:pPr>
                </w:p>
              </w:tc>
            </w:tr>
            <w:tr w:rsidR="00572C09">
              <w:trPr>
                <w:cantSplit/>
                <w:trHeight w:val="262"/>
              </w:trPr>
              <w:tc>
                <w:tcPr>
                  <w:tcW w:w="527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  <w:vAlign w:val="center"/>
                </w:tcPr>
                <w:p w:rsidR="00572C09" w:rsidRDefault="00A0303B">
                  <w:pPr>
                    <w:spacing w:line="276" w:lineRule="auto"/>
                  </w:pPr>
                  <w:r>
                    <w:rPr>
                      <w:sz w:val="22"/>
                      <w:szCs w:val="21"/>
                    </w:rPr>
                    <w:t xml:space="preserve">Придобити сертификати по стандарти за качество, или други международно признати стандарти </w:t>
                  </w:r>
                </w:p>
              </w:tc>
              <w:tc>
                <w:tcPr>
                  <w:tcW w:w="22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  <w:vAlign w:val="center"/>
                </w:tcPr>
                <w:p w:rsidR="00572C09" w:rsidRDefault="00572C09">
                  <w:pPr>
                    <w:jc w:val="center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/>
                        </w:checkBox>
                      </w:ffData>
                    </w:fldChar>
                  </w:r>
                  <w:r w:rsidR="00A0303B">
                    <w:instrText>FORMCHECKBOX</w:instrText>
                  </w:r>
                  <w:r>
                    <w:fldChar w:fldCharType="separate"/>
                  </w:r>
                  <w:bookmarkStart w:id="4" w:name="__Fieldmark__969_3391214628"/>
                  <w:bookmarkStart w:id="5" w:name="Check3"/>
                  <w:bookmarkEnd w:id="4"/>
                  <w:r>
                    <w:fldChar w:fldCharType="end"/>
                  </w:r>
                  <w:bookmarkEnd w:id="5"/>
                  <w:r w:rsidR="00A0303B">
                    <w:rPr>
                      <w:sz w:val="22"/>
                      <w:szCs w:val="21"/>
                      <w:lang w:eastAsia="pl-PL"/>
                    </w:rPr>
                    <w:t xml:space="preserve">  да</w:t>
                  </w:r>
                </w:p>
              </w:tc>
              <w:tc>
                <w:tcPr>
                  <w:tcW w:w="251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  <w:vAlign w:val="center"/>
                </w:tcPr>
                <w:p w:rsidR="00572C09" w:rsidRDefault="00572C09">
                  <w:pPr>
                    <w:jc w:val="center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A0303B">
                    <w:instrText>FORMCHECKBOX</w:instrText>
                  </w:r>
                  <w:r>
                    <w:fldChar w:fldCharType="separate"/>
                  </w:r>
                  <w:bookmarkStart w:id="6" w:name="__Fieldmark__976_3391214628"/>
                  <w:bookmarkStart w:id="7" w:name="Check4"/>
                  <w:bookmarkEnd w:id="6"/>
                  <w:r>
                    <w:fldChar w:fldCharType="end"/>
                  </w:r>
                  <w:bookmarkEnd w:id="7"/>
                  <w:r w:rsidR="00A0303B">
                    <w:rPr>
                      <w:sz w:val="22"/>
                      <w:szCs w:val="21"/>
                    </w:rPr>
                    <w:t xml:space="preserve">  не</w:t>
                  </w:r>
                </w:p>
              </w:tc>
            </w:tr>
            <w:tr w:rsidR="00572C09">
              <w:trPr>
                <w:cantSplit/>
                <w:trHeight w:val="507"/>
              </w:trPr>
              <w:tc>
                <w:tcPr>
                  <w:tcW w:w="527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</w:tcPr>
                <w:p w:rsidR="00572C09" w:rsidRDefault="00A0303B">
                  <w:pPr>
                    <w:numPr>
                      <w:ilvl w:val="0"/>
                      <w:numId w:val="2"/>
                    </w:numPr>
                    <w:spacing w:line="276" w:lineRule="auto"/>
                    <w:ind w:left="105" w:hanging="180"/>
                    <w:contextualSpacing/>
                  </w:pPr>
                  <w:r>
                    <w:rPr>
                      <w:sz w:val="22"/>
                      <w:szCs w:val="21"/>
                    </w:rPr>
                    <w:t>По БДС EN ISO 9001:2015 притежаваме сертификат BG.121373Q/U със срок на действие до 15.09.2021г.</w:t>
                  </w:r>
                </w:p>
              </w:tc>
              <w:tc>
                <w:tcPr>
                  <w:tcW w:w="4746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</w:tcPr>
                <w:p w:rsidR="00572C09" w:rsidRDefault="00572C09">
                  <w:pPr>
                    <w:ind w:left="15" w:right="-70"/>
                    <w:contextualSpacing/>
                    <w:rPr>
                      <w:sz w:val="22"/>
                      <w:szCs w:val="21"/>
                    </w:rPr>
                  </w:pPr>
                </w:p>
              </w:tc>
            </w:tr>
            <w:tr w:rsidR="00572C09">
              <w:trPr>
                <w:cantSplit/>
                <w:trHeight w:val="611"/>
              </w:trPr>
              <w:tc>
                <w:tcPr>
                  <w:tcW w:w="527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</w:tcPr>
                <w:p w:rsidR="00572C09" w:rsidRDefault="00A0303B">
                  <w:pPr>
                    <w:numPr>
                      <w:ilvl w:val="0"/>
                      <w:numId w:val="2"/>
                    </w:numPr>
                    <w:spacing w:line="276" w:lineRule="auto"/>
                    <w:ind w:left="105" w:hanging="180"/>
                    <w:contextualSpacing/>
                  </w:pPr>
                  <w:r>
                    <w:rPr>
                      <w:sz w:val="22"/>
                      <w:szCs w:val="21"/>
                    </w:rPr>
                    <w:t>По AQAP 2110 притежаваме сертификат Серия СК178/2019 със срок на действие до 01.03.2021 г.</w:t>
                  </w:r>
                </w:p>
              </w:tc>
              <w:tc>
                <w:tcPr>
                  <w:tcW w:w="4746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</w:tcPr>
                <w:p w:rsidR="00572C09" w:rsidRDefault="00572C09">
                  <w:pPr>
                    <w:ind w:left="15" w:right="49"/>
                    <w:jc w:val="both"/>
                    <w:rPr>
                      <w:sz w:val="22"/>
                      <w:szCs w:val="21"/>
                    </w:rPr>
                  </w:pPr>
                </w:p>
              </w:tc>
            </w:tr>
            <w:tr w:rsidR="00572C09">
              <w:trPr>
                <w:cantSplit/>
                <w:trHeight w:val="262"/>
              </w:trPr>
              <w:tc>
                <w:tcPr>
                  <w:tcW w:w="527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  <w:vAlign w:val="center"/>
                </w:tcPr>
                <w:p w:rsidR="00572C09" w:rsidRDefault="00A0303B">
                  <w:pPr>
                    <w:spacing w:line="276" w:lineRule="auto"/>
                  </w:pPr>
                  <w:r>
                    <w:rPr>
                      <w:sz w:val="22"/>
                      <w:szCs w:val="21"/>
                    </w:rPr>
                    <w:t xml:space="preserve">Придобит сертификат за </w:t>
                  </w:r>
                  <w:r>
                    <w:rPr>
                      <w:sz w:val="22"/>
                      <w:szCs w:val="21"/>
                    </w:rPr>
                    <w:t>управление на околната среда (EMAS) или друг вид сертификат (</w:t>
                  </w:r>
                  <w:r>
                    <w:rPr>
                      <w:i/>
                      <w:sz w:val="22"/>
                      <w:szCs w:val="21"/>
                    </w:rPr>
                    <w:t>пояснете</w:t>
                  </w:r>
                  <w:r>
                    <w:rPr>
                      <w:sz w:val="22"/>
                      <w:szCs w:val="21"/>
                    </w:rPr>
                    <w:t>)</w:t>
                  </w:r>
                </w:p>
              </w:tc>
              <w:tc>
                <w:tcPr>
                  <w:tcW w:w="22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  <w:vAlign w:val="center"/>
                </w:tcPr>
                <w:p w:rsidR="00572C09" w:rsidRDefault="00572C09">
                  <w:pPr>
                    <w:jc w:val="center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/>
                        </w:checkBox>
                      </w:ffData>
                    </w:fldChar>
                  </w:r>
                  <w:r w:rsidR="00A0303B">
                    <w:instrText>FORMCHECKBOX</w:instrText>
                  </w:r>
                  <w:r>
                    <w:fldChar w:fldCharType="separate"/>
                  </w:r>
                  <w:bookmarkStart w:id="8" w:name="__Fieldmark__1040_3391214628"/>
                  <w:bookmarkEnd w:id="8"/>
                  <w:r>
                    <w:fldChar w:fldCharType="end"/>
                  </w:r>
                  <w:r w:rsidR="00A0303B">
                    <w:rPr>
                      <w:sz w:val="22"/>
                      <w:szCs w:val="21"/>
                      <w:lang w:eastAsia="pl-PL"/>
                    </w:rPr>
                    <w:t xml:space="preserve">  да</w:t>
                  </w:r>
                </w:p>
              </w:tc>
              <w:tc>
                <w:tcPr>
                  <w:tcW w:w="251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  <w:vAlign w:val="center"/>
                </w:tcPr>
                <w:p w:rsidR="00572C09" w:rsidRDefault="00572C09">
                  <w:pPr>
                    <w:jc w:val="center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A0303B">
                    <w:instrText>FORMCHECKBOX</w:instrText>
                  </w:r>
                  <w:r>
                    <w:fldChar w:fldCharType="separate"/>
                  </w:r>
                  <w:bookmarkStart w:id="9" w:name="__Fieldmark__1045_3391214628"/>
                  <w:bookmarkEnd w:id="9"/>
                  <w:r>
                    <w:fldChar w:fldCharType="end"/>
                  </w:r>
                  <w:r w:rsidR="00A0303B">
                    <w:rPr>
                      <w:sz w:val="22"/>
                      <w:szCs w:val="21"/>
                    </w:rPr>
                    <w:t xml:space="preserve">  не</w:t>
                  </w:r>
                </w:p>
              </w:tc>
            </w:tr>
            <w:tr w:rsidR="00572C09">
              <w:trPr>
                <w:cantSplit/>
                <w:trHeight w:val="262"/>
              </w:trPr>
              <w:tc>
                <w:tcPr>
                  <w:tcW w:w="527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  <w:vAlign w:val="center"/>
                </w:tcPr>
                <w:p w:rsidR="00572C09" w:rsidRDefault="00A0303B">
                  <w:pPr>
                    <w:numPr>
                      <w:ilvl w:val="0"/>
                      <w:numId w:val="2"/>
                    </w:numPr>
                    <w:spacing w:line="276" w:lineRule="auto"/>
                    <w:ind w:left="105" w:hanging="180"/>
                    <w:contextualSpacing/>
                  </w:pPr>
                  <w:r>
                    <w:rPr>
                      <w:sz w:val="22"/>
                      <w:szCs w:val="21"/>
                    </w:rPr>
                    <w:t xml:space="preserve">По БДС EN ISO 14001 притежаваме </w:t>
                  </w:r>
                  <w:r>
                    <w:rPr>
                      <w:sz w:val="22"/>
                      <w:szCs w:val="21"/>
                    </w:rPr>
                    <w:t>сертификат BG121373E/U със срок на действие до 15.09.2021г.</w:t>
                  </w:r>
                </w:p>
                <w:p w:rsidR="00572C09" w:rsidRDefault="00A0303B">
                  <w:pPr>
                    <w:numPr>
                      <w:ilvl w:val="0"/>
                      <w:numId w:val="2"/>
                    </w:numPr>
                    <w:spacing w:line="276" w:lineRule="auto"/>
                    <w:ind w:left="105" w:hanging="180"/>
                    <w:contextualSpacing/>
                  </w:pPr>
                  <w:r>
                    <w:rPr>
                      <w:sz w:val="22"/>
                      <w:szCs w:val="21"/>
                    </w:rPr>
                    <w:t xml:space="preserve">BS OHSAS 18001 притежаваме сертификат </w:t>
                  </w:r>
                </w:p>
                <w:p w:rsidR="00572C09" w:rsidRDefault="00A0303B">
                  <w:pPr>
                    <w:spacing w:line="276" w:lineRule="auto"/>
                    <w:ind w:left="105"/>
                    <w:contextualSpacing/>
                  </w:pPr>
                  <w:r>
                    <w:rPr>
                      <w:sz w:val="22"/>
                      <w:szCs w:val="21"/>
                    </w:rPr>
                    <w:t>CZE-180153 със срок на действие до 11.03.2021г.</w:t>
                  </w:r>
                </w:p>
              </w:tc>
              <w:tc>
                <w:tcPr>
                  <w:tcW w:w="4746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</w:tcPr>
                <w:p w:rsidR="00572C09" w:rsidRDefault="00572C09">
                  <w:pPr>
                    <w:ind w:left="15" w:right="-70"/>
                    <w:rPr>
                      <w:sz w:val="22"/>
                      <w:szCs w:val="21"/>
                    </w:rPr>
                  </w:pPr>
                </w:p>
              </w:tc>
            </w:tr>
            <w:tr w:rsidR="00572C09">
              <w:trPr>
                <w:cantSplit/>
                <w:trHeight w:val="262"/>
              </w:trPr>
              <w:tc>
                <w:tcPr>
                  <w:tcW w:w="527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  <w:vAlign w:val="center"/>
                </w:tcPr>
                <w:p w:rsidR="00572C09" w:rsidRDefault="00A0303B">
                  <w:pPr>
                    <w:spacing w:line="276" w:lineRule="auto"/>
                  </w:pPr>
                  <w:r>
                    <w:rPr>
                      <w:sz w:val="22"/>
                      <w:szCs w:val="21"/>
                    </w:rPr>
                    <w:t xml:space="preserve">Регистриран или закупен патент за изобретение/Свидетелство за регистрация на полезен модел, търговска марка и др., които се използват в основната дейност на дружеството или ще бъдат използвани в бъдеще </w:t>
                  </w:r>
                </w:p>
              </w:tc>
              <w:tc>
                <w:tcPr>
                  <w:tcW w:w="22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</w:tcPr>
                <w:p w:rsidR="00572C09" w:rsidRDefault="00572C09">
                  <w:pPr>
                    <w:ind w:left="15" w:right="-70"/>
                    <w:jc w:val="center"/>
                    <w:rPr>
                      <w:sz w:val="22"/>
                      <w:szCs w:val="21"/>
                      <w:lang w:eastAsia="pl-PL"/>
                    </w:rPr>
                  </w:pPr>
                </w:p>
                <w:p w:rsidR="00572C09" w:rsidRDefault="00572C09">
                  <w:pPr>
                    <w:jc w:val="center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/>
                        </w:checkBox>
                      </w:ffData>
                    </w:fldChar>
                  </w:r>
                  <w:r w:rsidR="00A0303B">
                    <w:instrText>FORMCHECKBOX</w:instrText>
                  </w:r>
                  <w:r>
                    <w:fldChar w:fldCharType="separate"/>
                  </w:r>
                  <w:bookmarkStart w:id="10" w:name="__Fieldmark__1136_3391214628"/>
                  <w:bookmarkEnd w:id="10"/>
                  <w:r>
                    <w:fldChar w:fldCharType="end"/>
                  </w:r>
                  <w:r w:rsidR="00A0303B">
                    <w:rPr>
                      <w:sz w:val="22"/>
                      <w:szCs w:val="21"/>
                      <w:lang w:eastAsia="pl-PL"/>
                    </w:rPr>
                    <w:t xml:space="preserve">  да</w:t>
                  </w:r>
                </w:p>
              </w:tc>
              <w:tc>
                <w:tcPr>
                  <w:tcW w:w="251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</w:tcPr>
                <w:p w:rsidR="00572C09" w:rsidRDefault="00572C09">
                  <w:pPr>
                    <w:ind w:left="15" w:right="-70"/>
                    <w:jc w:val="center"/>
                    <w:rPr>
                      <w:sz w:val="22"/>
                      <w:szCs w:val="21"/>
                    </w:rPr>
                  </w:pPr>
                </w:p>
                <w:p w:rsidR="00572C09" w:rsidRDefault="00572C09">
                  <w:pPr>
                    <w:jc w:val="center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A0303B">
                    <w:instrText>FORMCHECKBOX</w:instrText>
                  </w:r>
                  <w:r>
                    <w:fldChar w:fldCharType="separate"/>
                  </w:r>
                  <w:bookmarkStart w:id="11" w:name="__Fieldmark__1141_3391214628"/>
                  <w:bookmarkEnd w:id="11"/>
                  <w:r>
                    <w:fldChar w:fldCharType="end"/>
                  </w:r>
                  <w:r w:rsidR="00A0303B">
                    <w:rPr>
                      <w:sz w:val="22"/>
                      <w:szCs w:val="21"/>
                    </w:rPr>
                    <w:t xml:space="preserve">  не </w:t>
                  </w:r>
                </w:p>
              </w:tc>
            </w:tr>
            <w:tr w:rsidR="00572C09">
              <w:trPr>
                <w:cantSplit/>
                <w:trHeight w:val="1976"/>
              </w:trPr>
              <w:tc>
                <w:tcPr>
                  <w:tcW w:w="527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</w:tcPr>
                <w:p w:rsidR="00572C09" w:rsidRDefault="00A0303B">
                  <w:pPr>
                    <w:numPr>
                      <w:ilvl w:val="0"/>
                      <w:numId w:val="3"/>
                    </w:numPr>
                    <w:spacing w:line="276" w:lineRule="auto"/>
                    <w:ind w:left="105" w:hanging="180"/>
                    <w:jc w:val="both"/>
                  </w:pPr>
                  <w:r>
                    <w:rPr>
                      <w:sz w:val="22"/>
                      <w:szCs w:val="21"/>
                    </w:rPr>
                    <w:t xml:space="preserve">Свидетелство за ремонтна организация на вертолети Ми-8Т, Ми-17, Ми-24В,П с военно предназначение № 0014ВТ/Ми-2019 от АО "Вертолеты России" със срок на </w:t>
                  </w:r>
                  <w:r>
                    <w:rPr>
                      <w:sz w:val="22"/>
                      <w:szCs w:val="21"/>
                    </w:rPr>
                    <w:t>действие до 18.02.2021г.</w:t>
                  </w:r>
                </w:p>
                <w:p w:rsidR="00572C09" w:rsidRDefault="00A0303B">
                  <w:pPr>
                    <w:numPr>
                      <w:ilvl w:val="0"/>
                      <w:numId w:val="3"/>
                    </w:numPr>
                    <w:spacing w:line="276" w:lineRule="auto"/>
                    <w:ind w:left="105" w:hanging="180"/>
                    <w:jc w:val="both"/>
                  </w:pPr>
                  <w:r>
                    <w:rPr>
                      <w:sz w:val="22"/>
                      <w:szCs w:val="21"/>
                    </w:rPr>
                    <w:t>Свидетелство за ремонтна организация на вертолети Ми-8Т, П, ПС Ми-17 с гражданско предназначение № 008/01Ми-2017 от АО "Вертолеты России" със срок на действие до 13.07.2019г.</w:t>
                  </w:r>
                </w:p>
              </w:tc>
              <w:tc>
                <w:tcPr>
                  <w:tcW w:w="4746" w:type="dxa"/>
                  <w:gridSpan w:val="2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</w:tcPr>
                <w:p w:rsidR="00572C09" w:rsidRDefault="00A0303B">
                  <w:pPr>
                    <w:spacing w:line="276" w:lineRule="auto"/>
                    <w:ind w:left="15"/>
                    <w:jc w:val="both"/>
                  </w:pPr>
                  <w:r>
                    <w:rPr>
                      <w:sz w:val="22"/>
                      <w:szCs w:val="21"/>
                    </w:rPr>
                    <w:t>За отчетния период не са налични изискваните договори за</w:t>
                  </w:r>
                  <w:r>
                    <w:rPr>
                      <w:sz w:val="22"/>
                      <w:szCs w:val="21"/>
                    </w:rPr>
                    <w:t xml:space="preserve"> документално съпровождане на техническата  документация, което е условие за действието на лиценза от ГД”ГВА” и свидетелствата за ремонт. </w:t>
                  </w:r>
                </w:p>
              </w:tc>
            </w:tr>
            <w:tr w:rsidR="00572C09">
              <w:trPr>
                <w:cantSplit/>
                <w:trHeight w:val="844"/>
              </w:trPr>
              <w:tc>
                <w:tcPr>
                  <w:tcW w:w="527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</w:tcPr>
                <w:p w:rsidR="00572C09" w:rsidRDefault="00A0303B">
                  <w:pPr>
                    <w:numPr>
                      <w:ilvl w:val="0"/>
                      <w:numId w:val="3"/>
                    </w:numPr>
                    <w:spacing w:line="276" w:lineRule="auto"/>
                    <w:ind w:left="105" w:hanging="180"/>
                    <w:jc w:val="both"/>
                  </w:pPr>
                  <w:r>
                    <w:rPr>
                      <w:sz w:val="22"/>
                      <w:szCs w:val="21"/>
                    </w:rPr>
                    <w:t>Лиценз за техническо обслужване и ремонт на авиационна техника BG CAA-5018 от 15.07.2005г. на ГД”ГВА”</w:t>
                  </w:r>
                </w:p>
              </w:tc>
              <w:tc>
                <w:tcPr>
                  <w:tcW w:w="4746" w:type="dxa"/>
                  <w:gridSpan w:val="2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</w:tcPr>
                <w:p w:rsidR="00572C09" w:rsidRDefault="00572C09">
                  <w:pPr>
                    <w:ind w:left="15"/>
                    <w:jc w:val="both"/>
                    <w:rPr>
                      <w:sz w:val="22"/>
                      <w:szCs w:val="21"/>
                    </w:rPr>
                  </w:pPr>
                </w:p>
              </w:tc>
            </w:tr>
            <w:tr w:rsidR="00572C09">
              <w:trPr>
                <w:cantSplit/>
                <w:trHeight w:val="1110"/>
              </w:trPr>
              <w:tc>
                <w:tcPr>
                  <w:tcW w:w="527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</w:tcPr>
                <w:p w:rsidR="00572C09" w:rsidRDefault="00A0303B">
                  <w:pPr>
                    <w:numPr>
                      <w:ilvl w:val="0"/>
                      <w:numId w:val="3"/>
                    </w:numPr>
                    <w:spacing w:line="276" w:lineRule="auto"/>
                    <w:ind w:left="105" w:hanging="180"/>
                    <w:jc w:val="both"/>
                  </w:pPr>
                  <w:r>
                    <w:rPr>
                      <w:sz w:val="22"/>
                      <w:szCs w:val="21"/>
                    </w:rPr>
                    <w:t xml:space="preserve">Сертификат </w:t>
                  </w:r>
                  <w:r>
                    <w:rPr>
                      <w:sz w:val="22"/>
                      <w:szCs w:val="21"/>
                    </w:rPr>
                    <w:t>Серия СП №093/2017 на ”Стенд за изпитване на опашната трансмисия на вертолети Ми-8, Ми-17 и Ми-24 и техните модификации ” валиден до 05.12.2020г.</w:t>
                  </w:r>
                </w:p>
              </w:tc>
              <w:tc>
                <w:tcPr>
                  <w:tcW w:w="4746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</w:tcPr>
                <w:p w:rsidR="00572C09" w:rsidRDefault="00572C09">
                  <w:pPr>
                    <w:rPr>
                      <w:sz w:val="22"/>
                      <w:szCs w:val="21"/>
                    </w:rPr>
                  </w:pPr>
                </w:p>
              </w:tc>
            </w:tr>
          </w:tbl>
          <w:p w:rsidR="00572C09" w:rsidRDefault="00572C09">
            <w:pPr>
              <w:rPr>
                <w:sz w:val="21"/>
                <w:szCs w:val="21"/>
              </w:rPr>
            </w:pPr>
          </w:p>
          <w:p w:rsidR="00572C09" w:rsidRDefault="00572C09">
            <w:pPr>
              <w:rPr>
                <w:sz w:val="21"/>
                <w:szCs w:val="21"/>
              </w:rPr>
            </w:pPr>
          </w:p>
          <w:p w:rsidR="00572C09" w:rsidRDefault="00572C09">
            <w:pPr>
              <w:rPr>
                <w:sz w:val="21"/>
                <w:szCs w:val="21"/>
              </w:rPr>
            </w:pPr>
          </w:p>
          <w:p w:rsidR="00572C09" w:rsidRDefault="00572C09">
            <w:pPr>
              <w:rPr>
                <w:sz w:val="21"/>
                <w:szCs w:val="21"/>
              </w:rPr>
            </w:pPr>
          </w:p>
          <w:p w:rsidR="00572C09" w:rsidRDefault="00572C09">
            <w:pPr>
              <w:rPr>
                <w:sz w:val="21"/>
                <w:szCs w:val="21"/>
              </w:rPr>
            </w:pPr>
          </w:p>
          <w:p w:rsidR="00572C09" w:rsidRDefault="00572C09">
            <w:pPr>
              <w:rPr>
                <w:sz w:val="21"/>
                <w:szCs w:val="21"/>
                <w:lang w:val="bg-BG"/>
              </w:rPr>
            </w:pPr>
          </w:p>
          <w:p w:rsidR="00572C09" w:rsidRDefault="00572C09">
            <w:pPr>
              <w:rPr>
                <w:sz w:val="21"/>
                <w:szCs w:val="21"/>
                <w:lang w:val="bg-BG"/>
              </w:rPr>
            </w:pPr>
          </w:p>
          <w:p w:rsidR="00572C09" w:rsidRDefault="00572C09">
            <w:pPr>
              <w:rPr>
                <w:sz w:val="21"/>
                <w:szCs w:val="21"/>
                <w:lang w:val="bg-BG"/>
              </w:rPr>
            </w:pPr>
          </w:p>
          <w:p w:rsidR="00572C09" w:rsidRDefault="00572C09">
            <w:pPr>
              <w:rPr>
                <w:sz w:val="21"/>
                <w:szCs w:val="21"/>
                <w:lang w:val="bg-BG"/>
              </w:rPr>
            </w:pPr>
            <w:bookmarkStart w:id="12" w:name="_GoBack"/>
            <w:bookmarkEnd w:id="12"/>
          </w:p>
          <w:p w:rsidR="00572C09" w:rsidRDefault="00572C09">
            <w:pPr>
              <w:rPr>
                <w:sz w:val="21"/>
                <w:szCs w:val="21"/>
                <w:lang w:val="bg-BG"/>
              </w:rPr>
            </w:pPr>
          </w:p>
          <w:p w:rsidR="00572C09" w:rsidRDefault="00572C09">
            <w:pPr>
              <w:rPr>
                <w:sz w:val="21"/>
                <w:szCs w:val="21"/>
                <w:lang w:val="bg-BG"/>
              </w:rPr>
            </w:pPr>
          </w:p>
          <w:p w:rsidR="00572C09" w:rsidRDefault="00572C09">
            <w:pPr>
              <w:rPr>
                <w:sz w:val="21"/>
                <w:szCs w:val="21"/>
                <w:lang w:val="bg-BG"/>
              </w:rPr>
            </w:pPr>
          </w:p>
          <w:p w:rsidR="00572C09" w:rsidRDefault="00572C09">
            <w:pPr>
              <w:rPr>
                <w:sz w:val="21"/>
                <w:szCs w:val="21"/>
              </w:rPr>
            </w:pPr>
          </w:p>
          <w:p w:rsidR="00572C09" w:rsidRDefault="00572C09">
            <w:pPr>
              <w:rPr>
                <w:sz w:val="22"/>
                <w:szCs w:val="22"/>
                <w:lang w:val="bg-BG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72C09" w:rsidRDefault="00572C09">
            <w:pPr>
              <w:ind w:left="607"/>
              <w:jc w:val="center"/>
              <w:rPr>
                <w:sz w:val="22"/>
                <w:szCs w:val="22"/>
                <w:lang w:val="bg-BG" w:eastAsia="pl-PL"/>
              </w:rPr>
            </w:pPr>
          </w:p>
        </w:tc>
      </w:tr>
    </w:tbl>
    <w:p w:rsidR="00572C09" w:rsidRDefault="00A0303B">
      <w:pPr>
        <w:keepNext/>
        <w:numPr>
          <w:ilvl w:val="0"/>
          <w:numId w:val="4"/>
        </w:numPr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lastRenderedPageBreak/>
        <w:t>Управление на човешките ресурси</w:t>
      </w:r>
    </w:p>
    <w:p w:rsidR="00572C09" w:rsidRDefault="00572C09">
      <w:pPr>
        <w:rPr>
          <w:b/>
          <w:sz w:val="22"/>
          <w:szCs w:val="22"/>
          <w:lang w:val="bg-BG"/>
        </w:rPr>
      </w:pPr>
    </w:p>
    <w:tbl>
      <w:tblPr>
        <w:tblW w:w="1003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10286"/>
      </w:tblGrid>
      <w:tr w:rsidR="00572C09">
        <w:tc>
          <w:tcPr>
            <w:tcW w:w="10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108" w:type="dxa"/>
            </w:tcMar>
          </w:tcPr>
          <w:p w:rsidR="00572C09" w:rsidRDefault="00A0303B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5.1. Осигуреност на предприятието с работна сила и анализ </w:t>
            </w:r>
            <w:r>
              <w:rPr>
                <w:sz w:val="22"/>
                <w:szCs w:val="22"/>
                <w:lang w:val="bg-BG"/>
              </w:rPr>
              <w:t>на производителността на труда</w:t>
            </w:r>
          </w:p>
        </w:tc>
      </w:tr>
      <w:tr w:rsidR="00572C09">
        <w:trPr>
          <w:trHeight w:val="1115"/>
        </w:trPr>
        <w:tc>
          <w:tcPr>
            <w:tcW w:w="10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tbl>
            <w:tblPr>
              <w:tblW w:w="10060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000"/>
            </w:tblPr>
            <w:tblGrid>
              <w:gridCol w:w="560"/>
              <w:gridCol w:w="2929"/>
              <w:gridCol w:w="817"/>
              <w:gridCol w:w="1240"/>
              <w:gridCol w:w="1433"/>
              <w:gridCol w:w="1395"/>
              <w:gridCol w:w="1686"/>
            </w:tblGrid>
            <w:tr w:rsidR="00572C09">
              <w:tc>
                <w:tcPr>
                  <w:tcW w:w="5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№ по ред</w:t>
                  </w:r>
                </w:p>
              </w:tc>
              <w:tc>
                <w:tcPr>
                  <w:tcW w:w="296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Показатели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мярка</w:t>
                  </w:r>
                </w:p>
              </w:tc>
              <w:tc>
                <w:tcPr>
                  <w:tcW w:w="125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Разчет по БП за периода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Отчетни данни за периода</w:t>
                  </w:r>
                </w:p>
              </w:tc>
              <w:tc>
                <w:tcPr>
                  <w:tcW w:w="1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отклонения</w:t>
                  </w:r>
                </w:p>
              </w:tc>
              <w:tc>
                <w:tcPr>
                  <w:tcW w:w="170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Изменение, %</w:t>
                  </w:r>
                </w:p>
              </w:tc>
            </w:tr>
            <w:tr w:rsidR="00572C09">
              <w:tc>
                <w:tcPr>
                  <w:tcW w:w="5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1.</w:t>
                  </w:r>
                </w:p>
              </w:tc>
              <w:tc>
                <w:tcPr>
                  <w:tcW w:w="296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Численост на персонала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Брой</w:t>
                  </w:r>
                </w:p>
              </w:tc>
              <w:tc>
                <w:tcPr>
                  <w:tcW w:w="125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572C09" w:rsidRDefault="00A0303B">
                  <w:pPr>
                    <w:tabs>
                      <w:tab w:val="left" w:pos="0"/>
                      <w:tab w:val="left" w:pos="675"/>
                    </w:tabs>
                    <w:jc w:val="right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165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572C09" w:rsidRDefault="00A0303B">
                  <w:pPr>
                    <w:tabs>
                      <w:tab w:val="left" w:pos="0"/>
                      <w:tab w:val="left" w:pos="986"/>
                    </w:tabs>
                    <w:jc w:val="right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149</w:t>
                  </w:r>
                </w:p>
              </w:tc>
              <w:tc>
                <w:tcPr>
                  <w:tcW w:w="1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572C09" w:rsidRDefault="00A0303B">
                  <w:pPr>
                    <w:tabs>
                      <w:tab w:val="left" w:pos="819"/>
                    </w:tabs>
                    <w:ind w:left="420"/>
                    <w:jc w:val="right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-16</w:t>
                  </w:r>
                </w:p>
              </w:tc>
              <w:tc>
                <w:tcPr>
                  <w:tcW w:w="170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bg-BG"/>
                    </w:rPr>
                    <w:t>91</w:t>
                  </w:r>
                  <w:r>
                    <w:rPr>
                      <w:szCs w:val="24"/>
                      <w:lang w:val="en-US"/>
                    </w:rPr>
                    <w:t xml:space="preserve"> %</w:t>
                  </w:r>
                </w:p>
              </w:tc>
            </w:tr>
            <w:tr w:rsidR="00572C09">
              <w:tc>
                <w:tcPr>
                  <w:tcW w:w="5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2.</w:t>
                  </w:r>
                </w:p>
              </w:tc>
              <w:tc>
                <w:tcPr>
                  <w:tcW w:w="296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Средства за работна заплата (без социалните разходи)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х. лв</w:t>
                  </w:r>
                </w:p>
              </w:tc>
              <w:tc>
                <w:tcPr>
                  <w:tcW w:w="125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572C09" w:rsidRDefault="00A0303B">
                  <w:pPr>
                    <w:tabs>
                      <w:tab w:val="left" w:pos="0"/>
                    </w:tabs>
                    <w:jc w:val="right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1 040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572C09" w:rsidRDefault="00A0303B">
                  <w:pPr>
                    <w:tabs>
                      <w:tab w:val="left" w:pos="0"/>
                    </w:tabs>
                    <w:jc w:val="right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963</w:t>
                  </w:r>
                </w:p>
              </w:tc>
              <w:tc>
                <w:tcPr>
                  <w:tcW w:w="1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572C09" w:rsidRDefault="00A0303B">
                  <w:pPr>
                    <w:jc w:val="right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-77</w:t>
                  </w:r>
                </w:p>
              </w:tc>
              <w:tc>
                <w:tcPr>
                  <w:tcW w:w="170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bg-BG"/>
                    </w:rPr>
                    <w:t>93</w:t>
                  </w:r>
                  <w:r>
                    <w:rPr>
                      <w:szCs w:val="24"/>
                      <w:lang w:val="en-US"/>
                    </w:rPr>
                    <w:t xml:space="preserve"> %</w:t>
                  </w:r>
                </w:p>
              </w:tc>
            </w:tr>
            <w:tr w:rsidR="00572C09">
              <w:tc>
                <w:tcPr>
                  <w:tcW w:w="5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3.</w:t>
                  </w:r>
                </w:p>
              </w:tc>
              <w:tc>
                <w:tcPr>
                  <w:tcW w:w="296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Средна месечна работна заплата на едно лице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лв.</w:t>
                  </w:r>
                </w:p>
              </w:tc>
              <w:tc>
                <w:tcPr>
                  <w:tcW w:w="125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572C09" w:rsidRDefault="00A0303B">
                  <w:pPr>
                    <w:tabs>
                      <w:tab w:val="left" w:pos="0"/>
                    </w:tabs>
                    <w:jc w:val="right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1 100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572C09" w:rsidRDefault="00A0303B">
                  <w:pPr>
                    <w:tabs>
                      <w:tab w:val="left" w:pos="0"/>
                    </w:tabs>
                    <w:jc w:val="right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1 077</w:t>
                  </w:r>
                </w:p>
              </w:tc>
              <w:tc>
                <w:tcPr>
                  <w:tcW w:w="1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572C09" w:rsidRDefault="00A0303B">
                  <w:pPr>
                    <w:tabs>
                      <w:tab w:val="left" w:pos="887"/>
                    </w:tabs>
                    <w:ind w:left="420"/>
                    <w:jc w:val="right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-23</w:t>
                  </w:r>
                </w:p>
              </w:tc>
              <w:tc>
                <w:tcPr>
                  <w:tcW w:w="170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bg-BG"/>
                    </w:rPr>
                    <w:t xml:space="preserve">98 </w:t>
                  </w:r>
                  <w:r>
                    <w:rPr>
                      <w:szCs w:val="24"/>
                      <w:lang w:val="en-US"/>
                    </w:rPr>
                    <w:t>%</w:t>
                  </w:r>
                </w:p>
              </w:tc>
            </w:tr>
            <w:tr w:rsidR="00572C09">
              <w:tc>
                <w:tcPr>
                  <w:tcW w:w="5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4.</w:t>
                  </w:r>
                </w:p>
              </w:tc>
              <w:tc>
                <w:tcPr>
                  <w:tcW w:w="296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Производителност на труда на едно лице от персонала на база приходи от продажби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лв.</w:t>
                  </w:r>
                </w:p>
              </w:tc>
              <w:tc>
                <w:tcPr>
                  <w:tcW w:w="125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572C09" w:rsidRDefault="00A0303B">
                  <w:pPr>
                    <w:tabs>
                      <w:tab w:val="left" w:pos="0"/>
                    </w:tabs>
                    <w:jc w:val="right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15 454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572C09" w:rsidRDefault="00A0303B">
                  <w:pPr>
                    <w:tabs>
                      <w:tab w:val="left" w:pos="0"/>
                    </w:tabs>
                    <w:jc w:val="right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bg-BG"/>
                    </w:rPr>
                    <w:t>16 973</w:t>
                  </w:r>
                </w:p>
              </w:tc>
              <w:tc>
                <w:tcPr>
                  <w:tcW w:w="1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572C09" w:rsidRDefault="00A0303B">
                  <w:pPr>
                    <w:tabs>
                      <w:tab w:val="left" w:pos="0"/>
                      <w:tab w:val="left" w:pos="810"/>
                    </w:tabs>
                    <w:jc w:val="right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1 519</w:t>
                  </w:r>
                </w:p>
              </w:tc>
              <w:tc>
                <w:tcPr>
                  <w:tcW w:w="170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572C09" w:rsidRDefault="00A0303B">
                  <w:pPr>
                    <w:tabs>
                      <w:tab w:val="left" w:pos="0"/>
                      <w:tab w:val="left" w:pos="883"/>
                    </w:tabs>
                    <w:jc w:val="center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bg-BG"/>
                    </w:rPr>
                    <w:t xml:space="preserve">110 </w:t>
                  </w:r>
                  <w:r>
                    <w:rPr>
                      <w:szCs w:val="24"/>
                      <w:lang w:val="en-US"/>
                    </w:rPr>
                    <w:t>%</w:t>
                  </w:r>
                </w:p>
              </w:tc>
            </w:tr>
          </w:tbl>
          <w:p w:rsidR="00572C09" w:rsidRDefault="00572C09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572C09">
        <w:trPr>
          <w:trHeight w:val="233"/>
        </w:trPr>
        <w:tc>
          <w:tcPr>
            <w:tcW w:w="10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108" w:type="dxa"/>
            </w:tcMar>
          </w:tcPr>
          <w:p w:rsidR="00572C09" w:rsidRDefault="00A0303B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br/>
              <w:t>5.2. Система на заплащане на труда и анализ на използването</w:t>
            </w:r>
            <w:r>
              <w:rPr>
                <w:b/>
                <w:bCs/>
                <w:sz w:val="22"/>
                <w:szCs w:val="22"/>
                <w:lang w:val="bg-BG"/>
              </w:rPr>
              <w:t xml:space="preserve"> на работното време</w:t>
            </w:r>
            <w:r>
              <w:rPr>
                <w:b/>
                <w:bCs/>
                <w:sz w:val="22"/>
                <w:szCs w:val="22"/>
                <w:lang w:val="bg-BG"/>
              </w:rPr>
              <w:br/>
            </w:r>
          </w:p>
        </w:tc>
      </w:tr>
      <w:tr w:rsidR="00572C09">
        <w:trPr>
          <w:trHeight w:val="1115"/>
        </w:trPr>
        <w:tc>
          <w:tcPr>
            <w:tcW w:w="10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2C09" w:rsidRDefault="00572C09">
            <w:pPr>
              <w:ind w:firstLine="567"/>
              <w:jc w:val="both"/>
              <w:rPr>
                <w:color w:val="000000"/>
                <w:lang w:val="bg-BG"/>
              </w:rPr>
            </w:pPr>
          </w:p>
          <w:p w:rsidR="00572C09" w:rsidRDefault="00A0303B">
            <w:pPr>
              <w:ind w:firstLine="567"/>
              <w:jc w:val="both"/>
              <w:rPr>
                <w:b/>
                <w:color w:val="2E74B5" w:themeColor="accent1" w:themeShade="BF"/>
                <w:lang w:val="bg-BG"/>
              </w:rPr>
            </w:pPr>
            <w:r>
              <w:rPr>
                <w:color w:val="000000"/>
                <w:lang w:val="bg-BG"/>
              </w:rPr>
              <w:t>Заплащането на труда и работното време в дружеството се определят с Колективен Трудов Договор и Вътрешни правила за работната залата (ВПРЗ).</w:t>
            </w:r>
          </w:p>
          <w:p w:rsidR="00572C09" w:rsidRDefault="00A0303B">
            <w:pPr>
              <w:ind w:firstLine="567"/>
              <w:jc w:val="both"/>
              <w:rPr>
                <w:b/>
                <w:color w:val="2E74B5" w:themeColor="accent1" w:themeShade="BF"/>
                <w:lang w:val="bg-BG"/>
              </w:rPr>
            </w:pPr>
            <w:r>
              <w:rPr>
                <w:color w:val="000000"/>
                <w:lang w:val="bg-BG"/>
              </w:rPr>
              <w:t>Системите на организация и заплащане на труда се определят с ВПРЗ.</w:t>
            </w:r>
          </w:p>
          <w:p w:rsidR="00572C09" w:rsidRDefault="00A0303B">
            <w:pPr>
              <w:ind w:firstLine="567"/>
              <w:jc w:val="both"/>
              <w:rPr>
                <w:b/>
                <w:color w:val="2E74B5" w:themeColor="accent1" w:themeShade="BF"/>
                <w:lang w:val="bg-BG"/>
              </w:rPr>
            </w:pPr>
            <w:r>
              <w:rPr>
                <w:color w:val="000000"/>
                <w:lang w:val="bg-BG"/>
              </w:rPr>
              <w:t>Индивидуалната основна ра</w:t>
            </w:r>
            <w:r>
              <w:rPr>
                <w:color w:val="000000"/>
                <w:lang w:val="bg-BG"/>
              </w:rPr>
              <w:t>ботна заплата е отражение на образованието, квалификацията и професионалния опит.</w:t>
            </w:r>
          </w:p>
          <w:p w:rsidR="00572C09" w:rsidRDefault="00A0303B">
            <w:pPr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lang w:val="bg-BG"/>
              </w:rPr>
              <w:t xml:space="preserve">В дружеството се заплаща допълнително месечно възнаграждение за придобит стаж и професионален опит в размер 1 % за всяка година придобит трудов стаж и професионален опит върху ОМЗ.  </w:t>
            </w:r>
          </w:p>
          <w:p w:rsidR="00572C09" w:rsidRDefault="00A0303B">
            <w:pPr>
              <w:ind w:firstLine="567"/>
              <w:jc w:val="both"/>
              <w:rPr>
                <w:b/>
                <w:color w:val="2E74B5" w:themeColor="accent1" w:themeShade="BF"/>
                <w:lang w:val="bg-BG"/>
              </w:rPr>
            </w:pPr>
            <w:r>
              <w:rPr>
                <w:color w:val="000000"/>
                <w:lang w:val="bg-BG"/>
              </w:rPr>
              <w:t>На работниците и служителите се изплащат всички допълнителни трудови възн</w:t>
            </w:r>
            <w:r>
              <w:rPr>
                <w:color w:val="000000"/>
                <w:lang w:val="bg-BG"/>
              </w:rPr>
              <w:t>аграждения по КТ и други нормативни актове.</w:t>
            </w:r>
          </w:p>
          <w:p w:rsidR="00572C09" w:rsidRDefault="00A0303B">
            <w:pPr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lang w:val="bg-BG"/>
              </w:rPr>
              <w:t>В дружеството нормалната продължителност на работното време през деня е до 8 часа, а за седмицата – до 40 часа. Съобразно разпоредбите на Кодекса на труда за определени категории работници и служители се установя</w:t>
            </w:r>
            <w:r>
              <w:rPr>
                <w:color w:val="000000"/>
                <w:lang w:val="bg-BG"/>
              </w:rPr>
              <w:t xml:space="preserve">ва намалено работно време. Списъците на длъжностите, за които се установява намалено работно време, се разработват и прилагат към Колективния трудов договор. </w:t>
            </w:r>
          </w:p>
          <w:p w:rsidR="00572C09" w:rsidRDefault="00A0303B">
            <w:pPr>
              <w:ind w:firstLine="567"/>
              <w:jc w:val="both"/>
              <w:rPr>
                <w:b/>
                <w:color w:val="2E74B5" w:themeColor="accent1" w:themeShade="BF"/>
                <w:lang w:val="bg-BG"/>
              </w:rPr>
            </w:pPr>
            <w:r>
              <w:rPr>
                <w:color w:val="000000"/>
                <w:lang w:val="bg-BG"/>
              </w:rPr>
              <w:t>Преминаването от нормална продължителност на работното време към непълно работно време става с ра</w:t>
            </w:r>
            <w:r>
              <w:rPr>
                <w:color w:val="000000"/>
                <w:lang w:val="bg-BG"/>
              </w:rPr>
              <w:t xml:space="preserve">зрешение на Работодателя след писмено искане на работника или служителя. </w:t>
            </w:r>
          </w:p>
          <w:p w:rsidR="00572C09" w:rsidRDefault="00A0303B">
            <w:pPr>
              <w:ind w:firstLine="567"/>
              <w:jc w:val="both"/>
              <w:rPr>
                <w:b/>
                <w:color w:val="2E74B5" w:themeColor="accent1" w:themeShade="BF"/>
                <w:lang w:val="bg-BG"/>
              </w:rPr>
            </w:pPr>
            <w:r>
              <w:rPr>
                <w:color w:val="000000"/>
                <w:lang w:val="bg-BG"/>
              </w:rPr>
              <w:t>При производствена необходимост може да се преминава към непълно работно време (намалена продължителност на работния ден, непълна работна седмица). Редът за преминаването към непълно</w:t>
            </w:r>
            <w:r>
              <w:rPr>
                <w:color w:val="000000"/>
                <w:lang w:val="bg-BG"/>
              </w:rPr>
              <w:t xml:space="preserve"> работно време се договаря предварително със Синдикатите. </w:t>
            </w:r>
          </w:p>
          <w:p w:rsidR="00572C09" w:rsidRDefault="00A0303B">
            <w:pPr>
              <w:ind w:firstLine="567"/>
              <w:jc w:val="both"/>
              <w:rPr>
                <w:b/>
                <w:color w:val="2E74B5" w:themeColor="accent1" w:themeShade="BF"/>
                <w:lang w:val="bg-BG"/>
              </w:rPr>
            </w:pPr>
            <w:r>
              <w:rPr>
                <w:color w:val="000000"/>
                <w:lang w:val="bg-BG"/>
              </w:rPr>
              <w:t>При производствена необходимост в дружеството може да се преминава към удължено работно време. Редът за преминаване към удължено работно време се договаря и съгласува със Синдикатите.</w:t>
            </w:r>
          </w:p>
          <w:p w:rsidR="00572C09" w:rsidRDefault="00A0303B">
            <w:pPr>
              <w:spacing w:before="120"/>
              <w:ind w:firstLine="567"/>
              <w:jc w:val="both"/>
              <w:rPr>
                <w:b/>
                <w:color w:val="2E74B5" w:themeColor="accent1" w:themeShade="BF"/>
                <w:lang w:val="bg-BG"/>
              </w:rPr>
            </w:pPr>
            <w:r>
              <w:rPr>
                <w:color w:val="000000"/>
                <w:lang w:val="bg-BG"/>
              </w:rPr>
              <w:t xml:space="preserve">За отчетния </w:t>
            </w:r>
            <w:r>
              <w:rPr>
                <w:color w:val="000000"/>
                <w:lang w:val="bg-BG"/>
              </w:rPr>
              <w:t>период не се е налагало промяна в продължителността на работното време.</w:t>
            </w:r>
          </w:p>
          <w:p w:rsidR="00572C09" w:rsidRDefault="00572C09">
            <w:pPr>
              <w:spacing w:before="120"/>
              <w:ind w:firstLine="567"/>
              <w:jc w:val="both"/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2C09">
        <w:trPr>
          <w:trHeight w:val="287"/>
        </w:trPr>
        <w:tc>
          <w:tcPr>
            <w:tcW w:w="10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108" w:type="dxa"/>
            </w:tcMar>
          </w:tcPr>
          <w:p w:rsidR="00572C09" w:rsidRDefault="00A0303B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br/>
              <w:t>5.3. Политика по повишаване квалификацията на персонала</w:t>
            </w:r>
            <w:r>
              <w:rPr>
                <w:b/>
                <w:bCs/>
                <w:color w:val="2E74B5" w:themeColor="accent1" w:themeShade="BF"/>
                <w:sz w:val="22"/>
                <w:szCs w:val="22"/>
                <w:lang w:val="bg-BG"/>
              </w:rPr>
              <w:br/>
            </w:r>
          </w:p>
        </w:tc>
      </w:tr>
      <w:tr w:rsidR="00572C09">
        <w:trPr>
          <w:trHeight w:val="405"/>
        </w:trPr>
        <w:tc>
          <w:tcPr>
            <w:tcW w:w="10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2C09" w:rsidRDefault="00A0303B">
            <w:pPr>
              <w:spacing w:before="120" w:line="276" w:lineRule="auto"/>
              <w:ind w:firstLine="567"/>
              <w:jc w:val="both"/>
              <w:rPr>
                <w:b/>
                <w:color w:val="2E74B5" w:themeColor="accent1" w:themeShade="BF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 xml:space="preserve">За външно обучение на персонала се изготвят заявки от преките началници : Ф – 711-02.01/01 от ИСУК, които се разглеждат от </w:t>
            </w:r>
            <w:r>
              <w:rPr>
                <w:color w:val="000000"/>
                <w:sz w:val="22"/>
                <w:szCs w:val="22"/>
                <w:lang w:val="bg-BG"/>
              </w:rPr>
              <w:t>Р-л ОА, който проучва фирми и организации, които организират курсове за необходимото обучение – (време, място и заплащане).</w:t>
            </w:r>
          </w:p>
          <w:p w:rsidR="00572C09" w:rsidRDefault="00A0303B">
            <w:pPr>
              <w:spacing w:before="120" w:line="276" w:lineRule="auto"/>
              <w:ind w:firstLine="567"/>
              <w:jc w:val="both"/>
              <w:rPr>
                <w:b/>
                <w:color w:val="2E74B5" w:themeColor="accent1" w:themeShade="BF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За вътрешно обучение на персонала се изготвят заявки от преките началници – Ф – 711-02.01/01 от ИСУК. По системата подлежат на прегл</w:t>
            </w:r>
            <w:r>
              <w:rPr>
                <w:color w:val="000000"/>
                <w:sz w:val="22"/>
                <w:szCs w:val="22"/>
                <w:lang w:val="bg-BG"/>
              </w:rPr>
              <w:t xml:space="preserve">ед определени длъжности, от (технически персонал) съответно </w:t>
            </w:r>
            <w:r>
              <w:rPr>
                <w:color w:val="000000"/>
                <w:sz w:val="22"/>
                <w:szCs w:val="22"/>
                <w:lang w:val="bg-BG"/>
              </w:rPr>
              <w:lastRenderedPageBreak/>
              <w:t>лицата заемащи ги които се водят на отчет от Р-л вътрешен одит. След завършен изпит (квалификация) в Отдел ИТЗ (ТО) се изготвят Протокол и Заповед.</w:t>
            </w:r>
          </w:p>
        </w:tc>
      </w:tr>
      <w:tr w:rsidR="00572C09">
        <w:trPr>
          <w:trHeight w:val="287"/>
        </w:trPr>
        <w:tc>
          <w:tcPr>
            <w:tcW w:w="10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108" w:type="dxa"/>
            </w:tcMar>
          </w:tcPr>
          <w:p w:rsidR="00572C09" w:rsidRDefault="00A0303B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lastRenderedPageBreak/>
              <w:br/>
              <w:t xml:space="preserve">5.4. Информация за новоназначени и освободени </w:t>
            </w:r>
            <w:r>
              <w:rPr>
                <w:b/>
                <w:bCs/>
                <w:sz w:val="22"/>
                <w:szCs w:val="22"/>
                <w:lang w:val="bg-BG"/>
              </w:rPr>
              <w:t>(в т.ч. пенсионирани) служители. Промени в организационната структура, щатното разписание, длъжностните характеристики. Други административни дейности.</w:t>
            </w:r>
            <w:r>
              <w:rPr>
                <w:b/>
                <w:bCs/>
                <w:sz w:val="22"/>
                <w:szCs w:val="22"/>
                <w:lang w:val="bg-BG"/>
              </w:rPr>
              <w:br/>
            </w:r>
          </w:p>
        </w:tc>
      </w:tr>
      <w:tr w:rsidR="00572C09">
        <w:trPr>
          <w:trHeight w:val="3197"/>
        </w:trPr>
        <w:tc>
          <w:tcPr>
            <w:tcW w:w="10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2C09" w:rsidRDefault="00A0303B">
            <w:pPr>
              <w:suppressAutoHyphens/>
              <w:rPr>
                <w:b/>
                <w:color w:val="2E74B5" w:themeColor="accent1" w:themeShade="BF"/>
                <w:lang w:val="bg-BG" w:eastAsia="ar-SA"/>
              </w:rPr>
            </w:pPr>
            <w:r>
              <w:rPr>
                <w:color w:val="000000"/>
                <w:lang w:val="bg-BG" w:eastAsia="ar-SA"/>
              </w:rPr>
              <w:t xml:space="preserve">    За периода от  01.04.2019 г. до 30.06.2019 г. са направени следните промени:</w:t>
            </w:r>
          </w:p>
          <w:p w:rsidR="00572C09" w:rsidRDefault="00A0303B">
            <w:pPr>
              <w:suppressAutoHyphens/>
              <w:rPr>
                <w:color w:val="000000"/>
              </w:rPr>
            </w:pPr>
            <w:r>
              <w:rPr>
                <w:color w:val="000000"/>
                <w:lang w:val="bg-BG" w:eastAsia="ar-SA"/>
              </w:rPr>
              <w:t xml:space="preserve">     - назначени  3 </w:t>
            </w:r>
            <w:r>
              <w:rPr>
                <w:color w:val="000000"/>
                <w:lang w:val="bg-BG" w:eastAsia="ar-SA"/>
              </w:rPr>
              <w:t>човека, от които: Специалисти – 1 човек; Техници и приложни специалисти – 1 човек.; Квалифицирани работници и сродни – 1 човек.</w:t>
            </w:r>
          </w:p>
          <w:p w:rsidR="00572C09" w:rsidRDefault="00A0303B">
            <w:pPr>
              <w:suppressAutoHyphens/>
              <w:rPr>
                <w:b/>
                <w:color w:val="2E74B5" w:themeColor="accent1" w:themeShade="BF"/>
                <w:lang w:val="bg-BG" w:eastAsia="ar-SA"/>
              </w:rPr>
            </w:pPr>
            <w:r>
              <w:rPr>
                <w:color w:val="000000"/>
                <w:lang w:val="bg-BG" w:eastAsia="ar-SA"/>
              </w:rPr>
              <w:t xml:space="preserve">     - освободени   6 човека, от които:  Машинни оператори и монтажници – 1 човек.; Специалисти– 1 човек.; Техници и приложни сп</w:t>
            </w:r>
            <w:r>
              <w:rPr>
                <w:color w:val="000000"/>
                <w:lang w:val="bg-BG" w:eastAsia="ar-SA"/>
              </w:rPr>
              <w:t>ециалисти – 4 човек.</w:t>
            </w:r>
          </w:p>
          <w:p w:rsidR="00572C09" w:rsidRDefault="00A0303B">
            <w:pPr>
              <w:suppressAutoHyphens/>
              <w:rPr>
                <w:b/>
                <w:color w:val="2E74B5" w:themeColor="accent1" w:themeShade="BF"/>
                <w:lang w:val="bg-BG" w:eastAsia="ar-SA"/>
              </w:rPr>
            </w:pPr>
            <w:r>
              <w:rPr>
                <w:color w:val="000000"/>
                <w:lang w:val="bg-BG" w:eastAsia="ar-SA"/>
              </w:rPr>
              <w:t xml:space="preserve">     - пенсионирани – не</w:t>
            </w:r>
          </w:p>
          <w:p w:rsidR="00572C09" w:rsidRDefault="00A0303B">
            <w:pPr>
              <w:suppressAutoHyphens/>
              <w:rPr>
                <w:b/>
                <w:color w:val="2E74B5" w:themeColor="accent1" w:themeShade="BF"/>
                <w:lang w:val="bg-BG" w:eastAsia="ar-SA"/>
              </w:rPr>
            </w:pPr>
            <w:r>
              <w:rPr>
                <w:color w:val="000000"/>
                <w:lang w:val="bg-BG" w:eastAsia="ar-SA"/>
              </w:rPr>
              <w:t>Промяна в Организационната структура</w:t>
            </w:r>
          </w:p>
          <w:p w:rsidR="00572C09" w:rsidRDefault="00A0303B">
            <w:pPr>
              <w:pStyle w:val="ListParagraph"/>
              <w:numPr>
                <w:ilvl w:val="0"/>
                <w:numId w:val="8"/>
              </w:numPr>
              <w:suppressAutoHyphens/>
              <w:rPr>
                <w:b/>
                <w:color w:val="2E74B5" w:themeColor="accent1" w:themeShade="BF"/>
                <w:lang w:val="bg-BG" w:eastAsia="ar-SA"/>
              </w:rPr>
            </w:pPr>
            <w:r>
              <w:rPr>
                <w:color w:val="000000"/>
                <w:lang w:val="bg-BG" w:eastAsia="ar-SA"/>
              </w:rPr>
              <w:t>Няма промени през периода.</w:t>
            </w:r>
          </w:p>
          <w:p w:rsidR="00572C09" w:rsidRDefault="00A0303B">
            <w:pPr>
              <w:suppressAutoHyphens/>
              <w:rPr>
                <w:b/>
                <w:color w:val="2E74B5" w:themeColor="accent1" w:themeShade="BF"/>
                <w:sz w:val="22"/>
                <w:szCs w:val="22"/>
                <w:lang w:val="bg-BG" w:eastAsia="ar-SA"/>
              </w:rPr>
            </w:pPr>
            <w:r>
              <w:rPr>
                <w:color w:val="000000"/>
                <w:lang w:val="bg-BG" w:eastAsia="ar-SA"/>
              </w:rPr>
              <w:t>Длъжностните характеристики за всички длъжности на назначените след 11.06.2018 г. са изработени съгласно Ф-711-00.01/01 от ИСУК.</w:t>
            </w:r>
          </w:p>
        </w:tc>
      </w:tr>
      <w:tr w:rsidR="00572C09">
        <w:trPr>
          <w:trHeight w:val="305"/>
        </w:trPr>
        <w:tc>
          <w:tcPr>
            <w:tcW w:w="10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108" w:type="dxa"/>
            </w:tcMar>
          </w:tcPr>
          <w:p w:rsidR="00572C09" w:rsidRDefault="00A0303B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br/>
              <w:t>5.5. Здравослов</w:t>
            </w:r>
            <w:r>
              <w:rPr>
                <w:b/>
                <w:bCs/>
                <w:sz w:val="22"/>
                <w:szCs w:val="22"/>
                <w:lang w:val="bg-BG"/>
              </w:rPr>
              <w:t>ни и безопасни условия на труд и допуснати трудови злополуки през периода (леки, средни, тежки) - мероприятия, среда, причини за злополуките</w:t>
            </w:r>
            <w:r>
              <w:rPr>
                <w:b/>
                <w:bCs/>
                <w:sz w:val="22"/>
                <w:szCs w:val="22"/>
                <w:lang w:val="bg-BG"/>
              </w:rPr>
              <w:br/>
            </w:r>
          </w:p>
        </w:tc>
      </w:tr>
      <w:tr w:rsidR="00572C09">
        <w:trPr>
          <w:trHeight w:val="1115"/>
        </w:trPr>
        <w:tc>
          <w:tcPr>
            <w:tcW w:w="10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2C09" w:rsidRDefault="00A0303B">
            <w:pPr>
              <w:spacing w:line="276" w:lineRule="auto"/>
              <w:ind w:firstLine="567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„ТЕРЕМ-ЛЕТЕЦ“ ЕООД има сключен договор за трудово-медицинско обслужване със Служба по трудова медицина „Медико“ </w:t>
            </w:r>
            <w:r>
              <w:rPr>
                <w:color w:val="000000" w:themeColor="text1"/>
                <w:sz w:val="22"/>
                <w:szCs w:val="22"/>
              </w:rPr>
              <w:t>ЕООД.</w:t>
            </w:r>
          </w:p>
          <w:p w:rsidR="00572C09" w:rsidRDefault="00A0303B">
            <w:pPr>
              <w:spacing w:line="276" w:lineRule="auto"/>
              <w:ind w:firstLine="567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През периодът не са допуснати трудови злополуки или нарушения на ЗБУТ.</w:t>
            </w:r>
          </w:p>
          <w:p w:rsidR="00572C09" w:rsidRDefault="00A0303B">
            <w:pPr>
              <w:spacing w:line="276" w:lineRule="auto"/>
              <w:ind w:firstLine="567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Променена и оптимизирана е системата с разпределението и осигуряването на лекарства за аптечките по звена. Осигурено е специалното работно облекло за личния състав. Изпълнена е пр</w:t>
            </w:r>
            <w:r>
              <w:rPr>
                <w:color w:val="000000" w:themeColor="text1"/>
                <w:sz w:val="22"/>
                <w:szCs w:val="22"/>
              </w:rPr>
              <w:t>оверката на противопожарните средства по утвърдения годишен график</w:t>
            </w:r>
          </w:p>
          <w:p w:rsidR="00572C09" w:rsidRDefault="00A0303B">
            <w:pPr>
              <w:spacing w:line="276" w:lineRule="auto"/>
              <w:ind w:firstLine="567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Оценката за професионален риск е извършена за всички участъци.</w:t>
            </w:r>
          </w:p>
        </w:tc>
      </w:tr>
      <w:tr w:rsidR="00572C09">
        <w:trPr>
          <w:trHeight w:val="305"/>
        </w:trPr>
        <w:tc>
          <w:tcPr>
            <w:tcW w:w="10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108" w:type="dxa"/>
            </w:tcMar>
          </w:tcPr>
          <w:p w:rsidR="00572C09" w:rsidRDefault="00A0303B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br/>
              <w:t>5.6. Социално сътрудничество – дейности по КСС, социална програма и други</w:t>
            </w:r>
            <w:r>
              <w:rPr>
                <w:b/>
                <w:bCs/>
                <w:sz w:val="22"/>
                <w:szCs w:val="22"/>
                <w:lang w:val="bg-BG"/>
              </w:rPr>
              <w:br/>
            </w:r>
          </w:p>
        </w:tc>
      </w:tr>
      <w:tr w:rsidR="00572C09">
        <w:trPr>
          <w:trHeight w:val="792"/>
        </w:trPr>
        <w:tc>
          <w:tcPr>
            <w:tcW w:w="10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2C09" w:rsidRDefault="00A0303B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bg-BG"/>
              </w:rPr>
              <w:t xml:space="preserve">          Взаимоотношенията с ръководствата на </w:t>
            </w:r>
            <w:r>
              <w:rPr>
                <w:sz w:val="22"/>
                <w:szCs w:val="22"/>
                <w:lang w:val="bg-BG"/>
              </w:rPr>
              <w:t>синдикалните организации са добри, няма противоречия, пречещи на организацията на работата, възникващите проблеми се обсъждат и решават своевременно.</w:t>
            </w:r>
          </w:p>
        </w:tc>
      </w:tr>
      <w:tr w:rsidR="00572C09">
        <w:trPr>
          <w:trHeight w:val="305"/>
        </w:trPr>
        <w:tc>
          <w:tcPr>
            <w:tcW w:w="10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108" w:type="dxa"/>
            </w:tcMar>
          </w:tcPr>
          <w:p w:rsidR="00572C09" w:rsidRDefault="00A0303B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5.7. Информация за проекти, свързани с човешките ресурси – етап на изпълнение, постигнати цели; намерения</w:t>
            </w:r>
            <w:r>
              <w:rPr>
                <w:sz w:val="22"/>
                <w:szCs w:val="22"/>
                <w:lang w:val="bg-BG"/>
              </w:rPr>
              <w:t xml:space="preserve"> за кандидатстване (програма, стойност на проекта, схема за финансиране)</w:t>
            </w:r>
          </w:p>
        </w:tc>
      </w:tr>
      <w:tr w:rsidR="00572C09">
        <w:trPr>
          <w:trHeight w:val="514"/>
        </w:trPr>
        <w:tc>
          <w:tcPr>
            <w:tcW w:w="10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2C09" w:rsidRDefault="00A0303B">
            <w:r>
              <w:rPr>
                <w:sz w:val="22"/>
                <w:szCs w:val="22"/>
                <w:lang w:val="bg-BG"/>
              </w:rPr>
              <w:t xml:space="preserve">           Задълженията на ТЕРЕМ-ЛЕТЕЦ ЕООД към ТЕРЕМ Холдинг ЕАД не позволяват къндидатстване съгласно правилата за финансиране по европеските програми.</w:t>
            </w:r>
          </w:p>
        </w:tc>
      </w:tr>
      <w:tr w:rsidR="00572C09">
        <w:trPr>
          <w:trHeight w:val="514"/>
        </w:trPr>
        <w:tc>
          <w:tcPr>
            <w:tcW w:w="100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2C09" w:rsidRDefault="00572C09">
            <w:pPr>
              <w:pStyle w:val="Footer"/>
              <w:tabs>
                <w:tab w:val="right" w:pos="8647"/>
              </w:tabs>
              <w:jc w:val="both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</w:tbl>
    <w:p w:rsidR="00572C09" w:rsidRDefault="00A0303B">
      <w:pPr>
        <w:keepNext/>
        <w:numPr>
          <w:ilvl w:val="0"/>
          <w:numId w:val="4"/>
        </w:numPr>
        <w:jc w:val="both"/>
      </w:pPr>
      <w:r>
        <w:rPr>
          <w:b/>
          <w:sz w:val="22"/>
          <w:szCs w:val="22"/>
          <w:lang w:val="bg-BG"/>
        </w:rPr>
        <w:t xml:space="preserve">Управление на </w:t>
      </w:r>
      <w:r>
        <w:rPr>
          <w:b/>
          <w:sz w:val="22"/>
          <w:szCs w:val="22"/>
          <w:lang w:val="bg-BG"/>
        </w:rPr>
        <w:t>материалните ресурси на дружеството</w:t>
      </w:r>
    </w:p>
    <w:p w:rsidR="00572C09" w:rsidRDefault="00572C09">
      <w:pPr>
        <w:jc w:val="both"/>
        <w:rPr>
          <w:b/>
          <w:sz w:val="22"/>
          <w:szCs w:val="22"/>
          <w:lang w:val="bg-BG"/>
        </w:rPr>
      </w:pPr>
    </w:p>
    <w:tbl>
      <w:tblPr>
        <w:tblW w:w="10134" w:type="dxa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/>
      </w:tblPr>
      <w:tblGrid>
        <w:gridCol w:w="15112"/>
      </w:tblGrid>
      <w:tr w:rsidR="00572C09">
        <w:trPr>
          <w:trHeight w:val="318"/>
        </w:trPr>
        <w:tc>
          <w:tcPr>
            <w:tcW w:w="10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70" w:type="dxa"/>
            </w:tcMar>
          </w:tcPr>
          <w:p w:rsidR="00572C09" w:rsidRDefault="00A0303B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6.1.Информация за новопридобити (закупени или създадени по стопански начин) активи– материални и нематериали. Оценка на срока на откупуване, възвръщаемостта на инвестицията и ползата от нея. Разходи за текуща поддръжка </w:t>
            </w:r>
            <w:r>
              <w:rPr>
                <w:sz w:val="22"/>
                <w:szCs w:val="22"/>
                <w:lang w:val="bg-BG"/>
              </w:rPr>
              <w:t>и текущи (некапитализиращи) ремонти.</w:t>
            </w:r>
          </w:p>
        </w:tc>
      </w:tr>
      <w:tr w:rsidR="00572C09">
        <w:trPr>
          <w:trHeight w:val="519"/>
        </w:trPr>
        <w:tc>
          <w:tcPr>
            <w:tcW w:w="10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72C09" w:rsidRDefault="00572C09">
            <w:pPr>
              <w:jc w:val="both"/>
              <w:rPr>
                <w:sz w:val="22"/>
                <w:szCs w:val="22"/>
                <w:lang w:val="bg-BG"/>
              </w:rPr>
            </w:pPr>
          </w:p>
          <w:tbl>
            <w:tblPr>
              <w:tblW w:w="9990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000"/>
            </w:tblPr>
            <w:tblGrid>
              <w:gridCol w:w="547"/>
              <w:gridCol w:w="2962"/>
              <w:gridCol w:w="810"/>
              <w:gridCol w:w="1248"/>
              <w:gridCol w:w="1449"/>
              <w:gridCol w:w="1345"/>
              <w:gridCol w:w="1629"/>
            </w:tblGrid>
            <w:tr w:rsidR="00572C09">
              <w:tc>
                <w:tcPr>
                  <w:tcW w:w="54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№ по ред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Показатели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мярка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 xml:space="preserve">Разчет по </w:t>
                  </w:r>
                  <w:r>
                    <w:rPr>
                      <w:sz w:val="22"/>
                      <w:szCs w:val="22"/>
                      <w:lang w:val="en-US"/>
                    </w:rPr>
                    <w:t>A</w:t>
                  </w:r>
                  <w:r>
                    <w:rPr>
                      <w:sz w:val="22"/>
                      <w:szCs w:val="22"/>
                      <w:lang w:val="bg-BG"/>
                    </w:rPr>
                    <w:t>БП за периода</w:t>
                  </w:r>
                </w:p>
              </w:tc>
              <w:tc>
                <w:tcPr>
                  <w:tcW w:w="144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Отчетни данни за периода</w:t>
                  </w:r>
                </w:p>
              </w:tc>
              <w:tc>
                <w:tcPr>
                  <w:tcW w:w="1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отклонения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Изменение, %</w:t>
                  </w:r>
                </w:p>
              </w:tc>
            </w:tr>
            <w:tr w:rsidR="00572C09">
              <w:tc>
                <w:tcPr>
                  <w:tcW w:w="54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1.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Инвестиции, в т.ч.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х. лв.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180</w:t>
                  </w:r>
                </w:p>
              </w:tc>
              <w:tc>
                <w:tcPr>
                  <w:tcW w:w="144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130</w:t>
                  </w:r>
                </w:p>
              </w:tc>
              <w:tc>
                <w:tcPr>
                  <w:tcW w:w="1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-50</w:t>
                  </w:r>
                  <w:r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  <w:tab w:val="left" w:pos="584"/>
                      <w:tab w:val="center" w:pos="707"/>
                    </w:tabs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ab/>
                    <w:t>87 %</w:t>
                  </w:r>
                </w:p>
              </w:tc>
            </w:tr>
            <w:tr w:rsidR="00572C09">
              <w:tc>
                <w:tcPr>
                  <w:tcW w:w="54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1.1.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 xml:space="preserve"> - придобити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х. лв.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-</w:t>
                  </w:r>
                </w:p>
              </w:tc>
              <w:tc>
                <w:tcPr>
                  <w:tcW w:w="144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-</w:t>
                  </w:r>
                </w:p>
              </w:tc>
              <w:tc>
                <w:tcPr>
                  <w:tcW w:w="1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-</w:t>
                  </w:r>
                  <w:r>
                    <w:rPr>
                      <w:sz w:val="22"/>
                      <w:szCs w:val="22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-</w:t>
                  </w:r>
                </w:p>
              </w:tc>
            </w:tr>
            <w:tr w:rsidR="00572C09">
              <w:tc>
                <w:tcPr>
                  <w:tcW w:w="54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1.2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 xml:space="preserve"> - в процес на доставка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 xml:space="preserve">х. </w:t>
                  </w:r>
                  <w:r>
                    <w:rPr>
                      <w:sz w:val="22"/>
                      <w:szCs w:val="22"/>
                      <w:lang w:val="bg-BG"/>
                    </w:rPr>
                    <w:t>лв.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-</w:t>
                  </w:r>
                </w:p>
              </w:tc>
              <w:tc>
                <w:tcPr>
                  <w:tcW w:w="144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-</w:t>
                  </w:r>
                </w:p>
              </w:tc>
              <w:tc>
                <w:tcPr>
                  <w:tcW w:w="1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-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-</w:t>
                  </w:r>
                </w:p>
              </w:tc>
            </w:tr>
            <w:tr w:rsidR="00572C09">
              <w:tc>
                <w:tcPr>
                  <w:tcW w:w="54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1.3.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ind w:left="223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- изградени по стопански начин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both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х. лв.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-</w:t>
                  </w:r>
                </w:p>
              </w:tc>
              <w:tc>
                <w:tcPr>
                  <w:tcW w:w="144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 xml:space="preserve">   </w:t>
                  </w:r>
                  <w:r>
                    <w:rPr>
                      <w:sz w:val="22"/>
                      <w:szCs w:val="22"/>
                      <w:lang w:val="bg-BG"/>
                    </w:rPr>
                    <w:t>-</w:t>
                  </w:r>
                </w:p>
              </w:tc>
              <w:tc>
                <w:tcPr>
                  <w:tcW w:w="1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 xml:space="preserve">   </w:t>
                  </w:r>
                  <w:r>
                    <w:rPr>
                      <w:sz w:val="22"/>
                      <w:szCs w:val="22"/>
                      <w:lang w:val="bg-BG"/>
                    </w:rPr>
                    <w:t>-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572C09" w:rsidRDefault="00A0303B">
                  <w:pPr>
                    <w:tabs>
                      <w:tab w:val="left" w:pos="0"/>
                    </w:tabs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-</w:t>
                  </w:r>
                </w:p>
              </w:tc>
            </w:tr>
          </w:tbl>
          <w:p w:rsidR="00572C09" w:rsidRDefault="00A0303B">
            <w:pPr>
              <w:pStyle w:val="ListParagraph1"/>
              <w:ind w:left="72" w:firstLine="709"/>
              <w:jc w:val="both"/>
            </w:pPr>
            <w:r>
              <w:rPr>
                <w:sz w:val="22"/>
                <w:szCs w:val="22"/>
                <w:lang w:val="ru-RU"/>
              </w:rPr>
              <w:t xml:space="preserve">Придобитите Дълготрайни материални и нематериални активи през отчетния период са в размер на  </w:t>
            </w:r>
            <w:r>
              <w:rPr>
                <w:sz w:val="22"/>
                <w:szCs w:val="22"/>
                <w:lang w:val="en-US"/>
              </w:rPr>
              <w:t xml:space="preserve">115 000 </w:t>
            </w:r>
            <w:r>
              <w:rPr>
                <w:sz w:val="22"/>
                <w:szCs w:val="22"/>
                <w:lang w:val="ru-RU"/>
              </w:rPr>
              <w:t xml:space="preserve">лева </w:t>
            </w:r>
            <w:r>
              <w:rPr>
                <w:sz w:val="22"/>
                <w:szCs w:val="22"/>
                <w:lang w:val="en-US"/>
              </w:rPr>
              <w:t>(</w:t>
            </w:r>
            <w:r>
              <w:rPr>
                <w:sz w:val="22"/>
                <w:szCs w:val="22"/>
                <w:lang w:val="bg-BG"/>
              </w:rPr>
              <w:t>ДМА- 35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000 и НДМА-95 000)</w:t>
            </w:r>
            <w:r>
              <w:rPr>
                <w:sz w:val="22"/>
                <w:szCs w:val="22"/>
                <w:lang w:val="ru-RU"/>
              </w:rPr>
              <w:t xml:space="preserve">, </w:t>
            </w:r>
            <w:r>
              <w:rPr>
                <w:sz w:val="22"/>
                <w:szCs w:val="22"/>
                <w:lang w:val="bg-BG"/>
              </w:rPr>
              <w:lastRenderedPageBreak/>
              <w:t xml:space="preserve">като само за второто тримесечие на 2019 г. </w:t>
            </w:r>
            <w:r>
              <w:rPr>
                <w:sz w:val="22"/>
                <w:szCs w:val="22"/>
                <w:lang w:val="bg-BG"/>
              </w:rPr>
              <w:t>придобитите ДМА са следните:</w:t>
            </w:r>
          </w:p>
          <w:p w:rsidR="00572C09" w:rsidRDefault="00A0303B">
            <w:pPr>
              <w:pStyle w:val="ListParagraph1"/>
              <w:numPr>
                <w:ilvl w:val="0"/>
                <w:numId w:val="5"/>
              </w:numPr>
              <w:ind w:left="71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Дълготрайни материални активи :</w:t>
            </w:r>
          </w:p>
          <w:p w:rsidR="00572C09" w:rsidRDefault="00572C09">
            <w:pPr>
              <w:pStyle w:val="ListParagraph1"/>
              <w:ind w:left="714"/>
              <w:jc w:val="both"/>
              <w:rPr>
                <w:sz w:val="22"/>
                <w:szCs w:val="22"/>
                <w:lang w:val="ru-RU"/>
              </w:rPr>
            </w:pPr>
          </w:p>
          <w:p w:rsidR="00572C09" w:rsidRDefault="00A0303B">
            <w:pPr>
              <w:pStyle w:val="ListParagraph1"/>
              <w:ind w:left="714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ru-RU"/>
              </w:rPr>
              <w:t xml:space="preserve">- Перфоратор </w:t>
            </w:r>
            <w:r>
              <w:rPr>
                <w:sz w:val="22"/>
                <w:szCs w:val="22"/>
                <w:lang w:val="en-US"/>
              </w:rPr>
              <w:t xml:space="preserve">BOSCH GBH 5-40  - </w:t>
            </w:r>
            <w:r>
              <w:rPr>
                <w:sz w:val="22"/>
                <w:szCs w:val="22"/>
                <w:lang w:val="bg-BG"/>
              </w:rPr>
              <w:t xml:space="preserve">             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115,83</w:t>
            </w:r>
            <w:r>
              <w:rPr>
                <w:sz w:val="22"/>
                <w:szCs w:val="22"/>
                <w:lang w:val="bg-BG"/>
              </w:rPr>
              <w:t xml:space="preserve"> лв.</w:t>
            </w:r>
          </w:p>
          <w:p w:rsidR="00572C09" w:rsidRDefault="00A0303B">
            <w:pPr>
              <w:pStyle w:val="ListParagraph1"/>
              <w:ind w:left="714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 xml:space="preserve">- </w:t>
            </w:r>
            <w:r>
              <w:rPr>
                <w:sz w:val="22"/>
                <w:szCs w:val="22"/>
                <w:lang w:val="bg-BG"/>
              </w:rPr>
              <w:t>Стенд за изпитания на генератори -         12 323,56 лв.</w:t>
            </w:r>
          </w:p>
          <w:p w:rsidR="00572C09" w:rsidRDefault="00572C09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572C09">
        <w:trPr>
          <w:trHeight w:val="278"/>
        </w:trPr>
        <w:tc>
          <w:tcPr>
            <w:tcW w:w="10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70" w:type="dxa"/>
            </w:tcMar>
          </w:tcPr>
          <w:p w:rsidR="00572C09" w:rsidRDefault="00A0303B">
            <w:pPr>
              <w:jc w:val="both"/>
              <w:rPr>
                <w:b/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6.2.Политика по управление на оборотния капитал – оценка на ефективността и</w:t>
            </w:r>
            <w:r>
              <w:rPr>
                <w:sz w:val="22"/>
                <w:szCs w:val="22"/>
                <w:lang w:val="bg-BG"/>
              </w:rPr>
              <w:t xml:space="preserve"> предложения за оптимизиране. Анализ на тенденциите в показателите за ликвидност и обращаемост.</w:t>
            </w:r>
          </w:p>
        </w:tc>
      </w:tr>
      <w:tr w:rsidR="00572C09">
        <w:trPr>
          <w:trHeight w:val="519"/>
        </w:trPr>
        <w:tc>
          <w:tcPr>
            <w:tcW w:w="10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72C09" w:rsidRDefault="00572C09">
            <w:pPr>
              <w:jc w:val="both"/>
              <w:rPr>
                <w:sz w:val="22"/>
                <w:szCs w:val="22"/>
                <w:lang w:val="bg-BG"/>
              </w:rPr>
            </w:pPr>
          </w:p>
          <w:p w:rsidR="00572C09" w:rsidRDefault="00A0303B">
            <w:pPr>
              <w:tabs>
                <w:tab w:val="left" w:pos="639"/>
              </w:tabs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           Политиката по управление на оборотния капитал на дружеството се основава на постигане на по-добра организация на финансовата, търговската и </w:t>
            </w:r>
            <w:r>
              <w:rPr>
                <w:sz w:val="22"/>
                <w:szCs w:val="22"/>
                <w:lang w:val="bg-BG"/>
              </w:rPr>
              <w:t>производствената дейност, подобряване на взаимодействието между съответните отдели.</w:t>
            </w:r>
          </w:p>
          <w:p w:rsidR="00572C09" w:rsidRDefault="00A0303B">
            <w:pPr>
              <w:tabs>
                <w:tab w:val="left" w:pos="639"/>
              </w:tabs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           Ръководството на дружеството полага усилия в посока оптимизиране на материалните запаси, осъществяване на строг контрол на движението на паричните потоци, на тек</w:t>
            </w:r>
            <w:r>
              <w:rPr>
                <w:sz w:val="22"/>
                <w:szCs w:val="22"/>
                <w:lang w:val="bg-BG"/>
              </w:rPr>
              <w:t xml:space="preserve">ущите вземания и задължения, адекватно и своевременно администриране на продажбите. </w:t>
            </w:r>
          </w:p>
          <w:p w:rsidR="00572C09" w:rsidRDefault="00A0303B">
            <w:pPr>
              <w:tabs>
                <w:tab w:val="left" w:pos="639"/>
              </w:tabs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           Оборотният капитал на дружеството към 30.06.2019 г. е в размер на 90 000 лв.</w:t>
            </w:r>
          </w:p>
          <w:p w:rsidR="00572C09" w:rsidRDefault="00572C09">
            <w:pPr>
              <w:tabs>
                <w:tab w:val="left" w:pos="639"/>
              </w:tabs>
              <w:jc w:val="both"/>
              <w:rPr>
                <w:sz w:val="22"/>
                <w:szCs w:val="22"/>
                <w:lang w:val="ru-RU"/>
              </w:rPr>
            </w:pPr>
          </w:p>
          <w:p w:rsidR="00572C09" w:rsidRDefault="00572C09">
            <w:pPr>
              <w:jc w:val="both"/>
              <w:rPr>
                <w:sz w:val="22"/>
                <w:szCs w:val="22"/>
                <w:lang w:val="ru-RU"/>
              </w:rPr>
            </w:pPr>
          </w:p>
          <w:tbl>
            <w:tblPr>
              <w:tblW w:w="14842" w:type="dxa"/>
              <w:tblInd w:w="100" w:type="dxa"/>
              <w:tblBorders>
                <w:top w:val="double" w:sz="4" w:space="0" w:color="00000A"/>
                <w:left w:val="double" w:sz="4" w:space="0" w:color="00000A"/>
                <w:bottom w:val="double" w:sz="4" w:space="0" w:color="00000A"/>
                <w:right w:val="single" w:sz="2" w:space="0" w:color="00000A"/>
                <w:insideH w:val="double" w:sz="4" w:space="0" w:color="00000A"/>
                <w:insideV w:val="single" w:sz="2" w:space="0" w:color="00000A"/>
              </w:tblBorders>
              <w:tblCellMar>
                <w:left w:w="85" w:type="dxa"/>
                <w:right w:w="100" w:type="dxa"/>
              </w:tblCellMar>
              <w:tblLook w:val="0000"/>
            </w:tblPr>
            <w:tblGrid>
              <w:gridCol w:w="563"/>
              <w:gridCol w:w="4215"/>
              <w:gridCol w:w="2595"/>
              <w:gridCol w:w="2650"/>
              <w:gridCol w:w="2651"/>
              <w:gridCol w:w="2168"/>
            </w:tblGrid>
            <w:tr w:rsidR="00572C09">
              <w:tc>
                <w:tcPr>
                  <w:tcW w:w="562" w:type="dxa"/>
                  <w:tcBorders>
                    <w:top w:val="double" w:sz="4" w:space="0" w:color="00000A"/>
                    <w:left w:val="double" w:sz="4" w:space="0" w:color="00000A"/>
                    <w:bottom w:val="double" w:sz="4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85" w:type="dxa"/>
                  </w:tcMar>
                </w:tcPr>
                <w:p w:rsidR="00572C09" w:rsidRDefault="00A0303B">
                  <w:pPr>
                    <w:spacing w:before="120" w:after="12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  <w:lang w:eastAsia="zh-CN"/>
                    </w:rPr>
                    <w:t>№</w:t>
                  </w:r>
                </w:p>
              </w:tc>
              <w:tc>
                <w:tcPr>
                  <w:tcW w:w="4215" w:type="dxa"/>
                  <w:tcBorders>
                    <w:top w:val="double" w:sz="4" w:space="0" w:color="00000A"/>
                    <w:left w:val="single" w:sz="2" w:space="0" w:color="00000A"/>
                    <w:bottom w:val="double" w:sz="4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spacing w:before="120" w:after="12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  <w:lang w:eastAsia="zh-CN"/>
                    </w:rPr>
                    <w:t>Показатели</w:t>
                  </w:r>
                </w:p>
              </w:tc>
              <w:tc>
                <w:tcPr>
                  <w:tcW w:w="2595" w:type="dxa"/>
                  <w:tcBorders>
                    <w:top w:val="double" w:sz="4" w:space="0" w:color="00000A"/>
                    <w:left w:val="single" w:sz="2" w:space="0" w:color="00000A"/>
                    <w:bottom w:val="double" w:sz="4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spacing w:before="120" w:after="120"/>
                    <w:jc w:val="center"/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>30.06.2019 г.</w:t>
                  </w:r>
                </w:p>
                <w:p w:rsidR="00572C09" w:rsidRDefault="00A0303B">
                  <w:pPr>
                    <w:spacing w:before="120" w:after="120"/>
                    <w:jc w:val="center"/>
                    <w:rPr>
                      <w:b/>
                      <w:sz w:val="22"/>
                      <w:szCs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en-US" w:eastAsia="bg-BG"/>
                    </w:rPr>
                    <w:t>хил.</w:t>
                  </w: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 xml:space="preserve"> </w:t>
                  </w:r>
                  <w:r>
                    <w:rPr>
                      <w:color w:val="000000"/>
                      <w:sz w:val="22"/>
                      <w:szCs w:val="22"/>
                      <w:lang w:val="en-US" w:eastAsia="bg-BG"/>
                    </w:rPr>
                    <w:t>лв.</w:t>
                  </w:r>
                </w:p>
              </w:tc>
              <w:tc>
                <w:tcPr>
                  <w:tcW w:w="2650" w:type="dxa"/>
                  <w:tcBorders>
                    <w:top w:val="double" w:sz="4" w:space="0" w:color="00000A"/>
                    <w:left w:val="single" w:sz="2" w:space="0" w:color="00000A"/>
                    <w:bottom w:val="double" w:sz="4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spacing w:before="120" w:after="120"/>
                    <w:jc w:val="center"/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>31.03.2019 г.</w:t>
                  </w:r>
                </w:p>
                <w:p w:rsidR="00572C09" w:rsidRDefault="00A0303B">
                  <w:pPr>
                    <w:spacing w:before="120" w:after="120"/>
                    <w:jc w:val="center"/>
                    <w:rPr>
                      <w:b/>
                      <w:sz w:val="22"/>
                      <w:szCs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en-US" w:eastAsia="bg-BG"/>
                    </w:rPr>
                    <w:t>хил.</w:t>
                  </w: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 xml:space="preserve"> </w:t>
                  </w:r>
                  <w:r>
                    <w:rPr>
                      <w:color w:val="000000"/>
                      <w:sz w:val="22"/>
                      <w:szCs w:val="22"/>
                      <w:lang w:val="en-US" w:eastAsia="bg-BG"/>
                    </w:rPr>
                    <w:t>лв.</w:t>
                  </w:r>
                </w:p>
              </w:tc>
              <w:tc>
                <w:tcPr>
                  <w:tcW w:w="2651" w:type="dxa"/>
                  <w:tcBorders>
                    <w:top w:val="double" w:sz="4" w:space="0" w:color="00000A"/>
                    <w:left w:val="single" w:sz="2" w:space="0" w:color="00000A"/>
                    <w:bottom w:val="double" w:sz="4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spacing w:before="120" w:after="120"/>
                    <w:jc w:val="center"/>
                    <w:rPr>
                      <w:color w:val="000000"/>
                      <w:sz w:val="22"/>
                      <w:szCs w:val="22"/>
                      <w:lang w:val="bg-BG" w:eastAsia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>31.12.2018 г.</w:t>
                  </w:r>
                </w:p>
                <w:p w:rsidR="00572C09" w:rsidRDefault="00A0303B">
                  <w:pPr>
                    <w:spacing w:before="120" w:after="120"/>
                    <w:jc w:val="center"/>
                    <w:rPr>
                      <w:b/>
                      <w:sz w:val="22"/>
                      <w:szCs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en-US" w:eastAsia="bg-BG"/>
                    </w:rPr>
                    <w:t xml:space="preserve"> хил.</w:t>
                  </w: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 xml:space="preserve"> </w:t>
                  </w:r>
                  <w:r>
                    <w:rPr>
                      <w:color w:val="000000"/>
                      <w:sz w:val="22"/>
                      <w:szCs w:val="22"/>
                      <w:lang w:val="en-US" w:eastAsia="bg-BG"/>
                    </w:rPr>
                    <w:t>лв.</w:t>
                  </w:r>
                </w:p>
              </w:tc>
              <w:tc>
                <w:tcPr>
                  <w:tcW w:w="2168" w:type="dxa"/>
                  <w:tcBorders>
                    <w:top w:val="double" w:sz="4" w:space="0" w:color="00000A"/>
                    <w:left w:val="single" w:sz="2" w:space="0" w:color="00000A"/>
                    <w:bottom w:val="double" w:sz="4" w:space="0" w:color="00000A"/>
                    <w:right w:val="double" w:sz="4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spacing w:before="120" w:after="12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>6-месечие 201</w:t>
                  </w:r>
                  <w:r>
                    <w:rPr>
                      <w:color w:val="000000"/>
                      <w:sz w:val="22"/>
                      <w:szCs w:val="22"/>
                      <w:lang w:val="en-US" w:eastAsia="bg-BG"/>
                    </w:rPr>
                    <w:t>6</w:t>
                  </w:r>
                  <w:r>
                    <w:rPr>
                      <w:color w:val="000000"/>
                      <w:sz w:val="22"/>
                      <w:szCs w:val="22"/>
                      <w:lang w:val="bg-BG" w:eastAsia="bg-BG"/>
                    </w:rPr>
                    <w:t xml:space="preserve">г. </w:t>
                  </w:r>
                  <w:r>
                    <w:rPr>
                      <w:color w:val="000000"/>
                      <w:sz w:val="22"/>
                      <w:szCs w:val="22"/>
                      <w:lang w:val="en-US" w:eastAsia="bg-BG"/>
                    </w:rPr>
                    <w:t>хил.лв.</w:t>
                  </w:r>
                </w:p>
              </w:tc>
            </w:tr>
            <w:tr w:rsidR="00572C09">
              <w:tc>
                <w:tcPr>
                  <w:tcW w:w="562" w:type="dxa"/>
                  <w:tcBorders>
                    <w:top w:val="double" w:sz="4" w:space="0" w:color="00000A"/>
                    <w:left w:val="double" w:sz="4" w:space="0" w:color="00000A"/>
                    <w:bottom w:val="single" w:sz="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85" w:type="dxa"/>
                  </w:tcMar>
                </w:tcPr>
                <w:p w:rsidR="00572C09" w:rsidRDefault="00A0303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zh-CN"/>
                    </w:rPr>
                    <w:t>1.</w:t>
                  </w:r>
                </w:p>
              </w:tc>
              <w:tc>
                <w:tcPr>
                  <w:tcW w:w="4215" w:type="dxa"/>
                  <w:tcBorders>
                    <w:top w:val="double" w:sz="4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zh-CN"/>
                    </w:rPr>
                    <w:t>Оборотен капитал</w:t>
                  </w:r>
                </w:p>
              </w:tc>
              <w:tc>
                <w:tcPr>
                  <w:tcW w:w="2595" w:type="dxa"/>
                  <w:tcBorders>
                    <w:top w:val="double" w:sz="4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 xml:space="preserve">                                     90</w:t>
                  </w:r>
                </w:p>
              </w:tc>
              <w:tc>
                <w:tcPr>
                  <w:tcW w:w="2650" w:type="dxa"/>
                  <w:tcBorders>
                    <w:top w:val="double" w:sz="4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 xml:space="preserve">                                     584</w:t>
                  </w:r>
                </w:p>
              </w:tc>
              <w:tc>
                <w:tcPr>
                  <w:tcW w:w="2651" w:type="dxa"/>
                  <w:tcBorders>
                    <w:top w:val="double" w:sz="4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648</w:t>
                  </w:r>
                </w:p>
              </w:tc>
              <w:tc>
                <w:tcPr>
                  <w:tcW w:w="2168" w:type="dxa"/>
                  <w:tcBorders>
                    <w:top w:val="double" w:sz="4" w:space="0" w:color="00000A"/>
                    <w:left w:val="single" w:sz="2" w:space="0" w:color="00000A"/>
                    <w:bottom w:val="single" w:sz="2" w:space="0" w:color="00000A"/>
                    <w:right w:val="double" w:sz="4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/>
                    </w:rPr>
                    <w:t xml:space="preserve"> </w:t>
                  </w: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813</w:t>
                  </w:r>
                </w:p>
              </w:tc>
            </w:tr>
            <w:tr w:rsidR="00572C09">
              <w:tc>
                <w:tcPr>
                  <w:tcW w:w="562" w:type="dxa"/>
                  <w:tcBorders>
                    <w:top w:val="single" w:sz="2" w:space="0" w:color="00000A"/>
                    <w:left w:val="double" w:sz="4" w:space="0" w:color="00000A"/>
                    <w:bottom w:val="single" w:sz="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85" w:type="dxa"/>
                  </w:tcMar>
                </w:tcPr>
                <w:p w:rsidR="00572C09" w:rsidRDefault="00A0303B">
                  <w:pPr>
                    <w:jc w:val="center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zh-CN"/>
                    </w:rPr>
                    <w:t>2.</w:t>
                  </w:r>
                </w:p>
              </w:tc>
              <w:tc>
                <w:tcPr>
                  <w:tcW w:w="4215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ind w:right="-380"/>
                    <w:rPr>
                      <w:b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zh-CN"/>
                    </w:rPr>
                    <w:t>Коефициент на обща ликвидност</w:t>
                  </w:r>
                </w:p>
              </w:tc>
              <w:tc>
                <w:tcPr>
                  <w:tcW w:w="2595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1.02</w:t>
                  </w:r>
                </w:p>
              </w:tc>
              <w:tc>
                <w:tcPr>
                  <w:tcW w:w="2650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 w:val="bg-BG"/>
                    </w:rPr>
                    <w:t>1.17</w:t>
                  </w:r>
                </w:p>
              </w:tc>
              <w:tc>
                <w:tcPr>
                  <w:tcW w:w="2651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en-US"/>
                    </w:rPr>
                    <w:t>1.22</w:t>
                  </w:r>
                </w:p>
              </w:tc>
              <w:tc>
                <w:tcPr>
                  <w:tcW w:w="2168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double" w:sz="4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/>
                    </w:rPr>
                    <w:t>1.</w:t>
                  </w: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28</w:t>
                  </w:r>
                </w:p>
              </w:tc>
            </w:tr>
            <w:tr w:rsidR="00572C09">
              <w:tc>
                <w:tcPr>
                  <w:tcW w:w="562" w:type="dxa"/>
                  <w:tcBorders>
                    <w:top w:val="single" w:sz="2" w:space="0" w:color="00000A"/>
                    <w:left w:val="double" w:sz="4" w:space="0" w:color="00000A"/>
                    <w:bottom w:val="single" w:sz="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85" w:type="dxa"/>
                  </w:tcMar>
                </w:tcPr>
                <w:p w:rsidR="00572C09" w:rsidRDefault="00A0303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zh-CN"/>
                    </w:rPr>
                    <w:t>3.</w:t>
                  </w:r>
                </w:p>
              </w:tc>
              <w:tc>
                <w:tcPr>
                  <w:tcW w:w="4215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zh-CN"/>
                    </w:rPr>
                    <w:t>Коефициент на незабавна ликвидност</w:t>
                  </w:r>
                </w:p>
              </w:tc>
              <w:tc>
                <w:tcPr>
                  <w:tcW w:w="2595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/>
                    </w:rPr>
                    <w:t>0.</w:t>
                  </w:r>
                  <w:r>
                    <w:rPr>
                      <w:sz w:val="22"/>
                      <w:szCs w:val="22"/>
                      <w:lang w:val="bg-BG"/>
                    </w:rPr>
                    <w:t>12</w:t>
                  </w:r>
                </w:p>
              </w:tc>
              <w:tc>
                <w:tcPr>
                  <w:tcW w:w="2650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/>
                    </w:rPr>
                    <w:t>0.</w:t>
                  </w:r>
                  <w:r>
                    <w:rPr>
                      <w:sz w:val="22"/>
                      <w:szCs w:val="22"/>
                      <w:lang w:val="bg-BG"/>
                    </w:rPr>
                    <w:t>19</w:t>
                  </w:r>
                </w:p>
              </w:tc>
              <w:tc>
                <w:tcPr>
                  <w:tcW w:w="2651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color w:val="000000"/>
                      <w:sz w:val="22"/>
                      <w:szCs w:val="22"/>
                      <w:lang/>
                    </w:rPr>
                    <w:t>0.19</w:t>
                  </w:r>
                </w:p>
              </w:tc>
              <w:tc>
                <w:tcPr>
                  <w:tcW w:w="2168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double" w:sz="4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  <w:lang/>
                    </w:rPr>
                    <w:t>0.</w:t>
                  </w: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5</w:t>
                  </w:r>
                  <w:r>
                    <w:rPr>
                      <w:color w:val="000000"/>
                      <w:sz w:val="22"/>
                      <w:szCs w:val="22"/>
                      <w:lang/>
                    </w:rPr>
                    <w:t>4</w:t>
                  </w:r>
                </w:p>
              </w:tc>
            </w:tr>
            <w:tr w:rsidR="00572C09">
              <w:tc>
                <w:tcPr>
                  <w:tcW w:w="562" w:type="dxa"/>
                  <w:tcBorders>
                    <w:top w:val="single" w:sz="2" w:space="0" w:color="00000A"/>
                    <w:left w:val="double" w:sz="4" w:space="0" w:color="00000A"/>
                    <w:bottom w:val="double" w:sz="4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85" w:type="dxa"/>
                  </w:tcMar>
                </w:tcPr>
                <w:p w:rsidR="00572C09" w:rsidRDefault="00A0303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zh-CN"/>
                    </w:rPr>
                    <w:t>4.</w:t>
                  </w:r>
                </w:p>
              </w:tc>
              <w:tc>
                <w:tcPr>
                  <w:tcW w:w="4215" w:type="dxa"/>
                  <w:tcBorders>
                    <w:top w:val="single" w:sz="2" w:space="0" w:color="00000A"/>
                    <w:left w:val="single" w:sz="2" w:space="0" w:color="00000A"/>
                    <w:bottom w:val="double" w:sz="4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zh-CN"/>
                    </w:rPr>
                    <w:t>Коефициент на абсолютна ликвидност</w:t>
                  </w:r>
                </w:p>
              </w:tc>
              <w:tc>
                <w:tcPr>
                  <w:tcW w:w="2595" w:type="dxa"/>
                  <w:tcBorders>
                    <w:top w:val="single" w:sz="2" w:space="0" w:color="00000A"/>
                    <w:left w:val="single" w:sz="2" w:space="0" w:color="00000A"/>
                    <w:bottom w:val="double" w:sz="4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/>
                    </w:rPr>
                    <w:t>0.</w:t>
                  </w:r>
                  <w:r>
                    <w:rPr>
                      <w:sz w:val="22"/>
                      <w:szCs w:val="22"/>
                      <w:lang w:val="bg-BG"/>
                    </w:rPr>
                    <w:t>02</w:t>
                  </w:r>
                </w:p>
              </w:tc>
              <w:tc>
                <w:tcPr>
                  <w:tcW w:w="2650" w:type="dxa"/>
                  <w:tcBorders>
                    <w:top w:val="single" w:sz="2" w:space="0" w:color="00000A"/>
                    <w:left w:val="single" w:sz="2" w:space="0" w:color="00000A"/>
                    <w:bottom w:val="double" w:sz="4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sz w:val="22"/>
                      <w:szCs w:val="22"/>
                      <w:lang/>
                    </w:rPr>
                    <w:t>0.</w:t>
                  </w:r>
                  <w:r>
                    <w:rPr>
                      <w:sz w:val="22"/>
                      <w:szCs w:val="22"/>
                      <w:lang w:val="bg-BG"/>
                    </w:rPr>
                    <w:t>04</w:t>
                  </w:r>
                </w:p>
              </w:tc>
              <w:tc>
                <w:tcPr>
                  <w:tcW w:w="2651" w:type="dxa"/>
                  <w:tcBorders>
                    <w:top w:val="single" w:sz="2" w:space="0" w:color="00000A"/>
                    <w:left w:val="single" w:sz="2" w:space="0" w:color="00000A"/>
                    <w:bottom w:val="double" w:sz="4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/>
                    </w:rPr>
                    <w:t>0.</w:t>
                  </w:r>
                  <w:r>
                    <w:rPr>
                      <w:color w:val="000000"/>
                      <w:sz w:val="22"/>
                      <w:szCs w:val="22"/>
                      <w:lang w:val="en-US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4</w:t>
                  </w:r>
                </w:p>
              </w:tc>
              <w:tc>
                <w:tcPr>
                  <w:tcW w:w="2168" w:type="dxa"/>
                  <w:tcBorders>
                    <w:top w:val="single" w:sz="2" w:space="0" w:color="00000A"/>
                    <w:left w:val="single" w:sz="2" w:space="0" w:color="00000A"/>
                    <w:bottom w:val="double" w:sz="4" w:space="0" w:color="00000A"/>
                    <w:right w:val="double" w:sz="4" w:space="0" w:color="00000A"/>
                  </w:tcBorders>
                  <w:shd w:val="clear" w:color="auto" w:fill="auto"/>
                  <w:tcMar>
                    <w:left w:w="97" w:type="dxa"/>
                  </w:tcMar>
                </w:tcPr>
                <w:p w:rsidR="00572C09" w:rsidRDefault="00A0303B">
                  <w:pPr>
                    <w:jc w:val="right"/>
                    <w:rPr>
                      <w:sz w:val="22"/>
                      <w:szCs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szCs w:val="22"/>
                      <w:lang/>
                    </w:rPr>
                    <w:t>0.</w:t>
                  </w:r>
                  <w:r>
                    <w:rPr>
                      <w:color w:val="000000"/>
                      <w:sz w:val="22"/>
                      <w:szCs w:val="22"/>
                      <w:lang w:val="bg-BG"/>
                    </w:rPr>
                    <w:t>48</w:t>
                  </w:r>
                </w:p>
              </w:tc>
            </w:tr>
          </w:tbl>
          <w:p w:rsidR="00572C09" w:rsidRDefault="00572C09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</w:tbl>
    <w:p w:rsidR="00572C09" w:rsidRDefault="00572C09">
      <w:pPr>
        <w:jc w:val="both"/>
        <w:rPr>
          <w:b/>
          <w:sz w:val="22"/>
          <w:szCs w:val="22"/>
          <w:lang w:val="bg-BG"/>
        </w:rPr>
      </w:pPr>
    </w:p>
    <w:p w:rsidR="00572C09" w:rsidRDefault="00572C09">
      <w:pPr>
        <w:jc w:val="both"/>
        <w:rPr>
          <w:b/>
          <w:sz w:val="22"/>
          <w:szCs w:val="22"/>
          <w:lang w:val="bg-BG"/>
        </w:rPr>
      </w:pPr>
    </w:p>
    <w:p w:rsidR="00572C09" w:rsidRDefault="00A0303B">
      <w:pPr>
        <w:keepNext/>
        <w:numPr>
          <w:ilvl w:val="0"/>
          <w:numId w:val="6"/>
        </w:numPr>
        <w:tabs>
          <w:tab w:val="left" w:pos="0"/>
          <w:tab w:val="left" w:pos="426"/>
        </w:tabs>
        <w:ind w:left="0" w:firstLine="0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Финансиране/заеми/кредити</w:t>
      </w:r>
    </w:p>
    <w:p w:rsidR="00572C09" w:rsidRDefault="00572C09">
      <w:pPr>
        <w:keepNext/>
        <w:tabs>
          <w:tab w:val="left" w:pos="-993"/>
        </w:tabs>
        <w:ind w:left="360" w:hanging="360"/>
        <w:jc w:val="both"/>
        <w:rPr>
          <w:sz w:val="22"/>
          <w:szCs w:val="22"/>
          <w:lang w:val="bg-BG"/>
        </w:rPr>
      </w:pPr>
    </w:p>
    <w:tbl>
      <w:tblPr>
        <w:tblW w:w="9923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2410"/>
        <w:gridCol w:w="2141"/>
        <w:gridCol w:w="1891"/>
        <w:gridCol w:w="1922"/>
        <w:gridCol w:w="1559"/>
      </w:tblGrid>
      <w:tr w:rsidR="00572C09">
        <w:trPr>
          <w:trHeight w:val="998"/>
        </w:trPr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FFFFFF"/>
            <w:tcMar>
              <w:left w:w="108" w:type="dxa"/>
            </w:tcMar>
          </w:tcPr>
          <w:p w:rsidR="00572C09" w:rsidRDefault="00A0303B">
            <w:pPr>
              <w:keepNext/>
              <w:keepLines/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Източник на финансиране, в т.ч. заеми, кредити, финансиране по програми</w:t>
            </w:r>
          </w:p>
        </w:tc>
        <w:tc>
          <w:tcPr>
            <w:tcW w:w="2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FFFFFF"/>
            <w:tcMar>
              <w:left w:w="108" w:type="dxa"/>
            </w:tcMar>
          </w:tcPr>
          <w:p w:rsidR="00572C09" w:rsidRDefault="00A0303B">
            <w:pPr>
              <w:keepNext/>
              <w:keepLines/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Цел на финансирането</w:t>
            </w:r>
          </w:p>
        </w:tc>
        <w:tc>
          <w:tcPr>
            <w:tcW w:w="1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FFFFFF"/>
            <w:tcMar>
              <w:left w:w="108" w:type="dxa"/>
            </w:tcMar>
          </w:tcPr>
          <w:p w:rsidR="00572C09" w:rsidRDefault="00A0303B">
            <w:pPr>
              <w:keepNext/>
              <w:keepLines/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Стойност на финансирането</w:t>
            </w:r>
          </w:p>
        </w:tc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FFFFFF"/>
            <w:tcMar>
              <w:left w:w="108" w:type="dxa"/>
            </w:tcMar>
          </w:tcPr>
          <w:p w:rsidR="00572C09" w:rsidRDefault="00A0303B">
            <w:pPr>
              <w:keepNext/>
              <w:keepLines/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Номер на договора за финансиране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FFFFFF"/>
            <w:tcMar>
              <w:left w:w="108" w:type="dxa"/>
            </w:tcMar>
          </w:tcPr>
          <w:p w:rsidR="00572C09" w:rsidRDefault="00A0303B">
            <w:pPr>
              <w:keepNext/>
              <w:keepLines/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период на </w:t>
            </w:r>
            <w:r>
              <w:rPr>
                <w:sz w:val="22"/>
                <w:szCs w:val="22"/>
                <w:lang w:val="bg-BG"/>
              </w:rPr>
              <w:t>погасяване на привлечения ресурс</w:t>
            </w:r>
          </w:p>
        </w:tc>
      </w:tr>
      <w:tr w:rsidR="00572C09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2C09" w:rsidRDefault="00A0303B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няма</w:t>
            </w:r>
          </w:p>
        </w:tc>
        <w:tc>
          <w:tcPr>
            <w:tcW w:w="2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2C09" w:rsidRDefault="00572C09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2C09" w:rsidRDefault="00572C09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2C09" w:rsidRDefault="00572C09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2C09" w:rsidRDefault="00572C09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</w:p>
        </w:tc>
      </w:tr>
    </w:tbl>
    <w:p w:rsidR="00572C09" w:rsidRDefault="00572C09">
      <w:pPr>
        <w:jc w:val="both"/>
        <w:rPr>
          <w:sz w:val="22"/>
          <w:szCs w:val="22"/>
          <w:lang w:val="bg-BG"/>
        </w:rPr>
      </w:pPr>
    </w:p>
    <w:p w:rsidR="00572C09" w:rsidRDefault="00572C09">
      <w:pPr>
        <w:jc w:val="both"/>
        <w:rPr>
          <w:sz w:val="22"/>
          <w:szCs w:val="22"/>
          <w:lang w:val="bg-BG"/>
        </w:rPr>
      </w:pPr>
    </w:p>
    <w:p w:rsidR="00572C09" w:rsidRDefault="00A0303B">
      <w:pPr>
        <w:keepNext/>
        <w:numPr>
          <w:ilvl w:val="0"/>
          <w:numId w:val="6"/>
        </w:numPr>
        <w:tabs>
          <w:tab w:val="left" w:pos="450"/>
        </w:tabs>
        <w:ind w:hanging="720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Междинни цели, обръщане на внимание и други дейности</w:t>
      </w:r>
    </w:p>
    <w:p w:rsidR="00572C09" w:rsidRDefault="00572C09">
      <w:pPr>
        <w:jc w:val="both"/>
        <w:rPr>
          <w:sz w:val="22"/>
          <w:szCs w:val="22"/>
          <w:lang w:val="bg-BG"/>
        </w:rPr>
      </w:pPr>
    </w:p>
    <w:tbl>
      <w:tblPr>
        <w:tblW w:w="9923" w:type="dxa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/>
      </w:tblPr>
      <w:tblGrid>
        <w:gridCol w:w="9923"/>
      </w:tblGrid>
      <w:tr w:rsidR="00572C09">
        <w:trPr>
          <w:trHeight w:val="318"/>
        </w:trPr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70" w:type="dxa"/>
            </w:tcMar>
          </w:tcPr>
          <w:p w:rsidR="00572C09" w:rsidRDefault="00A0303B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8.1. Информация за степента на изпълнение на задачите, заложении за текущия период, в т.ч. преки задачи от едноличния собственик на капитала (“ТЕРЕМ </w:t>
            </w:r>
            <w:r>
              <w:rPr>
                <w:sz w:val="22"/>
                <w:szCs w:val="22"/>
                <w:lang w:val="bg-BG"/>
              </w:rPr>
              <w:t>ХОЛДИНГ“ ЕАД).</w:t>
            </w:r>
          </w:p>
        </w:tc>
      </w:tr>
      <w:tr w:rsidR="00572C09">
        <w:trPr>
          <w:trHeight w:val="519"/>
        </w:trPr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72C09" w:rsidRDefault="00A0303B">
            <w:pPr>
              <w:tabs>
                <w:tab w:val="left" w:pos="574"/>
              </w:tabs>
              <w:spacing w:before="120" w:after="120"/>
              <w:ind w:firstLine="639"/>
              <w:jc w:val="both"/>
            </w:pPr>
            <w:r>
              <w:rPr>
                <w:sz w:val="22"/>
                <w:szCs w:val="22"/>
                <w:lang w:val="bg-BG"/>
              </w:rPr>
              <w:t xml:space="preserve">За текущия период има закъснение в изпълнението на ремонта на вертолет Ми-17 № 419. Закъснението е резултат от факта, че от договорения календарен срок за ремонта десет дни са национални празници, </w:t>
            </w:r>
            <w:r>
              <w:rPr>
                <w:sz w:val="22"/>
                <w:szCs w:val="22"/>
                <w:lang w:val="bg-BG"/>
              </w:rPr>
              <w:t>наложи се извършване на КВР на цялата трансмисия на вертолета, а същевременно възникнаха и логистични проблеми с доставките от Русия.</w:t>
            </w:r>
          </w:p>
        </w:tc>
      </w:tr>
      <w:tr w:rsidR="00572C09">
        <w:trPr>
          <w:trHeight w:val="278"/>
        </w:trPr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70" w:type="dxa"/>
            </w:tcMar>
          </w:tcPr>
          <w:p w:rsidR="00572C09" w:rsidRDefault="00A0303B">
            <w:pPr>
              <w:jc w:val="both"/>
              <w:rPr>
                <w:b/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8.2. Предстоящи средносрочни и дългосрочни задачи – формулирани по планови хоризонти.</w:t>
            </w:r>
          </w:p>
        </w:tc>
      </w:tr>
      <w:tr w:rsidR="00572C09">
        <w:trPr>
          <w:trHeight w:val="519"/>
        </w:trPr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72C09" w:rsidRDefault="00572C09">
            <w:pPr>
              <w:pStyle w:val="ListParagraph2"/>
              <w:tabs>
                <w:tab w:val="left" w:pos="639"/>
              </w:tabs>
              <w:spacing w:after="200" w:line="276" w:lineRule="auto"/>
              <w:ind w:left="66"/>
              <w:jc w:val="both"/>
              <w:rPr>
                <w:sz w:val="22"/>
                <w:szCs w:val="22"/>
                <w:lang w:val="bg-BG"/>
              </w:rPr>
            </w:pPr>
          </w:p>
          <w:p w:rsidR="00572C09" w:rsidRDefault="00A0303B">
            <w:pPr>
              <w:pStyle w:val="ListParagraph2"/>
              <w:tabs>
                <w:tab w:val="left" w:pos="639"/>
              </w:tabs>
              <w:spacing w:after="200" w:line="276" w:lineRule="auto"/>
              <w:ind w:left="66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8.2.1. „ТЕРЕМ-ЛЕТЕЦ“ ЕООД участва</w:t>
            </w:r>
            <w:r>
              <w:rPr>
                <w:sz w:val="22"/>
                <w:szCs w:val="22"/>
                <w:lang w:val="bg-BG"/>
              </w:rPr>
              <w:t xml:space="preserve"> при изготвяне на техническите, финансовите и др. разчети за участие в тръжна процедура за сключване на рамково споразумение за изпълнение на капитален ремонт на два броя вертолети Ми-17 и четири броя вертолети Ми-24 от състава на ВВС на България. Очаква с</w:t>
            </w:r>
            <w:r>
              <w:rPr>
                <w:sz w:val="22"/>
                <w:szCs w:val="22"/>
                <w:lang w:val="bg-BG"/>
              </w:rPr>
              <w:t>е постъпване за КВР на минимум един вертолет от състава на ВВС в рамките на трето тримесечие.</w:t>
            </w:r>
          </w:p>
          <w:p w:rsidR="00572C09" w:rsidRDefault="00A0303B">
            <w:pPr>
              <w:pStyle w:val="ListParagraph2"/>
              <w:spacing w:after="200" w:line="276" w:lineRule="auto"/>
              <w:ind w:left="66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8.2.2. Сключени са договори и са възложени директни поръчки за ремонт на авиационни агрегати. Плановият хоризонт за извършване на ремонтите  е до края на трето тр</w:t>
            </w:r>
            <w:r>
              <w:rPr>
                <w:sz w:val="22"/>
                <w:szCs w:val="22"/>
                <w:lang w:val="bg-BG"/>
              </w:rPr>
              <w:t>имесечие.</w:t>
            </w:r>
          </w:p>
          <w:p w:rsidR="00572C09" w:rsidRDefault="00A0303B">
            <w:pPr>
              <w:pStyle w:val="ListParagraph2"/>
              <w:spacing w:after="200" w:line="276" w:lineRule="auto"/>
              <w:ind w:left="66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8.2.3. Експертна група от ТЕРЕМ-ЛЕТЕЦ ЕООД участва в разговори с представители на фирма TEXTRON за оценка на възможностите за реализация на съвместни проекти в областта на </w:t>
            </w:r>
            <w:r>
              <w:rPr>
                <w:sz w:val="22"/>
                <w:szCs w:val="22"/>
                <w:lang w:val="bg-BG"/>
              </w:rPr>
              <w:lastRenderedPageBreak/>
              <w:t>авиационните ремонти на руски вертолети за трети страни.</w:t>
            </w:r>
          </w:p>
          <w:p w:rsidR="00572C09" w:rsidRDefault="00572C09">
            <w:pPr>
              <w:spacing w:after="120"/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572C09">
        <w:trPr>
          <w:trHeight w:val="278"/>
        </w:trPr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70" w:type="dxa"/>
            </w:tcMar>
          </w:tcPr>
          <w:p w:rsidR="00572C09" w:rsidRDefault="00A0303B">
            <w:pPr>
              <w:jc w:val="both"/>
              <w:rPr>
                <w:b/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8.3. Информация</w:t>
            </w:r>
            <w:r>
              <w:rPr>
                <w:sz w:val="22"/>
                <w:szCs w:val="22"/>
                <w:lang w:val="bg-BG"/>
              </w:rPr>
              <w:t xml:space="preserve"> за извършени проверки от държавни контролни органи през периода</w:t>
            </w:r>
          </w:p>
        </w:tc>
      </w:tr>
      <w:tr w:rsidR="00572C09">
        <w:trPr>
          <w:trHeight w:val="519"/>
        </w:trPr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72C09" w:rsidRDefault="00A0303B">
            <w:pPr>
              <w:spacing w:before="120" w:after="120"/>
              <w:ind w:firstLine="639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През шестмесечието на 2019  г. не са извършвани проверки от държавни контролни органи.</w:t>
            </w:r>
          </w:p>
        </w:tc>
      </w:tr>
      <w:tr w:rsidR="00572C09">
        <w:trPr>
          <w:trHeight w:val="278"/>
        </w:trPr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70" w:type="dxa"/>
            </w:tcMar>
          </w:tcPr>
          <w:p w:rsidR="00572C09" w:rsidRDefault="00A0303B">
            <w:pPr>
              <w:jc w:val="both"/>
              <w:rPr>
                <w:b/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8.4. Информация за изразходвани средства по ОМП за текущия период</w:t>
            </w:r>
          </w:p>
        </w:tc>
      </w:tr>
      <w:tr w:rsidR="00572C09">
        <w:trPr>
          <w:trHeight w:val="519"/>
        </w:trPr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72C09" w:rsidRDefault="00572C09">
            <w:pPr>
              <w:snapToGrid w:val="0"/>
              <w:ind w:firstLine="612"/>
              <w:rPr>
                <w:sz w:val="22"/>
                <w:szCs w:val="24"/>
                <w:lang w:val="bg-BG"/>
              </w:rPr>
            </w:pPr>
          </w:p>
          <w:p w:rsidR="00572C09" w:rsidRDefault="00A0303B">
            <w:pPr>
              <w:snapToGrid w:val="0"/>
              <w:ind w:firstLine="612"/>
              <w:rPr>
                <w:sz w:val="22"/>
                <w:szCs w:val="24"/>
                <w:lang w:val="bg-BG"/>
              </w:rPr>
            </w:pPr>
            <w:r>
              <w:rPr>
                <w:sz w:val="22"/>
                <w:szCs w:val="24"/>
                <w:lang w:val="bg-BG"/>
              </w:rPr>
              <w:t xml:space="preserve">В периода 01.01. – 30.06.2019 г. </w:t>
            </w:r>
            <w:r>
              <w:rPr>
                <w:sz w:val="22"/>
                <w:szCs w:val="24"/>
                <w:lang w:val="bg-BG"/>
              </w:rPr>
              <w:t>не са изразходвани средства по ОМП.</w:t>
            </w:r>
          </w:p>
          <w:p w:rsidR="00572C09" w:rsidRDefault="00572C09">
            <w:pPr>
              <w:snapToGrid w:val="0"/>
              <w:ind w:firstLine="612"/>
              <w:rPr>
                <w:color w:val="FF0000"/>
                <w:sz w:val="22"/>
                <w:szCs w:val="22"/>
                <w:highlight w:val="yellow"/>
                <w:lang w:val="bg-BG"/>
              </w:rPr>
            </w:pPr>
          </w:p>
        </w:tc>
      </w:tr>
      <w:tr w:rsidR="00572C09">
        <w:trPr>
          <w:trHeight w:val="278"/>
        </w:trPr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70" w:type="dxa"/>
            </w:tcMar>
          </w:tcPr>
          <w:p w:rsidR="00572C09" w:rsidRDefault="00A0303B">
            <w:pPr>
              <w:jc w:val="both"/>
              <w:rPr>
                <w:b/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8.5. Текущи дейности на управителя, свързани със системата за вътрешен контрол в дружеството</w:t>
            </w:r>
          </w:p>
        </w:tc>
      </w:tr>
      <w:tr w:rsidR="00572C09">
        <w:trPr>
          <w:trHeight w:val="519"/>
        </w:trPr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72C09" w:rsidRDefault="00572C09">
            <w:pPr>
              <w:snapToGrid w:val="0"/>
              <w:ind w:firstLine="612"/>
              <w:rPr>
                <w:sz w:val="22"/>
                <w:szCs w:val="22"/>
                <w:lang w:val="bg-BG"/>
              </w:rPr>
            </w:pPr>
          </w:p>
          <w:p w:rsidR="00572C09" w:rsidRDefault="00A0303B">
            <w:pPr>
              <w:snapToGrid w:val="0"/>
              <w:ind w:firstLine="612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 „ТЕРЕМ-ЛЕТЕЦ“ ЕООД са внедрени и се изпълняват политиките и правилата за работа, въведени за изпълнение в дружествата на група Терем. </w:t>
            </w:r>
          </w:p>
          <w:p w:rsidR="00572C09" w:rsidRDefault="00572C09">
            <w:pPr>
              <w:snapToGrid w:val="0"/>
              <w:ind w:firstLine="612"/>
              <w:rPr>
                <w:sz w:val="22"/>
                <w:szCs w:val="22"/>
                <w:lang w:val="bg-BG"/>
              </w:rPr>
            </w:pPr>
          </w:p>
          <w:p w:rsidR="00572C09" w:rsidRDefault="00572C09">
            <w:pPr>
              <w:snapToGrid w:val="0"/>
              <w:ind w:firstLine="612"/>
              <w:rPr>
                <w:sz w:val="22"/>
                <w:szCs w:val="22"/>
                <w:lang w:val="bg-BG"/>
              </w:rPr>
            </w:pPr>
          </w:p>
        </w:tc>
      </w:tr>
      <w:tr w:rsidR="00572C09">
        <w:trPr>
          <w:trHeight w:val="278"/>
        </w:trPr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72C09" w:rsidRDefault="00A0303B">
            <w:pPr>
              <w:jc w:val="both"/>
              <w:rPr>
                <w:b/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8.6. Изводи, рискови области, предложения и искания за съдействие от страна на СД на “ТЕРЕМ ХОЛДИНГ“ ЕАД</w:t>
            </w:r>
          </w:p>
        </w:tc>
      </w:tr>
      <w:tr w:rsidR="00572C09">
        <w:trPr>
          <w:trHeight w:val="519"/>
        </w:trPr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72C09" w:rsidRDefault="00A0303B">
            <w:pPr>
              <w:spacing w:before="120" w:after="120"/>
              <w:jc w:val="both"/>
            </w:pPr>
            <w:r>
              <w:rPr>
                <w:sz w:val="22"/>
                <w:szCs w:val="22"/>
                <w:lang w:val="bg-BG"/>
              </w:rPr>
              <w:t>Сроковете за извършване на ремонта на агрегатите, които „ТЕРЕМ-ЛЕТЕЦ“ не ремонтира, и чиито ремонт се извършва по кооперация с други предприятия с участието на „ТЕРЕМ ХОЛДИНГ“ ЕАД (двигатели, главни редуктори, ВСУ, турбохладилници и др.) са заложени в план</w:t>
            </w:r>
            <w:r>
              <w:rPr>
                <w:sz w:val="22"/>
                <w:szCs w:val="22"/>
                <w:lang w:val="bg-BG"/>
              </w:rPr>
              <w:t>овете по ремонта и просрочването оказва непосредствено влияние върху цялостното приключване на ремонтните дейности и особено върху финалната фаза – наземни изпитвания и облитане на вертолетите. Да се обърне особено внимание на сроковете за доставка от внос</w:t>
            </w:r>
            <w:r>
              <w:rPr>
                <w:sz w:val="22"/>
                <w:szCs w:val="22"/>
                <w:lang w:val="bg-BG"/>
              </w:rPr>
              <w:t xml:space="preserve"> на резервни части и изделия, в доставката на които „ТЕРЕМ ХОЛДИНГ“ ЕАД се явява страна по договора – лопати носещ и опашен винт, меки горивни резервоари и др. Оптимизацията на цялостната логистична схема, с оглед на сключеното рамково споразумение за ремо</w:t>
            </w:r>
            <w:r>
              <w:rPr>
                <w:sz w:val="22"/>
                <w:szCs w:val="22"/>
                <w:lang w:val="bg-BG"/>
              </w:rPr>
              <w:t>нт на вертолети на МО на страната, е ключова предпоставка за постигане на положителни финансови резултати.</w:t>
            </w:r>
          </w:p>
        </w:tc>
      </w:tr>
    </w:tbl>
    <w:p w:rsidR="00572C09" w:rsidRDefault="00572C09">
      <w:pPr>
        <w:jc w:val="both"/>
        <w:rPr>
          <w:sz w:val="22"/>
          <w:szCs w:val="22"/>
          <w:lang w:val="bg-BG"/>
        </w:rPr>
      </w:pPr>
    </w:p>
    <w:p w:rsidR="00572C09" w:rsidRDefault="00572C09">
      <w:pPr>
        <w:jc w:val="both"/>
        <w:rPr>
          <w:sz w:val="22"/>
          <w:szCs w:val="22"/>
          <w:lang w:val="bg-BG"/>
        </w:rPr>
      </w:pPr>
    </w:p>
    <w:p w:rsidR="00572C09" w:rsidRDefault="00572C09">
      <w:pPr>
        <w:jc w:val="both"/>
        <w:rPr>
          <w:sz w:val="22"/>
          <w:szCs w:val="22"/>
          <w:lang w:val="bg-BG"/>
        </w:rPr>
      </w:pPr>
    </w:p>
    <w:p w:rsidR="00572C09" w:rsidRDefault="00572C09">
      <w:pPr>
        <w:jc w:val="both"/>
        <w:rPr>
          <w:sz w:val="22"/>
          <w:szCs w:val="22"/>
          <w:lang w:val="bg-BG"/>
        </w:rPr>
      </w:pPr>
    </w:p>
    <w:p w:rsidR="00572C09" w:rsidRDefault="00A0303B">
      <w:pPr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Дата:</w:t>
      </w:r>
      <w:r>
        <w:rPr>
          <w:sz w:val="22"/>
          <w:szCs w:val="22"/>
          <w:lang w:val="bg-BG"/>
        </w:rPr>
        <w:tab/>
        <w:t>18.07.2019 г.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  <w:t xml:space="preserve">        С уважение,</w:t>
      </w:r>
    </w:p>
    <w:p w:rsidR="00572C09" w:rsidRDefault="00572C09">
      <w:pPr>
        <w:jc w:val="both"/>
        <w:rPr>
          <w:sz w:val="22"/>
          <w:szCs w:val="22"/>
          <w:lang w:val="bg-BG"/>
        </w:rPr>
      </w:pPr>
    </w:p>
    <w:p w:rsidR="00572C09" w:rsidRDefault="00572C09">
      <w:pPr>
        <w:jc w:val="both"/>
        <w:rPr>
          <w:sz w:val="22"/>
          <w:szCs w:val="22"/>
          <w:lang w:val="bg-BG"/>
        </w:rPr>
      </w:pPr>
    </w:p>
    <w:p w:rsidR="00572C09" w:rsidRDefault="00A0303B">
      <w:pPr>
        <w:ind w:left="558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              ( инж. В.Владинов)</w:t>
      </w:r>
    </w:p>
    <w:p w:rsidR="00572C09" w:rsidRDefault="00A0303B">
      <w:pPr>
        <w:ind w:left="5580" w:firstLine="941"/>
        <w:jc w:val="both"/>
      </w:pPr>
      <w:r>
        <w:rPr>
          <w:b/>
          <w:i/>
          <w:sz w:val="22"/>
          <w:szCs w:val="22"/>
          <w:lang w:val="bg-BG"/>
        </w:rPr>
        <w:t xml:space="preserve">Управител </w:t>
      </w:r>
    </w:p>
    <w:sectPr w:rsidR="00572C09" w:rsidSect="00572C09">
      <w:footerReference w:type="default" r:id="rId8"/>
      <w:headerReference w:type="first" r:id="rId9"/>
      <w:pgSz w:w="11906" w:h="16838"/>
      <w:pgMar w:top="766" w:right="1417" w:bottom="851" w:left="141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03B" w:rsidRDefault="00A0303B" w:rsidP="00572C09">
      <w:r>
        <w:separator/>
      </w:r>
    </w:p>
  </w:endnote>
  <w:endnote w:type="continuationSeparator" w:id="0">
    <w:p w:rsidR="00A0303B" w:rsidRDefault="00A0303B" w:rsidP="00572C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09" w:rsidRDefault="00A0303B">
    <w:pPr>
      <w:pStyle w:val="Footer"/>
      <w:ind w:right="360"/>
      <w:jc w:val="right"/>
    </w:pPr>
    <w:r>
      <w:rPr>
        <w:rFonts w:ascii="Times New Roman" w:hAnsi="Times New Roman"/>
        <w:b/>
        <w:sz w:val="20"/>
        <w:lang w:val="bg-BG"/>
      </w:rPr>
      <w:t xml:space="preserve">Стр. </w:t>
    </w:r>
    <w:r w:rsidR="00572C09" w:rsidRPr="00572C09">
      <w:rPr>
        <w:rFonts w:ascii="Times New Roman" w:hAnsi="Times New Roman"/>
        <w:b/>
        <w:sz w:val="20"/>
        <w:lang w:val="bg-BG"/>
      </w:rPr>
      <w:fldChar w:fldCharType="begin"/>
    </w:r>
    <w:r>
      <w:instrText>PAGE</w:instrText>
    </w:r>
    <w:r w:rsidR="00572C09">
      <w:fldChar w:fldCharType="separate"/>
    </w:r>
    <w:r w:rsidR="00726A28">
      <w:rPr>
        <w:noProof/>
      </w:rPr>
      <w:t>11</w:t>
    </w:r>
    <w:r w:rsidR="00572C09">
      <w:fldChar w:fldCharType="end"/>
    </w:r>
    <w:r>
      <w:rPr>
        <w:rFonts w:ascii="Times New Roman" w:hAnsi="Times New Roman"/>
        <w:b/>
        <w:sz w:val="20"/>
        <w:lang w:val="bg-BG"/>
      </w:rPr>
      <w:t xml:space="preserve"> от </w:t>
    </w:r>
    <w:r w:rsidR="00572C09" w:rsidRPr="00572C09">
      <w:rPr>
        <w:rFonts w:ascii="Times New Roman" w:hAnsi="Times New Roman"/>
        <w:b/>
        <w:sz w:val="20"/>
        <w:lang w:val="bg-BG"/>
      </w:rPr>
      <w:fldChar w:fldCharType="begin"/>
    </w:r>
    <w:r>
      <w:instrText>NUMPAGES</w:instrText>
    </w:r>
    <w:r w:rsidR="00572C09">
      <w:fldChar w:fldCharType="separate"/>
    </w:r>
    <w:r w:rsidR="00726A28">
      <w:rPr>
        <w:noProof/>
      </w:rPr>
      <w:t>11</w:t>
    </w:r>
    <w:r w:rsidR="00572C09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03B" w:rsidRDefault="00A0303B" w:rsidP="00572C09">
      <w:r>
        <w:separator/>
      </w:r>
    </w:p>
  </w:footnote>
  <w:footnote w:type="continuationSeparator" w:id="0">
    <w:p w:rsidR="00A0303B" w:rsidRDefault="00A0303B" w:rsidP="00572C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C09" w:rsidRDefault="00A0303B">
    <w:pPr>
      <w:pStyle w:val="Header"/>
      <w:rPr>
        <w:lang w:val="bg-BG"/>
      </w:rPr>
    </w:pPr>
    <w:r>
      <w:rPr>
        <w:noProof/>
        <w:lang w:val="en-US"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2141855</wp:posOffset>
          </wp:positionH>
          <wp:positionV relativeFrom="paragraph">
            <wp:posOffset>-33655</wp:posOffset>
          </wp:positionV>
          <wp:extent cx="243840" cy="243840"/>
          <wp:effectExtent l="0" t="0" r="0" b="0"/>
          <wp:wrapTopAndBottom/>
          <wp:docPr id="1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840" cy="243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2480945</wp:posOffset>
          </wp:positionH>
          <wp:positionV relativeFrom="paragraph">
            <wp:posOffset>-1905</wp:posOffset>
          </wp:positionV>
          <wp:extent cx="1483995" cy="212090"/>
          <wp:effectExtent l="0" t="0" r="0" b="0"/>
          <wp:wrapTopAndBottom/>
          <wp:docPr id="2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0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212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72C09" w:rsidRDefault="00572C09">
    <w:pPr>
      <w:pStyle w:val="Header"/>
      <w:rPr>
        <w:lang w:val="bg-BG"/>
      </w:rPr>
    </w:pPr>
  </w:p>
  <w:p w:rsidR="00572C09" w:rsidRDefault="00A0303B">
    <w:pPr>
      <w:pStyle w:val="Header"/>
      <w:rPr>
        <w:sz w:val="26"/>
        <w:szCs w:val="26"/>
        <w:u w:val="single"/>
        <w:lang w:val="bg-BG"/>
      </w:rPr>
    </w:pPr>
    <w:r>
      <w:rPr>
        <w:sz w:val="26"/>
        <w:szCs w:val="26"/>
        <w:u w:val="single"/>
        <w:lang w:val="bg-BG"/>
      </w:rPr>
      <w:t xml:space="preserve">„ТЕРЕМ – Летец” ЕООД, </w:t>
    </w:r>
    <w:r>
      <w:rPr>
        <w:caps w:val="0"/>
        <w:sz w:val="26"/>
        <w:szCs w:val="26"/>
        <w:u w:val="single"/>
        <w:lang w:val="bg-BG"/>
      </w:rPr>
      <w:t>гр</w:t>
    </w:r>
    <w:r>
      <w:rPr>
        <w:sz w:val="26"/>
        <w:szCs w:val="26"/>
        <w:u w:val="single"/>
        <w:lang w:val="bg-BG"/>
      </w:rPr>
      <w:t>. софия</w:t>
    </w:r>
  </w:p>
  <w:p w:rsidR="00572C09" w:rsidRDefault="00572C0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0503"/>
    <w:multiLevelType w:val="multilevel"/>
    <w:tmpl w:val="FDB84484"/>
    <w:lvl w:ilvl="0">
      <w:start w:val="1"/>
      <w:numFmt w:val="bullet"/>
      <w:lvlText w:val=""/>
      <w:lvlJc w:val="left"/>
      <w:pPr>
        <w:ind w:left="4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80" w:hanging="360"/>
      </w:pPr>
      <w:rPr>
        <w:rFonts w:ascii="Wingdings" w:hAnsi="Wingdings" w:cs="Wingdings" w:hint="default"/>
      </w:rPr>
    </w:lvl>
  </w:abstractNum>
  <w:abstractNum w:abstractNumId="1">
    <w:nsid w:val="06AF1FD8"/>
    <w:multiLevelType w:val="multilevel"/>
    <w:tmpl w:val="98348328"/>
    <w:lvl w:ilvl="0">
      <w:start w:val="1"/>
      <w:numFmt w:val="bullet"/>
      <w:lvlText w:val=""/>
      <w:lvlJc w:val="left"/>
      <w:pPr>
        <w:ind w:left="705" w:hanging="360"/>
      </w:pPr>
      <w:rPr>
        <w:rFonts w:ascii="Wingdings" w:hAnsi="Wingdings" w:cs="Wingdings" w:hint="default"/>
        <w:b/>
        <w:color w:val="00000A"/>
        <w:sz w:val="22"/>
      </w:rPr>
    </w:lvl>
    <w:lvl w:ilvl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5" w:hanging="360"/>
      </w:pPr>
      <w:rPr>
        <w:rFonts w:ascii="Wingdings" w:hAnsi="Wingdings" w:cs="Wingdings" w:hint="default"/>
      </w:rPr>
    </w:lvl>
  </w:abstractNum>
  <w:abstractNum w:abstractNumId="2">
    <w:nsid w:val="0F055310"/>
    <w:multiLevelType w:val="multilevel"/>
    <w:tmpl w:val="BF607126"/>
    <w:lvl w:ilvl="0">
      <w:start w:val="5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68102ED"/>
    <w:multiLevelType w:val="multilevel"/>
    <w:tmpl w:val="39BAEE44"/>
    <w:lvl w:ilvl="0">
      <w:start w:val="1"/>
      <w:numFmt w:val="decimal"/>
      <w:lvlText w:val="%1."/>
      <w:lvlJc w:val="left"/>
      <w:pPr>
        <w:tabs>
          <w:tab w:val="num" w:pos="596"/>
        </w:tabs>
        <w:ind w:left="596" w:hanging="454"/>
      </w:pPr>
    </w:lvl>
    <w:lvl w:ilvl="1">
      <w:start w:val="1"/>
      <w:numFmt w:val="decimal"/>
      <w:lvlText w:val="3.%2"/>
      <w:lvlJc w:val="left"/>
      <w:pPr>
        <w:tabs>
          <w:tab w:val="num" w:pos="454"/>
        </w:tabs>
        <w:ind w:left="454" w:hanging="454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4">
    <w:nsid w:val="222527D1"/>
    <w:multiLevelType w:val="multilevel"/>
    <w:tmpl w:val="6E16A7AC"/>
    <w:lvl w:ilvl="0">
      <w:start w:val="1"/>
      <w:numFmt w:val="bullet"/>
      <w:lvlText w:val=""/>
      <w:lvlJc w:val="left"/>
      <w:pPr>
        <w:ind w:left="45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9CA68E0"/>
    <w:multiLevelType w:val="multilevel"/>
    <w:tmpl w:val="530431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2A1821FB"/>
    <w:multiLevelType w:val="multilevel"/>
    <w:tmpl w:val="950A173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">
    <w:nsid w:val="30444D8D"/>
    <w:multiLevelType w:val="multilevel"/>
    <w:tmpl w:val="ADB8EC2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88200DA"/>
    <w:multiLevelType w:val="multilevel"/>
    <w:tmpl w:val="D47042D4"/>
    <w:lvl w:ilvl="0">
      <w:start w:val="5"/>
      <w:numFmt w:val="bullet"/>
      <w:lvlText w:val="-"/>
      <w:lvlJc w:val="left"/>
      <w:pPr>
        <w:ind w:left="897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5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1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7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3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C09"/>
    <w:rsid w:val="00572C09"/>
    <w:rsid w:val="00726A28"/>
    <w:rsid w:val="00A03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semiHidden="0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semiHidden="0"/>
    <w:lsdException w:name="HTML Preformatted" w:semiHidden="0"/>
    <w:lsdException w:name="Normal Table" w:qFormat="1"/>
    <w:lsdException w:name="annotation subject" w:semiHidden="0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C09"/>
    <w:rPr>
      <w:sz w:val="24"/>
      <w:lang w:val="en-GB"/>
    </w:rPr>
  </w:style>
  <w:style w:type="paragraph" w:styleId="Heading1">
    <w:name w:val="heading 1"/>
    <w:basedOn w:val="Normal"/>
    <w:next w:val="Normal"/>
    <w:qFormat/>
    <w:rsid w:val="00572C09"/>
    <w:pPr>
      <w:keepNext/>
      <w:spacing w:before="240" w:after="60"/>
      <w:outlineLvl w:val="0"/>
    </w:pPr>
    <w:rPr>
      <w:rFonts w:ascii="Arial" w:hAnsi="Arial"/>
      <w:b/>
      <w:kern w:val="2"/>
      <w:sz w:val="28"/>
    </w:rPr>
  </w:style>
  <w:style w:type="paragraph" w:styleId="Heading2">
    <w:name w:val="heading 2"/>
    <w:basedOn w:val="Normal"/>
    <w:next w:val="Normal"/>
    <w:qFormat/>
    <w:rsid w:val="00572C09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572C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72C09"/>
    <w:pPr>
      <w:keepNext/>
      <w:jc w:val="right"/>
      <w:outlineLvl w:val="3"/>
    </w:pPr>
    <w:rPr>
      <w:b/>
      <w:i/>
      <w:szCs w:val="28"/>
      <w:lang w:val="bg-BG" w:eastAsia="bg-BG"/>
    </w:rPr>
  </w:style>
  <w:style w:type="paragraph" w:styleId="Heading5">
    <w:name w:val="heading 5"/>
    <w:basedOn w:val="Normal"/>
    <w:next w:val="Normal"/>
    <w:qFormat/>
    <w:rsid w:val="00572C09"/>
    <w:pPr>
      <w:keepNext/>
      <w:spacing w:before="120" w:after="120"/>
      <w:jc w:val="both"/>
      <w:outlineLvl w:val="4"/>
    </w:pPr>
    <w:rPr>
      <w:b/>
      <w:bCs/>
      <w:sz w:val="22"/>
      <w:szCs w:val="22"/>
      <w:lang w:val="bg-BG"/>
    </w:rPr>
  </w:style>
  <w:style w:type="paragraph" w:styleId="Heading6">
    <w:name w:val="heading 6"/>
    <w:basedOn w:val="Normal"/>
    <w:next w:val="Normal"/>
    <w:qFormat/>
    <w:rsid w:val="00572C09"/>
    <w:pPr>
      <w:keepNext/>
      <w:jc w:val="both"/>
      <w:outlineLvl w:val="5"/>
    </w:pPr>
    <w:rPr>
      <w:b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qFormat/>
    <w:rsid w:val="00572C09"/>
    <w:rPr>
      <w:rFonts w:ascii="Times New Roman" w:hAnsi="Times New Roman"/>
      <w:sz w:val="27"/>
      <w:vertAlign w:val="superscript"/>
      <w:lang w:val="en-US"/>
    </w:rPr>
  </w:style>
  <w:style w:type="character" w:styleId="FollowedHyperlink">
    <w:name w:val="FollowedHyperlink"/>
    <w:semiHidden/>
    <w:qFormat/>
    <w:rsid w:val="00572C09"/>
    <w:rPr>
      <w:color w:val="800080"/>
      <w:u w:val="single"/>
    </w:rPr>
  </w:style>
  <w:style w:type="character" w:customStyle="1" w:styleId="InternetLink">
    <w:name w:val="Internet Link"/>
    <w:semiHidden/>
    <w:rsid w:val="00572C09"/>
    <w:rPr>
      <w:color w:val="0000FF"/>
      <w:u w:val="single"/>
    </w:rPr>
  </w:style>
  <w:style w:type="character" w:styleId="Emphasis">
    <w:name w:val="Emphasis"/>
    <w:qFormat/>
    <w:rsid w:val="00572C09"/>
    <w:rPr>
      <w:b/>
      <w:bCs/>
      <w:i w:val="0"/>
      <w:iCs w:val="0"/>
    </w:rPr>
  </w:style>
  <w:style w:type="character" w:styleId="PageNumber">
    <w:name w:val="page number"/>
    <w:basedOn w:val="DefaultParagraphFont"/>
    <w:semiHidden/>
    <w:qFormat/>
    <w:rsid w:val="00572C09"/>
  </w:style>
  <w:style w:type="character" w:styleId="Strong">
    <w:name w:val="Strong"/>
    <w:qFormat/>
    <w:rsid w:val="00572C09"/>
    <w:rPr>
      <w:b/>
      <w:bCs/>
    </w:rPr>
  </w:style>
  <w:style w:type="character" w:styleId="CommentReference">
    <w:name w:val="annotation reference"/>
    <w:semiHidden/>
    <w:qFormat/>
    <w:rsid w:val="00572C09"/>
    <w:rPr>
      <w:sz w:val="16"/>
      <w:szCs w:val="16"/>
    </w:rPr>
  </w:style>
  <w:style w:type="character" w:styleId="LineNumber">
    <w:name w:val="line number"/>
    <w:basedOn w:val="DefaultParagraphFont"/>
    <w:semiHidden/>
    <w:qFormat/>
    <w:rsid w:val="00572C09"/>
  </w:style>
  <w:style w:type="character" w:customStyle="1" w:styleId="tw4winMark">
    <w:name w:val="tw4winMark"/>
    <w:qFormat/>
    <w:rsid w:val="00572C09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character" w:customStyle="1" w:styleId="yshortcuts">
    <w:name w:val="yshortcuts"/>
    <w:basedOn w:val="DefaultParagraphFont"/>
    <w:qFormat/>
    <w:rsid w:val="00572C09"/>
  </w:style>
  <w:style w:type="character" w:customStyle="1" w:styleId="spelle">
    <w:name w:val="spelle"/>
    <w:basedOn w:val="DefaultParagraphFont"/>
    <w:qFormat/>
    <w:rsid w:val="00572C09"/>
  </w:style>
  <w:style w:type="character" w:customStyle="1" w:styleId="grame">
    <w:name w:val="grame"/>
    <w:basedOn w:val="DefaultParagraphFont"/>
    <w:qFormat/>
    <w:rsid w:val="00572C09"/>
  </w:style>
  <w:style w:type="character" w:customStyle="1" w:styleId="ldef">
    <w:name w:val="ldef"/>
    <w:basedOn w:val="DefaultParagraphFont"/>
    <w:qFormat/>
    <w:rsid w:val="00572C09"/>
  </w:style>
  <w:style w:type="character" w:customStyle="1" w:styleId="CharChar1">
    <w:name w:val="Char Char1"/>
    <w:qFormat/>
    <w:rsid w:val="00572C09"/>
    <w:rPr>
      <w:lang w:val="en-GB" w:eastAsia="en-US"/>
    </w:rPr>
  </w:style>
  <w:style w:type="character" w:customStyle="1" w:styleId="CharChar">
    <w:name w:val="Char Char"/>
    <w:qFormat/>
    <w:rsid w:val="00572C09"/>
    <w:rPr>
      <w:b/>
      <w:bCs/>
      <w:lang w:val="en-GB" w:eastAsia="en-US"/>
    </w:rPr>
  </w:style>
  <w:style w:type="character" w:customStyle="1" w:styleId="style11">
    <w:name w:val="style11"/>
    <w:qFormat/>
    <w:rsid w:val="00572C09"/>
    <w:rPr>
      <w:b/>
      <w:bCs/>
      <w:color w:val="990000"/>
    </w:rPr>
  </w:style>
  <w:style w:type="character" w:customStyle="1" w:styleId="annatext2">
    <w:name w:val="anna_text2"/>
    <w:qFormat/>
    <w:rsid w:val="00572C09"/>
    <w:rPr>
      <w:rFonts w:ascii="Verdana" w:hAnsi="Verdana"/>
      <w:color w:val="6D6D6D"/>
      <w:sz w:val="15"/>
      <w:szCs w:val="15"/>
    </w:rPr>
  </w:style>
  <w:style w:type="character" w:customStyle="1" w:styleId="HTMLPreformattedChar">
    <w:name w:val="HTML Preformatted Char"/>
    <w:link w:val="HTMLPreformatted"/>
    <w:uiPriority w:val="99"/>
    <w:qFormat/>
    <w:rsid w:val="00572C09"/>
    <w:rPr>
      <w:rFonts w:ascii="Courier New" w:hAnsi="Courier New" w:cs="Courier New"/>
    </w:rPr>
  </w:style>
  <w:style w:type="character" w:customStyle="1" w:styleId="FooterChar">
    <w:name w:val="Footer Char"/>
    <w:link w:val="Footer"/>
    <w:uiPriority w:val="99"/>
    <w:semiHidden/>
    <w:qFormat/>
    <w:locked/>
    <w:rsid w:val="00572C09"/>
    <w:rPr>
      <w:rFonts w:ascii="Arial" w:hAnsi="Arial"/>
      <w:sz w:val="16"/>
      <w:lang w:val="en-GB" w:eastAsia="en-US"/>
    </w:rPr>
  </w:style>
  <w:style w:type="character" w:customStyle="1" w:styleId="z-TopofFormChar">
    <w:name w:val="z-Top of Form Char"/>
    <w:uiPriority w:val="99"/>
    <w:semiHidden/>
    <w:qFormat/>
    <w:rsid w:val="00382E52"/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uiPriority w:val="99"/>
    <w:qFormat/>
    <w:rsid w:val="00382E52"/>
    <w:rPr>
      <w:rFonts w:ascii="Arial" w:hAnsi="Arial" w:cs="Arial"/>
      <w:vanish/>
      <w:sz w:val="16"/>
      <w:szCs w:val="16"/>
    </w:rPr>
  </w:style>
  <w:style w:type="character" w:customStyle="1" w:styleId="ListLabel1">
    <w:name w:val="ListLabel 1"/>
    <w:qFormat/>
    <w:rsid w:val="00572C09"/>
    <w:rPr>
      <w:i w:val="0"/>
    </w:rPr>
  </w:style>
  <w:style w:type="character" w:customStyle="1" w:styleId="ListLabel2">
    <w:name w:val="ListLabel 2"/>
    <w:qFormat/>
    <w:rsid w:val="00572C09"/>
    <w:rPr>
      <w:sz w:val="16"/>
    </w:rPr>
  </w:style>
  <w:style w:type="character" w:customStyle="1" w:styleId="ListLabel3">
    <w:name w:val="ListLabel 3"/>
    <w:qFormat/>
    <w:rsid w:val="00572C09"/>
    <w:rPr>
      <w:b/>
    </w:rPr>
  </w:style>
  <w:style w:type="character" w:customStyle="1" w:styleId="ListLabel4">
    <w:name w:val="ListLabel 4"/>
    <w:qFormat/>
    <w:rsid w:val="00572C09"/>
    <w:rPr>
      <w:rFonts w:cs="Courier New"/>
    </w:rPr>
  </w:style>
  <w:style w:type="character" w:customStyle="1" w:styleId="ListLabel5">
    <w:name w:val="ListLabel 5"/>
    <w:qFormat/>
    <w:rsid w:val="00572C09"/>
    <w:rPr>
      <w:rFonts w:cs="Courier New"/>
    </w:rPr>
  </w:style>
  <w:style w:type="character" w:customStyle="1" w:styleId="ListLabel6">
    <w:name w:val="ListLabel 6"/>
    <w:qFormat/>
    <w:rsid w:val="00572C09"/>
    <w:rPr>
      <w:rFonts w:cs="Courier New"/>
    </w:rPr>
  </w:style>
  <w:style w:type="character" w:customStyle="1" w:styleId="ListLabel7">
    <w:name w:val="ListLabel 7"/>
    <w:qFormat/>
    <w:rsid w:val="00572C09"/>
    <w:rPr>
      <w:b/>
      <w:color w:val="00000A"/>
      <w:sz w:val="22"/>
    </w:rPr>
  </w:style>
  <w:style w:type="character" w:customStyle="1" w:styleId="ListLabel8">
    <w:name w:val="ListLabel 8"/>
    <w:qFormat/>
    <w:rsid w:val="00572C09"/>
    <w:rPr>
      <w:rFonts w:cs="Courier New"/>
    </w:rPr>
  </w:style>
  <w:style w:type="character" w:customStyle="1" w:styleId="ListLabel9">
    <w:name w:val="ListLabel 9"/>
    <w:qFormat/>
    <w:rsid w:val="00572C09"/>
    <w:rPr>
      <w:rFonts w:cs="Courier New"/>
    </w:rPr>
  </w:style>
  <w:style w:type="character" w:customStyle="1" w:styleId="ListLabel10">
    <w:name w:val="ListLabel 10"/>
    <w:qFormat/>
    <w:rsid w:val="00572C09"/>
    <w:rPr>
      <w:rFonts w:cs="Courier New"/>
    </w:rPr>
  </w:style>
  <w:style w:type="character" w:customStyle="1" w:styleId="ListLabel11">
    <w:name w:val="ListLabel 11"/>
    <w:qFormat/>
    <w:rsid w:val="00572C09"/>
    <w:rPr>
      <w:rFonts w:cs="Courier New"/>
    </w:rPr>
  </w:style>
  <w:style w:type="character" w:customStyle="1" w:styleId="ListLabel12">
    <w:name w:val="ListLabel 12"/>
    <w:qFormat/>
    <w:rsid w:val="00572C09"/>
    <w:rPr>
      <w:rFonts w:cs="Courier New"/>
    </w:rPr>
  </w:style>
  <w:style w:type="character" w:customStyle="1" w:styleId="ListLabel13">
    <w:name w:val="ListLabel 13"/>
    <w:qFormat/>
    <w:rsid w:val="00572C09"/>
    <w:rPr>
      <w:rFonts w:cs="Courier New"/>
    </w:rPr>
  </w:style>
  <w:style w:type="character" w:customStyle="1" w:styleId="ListLabel14">
    <w:name w:val="ListLabel 14"/>
    <w:qFormat/>
    <w:rsid w:val="00572C09"/>
    <w:rPr>
      <w:rFonts w:cs="Courier New"/>
    </w:rPr>
  </w:style>
  <w:style w:type="character" w:customStyle="1" w:styleId="ListLabel15">
    <w:name w:val="ListLabel 15"/>
    <w:qFormat/>
    <w:rsid w:val="00572C09"/>
    <w:rPr>
      <w:rFonts w:cs="Courier New"/>
    </w:rPr>
  </w:style>
  <w:style w:type="character" w:customStyle="1" w:styleId="ListLabel16">
    <w:name w:val="ListLabel 16"/>
    <w:qFormat/>
    <w:rsid w:val="00572C09"/>
    <w:rPr>
      <w:rFonts w:cs="Courier New"/>
    </w:rPr>
  </w:style>
  <w:style w:type="character" w:customStyle="1" w:styleId="ListLabel17">
    <w:name w:val="ListLabel 17"/>
    <w:qFormat/>
    <w:rsid w:val="00572C09"/>
    <w:rPr>
      <w:rFonts w:eastAsia="Times New Roman" w:cs="Times New Roman"/>
      <w:b/>
      <w:sz w:val="22"/>
    </w:rPr>
  </w:style>
  <w:style w:type="character" w:customStyle="1" w:styleId="ListLabel18">
    <w:name w:val="ListLabel 18"/>
    <w:qFormat/>
    <w:rsid w:val="00572C09"/>
    <w:rPr>
      <w:rFonts w:cs="Courier New"/>
    </w:rPr>
  </w:style>
  <w:style w:type="character" w:customStyle="1" w:styleId="ListLabel19">
    <w:name w:val="ListLabel 19"/>
    <w:qFormat/>
    <w:rsid w:val="00572C09"/>
    <w:rPr>
      <w:rFonts w:cs="Courier New"/>
    </w:rPr>
  </w:style>
  <w:style w:type="character" w:customStyle="1" w:styleId="ListLabel20">
    <w:name w:val="ListLabel 20"/>
    <w:qFormat/>
    <w:rsid w:val="00572C09"/>
    <w:rPr>
      <w:rFonts w:cs="Courier New"/>
    </w:rPr>
  </w:style>
  <w:style w:type="paragraph" w:customStyle="1" w:styleId="Heading">
    <w:name w:val="Heading"/>
    <w:basedOn w:val="Normal"/>
    <w:next w:val="BodyText"/>
    <w:qFormat/>
    <w:rsid w:val="00572C0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semiHidden/>
    <w:rsid w:val="00572C09"/>
    <w:pPr>
      <w:jc w:val="both"/>
    </w:pPr>
    <w:rPr>
      <w:rFonts w:ascii="Arial" w:hAnsi="Arial"/>
      <w:color w:val="000000"/>
      <w:sz w:val="20"/>
      <w:lang w:val="fr-FR"/>
    </w:rPr>
  </w:style>
  <w:style w:type="paragraph" w:styleId="List">
    <w:name w:val="List"/>
    <w:basedOn w:val="BodyText"/>
    <w:rsid w:val="00572C09"/>
    <w:rPr>
      <w:rFonts w:cs="Lucida Sans"/>
    </w:rPr>
  </w:style>
  <w:style w:type="paragraph" w:styleId="Caption">
    <w:name w:val="caption"/>
    <w:basedOn w:val="Normal"/>
    <w:qFormat/>
    <w:rsid w:val="00572C09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Normal"/>
    <w:qFormat/>
    <w:rsid w:val="00572C09"/>
    <w:pPr>
      <w:suppressLineNumbers/>
    </w:pPr>
    <w:rPr>
      <w:rFonts w:cs="Lucida Sans"/>
    </w:rPr>
  </w:style>
  <w:style w:type="paragraph" w:styleId="Index1">
    <w:name w:val="index 1"/>
    <w:basedOn w:val="Normal"/>
    <w:next w:val="Normal"/>
    <w:semiHidden/>
    <w:qFormat/>
    <w:rsid w:val="00572C09"/>
    <w:pPr>
      <w:widowControl w:val="0"/>
      <w:tabs>
        <w:tab w:val="right" w:leader="dot" w:pos="9360"/>
      </w:tabs>
      <w:suppressAutoHyphens/>
      <w:ind w:left="1440" w:right="720" w:hanging="1440"/>
    </w:pPr>
    <w:rPr>
      <w:rFonts w:ascii="Courier New" w:hAnsi="Courier New"/>
      <w:lang w:val="en-US"/>
    </w:rPr>
  </w:style>
  <w:style w:type="paragraph" w:styleId="FootnoteText">
    <w:name w:val="footnote text"/>
    <w:basedOn w:val="Normal"/>
    <w:semiHidden/>
    <w:qFormat/>
    <w:rsid w:val="00572C09"/>
    <w:pPr>
      <w:widowControl w:val="0"/>
      <w:tabs>
        <w:tab w:val="left" w:pos="-720"/>
      </w:tabs>
      <w:suppressAutoHyphens/>
      <w:jc w:val="both"/>
    </w:pPr>
    <w:rPr>
      <w:spacing w:val="-2"/>
      <w:sz w:val="20"/>
    </w:rPr>
  </w:style>
  <w:style w:type="paragraph" w:styleId="CommentSubject">
    <w:name w:val="annotation subject"/>
    <w:basedOn w:val="CommentText"/>
    <w:qFormat/>
    <w:rsid w:val="00572C09"/>
    <w:rPr>
      <w:b/>
      <w:bCs/>
    </w:rPr>
  </w:style>
  <w:style w:type="paragraph" w:styleId="BodyText2">
    <w:name w:val="Body Text 2"/>
    <w:basedOn w:val="Normal"/>
    <w:semiHidden/>
    <w:qFormat/>
    <w:rsid w:val="00572C09"/>
    <w:rPr>
      <w:color w:val="3366FF"/>
      <w:sz w:val="22"/>
      <w:lang w:val="ru-RU"/>
    </w:rPr>
  </w:style>
  <w:style w:type="paragraph" w:styleId="NormalWeb">
    <w:name w:val="Normal (Web)"/>
    <w:basedOn w:val="Normal"/>
    <w:uiPriority w:val="99"/>
    <w:qFormat/>
    <w:rsid w:val="00572C09"/>
    <w:pPr>
      <w:spacing w:beforeAutospacing="1" w:afterAutospacing="1"/>
    </w:pPr>
    <w:rPr>
      <w:szCs w:val="24"/>
      <w:lang w:val="bg-BG" w:eastAsia="bg-BG"/>
    </w:rPr>
  </w:style>
  <w:style w:type="paragraph" w:styleId="CommentText">
    <w:name w:val="annotation text"/>
    <w:basedOn w:val="Normal"/>
    <w:semiHidden/>
    <w:qFormat/>
    <w:rsid w:val="00572C09"/>
    <w:rPr>
      <w:sz w:val="20"/>
    </w:rPr>
  </w:style>
  <w:style w:type="paragraph" w:styleId="BalloonText">
    <w:name w:val="Balloon Text"/>
    <w:basedOn w:val="Normal"/>
    <w:semiHidden/>
    <w:qFormat/>
    <w:rsid w:val="00572C09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semiHidden/>
    <w:rsid w:val="00572C09"/>
    <w:rPr>
      <w:bCs/>
      <w:szCs w:val="24"/>
      <w:lang w:val="ru-RU" w:eastAsia="bg-BG"/>
    </w:rPr>
  </w:style>
  <w:style w:type="paragraph" w:styleId="DocumentMap">
    <w:name w:val="Document Map"/>
    <w:basedOn w:val="Normal"/>
    <w:semiHidden/>
    <w:qFormat/>
    <w:rsid w:val="00572C09"/>
    <w:pPr>
      <w:shd w:val="clear" w:color="auto" w:fill="000080"/>
    </w:pPr>
    <w:rPr>
      <w:rFonts w:ascii="Tahoma" w:hAnsi="Tahoma" w:cs="Tahoma"/>
    </w:rPr>
  </w:style>
  <w:style w:type="paragraph" w:styleId="NormalIndent">
    <w:name w:val="Normal Indent"/>
    <w:basedOn w:val="Normal"/>
    <w:semiHidden/>
    <w:qFormat/>
    <w:rsid w:val="00572C09"/>
    <w:pPr>
      <w:ind w:left="708"/>
    </w:pPr>
  </w:style>
  <w:style w:type="paragraph" w:styleId="BodyTextIndent2">
    <w:name w:val="Body Text Indent 2"/>
    <w:basedOn w:val="Normal"/>
    <w:semiHidden/>
    <w:qFormat/>
    <w:rsid w:val="00572C09"/>
    <w:pPr>
      <w:ind w:left="342"/>
      <w:jc w:val="both"/>
    </w:pPr>
    <w:rPr>
      <w:lang w:val="bg-BG"/>
    </w:rPr>
  </w:style>
  <w:style w:type="paragraph" w:styleId="TOC2">
    <w:name w:val="toc 2"/>
    <w:basedOn w:val="Normal"/>
    <w:next w:val="Normal"/>
    <w:semiHidden/>
    <w:rsid w:val="00572C09"/>
    <w:pPr>
      <w:jc w:val="center"/>
    </w:pPr>
    <w:rPr>
      <w:sz w:val="22"/>
      <w:szCs w:val="22"/>
      <w:lang w:val="pl-PL" w:eastAsia="pl-PL"/>
    </w:rPr>
  </w:style>
  <w:style w:type="paragraph" w:styleId="Title">
    <w:name w:val="Title"/>
    <w:basedOn w:val="Normal"/>
    <w:qFormat/>
    <w:rsid w:val="00572C09"/>
    <w:pPr>
      <w:widowControl w:val="0"/>
      <w:tabs>
        <w:tab w:val="left" w:pos="-720"/>
      </w:tabs>
      <w:suppressAutoHyphens/>
      <w:jc w:val="center"/>
    </w:pPr>
    <w:rPr>
      <w:b/>
      <w:sz w:val="48"/>
      <w:lang w:val="en-US"/>
    </w:rPr>
  </w:style>
  <w:style w:type="paragraph" w:styleId="Subtitle">
    <w:name w:val="Subtitle"/>
    <w:basedOn w:val="Normal"/>
    <w:qFormat/>
    <w:rsid w:val="00572C09"/>
    <w:pPr>
      <w:jc w:val="center"/>
      <w:textAlignment w:val="baseline"/>
    </w:pPr>
    <w:rPr>
      <w:b/>
      <w:bCs/>
      <w:sz w:val="28"/>
      <w:szCs w:val="28"/>
      <w:u w:val="single"/>
      <w:lang w:val="pl-PL" w:eastAsia="pl-PL"/>
    </w:rPr>
  </w:style>
  <w:style w:type="paragraph" w:styleId="BodyTextIndent">
    <w:name w:val="Body Text Indent"/>
    <w:basedOn w:val="Normal"/>
    <w:semiHidden/>
    <w:rsid w:val="00572C09"/>
    <w:pPr>
      <w:tabs>
        <w:tab w:val="right" w:pos="8789"/>
      </w:tabs>
      <w:suppressAutoHyphens/>
      <w:spacing w:before="100"/>
    </w:pPr>
    <w:rPr>
      <w:rFonts w:ascii="Arial" w:hAnsi="Arial"/>
      <w:spacing w:val="-2"/>
      <w:sz w:val="20"/>
      <w:lang w:val="fr-FR"/>
    </w:rPr>
  </w:style>
  <w:style w:type="paragraph" w:styleId="Header">
    <w:name w:val="header"/>
    <w:basedOn w:val="Normal"/>
    <w:semiHidden/>
    <w:rsid w:val="00572C09"/>
    <w:pPr>
      <w:widowControl w:val="0"/>
      <w:tabs>
        <w:tab w:val="left" w:pos="0"/>
      </w:tabs>
      <w:suppressAutoHyphens/>
      <w:jc w:val="center"/>
    </w:pPr>
    <w:rPr>
      <w:b/>
      <w:caps/>
      <w:szCs w:val="24"/>
    </w:rPr>
  </w:style>
  <w:style w:type="paragraph" w:styleId="BodyText3">
    <w:name w:val="Body Text 3"/>
    <w:basedOn w:val="Normal"/>
    <w:semiHidden/>
    <w:qFormat/>
    <w:rsid w:val="00572C09"/>
    <w:pPr>
      <w:tabs>
        <w:tab w:val="left" w:pos="-720"/>
      </w:tabs>
      <w:suppressAutoHyphens/>
      <w:jc w:val="both"/>
    </w:pPr>
    <w:rPr>
      <w:rFonts w:ascii="Arial" w:hAnsi="Arial"/>
      <w:sz w:val="20"/>
      <w:lang w:val="fr-FR"/>
    </w:rPr>
  </w:style>
  <w:style w:type="paragraph" w:styleId="Footer">
    <w:name w:val="footer"/>
    <w:basedOn w:val="Normal"/>
    <w:link w:val="FooterChar"/>
    <w:uiPriority w:val="99"/>
    <w:semiHidden/>
    <w:rsid w:val="00572C09"/>
    <w:pPr>
      <w:widowControl w:val="0"/>
      <w:tabs>
        <w:tab w:val="left" w:pos="-720"/>
      </w:tabs>
      <w:suppressAutoHyphens/>
    </w:pPr>
    <w:rPr>
      <w:rFonts w:ascii="Arial" w:hAnsi="Arial"/>
      <w:sz w:val="16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572C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/>
    </w:rPr>
  </w:style>
  <w:style w:type="paragraph" w:customStyle="1" w:styleId="Text1">
    <w:name w:val="Text 1"/>
    <w:qFormat/>
    <w:rsid w:val="00572C09"/>
    <w:pPr>
      <w:widowControl w:val="0"/>
      <w:tabs>
        <w:tab w:val="left" w:pos="-720"/>
      </w:tabs>
      <w:suppressAutoHyphens/>
      <w:jc w:val="both"/>
    </w:pPr>
    <w:rPr>
      <w:rFonts w:ascii="Courier New" w:hAnsi="Courier New"/>
      <w:spacing w:val="-3"/>
      <w:sz w:val="24"/>
      <w:lang w:val="en-GB"/>
    </w:rPr>
  </w:style>
  <w:style w:type="paragraph" w:customStyle="1" w:styleId="CharCharCharCharCharChar">
    <w:name w:val="Char Char Char Char Char Char"/>
    <w:basedOn w:val="Normal"/>
    <w:qFormat/>
    <w:rsid w:val="00572C0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Style4">
    <w:name w:val="Style4"/>
    <w:basedOn w:val="Header"/>
    <w:qFormat/>
    <w:rsid w:val="00572C09"/>
    <w:rPr>
      <w:b w:val="0"/>
    </w:rPr>
  </w:style>
  <w:style w:type="paragraph" w:customStyle="1" w:styleId="Application5">
    <w:name w:val="Application5"/>
    <w:basedOn w:val="Application2"/>
    <w:qFormat/>
    <w:rsid w:val="00572C09"/>
    <w:pPr>
      <w:ind w:left="567" w:hanging="567"/>
    </w:pPr>
    <w:rPr>
      <w:b/>
      <w:sz w:val="24"/>
    </w:rPr>
  </w:style>
  <w:style w:type="paragraph" w:customStyle="1" w:styleId="Normalenglish">
    <w:name w:val="Normalenglish"/>
    <w:basedOn w:val="Normal"/>
    <w:qFormat/>
    <w:rsid w:val="00572C09"/>
    <w:pPr>
      <w:jc w:val="both"/>
    </w:pPr>
    <w:rPr>
      <w:sz w:val="22"/>
      <w:szCs w:val="24"/>
      <w:lang w:val="bg-BG" w:eastAsia="pl-PL"/>
    </w:rPr>
  </w:style>
  <w:style w:type="paragraph" w:customStyle="1" w:styleId="CharChar4Char1">
    <w:name w:val="Char Char4 Char1"/>
    <w:basedOn w:val="Normal"/>
    <w:qFormat/>
    <w:rsid w:val="00572C0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Application1">
    <w:name w:val="Application1"/>
    <w:basedOn w:val="Heading1"/>
    <w:qFormat/>
    <w:rsid w:val="00572C09"/>
    <w:pPr>
      <w:pageBreakBefore/>
      <w:widowControl w:val="0"/>
      <w:tabs>
        <w:tab w:val="left" w:pos="720"/>
      </w:tabs>
      <w:spacing w:before="0" w:after="480"/>
      <w:ind w:left="360" w:hanging="360"/>
    </w:pPr>
    <w:rPr>
      <w:caps/>
    </w:rPr>
  </w:style>
  <w:style w:type="paragraph" w:customStyle="1" w:styleId="Style1">
    <w:name w:val="Style1"/>
    <w:basedOn w:val="Normal"/>
    <w:qFormat/>
    <w:rsid w:val="00572C09"/>
    <w:rPr>
      <w:sz w:val="22"/>
    </w:rPr>
  </w:style>
  <w:style w:type="paragraph" w:customStyle="1" w:styleId="Application2">
    <w:name w:val="Application2"/>
    <w:basedOn w:val="Normal"/>
    <w:qFormat/>
    <w:rsid w:val="00572C09"/>
    <w:pPr>
      <w:widowControl w:val="0"/>
      <w:suppressAutoHyphens/>
      <w:spacing w:line="240" w:lineRule="atLeast"/>
      <w:jc w:val="both"/>
    </w:pPr>
    <w:rPr>
      <w:sz w:val="22"/>
      <w:szCs w:val="22"/>
      <w:lang w:val="bg-BG"/>
    </w:rPr>
  </w:style>
  <w:style w:type="paragraph" w:customStyle="1" w:styleId="NormalIndent1">
    <w:name w:val="Normal Indent 1"/>
    <w:basedOn w:val="Normal"/>
    <w:qFormat/>
    <w:rsid w:val="00572C09"/>
    <w:pPr>
      <w:spacing w:before="60" w:after="60" w:line="320" w:lineRule="atLeast"/>
      <w:jc w:val="both"/>
    </w:pPr>
    <w:rPr>
      <w:iCs/>
      <w:lang w:val="ru-RU"/>
    </w:rPr>
  </w:style>
  <w:style w:type="paragraph" w:customStyle="1" w:styleId="Style5">
    <w:name w:val="Style5"/>
    <w:basedOn w:val="Normal"/>
    <w:qFormat/>
    <w:rsid w:val="00572C09"/>
    <w:pPr>
      <w:jc w:val="both"/>
    </w:pPr>
    <w:rPr>
      <w:bCs/>
      <w:sz w:val="20"/>
      <w:szCs w:val="24"/>
    </w:rPr>
  </w:style>
  <w:style w:type="paragraph" w:customStyle="1" w:styleId="Style2">
    <w:name w:val="Style2"/>
    <w:basedOn w:val="Normal"/>
    <w:qFormat/>
    <w:rsid w:val="00572C09"/>
    <w:pPr>
      <w:jc w:val="both"/>
    </w:pPr>
    <w:rPr>
      <w:sz w:val="20"/>
    </w:rPr>
  </w:style>
  <w:style w:type="paragraph" w:customStyle="1" w:styleId="GfAheading1">
    <w:name w:val="GfA heading 1"/>
    <w:basedOn w:val="Normal"/>
    <w:qFormat/>
    <w:rsid w:val="00572C09"/>
    <w:pPr>
      <w:tabs>
        <w:tab w:val="left" w:pos="1080"/>
      </w:tabs>
    </w:pPr>
    <w:rPr>
      <w:b/>
      <w:szCs w:val="24"/>
      <w:lang w:val="bg-BG"/>
    </w:rPr>
  </w:style>
  <w:style w:type="paragraph" w:customStyle="1" w:styleId="CharCharCharCharCharCharChar">
    <w:name w:val="Char Char Char Char Char Char Char"/>
    <w:basedOn w:val="Normal"/>
    <w:qFormat/>
    <w:rsid w:val="00572C0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Style3">
    <w:name w:val="Style3"/>
    <w:basedOn w:val="Header"/>
    <w:qFormat/>
    <w:rsid w:val="00572C09"/>
    <w:rPr>
      <w:b w:val="0"/>
    </w:rPr>
  </w:style>
  <w:style w:type="paragraph" w:customStyle="1" w:styleId="OPStyleheading2">
    <w:name w:val="OP Style heading 2"/>
    <w:basedOn w:val="Normal"/>
    <w:qFormat/>
    <w:rsid w:val="00572C09"/>
    <w:pPr>
      <w:tabs>
        <w:tab w:val="left" w:pos="432"/>
      </w:tabs>
    </w:pPr>
  </w:style>
  <w:style w:type="paragraph" w:customStyle="1" w:styleId="SubTitle1">
    <w:name w:val="SubTitle 1"/>
    <w:basedOn w:val="Normal"/>
    <w:next w:val="Normal"/>
    <w:qFormat/>
    <w:rsid w:val="00572C09"/>
    <w:pPr>
      <w:spacing w:after="240"/>
      <w:jc w:val="center"/>
    </w:pPr>
    <w:rPr>
      <w:b/>
      <w:sz w:val="40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qFormat/>
    <w:rsid w:val="00572C0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firstline">
    <w:name w:val="firstline"/>
    <w:basedOn w:val="Normal"/>
    <w:qFormat/>
    <w:rsid w:val="00572C09"/>
    <w:pPr>
      <w:spacing w:line="240" w:lineRule="atLeast"/>
      <w:ind w:firstLine="640"/>
      <w:jc w:val="both"/>
    </w:pPr>
    <w:rPr>
      <w:color w:val="000000"/>
      <w:szCs w:val="24"/>
      <w:lang w:val="bg-BG" w:eastAsia="bg-BG"/>
    </w:rPr>
  </w:style>
  <w:style w:type="paragraph" w:customStyle="1" w:styleId="Application3">
    <w:name w:val="Application3"/>
    <w:basedOn w:val="Normal"/>
    <w:qFormat/>
    <w:rsid w:val="00572C09"/>
    <w:pPr>
      <w:widowControl w:val="0"/>
      <w:tabs>
        <w:tab w:val="right" w:pos="8789"/>
      </w:tabs>
      <w:suppressAutoHyphens/>
      <w:ind w:left="-45" w:firstLine="297"/>
      <w:jc w:val="both"/>
    </w:pPr>
    <w:rPr>
      <w:spacing w:val="-2"/>
      <w:sz w:val="22"/>
      <w:szCs w:val="24"/>
      <w:lang w:val="bg-BG"/>
    </w:rPr>
  </w:style>
  <w:style w:type="paragraph" w:customStyle="1" w:styleId="Char">
    <w:name w:val="Char"/>
    <w:basedOn w:val="Normal"/>
    <w:qFormat/>
    <w:rsid w:val="00572C0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NumPar2">
    <w:name w:val="NumPar 2"/>
    <w:basedOn w:val="Heading2"/>
    <w:next w:val="Normal"/>
    <w:qFormat/>
    <w:rsid w:val="00572C09"/>
    <w:pPr>
      <w:keepNext w:val="0"/>
      <w:tabs>
        <w:tab w:val="left" w:pos="360"/>
      </w:tabs>
      <w:spacing w:before="0" w:after="240"/>
      <w:ind w:left="360" w:hanging="708"/>
      <w:jc w:val="both"/>
    </w:pPr>
    <w:rPr>
      <w:rFonts w:ascii="Times New Roman" w:hAnsi="Times New Roman"/>
      <w:b w:val="0"/>
      <w:i w:val="0"/>
      <w:lang w:val="fr-FR"/>
    </w:rPr>
  </w:style>
  <w:style w:type="paragraph" w:customStyle="1" w:styleId="Application4">
    <w:name w:val="Application4"/>
    <w:basedOn w:val="Application3"/>
    <w:qFormat/>
    <w:rsid w:val="00572C09"/>
    <w:rPr>
      <w:sz w:val="20"/>
    </w:rPr>
  </w:style>
  <w:style w:type="paragraph" w:customStyle="1" w:styleId="Style11ptJustifiedBefore4ptAfter4ptLinespacing">
    <w:name w:val="Style 11 pt Justified Before:  4 pt After:  4 pt Line spacing: ..."/>
    <w:basedOn w:val="Normal"/>
    <w:qFormat/>
    <w:rsid w:val="00572C09"/>
    <w:pPr>
      <w:spacing w:before="80" w:after="80" w:line="240" w:lineRule="exact"/>
      <w:jc w:val="both"/>
    </w:pPr>
    <w:rPr>
      <w:sz w:val="22"/>
    </w:rPr>
  </w:style>
  <w:style w:type="paragraph" w:customStyle="1" w:styleId="CharCharCharChar">
    <w:name w:val="Char Char Char Char"/>
    <w:basedOn w:val="Normal"/>
    <w:qFormat/>
    <w:rsid w:val="00572C0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CharCharCharChar">
    <w:name w:val="Char Char Char Char Char Char Char Char"/>
    <w:basedOn w:val="Normal"/>
    <w:qFormat/>
    <w:rsid w:val="00572C0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1Char">
    <w:name w:val="1 Char"/>
    <w:basedOn w:val="Normal"/>
    <w:qFormat/>
    <w:rsid w:val="00572C0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ListParagraph1">
    <w:name w:val="List Paragraph1"/>
    <w:basedOn w:val="Normal"/>
    <w:uiPriority w:val="34"/>
    <w:qFormat/>
    <w:rsid w:val="00572C09"/>
    <w:pPr>
      <w:ind w:left="720"/>
      <w:contextualSpacing/>
    </w:pPr>
  </w:style>
  <w:style w:type="paragraph" w:customStyle="1" w:styleId="ListParagraph2">
    <w:name w:val="List Paragraph2"/>
    <w:basedOn w:val="Normal"/>
    <w:uiPriority w:val="34"/>
    <w:qFormat/>
    <w:rsid w:val="00572C09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F0294E"/>
    <w:pPr>
      <w:ind w:left="720"/>
      <w:contextualSpacing/>
    </w:pPr>
  </w:style>
  <w:style w:type="paragraph" w:styleId="z-TopofForm">
    <w:name w:val="HTML Top of Form"/>
    <w:basedOn w:val="Normal"/>
    <w:next w:val="Normal"/>
    <w:uiPriority w:val="99"/>
    <w:semiHidden/>
    <w:unhideWhenUsed/>
    <w:qFormat/>
    <w:rsid w:val="00382E52"/>
    <w:pPr>
      <w:pBdr>
        <w:bottom w:val="single" w:sz="6" w:space="1" w:color="00000A"/>
      </w:pBdr>
      <w:jc w:val="center"/>
    </w:pPr>
    <w:rPr>
      <w:rFonts w:ascii="Arial" w:hAnsi="Arial" w:cs="Arial"/>
      <w:vanish/>
      <w:sz w:val="16"/>
      <w:szCs w:val="16"/>
      <w:lang w:val="bg-BG" w:eastAsia="bg-BG"/>
    </w:rPr>
  </w:style>
  <w:style w:type="paragraph" w:styleId="z-BottomofForm">
    <w:name w:val="HTML Bottom of Form"/>
    <w:basedOn w:val="Normal"/>
    <w:next w:val="Normal"/>
    <w:uiPriority w:val="99"/>
    <w:unhideWhenUsed/>
    <w:qFormat/>
    <w:rsid w:val="00382E52"/>
    <w:pPr>
      <w:pBdr>
        <w:top w:val="single" w:sz="6" w:space="1" w:color="00000A"/>
      </w:pBdr>
      <w:jc w:val="center"/>
    </w:pPr>
    <w:rPr>
      <w:rFonts w:ascii="Arial" w:hAnsi="Arial" w:cs="Arial"/>
      <w:vanish/>
      <w:sz w:val="16"/>
      <w:szCs w:val="16"/>
      <w:lang w:val="bg-BG" w:eastAsia="bg-BG"/>
    </w:rPr>
  </w:style>
  <w:style w:type="paragraph" w:customStyle="1" w:styleId="Standard">
    <w:name w:val="Standard"/>
    <w:qFormat/>
    <w:rsid w:val="0053621A"/>
    <w:pPr>
      <w:suppressAutoHyphens/>
      <w:textAlignment w:val="baseline"/>
    </w:pPr>
    <w:rPr>
      <w:kern w:val="2"/>
      <w:sz w:val="24"/>
      <w:lang w:val="en-GB" w:eastAsia="zh-CN"/>
    </w:rPr>
  </w:style>
  <w:style w:type="paragraph" w:customStyle="1" w:styleId="TableContents">
    <w:name w:val="Table Contents"/>
    <w:basedOn w:val="Normal"/>
    <w:qFormat/>
    <w:rsid w:val="00572C09"/>
    <w:pPr>
      <w:suppressLineNumbers/>
    </w:pPr>
  </w:style>
  <w:style w:type="paragraph" w:customStyle="1" w:styleId="TableHeading">
    <w:name w:val="Table Heading"/>
    <w:basedOn w:val="TableContents"/>
    <w:qFormat/>
    <w:rsid w:val="00572C09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572C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5D1D5-F613-4DEA-843A-61010582B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4630</Words>
  <Characters>26395</Characters>
  <Application>Microsoft Office Word</Application>
  <DocSecurity>0</DocSecurity>
  <Lines>219</Lines>
  <Paragraphs>61</Paragraphs>
  <ScaleCrop>false</ScaleCrop>
  <Company>HP</Company>
  <LinksUpToDate>false</LinksUpToDate>
  <CharactersWithSpaces>30964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Obhi Chatterjee</dc:creator>
  <cp:lastModifiedBy>Bojanova</cp:lastModifiedBy>
  <cp:revision>2</cp:revision>
  <cp:lastPrinted>2019-07-18T18:11:00Z</cp:lastPrinted>
  <dcterms:created xsi:type="dcterms:W3CDTF">2019-07-22T05:29:00Z</dcterms:created>
  <dcterms:modified xsi:type="dcterms:W3CDTF">2019-07-22T05:29:00Z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hecked by">
    <vt:lpwstr>Schamly</vt:lpwstr>
  </property>
  <property fmtid="{D5CDD505-2E9C-101B-9397-08002B2CF9AE}" pid="4" name="Company">
    <vt:lpwstr>HP</vt:lpwstr>
  </property>
  <property fmtid="{D5CDD505-2E9C-101B-9397-08002B2CF9AE}" pid="5" name="DocSecurity">
    <vt:i4>0</vt:i4>
  </property>
  <property fmtid="{D5CDD505-2E9C-101B-9397-08002B2CF9AE}" pid="6" name="HiddenSlides">
    <vt:i4>0</vt:i4>
  </property>
  <property fmtid="{D5CDD505-2E9C-101B-9397-08002B2CF9AE}" pid="7" name="HyperlinksChanged">
    <vt:bool>false</vt:bool>
  </property>
  <property fmtid="{D5CDD505-2E9C-101B-9397-08002B2CF9AE}" pid="8" name="KSOProductBuildVer">
    <vt:lpwstr>1033-10.2.0.5934</vt:lpwstr>
  </property>
  <property fmtid="{D5CDD505-2E9C-101B-9397-08002B2CF9AE}" pid="9" name="LinksUpToDate">
    <vt:bool>false</vt:bool>
  </property>
  <property fmtid="{D5CDD505-2E9C-101B-9397-08002B2CF9AE}" pid="10" name="MMClips">
    <vt:i4>0</vt:i4>
  </property>
  <property fmtid="{D5CDD505-2E9C-101B-9397-08002B2CF9AE}" pid="11" name="Notes">
    <vt:i4>0</vt:i4>
  </property>
  <property fmtid="{D5CDD505-2E9C-101B-9397-08002B2CF9AE}" pid="12" name="ScaleCrop">
    <vt:bool>false</vt:bool>
  </property>
  <property fmtid="{D5CDD505-2E9C-101B-9397-08002B2CF9AE}" pid="13" name="ShareDoc">
    <vt:bool>false</vt:bool>
  </property>
  <property fmtid="{D5CDD505-2E9C-101B-9397-08002B2CF9AE}" pid="14" name="Slides">
    <vt:i4>0</vt:i4>
  </property>
</Properties>
</file>