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Ключови индикатори за изпълнение на политиките и целеви стойности за периода 201</w:t>
      </w:r>
      <w:r w:rsidR="000D0F1D" w:rsidRPr="009A1627">
        <w:rPr>
          <w:rFonts w:ascii="Times New Roman" w:hAnsi="Times New Roman" w:cs="Times New Roman"/>
          <w:b/>
          <w:sz w:val="24"/>
          <w:szCs w:val="24"/>
          <w:lang w:val="en-US" w:eastAsia="bg-BG"/>
        </w:rPr>
        <w:t>9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-202</w:t>
      </w:r>
      <w:r w:rsidR="000D0F1D" w:rsidRPr="009A1627">
        <w:rPr>
          <w:rFonts w:ascii="Times New Roman" w:hAnsi="Times New Roman" w:cs="Times New Roman"/>
          <w:b/>
          <w:sz w:val="24"/>
          <w:szCs w:val="24"/>
          <w:lang w:val="en-US" w:eastAsia="bg-BG"/>
        </w:rPr>
        <w:t>2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1221E4" w:rsidRPr="009A1627" w:rsidRDefault="001221E4" w:rsidP="001221E4">
      <w:pPr>
        <w:pStyle w:val="ListParagraph"/>
        <w:spacing w:before="120" w:after="120"/>
        <w:ind w:left="1440"/>
        <w:jc w:val="both"/>
        <w:rPr>
          <w:rFonts w:ascii="Times New Roman" w:hAnsi="Times New Roman" w:cs="Times New Roman"/>
          <w:i/>
        </w:rPr>
      </w:pP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Pr="009A1627" w:rsidRDefault="009A1627" w:rsidP="009A1627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W w:w="5162" w:type="pct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9"/>
        <w:gridCol w:w="959"/>
        <w:gridCol w:w="1185"/>
        <w:gridCol w:w="1328"/>
        <w:gridCol w:w="1349"/>
        <w:gridCol w:w="1360"/>
      </w:tblGrid>
      <w:tr w:rsidR="000D0F1D" w:rsidRPr="009A1627" w:rsidTr="006500A5">
        <w:trPr>
          <w:trHeight w:val="255"/>
        </w:trPr>
        <w:tc>
          <w:tcPr>
            <w:tcW w:w="1751" w:type="pct"/>
            <w:tcBorders>
              <w:bottom w:val="nil"/>
            </w:tcBorders>
            <w:shd w:val="clear" w:color="auto" w:fill="auto"/>
            <w:vAlign w:val="center"/>
          </w:tcPr>
          <w:p w:rsidR="00091C5B" w:rsidRPr="009A1627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Област на политика: 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091C5B" w:rsidRPr="009A1627" w:rsidRDefault="00091C5B" w:rsidP="009E67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2745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1C5B" w:rsidRPr="009A1627" w:rsidRDefault="00091C5B" w:rsidP="009E6748">
            <w:pPr>
              <w:spacing w:after="0"/>
              <w:ind w:left="162" w:hanging="16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9E6748" w:rsidRPr="009A1627" w:rsidTr="006500A5">
        <w:trPr>
          <w:trHeight w:val="450"/>
        </w:trPr>
        <w:tc>
          <w:tcPr>
            <w:tcW w:w="1751" w:type="pct"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091C5B" w:rsidRPr="009A1627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504" w:type="pct"/>
            <w:vMerge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F2F2F2" w:themeFill="background1" w:themeFillShade="F2"/>
            <w:vAlign w:val="center"/>
          </w:tcPr>
          <w:p w:rsidR="00091C5B" w:rsidRPr="009A1627" w:rsidRDefault="00091C5B" w:rsidP="009E67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091C5B" w:rsidRPr="009A1627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Програма 201</w:t>
            </w:r>
            <w:r w:rsidR="000D0F1D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9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50450F" w:rsidRDefault="00D502B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</w:t>
            </w:r>
            <w:r w:rsidR="000D0F1D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рогноза</w:t>
            </w:r>
          </w:p>
          <w:p w:rsidR="00091C5B" w:rsidRPr="009A1627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="000D0F1D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50450F" w:rsidRDefault="00D502BB" w:rsidP="00D502BB">
            <w:pPr>
              <w:spacing w:after="0"/>
              <w:ind w:left="-55" w:firstLine="5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</w:t>
            </w:r>
            <w:r w:rsidR="00091C5B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рогноза </w:t>
            </w:r>
          </w:p>
          <w:p w:rsidR="00091C5B" w:rsidRPr="009A1627" w:rsidRDefault="00091C5B" w:rsidP="00D502BB">
            <w:pPr>
              <w:spacing w:after="0"/>
              <w:ind w:left="-55" w:firstLine="5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0D0F1D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50450F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</w:p>
          <w:p w:rsidR="00091C5B" w:rsidRPr="009A1627" w:rsidRDefault="00091C5B" w:rsidP="009E6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202</w:t>
            </w:r>
            <w:r w:rsidR="000D0F1D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0D0F1D" w:rsidRPr="009A1627" w:rsidTr="006500A5">
        <w:trPr>
          <w:trHeight w:val="255"/>
        </w:trPr>
        <w:tc>
          <w:tcPr>
            <w:tcW w:w="1751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504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30093" w:rsidRPr="00292E11" w:rsidRDefault="00230093" w:rsidP="005F3250">
            <w:pPr>
              <w:spacing w:before="120"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23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</w:tcPr>
          <w:p w:rsidR="00292E11" w:rsidRPr="00292E11" w:rsidRDefault="00292E11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0F1D" w:rsidRPr="009A1627" w:rsidTr="006500A5">
        <w:trPr>
          <w:trHeight w:val="25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30093" w:rsidRPr="00292E11" w:rsidRDefault="00230093" w:rsidP="005F3250">
            <w:pPr>
              <w:spacing w:before="120"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0F1D" w:rsidRPr="009A1627" w:rsidTr="006500A5">
        <w:trPr>
          <w:trHeight w:val="255"/>
        </w:trPr>
        <w:tc>
          <w:tcPr>
            <w:tcW w:w="1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230093" w:rsidRPr="009A1627" w:rsidRDefault="00230093" w:rsidP="005F3250">
            <w:pPr>
              <w:spacing w:before="12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0F1D" w:rsidRPr="009A1627" w:rsidTr="006500A5">
        <w:trPr>
          <w:trHeight w:val="270"/>
        </w:trPr>
        <w:tc>
          <w:tcPr>
            <w:tcW w:w="17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30093" w:rsidRPr="009A1627" w:rsidRDefault="00230093" w:rsidP="005F3250">
            <w:pPr>
              <w:spacing w:before="12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093" w:rsidRPr="009A1627" w:rsidRDefault="00230093" w:rsidP="005F3250">
            <w:pPr>
              <w:spacing w:before="120"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1DD4" w:rsidRPr="009A1627" w:rsidRDefault="00A81DD4" w:rsidP="00223EEC">
      <w:pPr>
        <w:ind w:firstLine="708"/>
        <w:jc w:val="both"/>
        <w:rPr>
          <w:rFonts w:ascii="Times New Roman" w:hAnsi="Times New Roman" w:cs="Times New Roman"/>
          <w:b/>
        </w:rPr>
      </w:pPr>
    </w:p>
    <w:p w:rsidR="00EA69CC" w:rsidRPr="009A1627" w:rsidRDefault="00EA69CC" w:rsidP="004718D8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За всяка промяна в одобрените с РМС № 928 от 20.12.2018 г. ключови индикатори за периода 2020-2021 г. се включва кратко описание на конкретната причина за предлаганата промяна, в т.ч. и за промени в целевата им стойност</w:t>
      </w:r>
      <w:r w:rsidRPr="00D502BB">
        <w:rPr>
          <w:rFonts w:ascii="Times New Roman" w:hAnsi="Times New Roman" w:cs="Times New Roman"/>
          <w:i/>
        </w:rPr>
        <w:t>. Промени в одобрените от Министерския съвет ключови индикатори могат да бъдат предла</w:t>
      </w:r>
      <w:bookmarkStart w:id="0" w:name="_GoBack"/>
      <w:bookmarkEnd w:id="0"/>
      <w:r w:rsidRPr="00D502BB">
        <w:rPr>
          <w:rFonts w:ascii="Times New Roman" w:hAnsi="Times New Roman" w:cs="Times New Roman"/>
          <w:i/>
        </w:rPr>
        <w:t>гани само по изключение.</w:t>
      </w:r>
      <w:r w:rsidRPr="009A1627">
        <w:rPr>
          <w:rFonts w:ascii="Times New Roman" w:hAnsi="Times New Roman" w:cs="Times New Roman"/>
          <w:i/>
        </w:rPr>
        <w:t xml:space="preserve">     </w:t>
      </w:r>
    </w:p>
    <w:p w:rsidR="004718D8" w:rsidRPr="009A1627" w:rsidRDefault="004718D8" w:rsidP="004718D8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i/>
        </w:rPr>
        <w:t xml:space="preserve">За всеки посочен </w:t>
      </w:r>
      <w:r w:rsidR="006838CF" w:rsidRPr="009A1627">
        <w:rPr>
          <w:rFonts w:ascii="Times New Roman" w:hAnsi="Times New Roman" w:cs="Times New Roman"/>
          <w:i/>
        </w:rPr>
        <w:t xml:space="preserve">нов </w:t>
      </w:r>
      <w:r w:rsidRPr="009A1627">
        <w:rPr>
          <w:rFonts w:ascii="Times New Roman" w:hAnsi="Times New Roman" w:cs="Times New Roman"/>
          <w:i/>
        </w:rPr>
        <w:t xml:space="preserve">индикатор следва да се включи кратко описание и мотиви за </w:t>
      </w:r>
      <w:r w:rsidR="000A695A" w:rsidRPr="009A1627">
        <w:rPr>
          <w:rFonts w:ascii="Times New Roman" w:hAnsi="Times New Roman" w:cs="Times New Roman"/>
          <w:i/>
        </w:rPr>
        <w:t>избора</w:t>
      </w:r>
      <w:r w:rsidRPr="009A1627">
        <w:rPr>
          <w:rFonts w:ascii="Times New Roman" w:hAnsi="Times New Roman" w:cs="Times New Roman"/>
          <w:i/>
        </w:rPr>
        <w:t xml:space="preserve"> </w:t>
      </w:r>
      <w:r w:rsidR="001A6EE1" w:rsidRPr="009A1627">
        <w:rPr>
          <w:rFonts w:ascii="Times New Roman" w:hAnsi="Times New Roman" w:cs="Times New Roman"/>
          <w:i/>
        </w:rPr>
        <w:t xml:space="preserve">му </w:t>
      </w:r>
      <w:r w:rsidR="000A695A" w:rsidRPr="009A1627">
        <w:rPr>
          <w:rFonts w:ascii="Times New Roman" w:hAnsi="Times New Roman" w:cs="Times New Roman"/>
          <w:i/>
        </w:rPr>
        <w:t>като ключов</w:t>
      </w:r>
      <w:r w:rsidRPr="009A1627">
        <w:rPr>
          <w:rFonts w:ascii="Times New Roman" w:hAnsi="Times New Roman" w:cs="Times New Roman"/>
          <w:i/>
        </w:rPr>
        <w:t>.</w:t>
      </w:r>
    </w:p>
    <w:p w:rsidR="004718D8" w:rsidRPr="009A1627" w:rsidRDefault="004718D8" w:rsidP="004718D8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За всеки от посочените ключови индикатори следва да се опише степента на изпълнение на коя стратегическа цел измерва.</w:t>
      </w:r>
    </w:p>
    <w:p w:rsidR="00251209" w:rsidRPr="009A1627" w:rsidRDefault="001221E4" w:rsidP="00251209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Ц</w:t>
      </w:r>
      <w:r w:rsidR="00251209" w:rsidRPr="009A1627">
        <w:rPr>
          <w:rFonts w:ascii="Times New Roman" w:hAnsi="Times New Roman" w:cs="Times New Roman"/>
          <w:i/>
        </w:rPr>
        <w:t xml:space="preserve">елевите стойности по ключовите индикатори, посочени в таблицата, следва да </w:t>
      </w:r>
      <w:r w:rsidRPr="009A1627">
        <w:rPr>
          <w:rFonts w:ascii="Times New Roman" w:hAnsi="Times New Roman" w:cs="Times New Roman"/>
          <w:i/>
        </w:rPr>
        <w:t>бъдат</w:t>
      </w:r>
      <w:r w:rsidR="00251209" w:rsidRPr="009A1627">
        <w:rPr>
          <w:rFonts w:ascii="Times New Roman" w:hAnsi="Times New Roman" w:cs="Times New Roman"/>
          <w:i/>
        </w:rPr>
        <w:t xml:space="preserve"> </w:t>
      </w:r>
      <w:r w:rsidRPr="009A1627">
        <w:rPr>
          <w:rFonts w:ascii="Times New Roman" w:hAnsi="Times New Roman" w:cs="Times New Roman"/>
          <w:i/>
        </w:rPr>
        <w:t>съобразени с възможностите за осигуряване на ресурси по политиката</w:t>
      </w:r>
      <w:r w:rsidR="00251209" w:rsidRPr="00D502BB">
        <w:rPr>
          <w:rFonts w:ascii="Times New Roman" w:hAnsi="Times New Roman" w:cs="Times New Roman"/>
          <w:i/>
        </w:rPr>
        <w:t xml:space="preserve"> </w:t>
      </w:r>
      <w:r w:rsidRPr="00D502BB">
        <w:rPr>
          <w:rFonts w:ascii="Times New Roman" w:hAnsi="Times New Roman" w:cs="Times New Roman"/>
          <w:i/>
        </w:rPr>
        <w:t>(</w:t>
      </w:r>
      <w:r w:rsidR="00251209" w:rsidRPr="00D502BB">
        <w:rPr>
          <w:rFonts w:ascii="Times New Roman" w:hAnsi="Times New Roman" w:cs="Times New Roman"/>
          <w:i/>
        </w:rPr>
        <w:t>к</w:t>
      </w:r>
      <w:r w:rsidR="00251209" w:rsidRPr="009A1627">
        <w:rPr>
          <w:rFonts w:ascii="Times New Roman" w:hAnsi="Times New Roman" w:cs="Times New Roman"/>
          <w:i/>
        </w:rPr>
        <w:t>онсолидираните разходи</w:t>
      </w:r>
      <w:r w:rsidRPr="009A1627">
        <w:rPr>
          <w:rFonts w:ascii="Times New Roman" w:hAnsi="Times New Roman" w:cs="Times New Roman"/>
          <w:i/>
        </w:rPr>
        <w:t>)</w:t>
      </w:r>
      <w:r w:rsidR="00251209" w:rsidRPr="009A1627">
        <w:rPr>
          <w:rFonts w:ascii="Times New Roman" w:hAnsi="Times New Roman" w:cs="Times New Roman"/>
          <w:i/>
        </w:rPr>
        <w:t>, за да се проследява съотношението „разходи-ползи“.</w:t>
      </w:r>
    </w:p>
    <w:p w:rsidR="00251209" w:rsidRPr="009A1627" w:rsidRDefault="00251209" w:rsidP="00FB338C">
      <w:pPr>
        <w:ind w:firstLine="708"/>
        <w:jc w:val="both"/>
        <w:rPr>
          <w:rFonts w:ascii="Times New Roman" w:hAnsi="Times New Roman" w:cs="Times New Roman"/>
          <w:b/>
        </w:rPr>
      </w:pP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82"/>
    <w:rsid w:val="00091C5B"/>
    <w:rsid w:val="000A695A"/>
    <w:rsid w:val="000D0F1D"/>
    <w:rsid w:val="001210D8"/>
    <w:rsid w:val="001221E4"/>
    <w:rsid w:val="001A6EE1"/>
    <w:rsid w:val="00223EEC"/>
    <w:rsid w:val="00230093"/>
    <w:rsid w:val="00235BF0"/>
    <w:rsid w:val="00251209"/>
    <w:rsid w:val="002814EC"/>
    <w:rsid w:val="00292E11"/>
    <w:rsid w:val="002F5266"/>
    <w:rsid w:val="0032516B"/>
    <w:rsid w:val="00422DB5"/>
    <w:rsid w:val="004718D8"/>
    <w:rsid w:val="00486511"/>
    <w:rsid w:val="0050131E"/>
    <w:rsid w:val="0050450F"/>
    <w:rsid w:val="0051757E"/>
    <w:rsid w:val="005678F7"/>
    <w:rsid w:val="00572E70"/>
    <w:rsid w:val="005973A4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66A55"/>
    <w:rsid w:val="00785182"/>
    <w:rsid w:val="007C628B"/>
    <w:rsid w:val="00883242"/>
    <w:rsid w:val="009032DF"/>
    <w:rsid w:val="009047AE"/>
    <w:rsid w:val="009754CB"/>
    <w:rsid w:val="009A1627"/>
    <w:rsid w:val="009A7122"/>
    <w:rsid w:val="009E6748"/>
    <w:rsid w:val="00A21989"/>
    <w:rsid w:val="00A81DD4"/>
    <w:rsid w:val="00AD6F15"/>
    <w:rsid w:val="00AE0B4B"/>
    <w:rsid w:val="00B76FD3"/>
    <w:rsid w:val="00BA0712"/>
    <w:rsid w:val="00C031A7"/>
    <w:rsid w:val="00CA2B5A"/>
    <w:rsid w:val="00D502BB"/>
    <w:rsid w:val="00D545AA"/>
    <w:rsid w:val="00D7312D"/>
    <w:rsid w:val="00DD2ABE"/>
    <w:rsid w:val="00EA69CC"/>
    <w:rsid w:val="00F22561"/>
    <w:rsid w:val="00F67809"/>
    <w:rsid w:val="00F72F8B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5B7A562-3967-46EE-AF48-716C4AFB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БЮ</cp:lastModifiedBy>
  <cp:revision>5</cp:revision>
  <dcterms:created xsi:type="dcterms:W3CDTF">2019-02-07T14:31:00Z</dcterms:created>
  <dcterms:modified xsi:type="dcterms:W3CDTF">2019-02-07T14:51:00Z</dcterms:modified>
</cp:coreProperties>
</file>