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CB163" w14:textId="77777777" w:rsidR="0084445A" w:rsidRPr="00741D80" w:rsidRDefault="0084445A" w:rsidP="00F55D38">
      <w:pPr>
        <w:pStyle w:val="TOC2"/>
        <w:spacing w:after="0" w:afterAutospacing="0"/>
      </w:pPr>
      <w:r w:rsidRPr="00741D80">
        <w:t>МЕЖДИНЕН СЪКРАТЕН ИНДИВИДУАЛЕН ОТЧЕТ ЗА ВСЕОБХВАТНИЯ ДОХОД</w:t>
      </w:r>
      <w:r w:rsidRPr="00741D80">
        <w:tab/>
        <w:t>1</w:t>
      </w:r>
    </w:p>
    <w:p w14:paraId="1B4DFB4F" w14:textId="77777777" w:rsidR="0084445A" w:rsidRPr="00741D80" w:rsidRDefault="0084445A" w:rsidP="00F55D38">
      <w:pPr>
        <w:pStyle w:val="TOC2"/>
        <w:spacing w:after="0" w:afterAutospacing="0"/>
      </w:pPr>
      <w:r w:rsidRPr="00741D80">
        <w:t>МЕЖДИНЕН СЪКРАТЕН ИНДИВИДУАЛЕН ОТЧЕТ ЗА ФИНАНСОВОТО СЪСТОЯНИЕ</w:t>
      </w:r>
      <w:r w:rsidRPr="00741D80">
        <w:tab/>
        <w:t>2</w:t>
      </w:r>
    </w:p>
    <w:p w14:paraId="19AEBF19" w14:textId="77777777" w:rsidR="0084445A" w:rsidRPr="00741D80" w:rsidRDefault="0084445A" w:rsidP="00F55D38">
      <w:pPr>
        <w:pStyle w:val="TOC2"/>
        <w:spacing w:after="0" w:afterAutospacing="0"/>
      </w:pPr>
      <w:r w:rsidRPr="00741D80">
        <w:t>МЕЖДИНЕН СЪКРАТЕН ИНДИВИДУАЛЕН ОТЧЕТ ЗА ПАРИЧНИТЕ ПОТОЦИ</w:t>
      </w:r>
      <w:r w:rsidRPr="00741D80">
        <w:tab/>
        <w:t>3</w:t>
      </w:r>
    </w:p>
    <w:p w14:paraId="5FE5DACD" w14:textId="77777777" w:rsidR="0084445A" w:rsidRPr="00741D80" w:rsidRDefault="0084445A" w:rsidP="00F55D38">
      <w:pPr>
        <w:pStyle w:val="TOC2"/>
        <w:spacing w:after="0" w:afterAutospacing="0"/>
      </w:pPr>
      <w:r w:rsidRPr="00741D80">
        <w:t>МЕЖДИНЕН СЪКРАТЕН ИНДИВИДУАЛЕН ОТЧЕТ ЗА ПРОМЕНИТЕ В СОБСТВЕНИЯ КАПИТАЛ</w:t>
      </w:r>
      <w:r w:rsidRPr="00741D80">
        <w:tab/>
        <w:t>4</w:t>
      </w:r>
    </w:p>
    <w:p w14:paraId="1007D792" w14:textId="77777777" w:rsidR="0084445A" w:rsidRPr="00741D80" w:rsidRDefault="0084445A" w:rsidP="0084445A">
      <w:pPr>
        <w:pStyle w:val="TOC2"/>
      </w:pPr>
    </w:p>
    <w:p w14:paraId="17E5C180" w14:textId="77777777" w:rsidR="0084445A" w:rsidRPr="00741D80" w:rsidRDefault="0084445A" w:rsidP="0084445A">
      <w:pPr>
        <w:pStyle w:val="TOC2"/>
      </w:pPr>
      <w:r w:rsidRPr="00741D80">
        <w:t>ПРИЛОЖЕНИЯ КЪМ МЕЖДИННИЯ СЪКРАТЕН ИНДИВИДУАЛЕН ФИНАНСОВ ОТЧЕТ</w:t>
      </w:r>
    </w:p>
    <w:p w14:paraId="63D006B9" w14:textId="79D28471" w:rsidR="005B5648" w:rsidRDefault="00F55D38">
      <w:pPr>
        <w:pStyle w:val="TOC1"/>
        <w:rPr>
          <w:rFonts w:asciiTheme="minorHAnsi" w:eastAsiaTheme="minorEastAsia" w:hAnsiTheme="minorHAnsi" w:cstheme="minorBidi"/>
          <w:spacing w:val="0"/>
          <w:lang w:val="bg-BG" w:eastAsia="bg-BG" w:bidi="ar-SA"/>
        </w:rPr>
      </w:pPr>
      <w:r>
        <w:fldChar w:fldCharType="begin"/>
      </w:r>
      <w:r>
        <w:instrText xml:space="preserve"> TOC \o "1-3" \h \z \u </w:instrText>
      </w:r>
      <w:r>
        <w:fldChar w:fldCharType="separate"/>
      </w:r>
      <w:hyperlink w:anchor="_Toc536452007" w:history="1">
        <w:r w:rsidR="005B5648" w:rsidRPr="003530A8">
          <w:rPr>
            <w:rStyle w:val="Hyperlink"/>
          </w:rPr>
          <w:t>1.</w:t>
        </w:r>
        <w:r w:rsidR="005B5648">
          <w:rPr>
            <w:rFonts w:asciiTheme="minorHAnsi" w:eastAsiaTheme="minorEastAsia" w:hAnsiTheme="minorHAnsi" w:cstheme="minorBidi"/>
            <w:spacing w:val="0"/>
            <w:lang w:val="bg-BG" w:eastAsia="bg-BG" w:bidi="ar-SA"/>
          </w:rPr>
          <w:tab/>
        </w:r>
        <w:r w:rsidR="005B5648" w:rsidRPr="003530A8">
          <w:rPr>
            <w:rStyle w:val="Hyperlink"/>
          </w:rPr>
          <w:t>ИНФОРМАЦИЯ ЗА ДРУЖЕСТВОТО</w:t>
        </w:r>
        <w:r w:rsidR="005B5648">
          <w:rPr>
            <w:webHidden/>
          </w:rPr>
          <w:tab/>
        </w:r>
        <w:r w:rsidR="005B5648">
          <w:rPr>
            <w:webHidden/>
          </w:rPr>
          <w:fldChar w:fldCharType="begin"/>
        </w:r>
        <w:r w:rsidR="005B5648">
          <w:rPr>
            <w:webHidden/>
          </w:rPr>
          <w:instrText xml:space="preserve"> PAGEREF _Toc536452007 \h </w:instrText>
        </w:r>
        <w:r w:rsidR="005B5648">
          <w:rPr>
            <w:webHidden/>
          </w:rPr>
        </w:r>
        <w:r w:rsidR="005B5648">
          <w:rPr>
            <w:webHidden/>
          </w:rPr>
          <w:fldChar w:fldCharType="separate"/>
        </w:r>
        <w:r w:rsidR="005B5648">
          <w:rPr>
            <w:webHidden/>
          </w:rPr>
          <w:t>5</w:t>
        </w:r>
        <w:r w:rsidR="005B5648">
          <w:rPr>
            <w:webHidden/>
          </w:rPr>
          <w:fldChar w:fldCharType="end"/>
        </w:r>
      </w:hyperlink>
    </w:p>
    <w:p w14:paraId="3E9EE1F1" w14:textId="5BC331CC" w:rsidR="005B5648" w:rsidRDefault="005B5648">
      <w:pPr>
        <w:pStyle w:val="TOC1"/>
        <w:rPr>
          <w:rFonts w:asciiTheme="minorHAnsi" w:eastAsiaTheme="minorEastAsia" w:hAnsiTheme="minorHAnsi" w:cstheme="minorBidi"/>
          <w:spacing w:val="0"/>
          <w:lang w:val="bg-BG" w:eastAsia="bg-BG" w:bidi="ar-SA"/>
        </w:rPr>
      </w:pPr>
      <w:hyperlink w:anchor="_Toc536452008" w:history="1">
        <w:r w:rsidRPr="003530A8">
          <w:rPr>
            <w:rStyle w:val="Hyperlink"/>
          </w:rPr>
          <w:t>2.</w:t>
        </w:r>
        <w:r>
          <w:rPr>
            <w:rFonts w:asciiTheme="minorHAnsi" w:eastAsiaTheme="minorEastAsia" w:hAnsiTheme="minorHAnsi" w:cstheme="minorBidi"/>
            <w:spacing w:val="0"/>
            <w:lang w:val="bg-BG" w:eastAsia="bg-BG" w:bidi="ar-SA"/>
          </w:rPr>
          <w:tab/>
        </w:r>
        <w:r w:rsidRPr="003530A8">
          <w:rPr>
            <w:rStyle w:val="Hyperlink"/>
          </w:rPr>
          <w:t>ОСНОВНИ ПОЛОЖЕНИЯ ОТ СЧЕТОВОДНАТА ПОЛИТИКА НА ДРУЖЕСТВОТО</w:t>
        </w:r>
        <w:r>
          <w:rPr>
            <w:webHidden/>
          </w:rPr>
          <w:tab/>
        </w:r>
        <w:r>
          <w:rPr>
            <w:webHidden/>
          </w:rPr>
          <w:fldChar w:fldCharType="begin"/>
        </w:r>
        <w:r>
          <w:rPr>
            <w:webHidden/>
          </w:rPr>
          <w:instrText xml:space="preserve"> PAGEREF _Toc536452008 \h </w:instrText>
        </w:r>
        <w:r>
          <w:rPr>
            <w:webHidden/>
          </w:rPr>
        </w:r>
        <w:r>
          <w:rPr>
            <w:webHidden/>
          </w:rPr>
          <w:fldChar w:fldCharType="separate"/>
        </w:r>
        <w:r>
          <w:rPr>
            <w:webHidden/>
          </w:rPr>
          <w:t>7</w:t>
        </w:r>
        <w:r>
          <w:rPr>
            <w:webHidden/>
          </w:rPr>
          <w:fldChar w:fldCharType="end"/>
        </w:r>
      </w:hyperlink>
    </w:p>
    <w:p w14:paraId="704EA241" w14:textId="01B2613C" w:rsidR="005B5648" w:rsidRDefault="005B5648">
      <w:pPr>
        <w:pStyle w:val="TOC1"/>
        <w:rPr>
          <w:rFonts w:asciiTheme="minorHAnsi" w:eastAsiaTheme="minorEastAsia" w:hAnsiTheme="minorHAnsi" w:cstheme="minorBidi"/>
          <w:spacing w:val="0"/>
          <w:lang w:val="bg-BG" w:eastAsia="bg-BG" w:bidi="ar-SA"/>
        </w:rPr>
      </w:pPr>
      <w:hyperlink w:anchor="_Toc536452009" w:history="1">
        <w:r w:rsidRPr="003530A8">
          <w:rPr>
            <w:rStyle w:val="Hyperlink"/>
          </w:rPr>
          <w:t>3.</w:t>
        </w:r>
        <w:r>
          <w:rPr>
            <w:rFonts w:asciiTheme="minorHAnsi" w:eastAsiaTheme="minorEastAsia" w:hAnsiTheme="minorHAnsi" w:cstheme="minorBidi"/>
            <w:spacing w:val="0"/>
            <w:lang w:val="bg-BG" w:eastAsia="bg-BG" w:bidi="ar-SA"/>
          </w:rPr>
          <w:tab/>
        </w:r>
        <w:r w:rsidRPr="003530A8">
          <w:rPr>
            <w:rStyle w:val="Hyperlink"/>
          </w:rPr>
          <w:t>ПРИХОДИ ОТ ДОГОВОРИ С КЛИЕНТИ</w:t>
        </w:r>
        <w:r>
          <w:rPr>
            <w:webHidden/>
          </w:rPr>
          <w:tab/>
        </w:r>
        <w:r>
          <w:rPr>
            <w:webHidden/>
          </w:rPr>
          <w:fldChar w:fldCharType="begin"/>
        </w:r>
        <w:r>
          <w:rPr>
            <w:webHidden/>
          </w:rPr>
          <w:instrText xml:space="preserve"> PAGEREF _Toc536452009 \h </w:instrText>
        </w:r>
        <w:r>
          <w:rPr>
            <w:webHidden/>
          </w:rPr>
        </w:r>
        <w:r>
          <w:rPr>
            <w:webHidden/>
          </w:rPr>
          <w:fldChar w:fldCharType="separate"/>
        </w:r>
        <w:r>
          <w:rPr>
            <w:webHidden/>
          </w:rPr>
          <w:t>17</w:t>
        </w:r>
        <w:r>
          <w:rPr>
            <w:webHidden/>
          </w:rPr>
          <w:fldChar w:fldCharType="end"/>
        </w:r>
      </w:hyperlink>
    </w:p>
    <w:p w14:paraId="13B3914D" w14:textId="5A2413B8" w:rsidR="005B5648" w:rsidRDefault="005B5648">
      <w:pPr>
        <w:pStyle w:val="TOC1"/>
        <w:rPr>
          <w:rFonts w:asciiTheme="minorHAnsi" w:eastAsiaTheme="minorEastAsia" w:hAnsiTheme="minorHAnsi" w:cstheme="minorBidi"/>
          <w:spacing w:val="0"/>
          <w:lang w:val="bg-BG" w:eastAsia="bg-BG" w:bidi="ar-SA"/>
        </w:rPr>
      </w:pPr>
      <w:hyperlink w:anchor="_Toc536452010" w:history="1">
        <w:r w:rsidRPr="003530A8">
          <w:rPr>
            <w:rStyle w:val="Hyperlink"/>
          </w:rPr>
          <w:t>4.</w:t>
        </w:r>
        <w:r>
          <w:rPr>
            <w:rFonts w:asciiTheme="minorHAnsi" w:eastAsiaTheme="minorEastAsia" w:hAnsiTheme="minorHAnsi" w:cstheme="minorBidi"/>
            <w:spacing w:val="0"/>
            <w:lang w:val="bg-BG" w:eastAsia="bg-BG" w:bidi="ar-SA"/>
          </w:rPr>
          <w:tab/>
        </w:r>
        <w:r w:rsidRPr="003530A8">
          <w:rPr>
            <w:rStyle w:val="Hyperlink"/>
          </w:rPr>
          <w:t>ДРУГИ ДОХОДИ ОТ ДЕЙНОСТТА</w:t>
        </w:r>
        <w:r>
          <w:rPr>
            <w:webHidden/>
          </w:rPr>
          <w:tab/>
        </w:r>
        <w:r>
          <w:rPr>
            <w:webHidden/>
          </w:rPr>
          <w:fldChar w:fldCharType="begin"/>
        </w:r>
        <w:r>
          <w:rPr>
            <w:webHidden/>
          </w:rPr>
          <w:instrText xml:space="preserve"> PAGEREF _Toc536452010 \h </w:instrText>
        </w:r>
        <w:r>
          <w:rPr>
            <w:webHidden/>
          </w:rPr>
        </w:r>
        <w:r>
          <w:rPr>
            <w:webHidden/>
          </w:rPr>
          <w:fldChar w:fldCharType="separate"/>
        </w:r>
        <w:r>
          <w:rPr>
            <w:webHidden/>
          </w:rPr>
          <w:t>17</w:t>
        </w:r>
        <w:r>
          <w:rPr>
            <w:webHidden/>
          </w:rPr>
          <w:fldChar w:fldCharType="end"/>
        </w:r>
      </w:hyperlink>
    </w:p>
    <w:p w14:paraId="6AD9E9D9" w14:textId="7372EA26" w:rsidR="005B5648" w:rsidRDefault="005B5648">
      <w:pPr>
        <w:pStyle w:val="TOC1"/>
        <w:rPr>
          <w:rFonts w:asciiTheme="minorHAnsi" w:eastAsiaTheme="minorEastAsia" w:hAnsiTheme="minorHAnsi" w:cstheme="minorBidi"/>
          <w:spacing w:val="0"/>
          <w:lang w:val="bg-BG" w:eastAsia="bg-BG" w:bidi="ar-SA"/>
        </w:rPr>
      </w:pPr>
      <w:hyperlink w:anchor="_Toc536452011" w:history="1">
        <w:r w:rsidRPr="003530A8">
          <w:rPr>
            <w:rStyle w:val="Hyperlink"/>
          </w:rPr>
          <w:t>5.</w:t>
        </w:r>
        <w:r>
          <w:rPr>
            <w:rFonts w:asciiTheme="minorHAnsi" w:eastAsiaTheme="minorEastAsia" w:hAnsiTheme="minorHAnsi" w:cstheme="minorBidi"/>
            <w:spacing w:val="0"/>
            <w:lang w:val="bg-BG" w:eastAsia="bg-BG" w:bidi="ar-SA"/>
          </w:rPr>
          <w:tab/>
        </w:r>
        <w:r w:rsidRPr="003530A8">
          <w:rPr>
            <w:rStyle w:val="Hyperlink"/>
          </w:rPr>
          <w:t>РАЗХОДИ ЗА МАТЕРИАЛИ И КОНСУМАТИВИ</w:t>
        </w:r>
        <w:r>
          <w:rPr>
            <w:webHidden/>
          </w:rPr>
          <w:tab/>
        </w:r>
        <w:r>
          <w:rPr>
            <w:webHidden/>
          </w:rPr>
          <w:fldChar w:fldCharType="begin"/>
        </w:r>
        <w:r>
          <w:rPr>
            <w:webHidden/>
          </w:rPr>
          <w:instrText xml:space="preserve"> PAGEREF _Toc536452011 \h </w:instrText>
        </w:r>
        <w:r>
          <w:rPr>
            <w:webHidden/>
          </w:rPr>
        </w:r>
        <w:r>
          <w:rPr>
            <w:webHidden/>
          </w:rPr>
          <w:fldChar w:fldCharType="separate"/>
        </w:r>
        <w:r>
          <w:rPr>
            <w:webHidden/>
          </w:rPr>
          <w:t>18</w:t>
        </w:r>
        <w:r>
          <w:rPr>
            <w:webHidden/>
          </w:rPr>
          <w:fldChar w:fldCharType="end"/>
        </w:r>
      </w:hyperlink>
    </w:p>
    <w:p w14:paraId="44ED107C" w14:textId="06AD254B" w:rsidR="005B5648" w:rsidRDefault="005B5648">
      <w:pPr>
        <w:pStyle w:val="TOC1"/>
        <w:rPr>
          <w:rFonts w:asciiTheme="minorHAnsi" w:eastAsiaTheme="minorEastAsia" w:hAnsiTheme="minorHAnsi" w:cstheme="minorBidi"/>
          <w:spacing w:val="0"/>
          <w:lang w:val="bg-BG" w:eastAsia="bg-BG" w:bidi="ar-SA"/>
        </w:rPr>
      </w:pPr>
      <w:hyperlink w:anchor="_Toc536452012" w:history="1">
        <w:r w:rsidRPr="003530A8">
          <w:rPr>
            <w:rStyle w:val="Hyperlink"/>
          </w:rPr>
          <w:t>6.</w:t>
        </w:r>
        <w:r>
          <w:rPr>
            <w:rFonts w:asciiTheme="minorHAnsi" w:eastAsiaTheme="minorEastAsia" w:hAnsiTheme="minorHAnsi" w:cstheme="minorBidi"/>
            <w:spacing w:val="0"/>
            <w:lang w:val="bg-BG" w:eastAsia="bg-BG" w:bidi="ar-SA"/>
          </w:rPr>
          <w:tab/>
        </w:r>
        <w:r w:rsidRPr="003530A8">
          <w:rPr>
            <w:rStyle w:val="Hyperlink"/>
          </w:rPr>
          <w:t>РАЗХОДИ ЗА ВЪНШНИ УСЛУГИ</w:t>
        </w:r>
        <w:r>
          <w:rPr>
            <w:webHidden/>
          </w:rPr>
          <w:tab/>
        </w:r>
        <w:r>
          <w:rPr>
            <w:webHidden/>
          </w:rPr>
          <w:fldChar w:fldCharType="begin"/>
        </w:r>
        <w:r>
          <w:rPr>
            <w:webHidden/>
          </w:rPr>
          <w:instrText xml:space="preserve"> PAGEREF _Toc536452012 \h </w:instrText>
        </w:r>
        <w:r>
          <w:rPr>
            <w:webHidden/>
          </w:rPr>
        </w:r>
        <w:r>
          <w:rPr>
            <w:webHidden/>
          </w:rPr>
          <w:fldChar w:fldCharType="separate"/>
        </w:r>
        <w:r>
          <w:rPr>
            <w:webHidden/>
          </w:rPr>
          <w:t>18</w:t>
        </w:r>
        <w:r>
          <w:rPr>
            <w:webHidden/>
          </w:rPr>
          <w:fldChar w:fldCharType="end"/>
        </w:r>
      </w:hyperlink>
    </w:p>
    <w:p w14:paraId="559E3931" w14:textId="5CD840AF" w:rsidR="005B5648" w:rsidRDefault="005B5648">
      <w:pPr>
        <w:pStyle w:val="TOC1"/>
        <w:rPr>
          <w:rFonts w:asciiTheme="minorHAnsi" w:eastAsiaTheme="minorEastAsia" w:hAnsiTheme="minorHAnsi" w:cstheme="minorBidi"/>
          <w:spacing w:val="0"/>
          <w:lang w:val="bg-BG" w:eastAsia="bg-BG" w:bidi="ar-SA"/>
        </w:rPr>
      </w:pPr>
      <w:hyperlink w:anchor="_Toc536452013" w:history="1">
        <w:r w:rsidRPr="003530A8">
          <w:rPr>
            <w:rStyle w:val="Hyperlink"/>
          </w:rPr>
          <w:t>7.</w:t>
        </w:r>
        <w:r>
          <w:rPr>
            <w:rFonts w:asciiTheme="minorHAnsi" w:eastAsiaTheme="minorEastAsia" w:hAnsiTheme="minorHAnsi" w:cstheme="minorBidi"/>
            <w:spacing w:val="0"/>
            <w:lang w:val="bg-BG" w:eastAsia="bg-BG" w:bidi="ar-SA"/>
          </w:rPr>
          <w:tab/>
        </w:r>
        <w:r w:rsidRPr="003530A8">
          <w:rPr>
            <w:rStyle w:val="Hyperlink"/>
          </w:rPr>
          <w:t>РАЗХОДИ ЗА ПЕРСОНАЛА</w:t>
        </w:r>
        <w:r>
          <w:rPr>
            <w:webHidden/>
          </w:rPr>
          <w:tab/>
        </w:r>
        <w:r>
          <w:rPr>
            <w:webHidden/>
          </w:rPr>
          <w:fldChar w:fldCharType="begin"/>
        </w:r>
        <w:r>
          <w:rPr>
            <w:webHidden/>
          </w:rPr>
          <w:instrText xml:space="preserve"> PAGEREF _Toc536452013 \h </w:instrText>
        </w:r>
        <w:r>
          <w:rPr>
            <w:webHidden/>
          </w:rPr>
        </w:r>
        <w:r>
          <w:rPr>
            <w:webHidden/>
          </w:rPr>
          <w:fldChar w:fldCharType="separate"/>
        </w:r>
        <w:r>
          <w:rPr>
            <w:webHidden/>
          </w:rPr>
          <w:t>18</w:t>
        </w:r>
        <w:r>
          <w:rPr>
            <w:webHidden/>
          </w:rPr>
          <w:fldChar w:fldCharType="end"/>
        </w:r>
      </w:hyperlink>
    </w:p>
    <w:p w14:paraId="3204E5F7" w14:textId="449EF2F6" w:rsidR="005B5648" w:rsidRDefault="005B5648">
      <w:pPr>
        <w:pStyle w:val="TOC1"/>
        <w:rPr>
          <w:rFonts w:asciiTheme="minorHAnsi" w:eastAsiaTheme="minorEastAsia" w:hAnsiTheme="minorHAnsi" w:cstheme="minorBidi"/>
          <w:spacing w:val="0"/>
          <w:lang w:val="bg-BG" w:eastAsia="bg-BG" w:bidi="ar-SA"/>
        </w:rPr>
      </w:pPr>
      <w:hyperlink w:anchor="_Toc536452014" w:history="1">
        <w:r w:rsidRPr="003530A8">
          <w:rPr>
            <w:rStyle w:val="Hyperlink"/>
          </w:rPr>
          <w:t>8.</w:t>
        </w:r>
        <w:r>
          <w:rPr>
            <w:rFonts w:asciiTheme="minorHAnsi" w:eastAsiaTheme="minorEastAsia" w:hAnsiTheme="minorHAnsi" w:cstheme="minorBidi"/>
            <w:spacing w:val="0"/>
            <w:lang w:val="bg-BG" w:eastAsia="bg-BG" w:bidi="ar-SA"/>
          </w:rPr>
          <w:tab/>
        </w:r>
        <w:r w:rsidRPr="003530A8">
          <w:rPr>
            <w:rStyle w:val="Hyperlink"/>
          </w:rPr>
          <w:t>ДРУГИ РАЗХОДИ ЗА ДЕЙНОСТТА</w:t>
        </w:r>
        <w:r>
          <w:rPr>
            <w:webHidden/>
          </w:rPr>
          <w:tab/>
        </w:r>
        <w:r>
          <w:rPr>
            <w:webHidden/>
          </w:rPr>
          <w:fldChar w:fldCharType="begin"/>
        </w:r>
        <w:r>
          <w:rPr>
            <w:webHidden/>
          </w:rPr>
          <w:instrText xml:space="preserve"> PAGEREF _Toc536452014 \h </w:instrText>
        </w:r>
        <w:r>
          <w:rPr>
            <w:webHidden/>
          </w:rPr>
        </w:r>
        <w:r>
          <w:rPr>
            <w:webHidden/>
          </w:rPr>
          <w:fldChar w:fldCharType="separate"/>
        </w:r>
        <w:r>
          <w:rPr>
            <w:webHidden/>
          </w:rPr>
          <w:t>18</w:t>
        </w:r>
        <w:r>
          <w:rPr>
            <w:webHidden/>
          </w:rPr>
          <w:fldChar w:fldCharType="end"/>
        </w:r>
      </w:hyperlink>
    </w:p>
    <w:p w14:paraId="00F7146B" w14:textId="4016C452" w:rsidR="005B5648" w:rsidRDefault="005B5648">
      <w:pPr>
        <w:pStyle w:val="TOC1"/>
        <w:rPr>
          <w:rFonts w:asciiTheme="minorHAnsi" w:eastAsiaTheme="minorEastAsia" w:hAnsiTheme="minorHAnsi" w:cstheme="minorBidi"/>
          <w:spacing w:val="0"/>
          <w:lang w:val="bg-BG" w:eastAsia="bg-BG" w:bidi="ar-SA"/>
        </w:rPr>
      </w:pPr>
      <w:hyperlink w:anchor="_Toc536452015" w:history="1">
        <w:r w:rsidRPr="003530A8">
          <w:rPr>
            <w:rStyle w:val="Hyperlink"/>
          </w:rPr>
          <w:t>9.</w:t>
        </w:r>
        <w:r>
          <w:rPr>
            <w:rFonts w:asciiTheme="minorHAnsi" w:eastAsiaTheme="minorEastAsia" w:hAnsiTheme="minorHAnsi" w:cstheme="minorBidi"/>
            <w:spacing w:val="0"/>
            <w:lang w:val="bg-BG" w:eastAsia="bg-BG" w:bidi="ar-SA"/>
          </w:rPr>
          <w:tab/>
        </w:r>
        <w:r w:rsidRPr="003530A8">
          <w:rPr>
            <w:rStyle w:val="Hyperlink"/>
          </w:rPr>
          <w:t>ФИНАНСОВИ ПРИХОДИ</w:t>
        </w:r>
        <w:r>
          <w:rPr>
            <w:webHidden/>
          </w:rPr>
          <w:tab/>
        </w:r>
        <w:r>
          <w:rPr>
            <w:webHidden/>
          </w:rPr>
          <w:fldChar w:fldCharType="begin"/>
        </w:r>
        <w:r>
          <w:rPr>
            <w:webHidden/>
          </w:rPr>
          <w:instrText xml:space="preserve"> PAGEREF _Toc536452015 \h </w:instrText>
        </w:r>
        <w:r>
          <w:rPr>
            <w:webHidden/>
          </w:rPr>
        </w:r>
        <w:r>
          <w:rPr>
            <w:webHidden/>
          </w:rPr>
          <w:fldChar w:fldCharType="separate"/>
        </w:r>
        <w:r>
          <w:rPr>
            <w:webHidden/>
          </w:rPr>
          <w:t>19</w:t>
        </w:r>
        <w:r>
          <w:rPr>
            <w:webHidden/>
          </w:rPr>
          <w:fldChar w:fldCharType="end"/>
        </w:r>
      </w:hyperlink>
    </w:p>
    <w:p w14:paraId="21D6FEA0" w14:textId="01C53AF0" w:rsidR="005B5648" w:rsidRDefault="005B5648">
      <w:pPr>
        <w:pStyle w:val="TOC1"/>
        <w:rPr>
          <w:rFonts w:asciiTheme="minorHAnsi" w:eastAsiaTheme="minorEastAsia" w:hAnsiTheme="minorHAnsi" w:cstheme="minorBidi"/>
          <w:spacing w:val="0"/>
          <w:lang w:val="bg-BG" w:eastAsia="bg-BG" w:bidi="ar-SA"/>
        </w:rPr>
      </w:pPr>
      <w:hyperlink w:anchor="_Toc536452016" w:history="1">
        <w:r w:rsidRPr="003530A8">
          <w:rPr>
            <w:rStyle w:val="Hyperlink"/>
          </w:rPr>
          <w:t>10.</w:t>
        </w:r>
        <w:r>
          <w:rPr>
            <w:rFonts w:asciiTheme="minorHAnsi" w:eastAsiaTheme="minorEastAsia" w:hAnsiTheme="minorHAnsi" w:cstheme="minorBidi"/>
            <w:spacing w:val="0"/>
            <w:lang w:val="bg-BG" w:eastAsia="bg-BG" w:bidi="ar-SA"/>
          </w:rPr>
          <w:tab/>
        </w:r>
        <w:r w:rsidRPr="003530A8">
          <w:rPr>
            <w:rStyle w:val="Hyperlink"/>
          </w:rPr>
          <w:t>ФИНАНСОВИ РАЗХОДИ</w:t>
        </w:r>
        <w:r>
          <w:rPr>
            <w:webHidden/>
          </w:rPr>
          <w:tab/>
        </w:r>
        <w:r>
          <w:rPr>
            <w:webHidden/>
          </w:rPr>
          <w:fldChar w:fldCharType="begin"/>
        </w:r>
        <w:r>
          <w:rPr>
            <w:webHidden/>
          </w:rPr>
          <w:instrText xml:space="preserve"> PAGEREF _Toc536452016 \h </w:instrText>
        </w:r>
        <w:r>
          <w:rPr>
            <w:webHidden/>
          </w:rPr>
        </w:r>
        <w:r>
          <w:rPr>
            <w:webHidden/>
          </w:rPr>
          <w:fldChar w:fldCharType="separate"/>
        </w:r>
        <w:r>
          <w:rPr>
            <w:webHidden/>
          </w:rPr>
          <w:t>19</w:t>
        </w:r>
        <w:r>
          <w:rPr>
            <w:webHidden/>
          </w:rPr>
          <w:fldChar w:fldCharType="end"/>
        </w:r>
      </w:hyperlink>
    </w:p>
    <w:p w14:paraId="4FF30AFB" w14:textId="7C8F0B63" w:rsidR="005B5648" w:rsidRDefault="005B5648">
      <w:pPr>
        <w:pStyle w:val="TOC1"/>
        <w:rPr>
          <w:rFonts w:asciiTheme="minorHAnsi" w:eastAsiaTheme="minorEastAsia" w:hAnsiTheme="minorHAnsi" w:cstheme="minorBidi"/>
          <w:spacing w:val="0"/>
          <w:lang w:val="bg-BG" w:eastAsia="bg-BG" w:bidi="ar-SA"/>
        </w:rPr>
      </w:pPr>
      <w:hyperlink w:anchor="_Toc536452017" w:history="1">
        <w:r w:rsidRPr="003530A8">
          <w:rPr>
            <w:rStyle w:val="Hyperlink"/>
          </w:rPr>
          <w:t>11.</w:t>
        </w:r>
        <w:r>
          <w:rPr>
            <w:rFonts w:asciiTheme="minorHAnsi" w:eastAsiaTheme="minorEastAsia" w:hAnsiTheme="minorHAnsi" w:cstheme="minorBidi"/>
            <w:spacing w:val="0"/>
            <w:lang w:val="bg-BG" w:eastAsia="bg-BG" w:bidi="ar-SA"/>
          </w:rPr>
          <w:tab/>
        </w:r>
        <w:r w:rsidRPr="003530A8">
          <w:rPr>
            <w:rStyle w:val="Hyperlink"/>
          </w:rPr>
          <w:t>ДАНЪЧНО ОБЛАГАНЕ</w:t>
        </w:r>
        <w:r>
          <w:rPr>
            <w:webHidden/>
          </w:rPr>
          <w:tab/>
        </w:r>
        <w:r>
          <w:rPr>
            <w:webHidden/>
          </w:rPr>
          <w:fldChar w:fldCharType="begin"/>
        </w:r>
        <w:r>
          <w:rPr>
            <w:webHidden/>
          </w:rPr>
          <w:instrText xml:space="preserve"> PAGEREF _Toc536452017 \h </w:instrText>
        </w:r>
        <w:r>
          <w:rPr>
            <w:webHidden/>
          </w:rPr>
        </w:r>
        <w:r>
          <w:rPr>
            <w:webHidden/>
          </w:rPr>
          <w:fldChar w:fldCharType="separate"/>
        </w:r>
        <w:r>
          <w:rPr>
            <w:webHidden/>
          </w:rPr>
          <w:t>19</w:t>
        </w:r>
        <w:r>
          <w:rPr>
            <w:webHidden/>
          </w:rPr>
          <w:fldChar w:fldCharType="end"/>
        </w:r>
      </w:hyperlink>
    </w:p>
    <w:p w14:paraId="39F90FC5" w14:textId="700F55B7" w:rsidR="005B5648" w:rsidRDefault="005B5648">
      <w:pPr>
        <w:pStyle w:val="TOC1"/>
        <w:rPr>
          <w:rFonts w:asciiTheme="minorHAnsi" w:eastAsiaTheme="minorEastAsia" w:hAnsiTheme="minorHAnsi" w:cstheme="minorBidi"/>
          <w:spacing w:val="0"/>
          <w:lang w:val="bg-BG" w:eastAsia="bg-BG" w:bidi="ar-SA"/>
        </w:rPr>
      </w:pPr>
      <w:hyperlink w:anchor="_Toc536452018" w:history="1">
        <w:r w:rsidRPr="003530A8">
          <w:rPr>
            <w:rStyle w:val="Hyperlink"/>
          </w:rPr>
          <w:t>12.</w:t>
        </w:r>
        <w:r>
          <w:rPr>
            <w:rFonts w:asciiTheme="minorHAnsi" w:eastAsiaTheme="minorEastAsia" w:hAnsiTheme="minorHAnsi" w:cstheme="minorBidi"/>
            <w:spacing w:val="0"/>
            <w:lang w:val="bg-BG" w:eastAsia="bg-BG" w:bidi="ar-SA"/>
          </w:rPr>
          <w:tab/>
        </w:r>
        <w:r w:rsidRPr="003530A8">
          <w:rPr>
            <w:rStyle w:val="Hyperlink"/>
          </w:rPr>
          <w:t>ДРУГ ВСЕОБХВАТЕН ДОХОД</w:t>
        </w:r>
        <w:r>
          <w:rPr>
            <w:webHidden/>
          </w:rPr>
          <w:tab/>
        </w:r>
        <w:r>
          <w:rPr>
            <w:webHidden/>
          </w:rPr>
          <w:fldChar w:fldCharType="begin"/>
        </w:r>
        <w:r>
          <w:rPr>
            <w:webHidden/>
          </w:rPr>
          <w:instrText xml:space="preserve"> PAGEREF _Toc536452018 \h </w:instrText>
        </w:r>
        <w:r>
          <w:rPr>
            <w:webHidden/>
          </w:rPr>
        </w:r>
        <w:r>
          <w:rPr>
            <w:webHidden/>
          </w:rPr>
          <w:fldChar w:fldCharType="separate"/>
        </w:r>
        <w:r>
          <w:rPr>
            <w:webHidden/>
          </w:rPr>
          <w:t>20</w:t>
        </w:r>
        <w:r>
          <w:rPr>
            <w:webHidden/>
          </w:rPr>
          <w:fldChar w:fldCharType="end"/>
        </w:r>
      </w:hyperlink>
    </w:p>
    <w:p w14:paraId="22DECCCA" w14:textId="13F47F7F" w:rsidR="005B5648" w:rsidRDefault="005B5648">
      <w:pPr>
        <w:pStyle w:val="TOC1"/>
        <w:rPr>
          <w:rFonts w:asciiTheme="minorHAnsi" w:eastAsiaTheme="minorEastAsia" w:hAnsiTheme="minorHAnsi" w:cstheme="minorBidi"/>
          <w:spacing w:val="0"/>
          <w:lang w:val="bg-BG" w:eastAsia="bg-BG" w:bidi="ar-SA"/>
        </w:rPr>
      </w:pPr>
      <w:hyperlink w:anchor="_Toc536452019" w:history="1">
        <w:r w:rsidRPr="003530A8">
          <w:rPr>
            <w:rStyle w:val="Hyperlink"/>
          </w:rPr>
          <w:t>13.</w:t>
        </w:r>
        <w:r>
          <w:rPr>
            <w:rFonts w:asciiTheme="minorHAnsi" w:eastAsiaTheme="minorEastAsia" w:hAnsiTheme="minorHAnsi" w:cstheme="minorBidi"/>
            <w:spacing w:val="0"/>
            <w:lang w:val="bg-BG" w:eastAsia="bg-BG" w:bidi="ar-SA"/>
          </w:rPr>
          <w:tab/>
        </w:r>
        <w:r w:rsidRPr="003530A8">
          <w:rPr>
            <w:rStyle w:val="Hyperlink"/>
          </w:rPr>
          <w:t>ИМОТИ, МАШИНИ, ОБОРУДВАНЕ</w:t>
        </w:r>
        <w:r>
          <w:rPr>
            <w:webHidden/>
          </w:rPr>
          <w:tab/>
        </w:r>
        <w:r>
          <w:rPr>
            <w:webHidden/>
          </w:rPr>
          <w:fldChar w:fldCharType="begin"/>
        </w:r>
        <w:r>
          <w:rPr>
            <w:webHidden/>
          </w:rPr>
          <w:instrText xml:space="preserve"> PAGEREF _Toc536452019 \h </w:instrText>
        </w:r>
        <w:r>
          <w:rPr>
            <w:webHidden/>
          </w:rPr>
        </w:r>
        <w:r>
          <w:rPr>
            <w:webHidden/>
          </w:rPr>
          <w:fldChar w:fldCharType="separate"/>
        </w:r>
        <w:r>
          <w:rPr>
            <w:webHidden/>
          </w:rPr>
          <w:t>20</w:t>
        </w:r>
        <w:r>
          <w:rPr>
            <w:webHidden/>
          </w:rPr>
          <w:fldChar w:fldCharType="end"/>
        </w:r>
      </w:hyperlink>
    </w:p>
    <w:p w14:paraId="58631B27" w14:textId="5C7637DF" w:rsidR="005B5648" w:rsidRDefault="005B5648">
      <w:pPr>
        <w:pStyle w:val="TOC1"/>
        <w:rPr>
          <w:rFonts w:asciiTheme="minorHAnsi" w:eastAsiaTheme="minorEastAsia" w:hAnsiTheme="minorHAnsi" w:cstheme="minorBidi"/>
          <w:spacing w:val="0"/>
          <w:lang w:val="bg-BG" w:eastAsia="bg-BG" w:bidi="ar-SA"/>
        </w:rPr>
      </w:pPr>
      <w:hyperlink w:anchor="_Toc536452020" w:history="1">
        <w:r w:rsidRPr="003530A8">
          <w:rPr>
            <w:rStyle w:val="Hyperlink"/>
          </w:rPr>
          <w:t>14.</w:t>
        </w:r>
        <w:r>
          <w:rPr>
            <w:rFonts w:asciiTheme="minorHAnsi" w:eastAsiaTheme="minorEastAsia" w:hAnsiTheme="minorHAnsi" w:cstheme="minorBidi"/>
            <w:spacing w:val="0"/>
            <w:lang w:val="bg-BG" w:eastAsia="bg-BG" w:bidi="ar-SA"/>
          </w:rPr>
          <w:tab/>
        </w:r>
        <w:r w:rsidRPr="003530A8">
          <w:rPr>
            <w:rStyle w:val="Hyperlink"/>
          </w:rPr>
          <w:t>НЕМАТЕРИАЛНИ АКТИВИ</w:t>
        </w:r>
        <w:r>
          <w:rPr>
            <w:webHidden/>
          </w:rPr>
          <w:tab/>
        </w:r>
        <w:r>
          <w:rPr>
            <w:webHidden/>
          </w:rPr>
          <w:fldChar w:fldCharType="begin"/>
        </w:r>
        <w:r>
          <w:rPr>
            <w:webHidden/>
          </w:rPr>
          <w:instrText xml:space="preserve"> PAGEREF _Toc536452020 \h </w:instrText>
        </w:r>
        <w:r>
          <w:rPr>
            <w:webHidden/>
          </w:rPr>
        </w:r>
        <w:r>
          <w:rPr>
            <w:webHidden/>
          </w:rPr>
          <w:fldChar w:fldCharType="separate"/>
        </w:r>
        <w:r>
          <w:rPr>
            <w:webHidden/>
          </w:rPr>
          <w:t>20</w:t>
        </w:r>
        <w:r>
          <w:rPr>
            <w:webHidden/>
          </w:rPr>
          <w:fldChar w:fldCharType="end"/>
        </w:r>
      </w:hyperlink>
    </w:p>
    <w:p w14:paraId="6D1582BA" w14:textId="2A563F56" w:rsidR="005B5648" w:rsidRDefault="005B5648">
      <w:pPr>
        <w:pStyle w:val="TOC1"/>
        <w:rPr>
          <w:rFonts w:asciiTheme="minorHAnsi" w:eastAsiaTheme="minorEastAsia" w:hAnsiTheme="minorHAnsi" w:cstheme="minorBidi"/>
          <w:spacing w:val="0"/>
          <w:lang w:val="bg-BG" w:eastAsia="bg-BG" w:bidi="ar-SA"/>
        </w:rPr>
      </w:pPr>
      <w:hyperlink w:anchor="_Toc536452021" w:history="1">
        <w:r w:rsidRPr="003530A8">
          <w:rPr>
            <w:rStyle w:val="Hyperlink"/>
          </w:rPr>
          <w:t>15.</w:t>
        </w:r>
        <w:r>
          <w:rPr>
            <w:rFonts w:asciiTheme="minorHAnsi" w:eastAsiaTheme="minorEastAsia" w:hAnsiTheme="minorHAnsi" w:cstheme="minorBidi"/>
            <w:spacing w:val="0"/>
            <w:lang w:val="bg-BG" w:eastAsia="bg-BG" w:bidi="ar-SA"/>
          </w:rPr>
          <w:tab/>
        </w:r>
        <w:r w:rsidRPr="003530A8">
          <w:rPr>
            <w:rStyle w:val="Hyperlink"/>
          </w:rPr>
          <w:t>ИНВЕСТИЦИИ В ДЪЩЕРНИ ДРУЖЕСТВА</w:t>
        </w:r>
        <w:r>
          <w:rPr>
            <w:webHidden/>
          </w:rPr>
          <w:tab/>
        </w:r>
        <w:r>
          <w:rPr>
            <w:webHidden/>
          </w:rPr>
          <w:fldChar w:fldCharType="begin"/>
        </w:r>
        <w:r>
          <w:rPr>
            <w:webHidden/>
          </w:rPr>
          <w:instrText xml:space="preserve"> PAGEREF _Toc536452021 \h </w:instrText>
        </w:r>
        <w:r>
          <w:rPr>
            <w:webHidden/>
          </w:rPr>
        </w:r>
        <w:r>
          <w:rPr>
            <w:webHidden/>
          </w:rPr>
          <w:fldChar w:fldCharType="separate"/>
        </w:r>
        <w:r>
          <w:rPr>
            <w:webHidden/>
          </w:rPr>
          <w:t>21</w:t>
        </w:r>
        <w:r>
          <w:rPr>
            <w:webHidden/>
          </w:rPr>
          <w:fldChar w:fldCharType="end"/>
        </w:r>
      </w:hyperlink>
    </w:p>
    <w:p w14:paraId="6D45186C" w14:textId="27E92195" w:rsidR="005B5648" w:rsidRDefault="005B5648">
      <w:pPr>
        <w:pStyle w:val="TOC1"/>
        <w:rPr>
          <w:rFonts w:asciiTheme="minorHAnsi" w:eastAsiaTheme="minorEastAsia" w:hAnsiTheme="minorHAnsi" w:cstheme="minorBidi"/>
          <w:spacing w:val="0"/>
          <w:lang w:val="bg-BG" w:eastAsia="bg-BG" w:bidi="ar-SA"/>
        </w:rPr>
      </w:pPr>
      <w:hyperlink w:anchor="_Toc536452022" w:history="1">
        <w:r w:rsidRPr="003530A8">
          <w:rPr>
            <w:rStyle w:val="Hyperlink"/>
          </w:rPr>
          <w:t>16.</w:t>
        </w:r>
        <w:r>
          <w:rPr>
            <w:rFonts w:asciiTheme="minorHAnsi" w:eastAsiaTheme="minorEastAsia" w:hAnsiTheme="minorHAnsi" w:cstheme="minorBidi"/>
            <w:spacing w:val="0"/>
            <w:lang w:val="bg-BG" w:eastAsia="bg-BG" w:bidi="ar-SA"/>
          </w:rPr>
          <w:tab/>
        </w:r>
        <w:r w:rsidRPr="003530A8">
          <w:rPr>
            <w:rStyle w:val="Hyperlink"/>
          </w:rPr>
          <w:t>ИНВЕСТИЦИИ В СЪВМЕСТНИ ДРУЖЕСТВА</w:t>
        </w:r>
        <w:r>
          <w:rPr>
            <w:webHidden/>
          </w:rPr>
          <w:tab/>
        </w:r>
        <w:r>
          <w:rPr>
            <w:webHidden/>
          </w:rPr>
          <w:fldChar w:fldCharType="begin"/>
        </w:r>
        <w:r>
          <w:rPr>
            <w:webHidden/>
          </w:rPr>
          <w:instrText xml:space="preserve"> PAGEREF _Toc536452022 \h </w:instrText>
        </w:r>
        <w:r>
          <w:rPr>
            <w:webHidden/>
          </w:rPr>
        </w:r>
        <w:r>
          <w:rPr>
            <w:webHidden/>
          </w:rPr>
          <w:fldChar w:fldCharType="separate"/>
        </w:r>
        <w:r>
          <w:rPr>
            <w:webHidden/>
          </w:rPr>
          <w:t>21</w:t>
        </w:r>
        <w:r>
          <w:rPr>
            <w:webHidden/>
          </w:rPr>
          <w:fldChar w:fldCharType="end"/>
        </w:r>
      </w:hyperlink>
    </w:p>
    <w:p w14:paraId="0EC6D502" w14:textId="40206740" w:rsidR="005B5648" w:rsidRDefault="005B5648">
      <w:pPr>
        <w:pStyle w:val="TOC1"/>
        <w:rPr>
          <w:rFonts w:asciiTheme="minorHAnsi" w:eastAsiaTheme="minorEastAsia" w:hAnsiTheme="minorHAnsi" w:cstheme="minorBidi"/>
          <w:spacing w:val="0"/>
          <w:lang w:val="bg-BG" w:eastAsia="bg-BG" w:bidi="ar-SA"/>
        </w:rPr>
      </w:pPr>
      <w:hyperlink w:anchor="_Toc536452023" w:history="1">
        <w:r w:rsidRPr="003530A8">
          <w:rPr>
            <w:rStyle w:val="Hyperlink"/>
          </w:rPr>
          <w:t>17.</w:t>
        </w:r>
        <w:r>
          <w:rPr>
            <w:rFonts w:asciiTheme="minorHAnsi" w:eastAsiaTheme="minorEastAsia" w:hAnsiTheme="minorHAnsi" w:cstheme="minorBidi"/>
            <w:spacing w:val="0"/>
            <w:lang w:val="bg-BG" w:eastAsia="bg-BG" w:bidi="ar-SA"/>
          </w:rPr>
          <w:tab/>
        </w:r>
        <w:r w:rsidRPr="003530A8">
          <w:rPr>
            <w:rStyle w:val="Hyperlink"/>
          </w:rPr>
          <w:t>ДЪЛГОВИ ИНВЕСТИЦИИ, ОЦЕНЯВАНИ ПО АМОРТИЗИРАНА СТОЙНОСТ</w:t>
        </w:r>
        <w:r>
          <w:rPr>
            <w:webHidden/>
          </w:rPr>
          <w:tab/>
        </w:r>
        <w:r>
          <w:rPr>
            <w:webHidden/>
          </w:rPr>
          <w:fldChar w:fldCharType="begin"/>
        </w:r>
        <w:r>
          <w:rPr>
            <w:webHidden/>
          </w:rPr>
          <w:instrText xml:space="preserve"> PAGEREF _Toc536452023 \h </w:instrText>
        </w:r>
        <w:r>
          <w:rPr>
            <w:webHidden/>
          </w:rPr>
        </w:r>
        <w:r>
          <w:rPr>
            <w:webHidden/>
          </w:rPr>
          <w:fldChar w:fldCharType="separate"/>
        </w:r>
        <w:r>
          <w:rPr>
            <w:webHidden/>
          </w:rPr>
          <w:t>22</w:t>
        </w:r>
        <w:r>
          <w:rPr>
            <w:webHidden/>
          </w:rPr>
          <w:fldChar w:fldCharType="end"/>
        </w:r>
      </w:hyperlink>
    </w:p>
    <w:p w14:paraId="7CE6653F" w14:textId="1A196C7B" w:rsidR="005B5648" w:rsidRDefault="005B5648">
      <w:pPr>
        <w:pStyle w:val="TOC1"/>
        <w:rPr>
          <w:rFonts w:asciiTheme="minorHAnsi" w:eastAsiaTheme="minorEastAsia" w:hAnsiTheme="minorHAnsi" w:cstheme="minorBidi"/>
          <w:spacing w:val="0"/>
          <w:lang w:val="bg-BG" w:eastAsia="bg-BG" w:bidi="ar-SA"/>
        </w:rPr>
      </w:pPr>
      <w:hyperlink w:anchor="_Toc536452024" w:history="1">
        <w:r w:rsidRPr="003530A8">
          <w:rPr>
            <w:rStyle w:val="Hyperlink"/>
          </w:rPr>
          <w:t>18.</w:t>
        </w:r>
        <w:r>
          <w:rPr>
            <w:rFonts w:asciiTheme="minorHAnsi" w:eastAsiaTheme="minorEastAsia" w:hAnsiTheme="minorHAnsi" w:cstheme="minorBidi"/>
            <w:spacing w:val="0"/>
            <w:lang w:val="bg-BG" w:eastAsia="bg-BG" w:bidi="ar-SA"/>
          </w:rPr>
          <w:tab/>
        </w:r>
        <w:r w:rsidRPr="003530A8">
          <w:rPr>
            <w:rStyle w:val="Hyperlink"/>
          </w:rPr>
          <w:t>ФИНАНСОВИ АКТИВИ, ОЦЕНЯВАНИ ПО СПРАВЕДЛИВА СТОЙНОСТ</w:t>
        </w:r>
        <w:r>
          <w:rPr>
            <w:webHidden/>
          </w:rPr>
          <w:tab/>
        </w:r>
        <w:r>
          <w:rPr>
            <w:webHidden/>
          </w:rPr>
          <w:fldChar w:fldCharType="begin"/>
        </w:r>
        <w:r>
          <w:rPr>
            <w:webHidden/>
          </w:rPr>
          <w:instrText xml:space="preserve"> PAGEREF _Toc536452024 \h </w:instrText>
        </w:r>
        <w:r>
          <w:rPr>
            <w:webHidden/>
          </w:rPr>
        </w:r>
        <w:r>
          <w:rPr>
            <w:webHidden/>
          </w:rPr>
          <w:fldChar w:fldCharType="separate"/>
        </w:r>
        <w:r>
          <w:rPr>
            <w:webHidden/>
          </w:rPr>
          <w:t>22</w:t>
        </w:r>
        <w:r>
          <w:rPr>
            <w:webHidden/>
          </w:rPr>
          <w:fldChar w:fldCharType="end"/>
        </w:r>
      </w:hyperlink>
    </w:p>
    <w:p w14:paraId="2DC71295" w14:textId="22D5B5E4" w:rsidR="005B5648" w:rsidRDefault="005B5648">
      <w:pPr>
        <w:pStyle w:val="TOC1"/>
        <w:rPr>
          <w:rFonts w:asciiTheme="minorHAnsi" w:eastAsiaTheme="minorEastAsia" w:hAnsiTheme="minorHAnsi" w:cstheme="minorBidi"/>
          <w:spacing w:val="0"/>
          <w:lang w:val="bg-BG" w:eastAsia="bg-BG" w:bidi="ar-SA"/>
        </w:rPr>
      </w:pPr>
      <w:hyperlink w:anchor="_Toc536452025" w:history="1">
        <w:r w:rsidRPr="003530A8">
          <w:rPr>
            <w:rStyle w:val="Hyperlink"/>
          </w:rPr>
          <w:t>19.</w:t>
        </w:r>
        <w:r>
          <w:rPr>
            <w:rFonts w:asciiTheme="minorHAnsi" w:eastAsiaTheme="minorEastAsia" w:hAnsiTheme="minorHAnsi" w:cstheme="minorBidi"/>
            <w:spacing w:val="0"/>
            <w:lang w:val="bg-BG" w:eastAsia="bg-BG" w:bidi="ar-SA"/>
          </w:rPr>
          <w:tab/>
        </w:r>
        <w:r w:rsidRPr="003530A8">
          <w:rPr>
            <w:rStyle w:val="Hyperlink"/>
          </w:rPr>
          <w:t>ОТСРОЧЕНИ ДАНЪЦИ</w:t>
        </w:r>
        <w:r>
          <w:rPr>
            <w:webHidden/>
          </w:rPr>
          <w:tab/>
        </w:r>
        <w:r>
          <w:rPr>
            <w:webHidden/>
          </w:rPr>
          <w:fldChar w:fldCharType="begin"/>
        </w:r>
        <w:r>
          <w:rPr>
            <w:webHidden/>
          </w:rPr>
          <w:instrText xml:space="preserve"> PAGEREF _Toc536452025 \h </w:instrText>
        </w:r>
        <w:r>
          <w:rPr>
            <w:webHidden/>
          </w:rPr>
        </w:r>
        <w:r>
          <w:rPr>
            <w:webHidden/>
          </w:rPr>
          <w:fldChar w:fldCharType="separate"/>
        </w:r>
        <w:r>
          <w:rPr>
            <w:webHidden/>
          </w:rPr>
          <w:t>24</w:t>
        </w:r>
        <w:r>
          <w:rPr>
            <w:webHidden/>
          </w:rPr>
          <w:fldChar w:fldCharType="end"/>
        </w:r>
      </w:hyperlink>
    </w:p>
    <w:p w14:paraId="492098CC" w14:textId="3CB4427C" w:rsidR="005B5648" w:rsidRDefault="005B5648">
      <w:pPr>
        <w:pStyle w:val="TOC1"/>
        <w:rPr>
          <w:rFonts w:asciiTheme="minorHAnsi" w:eastAsiaTheme="minorEastAsia" w:hAnsiTheme="minorHAnsi" w:cstheme="minorBidi"/>
          <w:spacing w:val="0"/>
          <w:lang w:val="bg-BG" w:eastAsia="bg-BG" w:bidi="ar-SA"/>
        </w:rPr>
      </w:pPr>
      <w:hyperlink w:anchor="_Toc536452026" w:history="1">
        <w:r w:rsidRPr="003530A8">
          <w:rPr>
            <w:rStyle w:val="Hyperlink"/>
          </w:rPr>
          <w:t>20.</w:t>
        </w:r>
        <w:r>
          <w:rPr>
            <w:rFonts w:asciiTheme="minorHAnsi" w:eastAsiaTheme="minorEastAsia" w:hAnsiTheme="minorHAnsi" w:cstheme="minorBidi"/>
            <w:spacing w:val="0"/>
            <w:lang w:val="bg-BG" w:eastAsia="bg-BG" w:bidi="ar-SA"/>
          </w:rPr>
          <w:tab/>
        </w:r>
        <w:r w:rsidRPr="003530A8">
          <w:rPr>
            <w:rStyle w:val="Hyperlink"/>
          </w:rPr>
          <w:t>ТЪРГОВСКИ ВЗЕМАНИЯ</w:t>
        </w:r>
        <w:r>
          <w:rPr>
            <w:webHidden/>
          </w:rPr>
          <w:tab/>
        </w:r>
        <w:r>
          <w:rPr>
            <w:webHidden/>
          </w:rPr>
          <w:fldChar w:fldCharType="begin"/>
        </w:r>
        <w:r>
          <w:rPr>
            <w:webHidden/>
          </w:rPr>
          <w:instrText xml:space="preserve"> PAGEREF _Toc536452026 \h </w:instrText>
        </w:r>
        <w:r>
          <w:rPr>
            <w:webHidden/>
          </w:rPr>
        </w:r>
        <w:r>
          <w:rPr>
            <w:webHidden/>
          </w:rPr>
          <w:fldChar w:fldCharType="separate"/>
        </w:r>
        <w:r>
          <w:rPr>
            <w:webHidden/>
          </w:rPr>
          <w:t>25</w:t>
        </w:r>
        <w:r>
          <w:rPr>
            <w:webHidden/>
          </w:rPr>
          <w:fldChar w:fldCharType="end"/>
        </w:r>
      </w:hyperlink>
    </w:p>
    <w:p w14:paraId="0292AC92" w14:textId="72311F64" w:rsidR="005B5648" w:rsidRDefault="005B5648">
      <w:pPr>
        <w:pStyle w:val="TOC1"/>
        <w:rPr>
          <w:rFonts w:asciiTheme="minorHAnsi" w:eastAsiaTheme="minorEastAsia" w:hAnsiTheme="minorHAnsi" w:cstheme="minorBidi"/>
          <w:spacing w:val="0"/>
          <w:lang w:val="bg-BG" w:eastAsia="bg-BG" w:bidi="ar-SA"/>
        </w:rPr>
      </w:pPr>
      <w:hyperlink w:anchor="_Toc536452027" w:history="1">
        <w:r w:rsidRPr="003530A8">
          <w:rPr>
            <w:rStyle w:val="Hyperlink"/>
          </w:rPr>
          <w:t>21.</w:t>
        </w:r>
        <w:r>
          <w:rPr>
            <w:rFonts w:asciiTheme="minorHAnsi" w:eastAsiaTheme="minorEastAsia" w:hAnsiTheme="minorHAnsi" w:cstheme="minorBidi"/>
            <w:spacing w:val="0"/>
            <w:lang w:val="bg-BG" w:eastAsia="bg-BG" w:bidi="ar-SA"/>
          </w:rPr>
          <w:tab/>
        </w:r>
        <w:r w:rsidRPr="003530A8">
          <w:rPr>
            <w:rStyle w:val="Hyperlink"/>
          </w:rPr>
          <w:t>ДРУГИ ВЗЕМАНИЯ И ПРЕДПЛАТЕНИ РАЗХОДИ</w:t>
        </w:r>
        <w:r>
          <w:rPr>
            <w:webHidden/>
          </w:rPr>
          <w:tab/>
        </w:r>
        <w:r>
          <w:rPr>
            <w:webHidden/>
          </w:rPr>
          <w:fldChar w:fldCharType="begin"/>
        </w:r>
        <w:r>
          <w:rPr>
            <w:webHidden/>
          </w:rPr>
          <w:instrText xml:space="preserve"> PAGEREF _Toc536452027 \h </w:instrText>
        </w:r>
        <w:r>
          <w:rPr>
            <w:webHidden/>
          </w:rPr>
        </w:r>
        <w:r>
          <w:rPr>
            <w:webHidden/>
          </w:rPr>
          <w:fldChar w:fldCharType="separate"/>
        </w:r>
        <w:r>
          <w:rPr>
            <w:webHidden/>
          </w:rPr>
          <w:t>26</w:t>
        </w:r>
        <w:r>
          <w:rPr>
            <w:webHidden/>
          </w:rPr>
          <w:fldChar w:fldCharType="end"/>
        </w:r>
      </w:hyperlink>
    </w:p>
    <w:p w14:paraId="4FF30413" w14:textId="6E12AB27" w:rsidR="005B5648" w:rsidRDefault="005B5648">
      <w:pPr>
        <w:pStyle w:val="TOC1"/>
        <w:rPr>
          <w:rFonts w:asciiTheme="minorHAnsi" w:eastAsiaTheme="minorEastAsia" w:hAnsiTheme="minorHAnsi" w:cstheme="minorBidi"/>
          <w:spacing w:val="0"/>
          <w:lang w:val="bg-BG" w:eastAsia="bg-BG" w:bidi="ar-SA"/>
        </w:rPr>
      </w:pPr>
      <w:hyperlink w:anchor="_Toc536452028" w:history="1">
        <w:r w:rsidRPr="003530A8">
          <w:rPr>
            <w:rStyle w:val="Hyperlink"/>
          </w:rPr>
          <w:t>22.</w:t>
        </w:r>
        <w:r>
          <w:rPr>
            <w:rFonts w:asciiTheme="minorHAnsi" w:eastAsiaTheme="minorEastAsia" w:hAnsiTheme="minorHAnsi" w:cstheme="minorBidi"/>
            <w:spacing w:val="0"/>
            <w:lang w:val="bg-BG" w:eastAsia="bg-BG" w:bidi="ar-SA"/>
          </w:rPr>
          <w:tab/>
        </w:r>
        <w:r w:rsidRPr="003530A8">
          <w:rPr>
            <w:rStyle w:val="Hyperlink"/>
          </w:rPr>
          <w:t>ПАРИЧНИ СРЕДСТВА И ПАРИЧНИ ЕКВИВАЛЕНТИ</w:t>
        </w:r>
        <w:r>
          <w:rPr>
            <w:webHidden/>
          </w:rPr>
          <w:tab/>
        </w:r>
        <w:r>
          <w:rPr>
            <w:webHidden/>
          </w:rPr>
          <w:fldChar w:fldCharType="begin"/>
        </w:r>
        <w:r>
          <w:rPr>
            <w:webHidden/>
          </w:rPr>
          <w:instrText xml:space="preserve"> PAGEREF _Toc536452028 \h </w:instrText>
        </w:r>
        <w:r>
          <w:rPr>
            <w:webHidden/>
          </w:rPr>
        </w:r>
        <w:r>
          <w:rPr>
            <w:webHidden/>
          </w:rPr>
          <w:fldChar w:fldCharType="separate"/>
        </w:r>
        <w:r>
          <w:rPr>
            <w:webHidden/>
          </w:rPr>
          <w:t>26</w:t>
        </w:r>
        <w:r>
          <w:rPr>
            <w:webHidden/>
          </w:rPr>
          <w:fldChar w:fldCharType="end"/>
        </w:r>
      </w:hyperlink>
    </w:p>
    <w:p w14:paraId="38F03F19" w14:textId="6F2FA329" w:rsidR="005B5648" w:rsidRDefault="005B5648">
      <w:pPr>
        <w:pStyle w:val="TOC1"/>
        <w:rPr>
          <w:rFonts w:asciiTheme="minorHAnsi" w:eastAsiaTheme="minorEastAsia" w:hAnsiTheme="minorHAnsi" w:cstheme="minorBidi"/>
          <w:spacing w:val="0"/>
          <w:lang w:val="bg-BG" w:eastAsia="bg-BG" w:bidi="ar-SA"/>
        </w:rPr>
      </w:pPr>
      <w:hyperlink w:anchor="_Toc536452029" w:history="1">
        <w:r w:rsidRPr="003530A8">
          <w:rPr>
            <w:rStyle w:val="Hyperlink"/>
          </w:rPr>
          <w:t>23.</w:t>
        </w:r>
        <w:r>
          <w:rPr>
            <w:rFonts w:asciiTheme="minorHAnsi" w:eastAsiaTheme="minorEastAsia" w:hAnsiTheme="minorHAnsi" w:cstheme="minorBidi"/>
            <w:spacing w:val="0"/>
            <w:lang w:val="bg-BG" w:eastAsia="bg-BG" w:bidi="ar-SA"/>
          </w:rPr>
          <w:tab/>
        </w:r>
        <w:r w:rsidRPr="003530A8">
          <w:rPr>
            <w:rStyle w:val="Hyperlink"/>
          </w:rPr>
          <w:t>КАПИТАЛ И РЕЗЕРВИ</w:t>
        </w:r>
        <w:r>
          <w:rPr>
            <w:webHidden/>
          </w:rPr>
          <w:tab/>
        </w:r>
        <w:r>
          <w:rPr>
            <w:webHidden/>
          </w:rPr>
          <w:fldChar w:fldCharType="begin"/>
        </w:r>
        <w:r>
          <w:rPr>
            <w:webHidden/>
          </w:rPr>
          <w:instrText xml:space="preserve"> PAGEREF _Toc536452029 \h </w:instrText>
        </w:r>
        <w:r>
          <w:rPr>
            <w:webHidden/>
          </w:rPr>
        </w:r>
        <w:r>
          <w:rPr>
            <w:webHidden/>
          </w:rPr>
          <w:fldChar w:fldCharType="separate"/>
        </w:r>
        <w:r>
          <w:rPr>
            <w:webHidden/>
          </w:rPr>
          <w:t>27</w:t>
        </w:r>
        <w:r>
          <w:rPr>
            <w:webHidden/>
          </w:rPr>
          <w:fldChar w:fldCharType="end"/>
        </w:r>
      </w:hyperlink>
    </w:p>
    <w:p w14:paraId="73B165AA" w14:textId="42718564" w:rsidR="005B5648" w:rsidRDefault="005B5648">
      <w:pPr>
        <w:pStyle w:val="TOC1"/>
        <w:rPr>
          <w:rFonts w:asciiTheme="minorHAnsi" w:eastAsiaTheme="minorEastAsia" w:hAnsiTheme="minorHAnsi" w:cstheme="minorBidi"/>
          <w:spacing w:val="0"/>
          <w:lang w:val="bg-BG" w:eastAsia="bg-BG" w:bidi="ar-SA"/>
        </w:rPr>
      </w:pPr>
      <w:hyperlink w:anchor="_Toc536452030" w:history="1">
        <w:r w:rsidRPr="003530A8">
          <w:rPr>
            <w:rStyle w:val="Hyperlink"/>
          </w:rPr>
          <w:t>24.</w:t>
        </w:r>
        <w:r>
          <w:rPr>
            <w:rFonts w:asciiTheme="minorHAnsi" w:eastAsiaTheme="minorEastAsia" w:hAnsiTheme="minorHAnsi" w:cstheme="minorBidi"/>
            <w:spacing w:val="0"/>
            <w:lang w:val="bg-BG" w:eastAsia="bg-BG" w:bidi="ar-SA"/>
          </w:rPr>
          <w:tab/>
        </w:r>
        <w:r w:rsidRPr="003530A8">
          <w:rPr>
            <w:rStyle w:val="Hyperlink"/>
          </w:rPr>
          <w:t>ЗАДЪЛЖЕНИЯ КЪМ ДОСТАВЧИЦИ И ДРУГИ КРЕДИТОРИ</w:t>
        </w:r>
        <w:r>
          <w:rPr>
            <w:webHidden/>
          </w:rPr>
          <w:tab/>
        </w:r>
        <w:r>
          <w:rPr>
            <w:webHidden/>
          </w:rPr>
          <w:fldChar w:fldCharType="begin"/>
        </w:r>
        <w:r>
          <w:rPr>
            <w:webHidden/>
          </w:rPr>
          <w:instrText xml:space="preserve"> PAGEREF _Toc536452030 \h </w:instrText>
        </w:r>
        <w:r>
          <w:rPr>
            <w:webHidden/>
          </w:rPr>
        </w:r>
        <w:r>
          <w:rPr>
            <w:webHidden/>
          </w:rPr>
          <w:fldChar w:fldCharType="separate"/>
        </w:r>
        <w:r>
          <w:rPr>
            <w:webHidden/>
          </w:rPr>
          <w:t>29</w:t>
        </w:r>
        <w:r>
          <w:rPr>
            <w:webHidden/>
          </w:rPr>
          <w:fldChar w:fldCharType="end"/>
        </w:r>
      </w:hyperlink>
    </w:p>
    <w:p w14:paraId="779624D0" w14:textId="33EE8919" w:rsidR="005B5648" w:rsidRDefault="005B5648">
      <w:pPr>
        <w:pStyle w:val="TOC1"/>
        <w:rPr>
          <w:rFonts w:asciiTheme="minorHAnsi" w:eastAsiaTheme="minorEastAsia" w:hAnsiTheme="minorHAnsi" w:cstheme="minorBidi"/>
          <w:spacing w:val="0"/>
          <w:lang w:val="bg-BG" w:eastAsia="bg-BG" w:bidi="ar-SA"/>
        </w:rPr>
      </w:pPr>
      <w:hyperlink w:anchor="_Toc536452031" w:history="1">
        <w:r w:rsidRPr="003530A8">
          <w:rPr>
            <w:rStyle w:val="Hyperlink"/>
          </w:rPr>
          <w:t>25.</w:t>
        </w:r>
        <w:r>
          <w:rPr>
            <w:rFonts w:asciiTheme="minorHAnsi" w:eastAsiaTheme="minorEastAsia" w:hAnsiTheme="minorHAnsi" w:cstheme="minorBidi"/>
            <w:spacing w:val="0"/>
            <w:lang w:val="bg-BG" w:eastAsia="bg-BG" w:bidi="ar-SA"/>
          </w:rPr>
          <w:tab/>
        </w:r>
        <w:r w:rsidRPr="003530A8">
          <w:rPr>
            <w:rStyle w:val="Hyperlink"/>
          </w:rPr>
          <w:t>ЗАДЪЛЖЕНИЯ ЗА ДИВИДЕНТИ</w:t>
        </w:r>
        <w:r>
          <w:rPr>
            <w:webHidden/>
          </w:rPr>
          <w:tab/>
        </w:r>
        <w:r>
          <w:rPr>
            <w:webHidden/>
          </w:rPr>
          <w:fldChar w:fldCharType="begin"/>
        </w:r>
        <w:r>
          <w:rPr>
            <w:webHidden/>
          </w:rPr>
          <w:instrText xml:space="preserve"> PAGEREF _Toc536452031 \h </w:instrText>
        </w:r>
        <w:r>
          <w:rPr>
            <w:webHidden/>
          </w:rPr>
        </w:r>
        <w:r>
          <w:rPr>
            <w:webHidden/>
          </w:rPr>
          <w:fldChar w:fldCharType="separate"/>
        </w:r>
        <w:r>
          <w:rPr>
            <w:webHidden/>
          </w:rPr>
          <w:t>29</w:t>
        </w:r>
        <w:r>
          <w:rPr>
            <w:webHidden/>
          </w:rPr>
          <w:fldChar w:fldCharType="end"/>
        </w:r>
      </w:hyperlink>
    </w:p>
    <w:p w14:paraId="560F3BB8" w14:textId="5C154528" w:rsidR="005B5648" w:rsidRDefault="005B5648">
      <w:pPr>
        <w:pStyle w:val="TOC1"/>
        <w:rPr>
          <w:rFonts w:asciiTheme="minorHAnsi" w:eastAsiaTheme="minorEastAsia" w:hAnsiTheme="minorHAnsi" w:cstheme="minorBidi"/>
          <w:spacing w:val="0"/>
          <w:lang w:val="bg-BG" w:eastAsia="bg-BG" w:bidi="ar-SA"/>
        </w:rPr>
      </w:pPr>
      <w:hyperlink w:anchor="_Toc536452032" w:history="1">
        <w:r w:rsidRPr="003530A8">
          <w:rPr>
            <w:rStyle w:val="Hyperlink"/>
          </w:rPr>
          <w:t>26.</w:t>
        </w:r>
        <w:r>
          <w:rPr>
            <w:rFonts w:asciiTheme="minorHAnsi" w:eastAsiaTheme="minorEastAsia" w:hAnsiTheme="minorHAnsi" w:cstheme="minorBidi"/>
            <w:spacing w:val="0"/>
            <w:lang w:val="bg-BG" w:eastAsia="bg-BG" w:bidi="ar-SA"/>
          </w:rPr>
          <w:tab/>
        </w:r>
        <w:r w:rsidRPr="003530A8">
          <w:rPr>
            <w:rStyle w:val="Hyperlink"/>
          </w:rPr>
          <w:t>ЗАДЪЛЖЕНИЯ ЗА ДАНЪЦИ</w:t>
        </w:r>
        <w:r>
          <w:rPr>
            <w:webHidden/>
          </w:rPr>
          <w:tab/>
        </w:r>
        <w:r>
          <w:rPr>
            <w:webHidden/>
          </w:rPr>
          <w:fldChar w:fldCharType="begin"/>
        </w:r>
        <w:r>
          <w:rPr>
            <w:webHidden/>
          </w:rPr>
          <w:instrText xml:space="preserve"> PAGEREF _Toc536452032 \h </w:instrText>
        </w:r>
        <w:r>
          <w:rPr>
            <w:webHidden/>
          </w:rPr>
        </w:r>
        <w:r>
          <w:rPr>
            <w:webHidden/>
          </w:rPr>
          <w:fldChar w:fldCharType="separate"/>
        </w:r>
        <w:r>
          <w:rPr>
            <w:webHidden/>
          </w:rPr>
          <w:t>29</w:t>
        </w:r>
        <w:r>
          <w:rPr>
            <w:webHidden/>
          </w:rPr>
          <w:fldChar w:fldCharType="end"/>
        </w:r>
      </w:hyperlink>
    </w:p>
    <w:p w14:paraId="2172DAF0" w14:textId="0C7E90DF" w:rsidR="005B5648" w:rsidRDefault="005B5648">
      <w:pPr>
        <w:pStyle w:val="TOC1"/>
        <w:rPr>
          <w:rFonts w:asciiTheme="minorHAnsi" w:eastAsiaTheme="minorEastAsia" w:hAnsiTheme="minorHAnsi" w:cstheme="minorBidi"/>
          <w:spacing w:val="0"/>
          <w:lang w:val="bg-BG" w:eastAsia="bg-BG" w:bidi="ar-SA"/>
        </w:rPr>
      </w:pPr>
      <w:hyperlink w:anchor="_Toc536452033" w:history="1">
        <w:r w:rsidRPr="003530A8">
          <w:rPr>
            <w:rStyle w:val="Hyperlink"/>
          </w:rPr>
          <w:t>27.</w:t>
        </w:r>
        <w:r>
          <w:rPr>
            <w:rFonts w:asciiTheme="minorHAnsi" w:eastAsiaTheme="minorEastAsia" w:hAnsiTheme="minorHAnsi" w:cstheme="minorBidi"/>
            <w:spacing w:val="0"/>
            <w:lang w:val="bg-BG" w:eastAsia="bg-BG" w:bidi="ar-SA"/>
          </w:rPr>
          <w:tab/>
        </w:r>
        <w:r w:rsidRPr="003530A8">
          <w:rPr>
            <w:rStyle w:val="Hyperlink"/>
          </w:rPr>
          <w:t>ЗАДЪЛЖЕНИЯ КЪМ ПЕРСОНАЛА И СОЦИАЛНОТО ОСИГУРЯВАНЕ</w:t>
        </w:r>
        <w:r>
          <w:rPr>
            <w:webHidden/>
          </w:rPr>
          <w:tab/>
        </w:r>
        <w:r>
          <w:rPr>
            <w:webHidden/>
          </w:rPr>
          <w:fldChar w:fldCharType="begin"/>
        </w:r>
        <w:r>
          <w:rPr>
            <w:webHidden/>
          </w:rPr>
          <w:instrText xml:space="preserve"> PAGEREF _Toc536452033 \h </w:instrText>
        </w:r>
        <w:r>
          <w:rPr>
            <w:webHidden/>
          </w:rPr>
        </w:r>
        <w:r>
          <w:rPr>
            <w:webHidden/>
          </w:rPr>
          <w:fldChar w:fldCharType="separate"/>
        </w:r>
        <w:r>
          <w:rPr>
            <w:webHidden/>
          </w:rPr>
          <w:t>30</w:t>
        </w:r>
        <w:r>
          <w:rPr>
            <w:webHidden/>
          </w:rPr>
          <w:fldChar w:fldCharType="end"/>
        </w:r>
      </w:hyperlink>
    </w:p>
    <w:p w14:paraId="4E45DB8A" w14:textId="67B05050" w:rsidR="005B5648" w:rsidRDefault="005B5648">
      <w:pPr>
        <w:pStyle w:val="TOC1"/>
        <w:rPr>
          <w:rFonts w:asciiTheme="minorHAnsi" w:eastAsiaTheme="minorEastAsia" w:hAnsiTheme="minorHAnsi" w:cstheme="minorBidi"/>
          <w:spacing w:val="0"/>
          <w:lang w:val="bg-BG" w:eastAsia="bg-BG" w:bidi="ar-SA"/>
        </w:rPr>
      </w:pPr>
      <w:hyperlink w:anchor="_Toc536452034" w:history="1">
        <w:r w:rsidRPr="003530A8">
          <w:rPr>
            <w:rStyle w:val="Hyperlink"/>
          </w:rPr>
          <w:t>28.</w:t>
        </w:r>
        <w:r>
          <w:rPr>
            <w:rFonts w:asciiTheme="minorHAnsi" w:eastAsiaTheme="minorEastAsia" w:hAnsiTheme="minorHAnsi" w:cstheme="minorBidi"/>
            <w:spacing w:val="0"/>
            <w:lang w:val="bg-BG" w:eastAsia="bg-BG" w:bidi="ar-SA"/>
          </w:rPr>
          <w:tab/>
        </w:r>
        <w:r w:rsidRPr="003530A8">
          <w:rPr>
            <w:rStyle w:val="Hyperlink"/>
          </w:rPr>
          <w:t>СЕГМЕНТНО ОТЧИТАНЕ</w:t>
        </w:r>
        <w:r>
          <w:rPr>
            <w:webHidden/>
          </w:rPr>
          <w:tab/>
        </w:r>
        <w:r>
          <w:rPr>
            <w:webHidden/>
          </w:rPr>
          <w:fldChar w:fldCharType="begin"/>
        </w:r>
        <w:r>
          <w:rPr>
            <w:webHidden/>
          </w:rPr>
          <w:instrText xml:space="preserve"> PAGEREF _Toc536452034 \h </w:instrText>
        </w:r>
        <w:r>
          <w:rPr>
            <w:webHidden/>
          </w:rPr>
        </w:r>
        <w:r>
          <w:rPr>
            <w:webHidden/>
          </w:rPr>
          <w:fldChar w:fldCharType="separate"/>
        </w:r>
        <w:r>
          <w:rPr>
            <w:webHidden/>
          </w:rPr>
          <w:t>30</w:t>
        </w:r>
        <w:r>
          <w:rPr>
            <w:webHidden/>
          </w:rPr>
          <w:fldChar w:fldCharType="end"/>
        </w:r>
      </w:hyperlink>
    </w:p>
    <w:p w14:paraId="6904195E" w14:textId="4A17BF97" w:rsidR="005B5648" w:rsidRDefault="005B5648">
      <w:pPr>
        <w:pStyle w:val="TOC1"/>
        <w:rPr>
          <w:rFonts w:asciiTheme="minorHAnsi" w:eastAsiaTheme="minorEastAsia" w:hAnsiTheme="minorHAnsi" w:cstheme="minorBidi"/>
          <w:spacing w:val="0"/>
          <w:lang w:val="bg-BG" w:eastAsia="bg-BG" w:bidi="ar-SA"/>
        </w:rPr>
      </w:pPr>
      <w:hyperlink w:anchor="_Toc536452035" w:history="1">
        <w:r w:rsidRPr="003530A8">
          <w:rPr>
            <w:rStyle w:val="Hyperlink"/>
          </w:rPr>
          <w:t>29.</w:t>
        </w:r>
        <w:r>
          <w:rPr>
            <w:rFonts w:asciiTheme="minorHAnsi" w:eastAsiaTheme="minorEastAsia" w:hAnsiTheme="minorHAnsi" w:cstheme="minorBidi"/>
            <w:spacing w:val="0"/>
            <w:lang w:val="bg-BG" w:eastAsia="bg-BG" w:bidi="ar-SA"/>
          </w:rPr>
          <w:tab/>
        </w:r>
        <w:r w:rsidRPr="003530A8">
          <w:rPr>
            <w:rStyle w:val="Hyperlink"/>
          </w:rPr>
          <w:t>УПРАВЛЕНИЕ НА ФИНАНСОВИЯ РИСК</w:t>
        </w:r>
        <w:r>
          <w:rPr>
            <w:webHidden/>
          </w:rPr>
          <w:tab/>
        </w:r>
        <w:r>
          <w:rPr>
            <w:webHidden/>
          </w:rPr>
          <w:fldChar w:fldCharType="begin"/>
        </w:r>
        <w:r>
          <w:rPr>
            <w:webHidden/>
          </w:rPr>
          <w:instrText xml:space="preserve"> PAGEREF _Toc536452035 \h </w:instrText>
        </w:r>
        <w:r>
          <w:rPr>
            <w:webHidden/>
          </w:rPr>
        </w:r>
        <w:r>
          <w:rPr>
            <w:webHidden/>
          </w:rPr>
          <w:fldChar w:fldCharType="separate"/>
        </w:r>
        <w:r>
          <w:rPr>
            <w:webHidden/>
          </w:rPr>
          <w:t>31</w:t>
        </w:r>
        <w:r>
          <w:rPr>
            <w:webHidden/>
          </w:rPr>
          <w:fldChar w:fldCharType="end"/>
        </w:r>
      </w:hyperlink>
    </w:p>
    <w:p w14:paraId="5D4E1BFD" w14:textId="609C4481" w:rsidR="005B5648" w:rsidRDefault="005B5648">
      <w:pPr>
        <w:pStyle w:val="TOC1"/>
        <w:rPr>
          <w:rFonts w:asciiTheme="minorHAnsi" w:eastAsiaTheme="minorEastAsia" w:hAnsiTheme="minorHAnsi" w:cstheme="minorBidi"/>
          <w:spacing w:val="0"/>
          <w:lang w:val="bg-BG" w:eastAsia="bg-BG" w:bidi="ar-SA"/>
        </w:rPr>
      </w:pPr>
      <w:hyperlink w:anchor="_Toc536452036" w:history="1">
        <w:r w:rsidRPr="003530A8">
          <w:rPr>
            <w:rStyle w:val="Hyperlink"/>
          </w:rPr>
          <w:t>30.</w:t>
        </w:r>
        <w:r>
          <w:rPr>
            <w:rFonts w:asciiTheme="minorHAnsi" w:eastAsiaTheme="minorEastAsia" w:hAnsiTheme="minorHAnsi" w:cstheme="minorBidi"/>
            <w:spacing w:val="0"/>
            <w:lang w:val="bg-BG" w:eastAsia="bg-BG" w:bidi="ar-SA"/>
          </w:rPr>
          <w:tab/>
        </w:r>
        <w:r w:rsidRPr="003530A8">
          <w:rPr>
            <w:rStyle w:val="Hyperlink"/>
          </w:rPr>
          <w:t>СВЪРЗАНИ ЛИЦА И СДЕЛКИ СЪС СВЪРЗАНИ ЛИЦА</w:t>
        </w:r>
        <w:r>
          <w:rPr>
            <w:webHidden/>
          </w:rPr>
          <w:tab/>
        </w:r>
        <w:r>
          <w:rPr>
            <w:webHidden/>
          </w:rPr>
          <w:fldChar w:fldCharType="begin"/>
        </w:r>
        <w:r>
          <w:rPr>
            <w:webHidden/>
          </w:rPr>
          <w:instrText xml:space="preserve"> PAGEREF _Toc536452036 \h </w:instrText>
        </w:r>
        <w:r>
          <w:rPr>
            <w:webHidden/>
          </w:rPr>
        </w:r>
        <w:r>
          <w:rPr>
            <w:webHidden/>
          </w:rPr>
          <w:fldChar w:fldCharType="separate"/>
        </w:r>
        <w:r>
          <w:rPr>
            <w:webHidden/>
          </w:rPr>
          <w:t>32</w:t>
        </w:r>
        <w:r>
          <w:rPr>
            <w:webHidden/>
          </w:rPr>
          <w:fldChar w:fldCharType="end"/>
        </w:r>
      </w:hyperlink>
    </w:p>
    <w:p w14:paraId="1894A7E2" w14:textId="7B3AA385" w:rsidR="005B5648" w:rsidRDefault="005B5648">
      <w:pPr>
        <w:pStyle w:val="TOC1"/>
        <w:rPr>
          <w:rFonts w:asciiTheme="minorHAnsi" w:eastAsiaTheme="minorEastAsia" w:hAnsiTheme="minorHAnsi" w:cstheme="minorBidi"/>
          <w:spacing w:val="0"/>
          <w:lang w:val="bg-BG" w:eastAsia="bg-BG" w:bidi="ar-SA"/>
        </w:rPr>
      </w:pPr>
      <w:hyperlink w:anchor="_Toc536452037" w:history="1">
        <w:r w:rsidRPr="003530A8">
          <w:rPr>
            <w:rStyle w:val="Hyperlink"/>
          </w:rPr>
          <w:t>31.</w:t>
        </w:r>
        <w:r>
          <w:rPr>
            <w:rFonts w:asciiTheme="minorHAnsi" w:eastAsiaTheme="minorEastAsia" w:hAnsiTheme="minorHAnsi" w:cstheme="minorBidi"/>
            <w:spacing w:val="0"/>
            <w:lang w:val="bg-BG" w:eastAsia="bg-BG" w:bidi="ar-SA"/>
          </w:rPr>
          <w:tab/>
        </w:r>
        <w:r w:rsidRPr="003530A8">
          <w:rPr>
            <w:rStyle w:val="Hyperlink"/>
          </w:rPr>
          <w:t>СЪБИТИЯ СЛЕД КРАЯ НА ОТЧЕТНИЯ ПЕРИОД</w:t>
        </w:r>
        <w:r>
          <w:rPr>
            <w:webHidden/>
          </w:rPr>
          <w:tab/>
        </w:r>
        <w:r>
          <w:rPr>
            <w:webHidden/>
          </w:rPr>
          <w:fldChar w:fldCharType="begin"/>
        </w:r>
        <w:r>
          <w:rPr>
            <w:webHidden/>
          </w:rPr>
          <w:instrText xml:space="preserve"> PAGEREF _Toc536452037 \h </w:instrText>
        </w:r>
        <w:r>
          <w:rPr>
            <w:webHidden/>
          </w:rPr>
        </w:r>
        <w:r>
          <w:rPr>
            <w:webHidden/>
          </w:rPr>
          <w:fldChar w:fldCharType="separate"/>
        </w:r>
        <w:r>
          <w:rPr>
            <w:webHidden/>
          </w:rPr>
          <w:t>33</w:t>
        </w:r>
        <w:r>
          <w:rPr>
            <w:webHidden/>
          </w:rPr>
          <w:fldChar w:fldCharType="end"/>
        </w:r>
      </w:hyperlink>
    </w:p>
    <w:p w14:paraId="150B6B35" w14:textId="1EF2CDDB" w:rsidR="0084445A" w:rsidRPr="00741D80" w:rsidRDefault="00F55D38" w:rsidP="00F55D38">
      <w:pPr>
        <w:spacing w:after="0"/>
        <w:rPr>
          <w:rFonts w:cstheme="minorHAnsi"/>
        </w:rPr>
      </w:pPr>
      <w:r>
        <w:rPr>
          <w:rFonts w:eastAsia="Times New Roman" w:cstheme="minorHAnsi"/>
          <w:spacing w:val="-4"/>
          <w:lang w:val="ru-RU" w:bidi="bg-BG"/>
        </w:rPr>
        <w:fldChar w:fldCharType="end"/>
      </w:r>
    </w:p>
    <w:p w14:paraId="721C8AFF" w14:textId="77777777" w:rsidR="0084445A" w:rsidRPr="00741D80" w:rsidRDefault="0084445A" w:rsidP="0084445A">
      <w:pPr>
        <w:rPr>
          <w:rFonts w:cstheme="minorHAnsi"/>
        </w:rPr>
      </w:pPr>
      <w:bookmarkStart w:id="0" w:name="_Toc439746783"/>
      <w:r w:rsidRPr="00741D80">
        <w:rPr>
          <w:rFonts w:cstheme="minorHAnsi"/>
        </w:rPr>
        <w:br w:type="page"/>
      </w:r>
    </w:p>
    <w:p w14:paraId="4C0D420F" w14:textId="77777777" w:rsidR="0084445A" w:rsidRPr="00741D80" w:rsidRDefault="0084445A" w:rsidP="0084445A">
      <w:pPr>
        <w:rPr>
          <w:rFonts w:cstheme="minorHAnsi"/>
        </w:rPr>
        <w:sectPr w:rsidR="0084445A" w:rsidRPr="00741D80" w:rsidSect="00AE7CF9">
          <w:headerReference w:type="default" r:id="rId8"/>
          <w:footerReference w:type="even" r:id="rId9"/>
          <w:headerReference w:type="first" r:id="rId10"/>
          <w:pgSz w:w="11906" w:h="16838" w:code="9"/>
          <w:pgMar w:top="1251" w:right="1325" w:bottom="993" w:left="1276" w:header="567" w:footer="569" w:gutter="0"/>
          <w:pgNumType w:start="3"/>
          <w:cols w:space="708"/>
          <w:docGrid w:linePitch="272"/>
        </w:sectPr>
      </w:pPr>
    </w:p>
    <w:p w14:paraId="33AC292B" w14:textId="77777777" w:rsidR="0084445A" w:rsidRPr="00741D80" w:rsidRDefault="0084445A" w:rsidP="00833465">
      <w:pPr>
        <w:pStyle w:val="Mainnumbers"/>
      </w:pPr>
      <w:bookmarkStart w:id="1" w:name="_Toc418084337"/>
      <w:bookmarkStart w:id="2" w:name="_Toc536452007"/>
      <w:bookmarkEnd w:id="0"/>
      <w:r w:rsidRPr="00741D80">
        <w:lastRenderedPageBreak/>
        <w:t>ИНФОРМАЦИЯ ЗА ДРУЖЕСТВОТО</w:t>
      </w:r>
      <w:bookmarkEnd w:id="1"/>
      <w:bookmarkEnd w:id="2"/>
    </w:p>
    <w:p w14:paraId="6EB429CA" w14:textId="77777777" w:rsidR="0084445A" w:rsidRPr="00741D80" w:rsidRDefault="0084445A" w:rsidP="00374D3C">
      <w:pPr>
        <w:jc w:val="both"/>
        <w:rPr>
          <w:rFonts w:cstheme="minorHAnsi"/>
        </w:rPr>
      </w:pPr>
      <w:r w:rsidRPr="00741D80">
        <w:rPr>
          <w:rFonts w:cstheme="minorHAnsi"/>
        </w:rPr>
        <w:t xml:space="preserve">Българска фондова борса АД (Дружеството, Борсата) е търговско дружество, създадено през месец ноември 1991 г. Дружеството е със седалище и адрес на управление гр. София, ул. Три уши № 6. Съдебната регистрация на дружеството е от 1991 г. с Решение № 25156/08.11.1991 г. на Софийски градски съд. </w:t>
      </w:r>
    </w:p>
    <w:p w14:paraId="10B41C0D" w14:textId="77777777" w:rsidR="0084445A" w:rsidRPr="00741D80" w:rsidRDefault="0084445A" w:rsidP="00374D3C">
      <w:pPr>
        <w:jc w:val="both"/>
        <w:rPr>
          <w:rFonts w:cstheme="minorHAnsi"/>
        </w:rPr>
      </w:pPr>
      <w:r w:rsidRPr="00741D80">
        <w:rPr>
          <w:rFonts w:cstheme="minorHAnsi"/>
        </w:rPr>
        <w:t>Българска фондова борса АД е публично акционерно дружество. Към 31</w:t>
      </w:r>
      <w:r w:rsidRPr="00741D80">
        <w:rPr>
          <w:rFonts w:cstheme="minorHAnsi"/>
          <w:lang w:val="en-US"/>
        </w:rPr>
        <w:t>.</w:t>
      </w:r>
      <w:r w:rsidRPr="00741D80">
        <w:rPr>
          <w:rFonts w:cstheme="minorHAnsi"/>
        </w:rPr>
        <w:t xml:space="preserve">12.2018 г. капиталът на дружеството е разпределен в 6,582,860 броя безналични поименни акции с номинална стойност на една акция - един лев. </w:t>
      </w:r>
    </w:p>
    <w:p w14:paraId="68A4E753" w14:textId="77777777" w:rsidR="0084445A" w:rsidRPr="00741D80" w:rsidRDefault="0084445A" w:rsidP="00374D3C">
      <w:pPr>
        <w:jc w:val="both"/>
        <w:rPr>
          <w:rFonts w:cstheme="minorHAnsi"/>
        </w:rPr>
      </w:pPr>
      <w:r w:rsidRPr="00741D80">
        <w:rPr>
          <w:rFonts w:cstheme="minorHAnsi"/>
        </w:rPr>
        <w:t xml:space="preserve">На 09.12.2010 г. е вписано в Търговския регистър увеличение на основния капитал на Борсата със 715,000 лева от 5,867,860 лева до 6,582,860 лева чрез издаване на нови 715,000 броя обикновени поименни безналични акции с право на глас срещу парична вноска от акционера на дружеството Министерство на финансите на Република България. </w:t>
      </w:r>
    </w:p>
    <w:p w14:paraId="194B5BBB" w14:textId="77777777" w:rsidR="0084445A" w:rsidRPr="00741D80" w:rsidRDefault="0084445A" w:rsidP="00374D3C">
      <w:pPr>
        <w:jc w:val="both"/>
        <w:rPr>
          <w:rFonts w:cstheme="minorHAnsi"/>
        </w:rPr>
      </w:pPr>
      <w:r w:rsidRPr="00741D80">
        <w:rPr>
          <w:rFonts w:cstheme="minorHAnsi"/>
        </w:rPr>
        <w:t xml:space="preserve">На 03.07.2018 г. в Търговския регистър беше вписана промяна в наименованието на дружеството, а именно: от Българска фондова борса-София АД на Българска фондова борса АД. </w:t>
      </w:r>
    </w:p>
    <w:p w14:paraId="7B0AE315" w14:textId="1FF5DD09" w:rsidR="0084445A" w:rsidRPr="00F55D38" w:rsidRDefault="00F55D38" w:rsidP="00374D3C">
      <w:pPr>
        <w:jc w:val="both"/>
        <w:rPr>
          <w:b/>
        </w:rPr>
      </w:pPr>
      <w:bookmarkStart w:id="3" w:name="_Toc439746784"/>
      <w:bookmarkStart w:id="4" w:name="_Toc418084338"/>
      <w:r>
        <w:rPr>
          <w:b/>
          <w:lang w:val="en-US"/>
        </w:rPr>
        <w:t>1.1</w:t>
      </w:r>
      <w:r w:rsidR="00CC5D05">
        <w:rPr>
          <w:b/>
          <w:lang w:val="en-US"/>
        </w:rPr>
        <w:t>.</w:t>
      </w:r>
      <w:r>
        <w:rPr>
          <w:b/>
          <w:lang w:val="en-US"/>
        </w:rPr>
        <w:t xml:space="preserve"> </w:t>
      </w:r>
      <w:r w:rsidR="0084445A" w:rsidRPr="00F55D38">
        <w:rPr>
          <w:b/>
        </w:rPr>
        <w:t>Собственост и управление</w:t>
      </w:r>
      <w:bookmarkEnd w:id="3"/>
      <w:bookmarkEnd w:id="4"/>
    </w:p>
    <w:p w14:paraId="6BB687C6" w14:textId="77777777" w:rsidR="0084445A" w:rsidRPr="00741D80" w:rsidRDefault="0084445A" w:rsidP="00374D3C">
      <w:pPr>
        <w:jc w:val="both"/>
        <w:rPr>
          <w:rFonts w:cstheme="minorHAnsi"/>
        </w:rPr>
      </w:pPr>
      <w:r w:rsidRPr="00741D80">
        <w:rPr>
          <w:rFonts w:cstheme="minorHAnsi"/>
        </w:rPr>
        <w:t>На 21.12.2010 г. в Търговския регистър е вписан и обявен статутът на Борсата като публично дружество, както и новият устав на дружеството.</w:t>
      </w:r>
    </w:p>
    <w:p w14:paraId="5483AD8A" w14:textId="77777777" w:rsidR="0084445A" w:rsidRPr="00741D80" w:rsidRDefault="0084445A" w:rsidP="00374D3C">
      <w:pPr>
        <w:jc w:val="both"/>
        <w:rPr>
          <w:rFonts w:cstheme="minorHAnsi"/>
        </w:rPr>
      </w:pPr>
      <w:r w:rsidRPr="00741D80">
        <w:rPr>
          <w:rFonts w:cstheme="minorHAnsi"/>
        </w:rPr>
        <w:t xml:space="preserve">Към 31.12.2018 г. регистрираният акционерен капитал на Българска фондова борса АД възлиза на 6,583 </w:t>
      </w:r>
      <w:proofErr w:type="spellStart"/>
      <w:r w:rsidRPr="00741D80">
        <w:rPr>
          <w:rFonts w:cstheme="minorHAnsi"/>
        </w:rPr>
        <w:t>х.лв</w:t>
      </w:r>
      <w:proofErr w:type="spellEnd"/>
      <w:r w:rsidRPr="00741D80">
        <w:rPr>
          <w:rFonts w:cstheme="minorHAnsi"/>
        </w:rPr>
        <w:t xml:space="preserve">., разпределен в 6,582,860 обикновени поименни акции с право на глас с номинална стойност на акция - 1 лев. </w:t>
      </w:r>
    </w:p>
    <w:p w14:paraId="5AA575A7" w14:textId="77777777" w:rsidR="0084445A" w:rsidRPr="00741D80" w:rsidRDefault="0084445A" w:rsidP="00374D3C">
      <w:pPr>
        <w:jc w:val="both"/>
        <w:rPr>
          <w:rFonts w:cstheme="minorHAnsi"/>
        </w:rPr>
      </w:pPr>
      <w:r w:rsidRPr="00741D80">
        <w:rPr>
          <w:rFonts w:cstheme="minorHAnsi"/>
        </w:rPr>
        <w:t>Разпределението на основния акционерен капитал е:</w:t>
      </w:r>
    </w:p>
    <w:tbl>
      <w:tblPr>
        <w:tblW w:w="5000" w:type="pct"/>
        <w:jc w:val="center"/>
        <w:tblCellMar>
          <w:left w:w="0" w:type="dxa"/>
          <w:right w:w="0" w:type="dxa"/>
        </w:tblCellMar>
        <w:tblLook w:val="0000" w:firstRow="0" w:lastRow="0" w:firstColumn="0" w:lastColumn="0" w:noHBand="0" w:noVBand="0"/>
      </w:tblPr>
      <w:tblGrid>
        <w:gridCol w:w="5625"/>
        <w:gridCol w:w="2163"/>
        <w:gridCol w:w="1850"/>
      </w:tblGrid>
      <w:tr w:rsidR="0084445A" w:rsidRPr="00741D80" w14:paraId="4464DAD3" w14:textId="77777777" w:rsidTr="00AE7CF9">
        <w:trPr>
          <w:trHeight w:val="170"/>
          <w:jc w:val="center"/>
        </w:trPr>
        <w:tc>
          <w:tcPr>
            <w:tcW w:w="2918" w:type="pct"/>
            <w:tcBorders>
              <w:top w:val="single" w:sz="4" w:space="0" w:color="auto"/>
              <w:left w:val="nil"/>
              <w:bottom w:val="nil"/>
              <w:right w:val="nil"/>
            </w:tcBorders>
            <w:shd w:val="clear" w:color="auto" w:fill="auto"/>
            <w:tcMar>
              <w:left w:w="57" w:type="dxa"/>
              <w:right w:w="57" w:type="dxa"/>
            </w:tcMar>
            <w:vAlign w:val="bottom"/>
          </w:tcPr>
          <w:p w14:paraId="189F5E70" w14:textId="77777777" w:rsidR="0084445A" w:rsidRPr="00741D80" w:rsidRDefault="0084445A" w:rsidP="00AE7CF9">
            <w:pPr>
              <w:pStyle w:val="a1"/>
              <w:spacing w:line="276" w:lineRule="auto"/>
              <w:rPr>
                <w:rFonts w:asciiTheme="minorHAnsi" w:hAnsiTheme="minorHAnsi" w:cstheme="minorHAnsi"/>
                <w:color w:val="auto"/>
                <w:szCs w:val="20"/>
                <w:lang w:val="bg-BG"/>
              </w:rPr>
            </w:pPr>
          </w:p>
        </w:tc>
        <w:tc>
          <w:tcPr>
            <w:tcW w:w="1122" w:type="pct"/>
            <w:tcBorders>
              <w:top w:val="single" w:sz="4" w:space="0" w:color="auto"/>
              <w:left w:val="nil"/>
              <w:bottom w:val="single" w:sz="4" w:space="0" w:color="auto"/>
              <w:right w:val="nil"/>
            </w:tcBorders>
            <w:shd w:val="clear" w:color="auto" w:fill="auto"/>
            <w:tcMar>
              <w:left w:w="57" w:type="dxa"/>
              <w:right w:w="57" w:type="dxa"/>
            </w:tcMar>
            <w:vAlign w:val="bottom"/>
          </w:tcPr>
          <w:p w14:paraId="34F6AF34" w14:textId="77777777" w:rsidR="0084445A" w:rsidRPr="00741D80" w:rsidRDefault="0084445A" w:rsidP="00AE7CF9">
            <w:pPr>
              <w:pStyle w:val="a1"/>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960" w:type="pct"/>
            <w:tcBorders>
              <w:top w:val="single" w:sz="4" w:space="0" w:color="auto"/>
              <w:left w:val="nil"/>
              <w:bottom w:val="single" w:sz="4" w:space="0" w:color="auto"/>
              <w:right w:val="nil"/>
            </w:tcBorders>
            <w:shd w:val="clear" w:color="auto" w:fill="auto"/>
            <w:tcMar>
              <w:left w:w="57" w:type="dxa"/>
              <w:right w:w="57" w:type="dxa"/>
            </w:tcMar>
            <w:vAlign w:val="bottom"/>
          </w:tcPr>
          <w:p w14:paraId="76AC206D" w14:textId="77777777" w:rsidR="0084445A" w:rsidRPr="00741D80" w:rsidRDefault="0084445A" w:rsidP="00AE7CF9">
            <w:pPr>
              <w:pStyle w:val="a1"/>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FD518A" w:rsidRPr="00741D80" w14:paraId="1EE9A92B" w14:textId="77777777" w:rsidTr="00AE7CF9">
        <w:trPr>
          <w:trHeight w:val="170"/>
          <w:jc w:val="center"/>
        </w:trPr>
        <w:tc>
          <w:tcPr>
            <w:tcW w:w="2918" w:type="pct"/>
            <w:tcBorders>
              <w:top w:val="single" w:sz="4" w:space="0" w:color="auto"/>
              <w:left w:val="nil"/>
              <w:bottom w:val="nil"/>
              <w:right w:val="nil"/>
            </w:tcBorders>
            <w:shd w:val="clear" w:color="auto" w:fill="auto"/>
            <w:tcMar>
              <w:left w:w="57" w:type="dxa"/>
              <w:right w:w="57" w:type="dxa"/>
            </w:tcMar>
            <w:vAlign w:val="bottom"/>
          </w:tcPr>
          <w:p w14:paraId="6C2BB9C6" w14:textId="77777777" w:rsidR="00FD518A" w:rsidRPr="00741D80" w:rsidRDefault="00FD518A" w:rsidP="00FD518A">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Държавата, чрез Министерство на финансите</w:t>
            </w:r>
          </w:p>
        </w:tc>
        <w:tc>
          <w:tcPr>
            <w:tcW w:w="1122" w:type="pct"/>
            <w:tcBorders>
              <w:top w:val="single" w:sz="4" w:space="0" w:color="auto"/>
              <w:left w:val="nil"/>
              <w:bottom w:val="nil"/>
              <w:right w:val="nil"/>
            </w:tcBorders>
            <w:shd w:val="clear" w:color="auto" w:fill="auto"/>
            <w:tcMar>
              <w:left w:w="57" w:type="dxa"/>
              <w:right w:w="57" w:type="dxa"/>
            </w:tcMar>
            <w:vAlign w:val="bottom"/>
          </w:tcPr>
          <w:p w14:paraId="6482DB10" w14:textId="4085F8A2" w:rsidR="00FD518A" w:rsidRPr="00741D80" w:rsidRDefault="00FD518A" w:rsidP="00FD518A">
            <w:pPr>
              <w:pStyle w:val="a0"/>
              <w:widowControl w:val="0"/>
              <w:spacing w:line="276" w:lineRule="auto"/>
              <w:ind w:firstLine="709"/>
              <w:rPr>
                <w:rFonts w:asciiTheme="minorHAnsi" w:hAnsiTheme="minorHAnsi" w:cstheme="minorHAnsi"/>
                <w:color w:val="auto"/>
                <w:szCs w:val="20"/>
                <w:highlight w:val="yellow"/>
                <w:lang w:val="bg-BG"/>
              </w:rPr>
            </w:pPr>
            <w:r w:rsidRPr="00557A8A">
              <w:rPr>
                <w:rFonts w:ascii="Calibri" w:hAnsi="Calibri" w:cs="Calibri"/>
                <w:szCs w:val="22"/>
                <w:lang w:eastAsia="en-US"/>
              </w:rPr>
              <w:t>50,05%</w:t>
            </w:r>
          </w:p>
        </w:tc>
        <w:tc>
          <w:tcPr>
            <w:tcW w:w="960" w:type="pct"/>
            <w:tcBorders>
              <w:top w:val="single" w:sz="4" w:space="0" w:color="auto"/>
              <w:left w:val="nil"/>
              <w:bottom w:val="nil"/>
              <w:right w:val="nil"/>
            </w:tcBorders>
            <w:shd w:val="clear" w:color="auto" w:fill="auto"/>
            <w:tcMar>
              <w:left w:w="57" w:type="dxa"/>
              <w:right w:w="57" w:type="dxa"/>
            </w:tcMar>
            <w:vAlign w:val="bottom"/>
          </w:tcPr>
          <w:p w14:paraId="0B1AD1A7" w14:textId="77777777" w:rsidR="00FD518A" w:rsidRPr="00741D80" w:rsidRDefault="00FD518A" w:rsidP="00FD518A">
            <w:pPr>
              <w:pStyle w:val="a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50,05%</w:t>
            </w:r>
          </w:p>
        </w:tc>
      </w:tr>
      <w:tr w:rsidR="00FD518A" w:rsidRPr="00741D80" w14:paraId="016C5DDF" w14:textId="77777777" w:rsidTr="00AE7CF9">
        <w:trPr>
          <w:trHeight w:val="170"/>
          <w:jc w:val="center"/>
        </w:trPr>
        <w:tc>
          <w:tcPr>
            <w:tcW w:w="2918" w:type="pct"/>
            <w:tcBorders>
              <w:top w:val="nil"/>
              <w:left w:val="nil"/>
              <w:bottom w:val="nil"/>
              <w:right w:val="nil"/>
            </w:tcBorders>
            <w:shd w:val="clear" w:color="auto" w:fill="auto"/>
            <w:tcMar>
              <w:left w:w="57" w:type="dxa"/>
              <w:right w:w="57" w:type="dxa"/>
            </w:tcMar>
            <w:vAlign w:val="bottom"/>
          </w:tcPr>
          <w:p w14:paraId="050BA4A0" w14:textId="77777777" w:rsidR="00FD518A" w:rsidRPr="00741D80" w:rsidRDefault="00FD518A" w:rsidP="00FD518A">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Инвестиционни посредници и търговски банки</w:t>
            </w:r>
          </w:p>
        </w:tc>
        <w:tc>
          <w:tcPr>
            <w:tcW w:w="1122" w:type="pct"/>
            <w:tcBorders>
              <w:top w:val="nil"/>
              <w:left w:val="nil"/>
              <w:bottom w:val="nil"/>
              <w:right w:val="nil"/>
            </w:tcBorders>
            <w:shd w:val="clear" w:color="auto" w:fill="auto"/>
            <w:tcMar>
              <w:left w:w="57" w:type="dxa"/>
              <w:right w:w="57" w:type="dxa"/>
            </w:tcMar>
            <w:vAlign w:val="bottom"/>
          </w:tcPr>
          <w:p w14:paraId="2AB744F9" w14:textId="132A55CC" w:rsidR="00FD518A" w:rsidRPr="00741D80" w:rsidRDefault="00FD518A" w:rsidP="00FD518A">
            <w:pPr>
              <w:pStyle w:val="a0"/>
              <w:widowControl w:val="0"/>
              <w:spacing w:line="276" w:lineRule="auto"/>
              <w:ind w:firstLine="709"/>
              <w:rPr>
                <w:rFonts w:asciiTheme="minorHAnsi" w:hAnsiTheme="minorHAnsi" w:cstheme="minorHAnsi"/>
                <w:color w:val="auto"/>
                <w:szCs w:val="20"/>
                <w:highlight w:val="yellow"/>
                <w:lang w:val="bg-BG"/>
              </w:rPr>
            </w:pPr>
            <w:r w:rsidRPr="00557A8A">
              <w:rPr>
                <w:rFonts w:ascii="Calibri" w:hAnsi="Calibri" w:cs="Calibri"/>
                <w:szCs w:val="22"/>
                <w:lang w:eastAsia="en-US"/>
              </w:rPr>
              <w:t>15,89%</w:t>
            </w:r>
          </w:p>
        </w:tc>
        <w:tc>
          <w:tcPr>
            <w:tcW w:w="960" w:type="pct"/>
            <w:tcBorders>
              <w:top w:val="nil"/>
              <w:left w:val="nil"/>
              <w:bottom w:val="nil"/>
              <w:right w:val="nil"/>
            </w:tcBorders>
            <w:shd w:val="clear" w:color="auto" w:fill="auto"/>
            <w:tcMar>
              <w:left w:w="57" w:type="dxa"/>
              <w:right w:w="57" w:type="dxa"/>
            </w:tcMar>
            <w:vAlign w:val="bottom"/>
          </w:tcPr>
          <w:p w14:paraId="53DDDCCC" w14:textId="77777777" w:rsidR="00FD518A" w:rsidRPr="00741D80" w:rsidRDefault="00FD518A" w:rsidP="00FD518A">
            <w:pPr>
              <w:pStyle w:val="a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17,72%</w:t>
            </w:r>
          </w:p>
        </w:tc>
      </w:tr>
      <w:tr w:rsidR="00FD518A" w:rsidRPr="00741D80" w14:paraId="2E66936C" w14:textId="77777777" w:rsidTr="00AE7CF9">
        <w:trPr>
          <w:trHeight w:val="170"/>
          <w:jc w:val="center"/>
        </w:trPr>
        <w:tc>
          <w:tcPr>
            <w:tcW w:w="2918" w:type="pct"/>
            <w:tcBorders>
              <w:top w:val="nil"/>
              <w:left w:val="nil"/>
              <w:right w:val="nil"/>
            </w:tcBorders>
            <w:shd w:val="clear" w:color="auto" w:fill="auto"/>
            <w:tcMar>
              <w:left w:w="57" w:type="dxa"/>
              <w:right w:w="57" w:type="dxa"/>
            </w:tcMar>
            <w:vAlign w:val="bottom"/>
          </w:tcPr>
          <w:p w14:paraId="3559ECBC" w14:textId="77777777" w:rsidR="00FD518A" w:rsidRPr="00741D80" w:rsidRDefault="00FD518A" w:rsidP="00FD518A">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Други юридически лица </w:t>
            </w:r>
          </w:p>
        </w:tc>
        <w:tc>
          <w:tcPr>
            <w:tcW w:w="1122" w:type="pct"/>
            <w:tcBorders>
              <w:top w:val="nil"/>
              <w:left w:val="nil"/>
              <w:right w:val="nil"/>
            </w:tcBorders>
            <w:shd w:val="clear" w:color="auto" w:fill="auto"/>
            <w:tcMar>
              <w:left w:w="57" w:type="dxa"/>
              <w:right w:w="57" w:type="dxa"/>
            </w:tcMar>
            <w:vAlign w:val="bottom"/>
          </w:tcPr>
          <w:p w14:paraId="55DBAF08" w14:textId="1D1465CE" w:rsidR="00FD518A" w:rsidRPr="00741D80" w:rsidRDefault="00FD518A" w:rsidP="00FD518A">
            <w:pPr>
              <w:pStyle w:val="a0"/>
              <w:widowControl w:val="0"/>
              <w:spacing w:line="276" w:lineRule="auto"/>
              <w:ind w:firstLine="709"/>
              <w:rPr>
                <w:rFonts w:asciiTheme="minorHAnsi" w:hAnsiTheme="minorHAnsi" w:cstheme="minorHAnsi"/>
                <w:color w:val="auto"/>
                <w:szCs w:val="20"/>
                <w:highlight w:val="yellow"/>
                <w:lang w:val="bg-BG"/>
              </w:rPr>
            </w:pPr>
            <w:r w:rsidRPr="00557A8A">
              <w:rPr>
                <w:rFonts w:ascii="Calibri" w:hAnsi="Calibri" w:cs="Calibri"/>
                <w:szCs w:val="22"/>
                <w:lang w:eastAsia="en-US"/>
              </w:rPr>
              <w:t>20,56%</w:t>
            </w:r>
          </w:p>
        </w:tc>
        <w:tc>
          <w:tcPr>
            <w:tcW w:w="960" w:type="pct"/>
            <w:tcBorders>
              <w:top w:val="nil"/>
              <w:left w:val="nil"/>
              <w:right w:val="nil"/>
            </w:tcBorders>
            <w:shd w:val="clear" w:color="auto" w:fill="auto"/>
            <w:tcMar>
              <w:left w:w="57" w:type="dxa"/>
              <w:right w:w="57" w:type="dxa"/>
            </w:tcMar>
            <w:vAlign w:val="bottom"/>
          </w:tcPr>
          <w:p w14:paraId="67D696DD" w14:textId="77777777" w:rsidR="00FD518A" w:rsidRPr="00741D80" w:rsidRDefault="00FD518A" w:rsidP="00FD518A">
            <w:pPr>
              <w:pStyle w:val="a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19,17%</w:t>
            </w:r>
          </w:p>
        </w:tc>
      </w:tr>
      <w:tr w:rsidR="00FD518A" w:rsidRPr="00741D80" w14:paraId="2F2A901A" w14:textId="77777777" w:rsidTr="00AE7CF9">
        <w:trPr>
          <w:trHeight w:val="170"/>
          <w:jc w:val="center"/>
        </w:trPr>
        <w:tc>
          <w:tcPr>
            <w:tcW w:w="2918" w:type="pct"/>
            <w:tcBorders>
              <w:top w:val="nil"/>
              <w:left w:val="nil"/>
              <w:bottom w:val="single" w:sz="4" w:space="0" w:color="auto"/>
              <w:right w:val="nil"/>
            </w:tcBorders>
            <w:shd w:val="clear" w:color="auto" w:fill="auto"/>
            <w:tcMar>
              <w:left w:w="57" w:type="dxa"/>
              <w:right w:w="57" w:type="dxa"/>
            </w:tcMar>
            <w:vAlign w:val="bottom"/>
          </w:tcPr>
          <w:p w14:paraId="303268BB" w14:textId="77777777" w:rsidR="00FD518A" w:rsidRPr="00741D80" w:rsidRDefault="00FD518A" w:rsidP="00FD518A">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Физически лица</w:t>
            </w:r>
          </w:p>
        </w:tc>
        <w:tc>
          <w:tcPr>
            <w:tcW w:w="1122" w:type="pct"/>
            <w:tcBorders>
              <w:top w:val="nil"/>
              <w:left w:val="nil"/>
              <w:bottom w:val="single" w:sz="4" w:space="0" w:color="auto"/>
              <w:right w:val="nil"/>
            </w:tcBorders>
            <w:shd w:val="clear" w:color="auto" w:fill="auto"/>
            <w:tcMar>
              <w:left w:w="57" w:type="dxa"/>
              <w:right w:w="57" w:type="dxa"/>
            </w:tcMar>
            <w:vAlign w:val="bottom"/>
          </w:tcPr>
          <w:p w14:paraId="18E8A740" w14:textId="33F2FA48" w:rsidR="00FD518A" w:rsidRPr="00741D80" w:rsidRDefault="00FD518A" w:rsidP="00FD518A">
            <w:pPr>
              <w:pStyle w:val="a0"/>
              <w:widowControl w:val="0"/>
              <w:spacing w:line="276" w:lineRule="auto"/>
              <w:ind w:firstLine="709"/>
              <w:rPr>
                <w:rFonts w:asciiTheme="minorHAnsi" w:hAnsiTheme="minorHAnsi" w:cstheme="minorHAnsi"/>
                <w:color w:val="auto"/>
                <w:szCs w:val="20"/>
                <w:highlight w:val="yellow"/>
                <w:lang w:val="bg-BG"/>
              </w:rPr>
            </w:pPr>
            <w:r w:rsidRPr="00557A8A">
              <w:rPr>
                <w:rFonts w:ascii="Calibri" w:hAnsi="Calibri" w:cs="Calibri"/>
                <w:szCs w:val="22"/>
                <w:lang w:eastAsia="en-US"/>
              </w:rPr>
              <w:t>13,50%</w:t>
            </w:r>
          </w:p>
        </w:tc>
        <w:tc>
          <w:tcPr>
            <w:tcW w:w="960" w:type="pct"/>
            <w:tcBorders>
              <w:top w:val="nil"/>
              <w:left w:val="nil"/>
              <w:bottom w:val="single" w:sz="4" w:space="0" w:color="auto"/>
              <w:right w:val="nil"/>
            </w:tcBorders>
            <w:shd w:val="clear" w:color="auto" w:fill="auto"/>
            <w:tcMar>
              <w:left w:w="57" w:type="dxa"/>
              <w:right w:w="57" w:type="dxa"/>
            </w:tcMar>
            <w:vAlign w:val="bottom"/>
          </w:tcPr>
          <w:p w14:paraId="30650982" w14:textId="77777777" w:rsidR="00FD518A" w:rsidRPr="00741D80" w:rsidRDefault="00FD518A" w:rsidP="00FD518A">
            <w:pPr>
              <w:pStyle w:val="a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13,05%</w:t>
            </w:r>
          </w:p>
        </w:tc>
      </w:tr>
    </w:tbl>
    <w:p w14:paraId="4F200DC3" w14:textId="77777777" w:rsidR="0084445A" w:rsidRPr="00741D80" w:rsidRDefault="0084445A" w:rsidP="00FD518A">
      <w:pPr>
        <w:spacing w:before="240"/>
        <w:jc w:val="both"/>
        <w:rPr>
          <w:rFonts w:cstheme="minorHAnsi"/>
        </w:rPr>
      </w:pPr>
      <w:r w:rsidRPr="00741D80">
        <w:rPr>
          <w:rFonts w:cstheme="minorHAnsi"/>
        </w:rPr>
        <w:t>Българска фондова борса АД е публично дружество, по смисъла на чл. 110, ал.1, т.2 от ЗППЦК.</w:t>
      </w:r>
    </w:p>
    <w:p w14:paraId="1BBCDAF7" w14:textId="77777777" w:rsidR="0084445A" w:rsidRPr="00741D80" w:rsidRDefault="0084445A" w:rsidP="00FD518A">
      <w:pPr>
        <w:spacing w:line="276" w:lineRule="auto"/>
        <w:jc w:val="both"/>
        <w:rPr>
          <w:rFonts w:cstheme="minorHAnsi"/>
        </w:rPr>
      </w:pPr>
      <w:r w:rsidRPr="00FD518A">
        <w:rPr>
          <w:rFonts w:cstheme="minorHAnsi"/>
        </w:rPr>
        <w:t xml:space="preserve">Дружеството има едностепенна система на управление със Съвет на директорите. Към </w:t>
      </w:r>
      <w:r w:rsidRPr="00FD518A">
        <w:rPr>
          <w:rFonts w:cstheme="minorHAnsi"/>
          <w:lang w:val="en-US"/>
        </w:rPr>
        <w:t>31.12</w:t>
      </w:r>
      <w:r w:rsidRPr="00FD518A">
        <w:rPr>
          <w:rFonts w:cstheme="minorHAnsi"/>
        </w:rPr>
        <w:t>.2018 г.</w:t>
      </w:r>
      <w:r w:rsidRPr="00741D80">
        <w:rPr>
          <w:rFonts w:cstheme="minorHAnsi"/>
        </w:rPr>
        <w:t xml:space="preserve"> Съветът на директорите е в състав: Асен Ягодин (Председател), Васил </w:t>
      </w:r>
      <w:proofErr w:type="spellStart"/>
      <w:r w:rsidRPr="00741D80">
        <w:rPr>
          <w:rFonts w:cstheme="minorHAnsi"/>
        </w:rPr>
        <w:t>Големански</w:t>
      </w:r>
      <w:proofErr w:type="spellEnd"/>
      <w:r w:rsidRPr="00741D80">
        <w:rPr>
          <w:rFonts w:cstheme="minorHAnsi"/>
        </w:rPr>
        <w:t xml:space="preserve"> (Заместник-председател), Иван Такев, Любомир Бояджиев, Христина </w:t>
      </w:r>
      <w:proofErr w:type="spellStart"/>
      <w:r w:rsidRPr="00741D80">
        <w:rPr>
          <w:rFonts w:cstheme="minorHAnsi"/>
        </w:rPr>
        <w:t>Пендичева</w:t>
      </w:r>
      <w:proofErr w:type="spellEnd"/>
      <w:r w:rsidRPr="00741D80">
        <w:rPr>
          <w:rFonts w:cstheme="minorHAnsi"/>
        </w:rPr>
        <w:t xml:space="preserve">. </w:t>
      </w:r>
    </w:p>
    <w:p w14:paraId="37290980" w14:textId="77777777" w:rsidR="0084445A" w:rsidRPr="00741D80" w:rsidRDefault="0084445A" w:rsidP="00FD518A">
      <w:pPr>
        <w:spacing w:line="276" w:lineRule="auto"/>
        <w:jc w:val="both"/>
        <w:rPr>
          <w:rFonts w:cstheme="minorHAnsi"/>
          <w:b/>
          <w:bdr w:val="none" w:sz="0" w:space="0" w:color="auto" w:frame="1"/>
          <w:lang w:val="en-US"/>
        </w:rPr>
      </w:pPr>
      <w:r w:rsidRPr="00741D80">
        <w:rPr>
          <w:rFonts w:cstheme="minorHAnsi"/>
        </w:rPr>
        <w:t xml:space="preserve">На проведеното извънредно Общо събрание на акционерите на </w:t>
      </w:r>
      <w:r w:rsidRPr="00741D80">
        <w:rPr>
          <w:rFonts w:cstheme="minorHAnsi"/>
          <w:lang w:val="en-US"/>
        </w:rPr>
        <w:t>18.06.2018</w:t>
      </w:r>
      <w:r w:rsidRPr="00741D80">
        <w:rPr>
          <w:rFonts w:cstheme="minorHAnsi"/>
        </w:rPr>
        <w:t xml:space="preserve"> г., бе прието</w:t>
      </w:r>
      <w:r w:rsidRPr="00741D80">
        <w:rPr>
          <w:rFonts w:cstheme="minorHAnsi"/>
          <w:bdr w:val="none" w:sz="0" w:space="0" w:color="auto" w:frame="1"/>
        </w:rPr>
        <w:t xml:space="preserve"> решение за освобождаване на г-жа Маринела </w:t>
      </w:r>
      <w:proofErr w:type="spellStart"/>
      <w:r w:rsidRPr="00741D80">
        <w:rPr>
          <w:rFonts w:cstheme="minorHAnsi"/>
          <w:bdr w:val="none" w:sz="0" w:space="0" w:color="auto" w:frame="1"/>
        </w:rPr>
        <w:t>Пиринова</w:t>
      </w:r>
      <w:proofErr w:type="spellEnd"/>
      <w:r w:rsidRPr="00741D80">
        <w:rPr>
          <w:rFonts w:cstheme="minorHAnsi"/>
          <w:bdr w:val="none" w:sz="0" w:space="0" w:color="auto" w:frame="1"/>
        </w:rPr>
        <w:t xml:space="preserve"> Петрова, като член на Съвета на директорите на Българска фондова борса АД и за избиране на г-жа Христина Стефанова </w:t>
      </w:r>
      <w:proofErr w:type="spellStart"/>
      <w:r w:rsidRPr="00741D80">
        <w:rPr>
          <w:rFonts w:cstheme="minorHAnsi"/>
          <w:bdr w:val="none" w:sz="0" w:space="0" w:color="auto" w:frame="1"/>
        </w:rPr>
        <w:t>Пендичева</w:t>
      </w:r>
      <w:proofErr w:type="spellEnd"/>
      <w:r w:rsidRPr="00741D80">
        <w:rPr>
          <w:rFonts w:cstheme="minorHAnsi"/>
          <w:bdr w:val="none" w:sz="0" w:space="0" w:color="auto" w:frame="1"/>
        </w:rPr>
        <w:t xml:space="preserve"> за член на Съвета на директорите на Българска фондова борса АД, до края на текущия мандат. Решението бе вписано в Търговския регистър на 07.09.2018 г.</w:t>
      </w:r>
    </w:p>
    <w:p w14:paraId="3C5E5030" w14:textId="77777777" w:rsidR="0084445A" w:rsidRPr="00741D80" w:rsidRDefault="0084445A" w:rsidP="00721377">
      <w:pPr>
        <w:pStyle w:val="BodyTextIndent"/>
        <w:spacing w:line="276" w:lineRule="auto"/>
        <w:ind w:firstLine="0"/>
      </w:pPr>
      <w:r w:rsidRPr="00741D80">
        <w:t xml:space="preserve">С оглед на въведените с разпоредбите на чл. 158, ал. 3 и 4, във връзка с чл. 14 от Закона за пазарите за финансови инструменти (обн., ДВ, бр. 15 от 16.02.2018 г.), ограничения относно участието на лицата, управляващи дейността на пазарен оператор, в управлението на други юридически лица, и с цел привеждане на дейността на БФБ в съответствие с изискванията на закона, с решение на Съвета на директорите на дружеството от 15 май 2018 г. Васил Димитров Големански бе освободен от длъжност като Изпълнителен директор на Българска фондова борса. На основание чл.40, във връзка с чл. 39, ал.1 от Устава </w:t>
      </w:r>
      <w:r w:rsidRPr="00741D80">
        <w:lastRenderedPageBreak/>
        <w:t xml:space="preserve">на „Българска фондова борса” АД, дружеството се представлява от Изпълнителния директор </w:t>
      </w:r>
      <w:r w:rsidRPr="00741D80">
        <w:rPr>
          <w:bCs/>
        </w:rPr>
        <w:t xml:space="preserve">- </w:t>
      </w:r>
      <w:r w:rsidRPr="00741D80">
        <w:t>Иван Ангелов Такев. Тези обстоятелствата са вписани в Търговския регистър на 26 май 2018 г.</w:t>
      </w:r>
    </w:p>
    <w:p w14:paraId="09370F5E" w14:textId="77777777" w:rsidR="0084445A" w:rsidRPr="00741D80" w:rsidRDefault="0084445A" w:rsidP="00374D3C">
      <w:pPr>
        <w:jc w:val="both"/>
        <w:rPr>
          <w:rFonts w:cstheme="minorHAnsi"/>
        </w:rPr>
      </w:pPr>
      <w:r w:rsidRPr="00741D80">
        <w:rPr>
          <w:rFonts w:cstheme="minorHAnsi"/>
        </w:rPr>
        <w:t>Към 31.12.2018 г. общият брой на персонала в дружеството е 25 служители (31.12.2017 г.: 26 служители).</w:t>
      </w:r>
    </w:p>
    <w:p w14:paraId="20553908" w14:textId="362D5FDD" w:rsidR="0084445A" w:rsidRPr="00F55D38" w:rsidRDefault="00F55D38" w:rsidP="00374D3C">
      <w:pPr>
        <w:jc w:val="both"/>
        <w:rPr>
          <w:b/>
        </w:rPr>
      </w:pPr>
      <w:bookmarkStart w:id="5" w:name="_Toc418084339"/>
      <w:bookmarkStart w:id="6" w:name="_Toc439746785"/>
      <w:r>
        <w:rPr>
          <w:b/>
          <w:lang w:val="en-US"/>
        </w:rPr>
        <w:t>1.2</w:t>
      </w:r>
      <w:r w:rsidR="00CC5D05">
        <w:rPr>
          <w:b/>
          <w:lang w:val="en-US"/>
        </w:rPr>
        <w:t>.</w:t>
      </w:r>
      <w:r>
        <w:rPr>
          <w:b/>
          <w:lang w:val="en-US"/>
        </w:rPr>
        <w:t xml:space="preserve"> </w:t>
      </w:r>
      <w:r w:rsidR="0084445A" w:rsidRPr="00F55D38">
        <w:rPr>
          <w:b/>
        </w:rPr>
        <w:t>Предмет на дейност</w:t>
      </w:r>
      <w:bookmarkEnd w:id="5"/>
      <w:r w:rsidR="0084445A" w:rsidRPr="00F55D38">
        <w:rPr>
          <w:b/>
        </w:rPr>
        <w:t xml:space="preserve"> </w:t>
      </w:r>
      <w:bookmarkEnd w:id="6"/>
    </w:p>
    <w:p w14:paraId="00799E02" w14:textId="77777777" w:rsidR="0084445A" w:rsidRPr="00741D80" w:rsidRDefault="0084445A" w:rsidP="00374D3C">
      <w:pPr>
        <w:jc w:val="both"/>
        <w:rPr>
          <w:rFonts w:cstheme="minorHAnsi"/>
        </w:rPr>
      </w:pPr>
      <w:r w:rsidRPr="00741D80">
        <w:rPr>
          <w:rFonts w:cstheme="minorHAnsi"/>
        </w:rPr>
        <w:t>Дружеството е лицензирано с разрешение издадено от Държавната комисия по ценните книжа да извършва дейност като фондова борса.</w:t>
      </w:r>
    </w:p>
    <w:p w14:paraId="54AF6BBF" w14:textId="77777777" w:rsidR="0084445A" w:rsidRPr="00741D80" w:rsidRDefault="0084445A" w:rsidP="00FD518A">
      <w:pPr>
        <w:spacing w:line="276" w:lineRule="auto"/>
        <w:jc w:val="both"/>
        <w:rPr>
          <w:rFonts w:cstheme="minorHAnsi"/>
        </w:rPr>
      </w:pPr>
      <w:r w:rsidRPr="00741D80">
        <w:rPr>
          <w:rFonts w:cstheme="minorHAnsi"/>
        </w:rPr>
        <w:t xml:space="preserve">Предметът на дейност на дружеството за 2018 г. включва следните видове операции и сделки: </w:t>
      </w:r>
    </w:p>
    <w:p w14:paraId="68C560FE" w14:textId="77777777" w:rsidR="0084445A" w:rsidRPr="00741D80" w:rsidRDefault="0084445A" w:rsidP="00FD518A">
      <w:pPr>
        <w:pStyle w:val="ListParagraph"/>
        <w:spacing w:line="276" w:lineRule="auto"/>
      </w:pPr>
      <w:r w:rsidRPr="00741D80">
        <w:t>организиране на търговия с ценни книжа и други финансови инструменти;</w:t>
      </w:r>
    </w:p>
    <w:p w14:paraId="7726D712" w14:textId="77777777" w:rsidR="0084445A" w:rsidRPr="00741D80" w:rsidRDefault="0084445A" w:rsidP="00FD518A">
      <w:pPr>
        <w:pStyle w:val="ListParagraph"/>
        <w:spacing w:line="276" w:lineRule="auto"/>
      </w:pPr>
      <w:r w:rsidRPr="00741D80">
        <w:t>организиране и поддържане на информационна система за търговия с ценни книжа;</w:t>
      </w:r>
    </w:p>
    <w:p w14:paraId="2815D5D6" w14:textId="77777777" w:rsidR="0084445A" w:rsidRPr="00741D80" w:rsidRDefault="0084445A" w:rsidP="00FD518A">
      <w:pPr>
        <w:pStyle w:val="ListParagraph"/>
        <w:spacing w:line="276" w:lineRule="auto"/>
      </w:pPr>
      <w:r w:rsidRPr="00741D80">
        <w:t>създаване и поддържане на клирингова система за гарантиране на поетите задължения по сделките с ценни книжа, извършвани на нея.</w:t>
      </w:r>
    </w:p>
    <w:p w14:paraId="68B935CD" w14:textId="784E1A49" w:rsidR="0084445A" w:rsidRPr="00741D80" w:rsidRDefault="0084445A" w:rsidP="00FD518A">
      <w:pPr>
        <w:spacing w:line="276" w:lineRule="auto"/>
        <w:jc w:val="both"/>
        <w:rPr>
          <w:rFonts w:cstheme="minorHAnsi"/>
        </w:rPr>
      </w:pPr>
      <w:r w:rsidRPr="00741D80">
        <w:rPr>
          <w:rFonts w:cstheme="minorHAnsi"/>
        </w:rPr>
        <w:t>С решение на Общо събрание на акционерите на Българска фондова борса АД, проведено на 13.09.2010</w:t>
      </w:r>
      <w:r w:rsidR="005C3668">
        <w:rPr>
          <w:rFonts w:cstheme="minorHAnsi"/>
        </w:rPr>
        <w:t xml:space="preserve"> </w:t>
      </w:r>
      <w:r w:rsidRPr="00741D80">
        <w:rPr>
          <w:rFonts w:cstheme="minorHAnsi"/>
        </w:rPr>
        <w:t>г., предметът на дейност на дружеството е променен както следва: организиране на регулиран пазар на финансови инструменти като система за търговия, която среща или съдейства за срещането на интересите за покупка и продажба на финансови инструменти, допуснати до търговия на регулирания пазар, на множество трети страни, в рамките на системата и въз основа на правила, като резултатът е сключване на сделки с тези инструменти. Системата функционира редовно и в съответствие с изискванията на ЗПФИ и актовете по прилагането му.</w:t>
      </w:r>
    </w:p>
    <w:p w14:paraId="7568F019" w14:textId="48E7139E" w:rsidR="0084445A" w:rsidRPr="00741D80" w:rsidRDefault="004A4593" w:rsidP="00374D3C">
      <w:pPr>
        <w:jc w:val="both"/>
        <w:rPr>
          <w:rFonts w:cstheme="minorHAnsi"/>
        </w:rPr>
      </w:pPr>
      <w:r>
        <w:rPr>
          <w:rFonts w:cstheme="minorHAnsi"/>
        </w:rPr>
        <w:t>След получаване на лиценз за МСТ от Комисията за финансов надзор, бе</w:t>
      </w:r>
      <w:r w:rsidR="0084445A" w:rsidRPr="00741D80">
        <w:rPr>
          <w:rFonts w:cstheme="minorHAnsi"/>
        </w:rPr>
        <w:t xml:space="preserve"> </w:t>
      </w:r>
      <w:proofErr w:type="spellStart"/>
      <w:r w:rsidR="0084445A" w:rsidRPr="00741D80">
        <w:rPr>
          <w:rFonts w:cstheme="minorHAnsi"/>
        </w:rPr>
        <w:t>създ</w:t>
      </w:r>
      <w:r>
        <w:rPr>
          <w:rFonts w:cstheme="minorHAnsi"/>
        </w:rPr>
        <w:t>ен</w:t>
      </w:r>
      <w:proofErr w:type="spellEnd"/>
      <w:r w:rsidR="0084445A" w:rsidRPr="00741D80">
        <w:rPr>
          <w:rFonts w:cstheme="minorHAnsi"/>
        </w:rPr>
        <w:t xml:space="preserve"> сегмент на МСТ за растеж на малки и средни предприятия. Т</w:t>
      </w:r>
      <w:r w:rsidR="00FD518A">
        <w:rPr>
          <w:rFonts w:cstheme="minorHAnsi"/>
        </w:rPr>
        <w:t>ой</w:t>
      </w:r>
      <w:r w:rsidR="0084445A" w:rsidRPr="00741D80">
        <w:rPr>
          <w:rFonts w:cstheme="minorHAnsi"/>
        </w:rPr>
        <w:t xml:space="preserve"> позвол</w:t>
      </w:r>
      <w:r w:rsidR="00FD518A">
        <w:rPr>
          <w:rFonts w:cstheme="minorHAnsi"/>
        </w:rPr>
        <w:t>ява</w:t>
      </w:r>
      <w:r w:rsidR="0084445A" w:rsidRPr="00741D80">
        <w:rPr>
          <w:rFonts w:cstheme="minorHAnsi"/>
        </w:rPr>
        <w:t xml:space="preserve"> на малките предприятия, като използват съществуващата възможност в </w:t>
      </w:r>
      <w:proofErr w:type="spellStart"/>
      <w:r w:rsidR="0084445A" w:rsidRPr="00741D80">
        <w:rPr>
          <w:rFonts w:cstheme="minorHAnsi"/>
        </w:rPr>
        <w:t>MiFID</w:t>
      </w:r>
      <w:proofErr w:type="spellEnd"/>
      <w:r w:rsidR="0084445A" w:rsidRPr="00741D80">
        <w:rPr>
          <w:rFonts w:cstheme="minorHAnsi"/>
        </w:rPr>
        <w:t xml:space="preserve"> II да наберат капитал и да привлекат инвеститори, без да издават Проспект, одобрен от регулатора, при условие че размерът на емисията е под 1 милион евро. В края на 2017 г. бе стартиран проект за финансиране на разходите на фирмите, свързани с придобиването на публичен статут, в т.ч. разходи за подготовка на проспект, одобрение от регулаторните органи и регистрация на регулирания пазар. </w:t>
      </w:r>
      <w:r w:rsidR="00FD518A">
        <w:rPr>
          <w:rFonts w:cstheme="minorHAnsi"/>
        </w:rPr>
        <w:t>Той</w:t>
      </w:r>
      <w:r w:rsidR="0084445A" w:rsidRPr="00741D80">
        <w:rPr>
          <w:rFonts w:cstheme="minorHAnsi"/>
        </w:rPr>
        <w:t xml:space="preserve"> е финансиран от Оперативна програма "Иновации и конкурентоспособност". Очакваме да се постигне синергия между стартирането на пазара за растеж на МСП и споменатия проект, което може да доведе до по-малки или нулеви разходи за допускане до търговия на пазара за растеж на МСП на компании, които отговарят на условията.</w:t>
      </w:r>
    </w:p>
    <w:p w14:paraId="55CFE4DE" w14:textId="77777777" w:rsidR="0084445A" w:rsidRPr="00741D80" w:rsidRDefault="0084445A" w:rsidP="00374D3C">
      <w:pPr>
        <w:jc w:val="both"/>
        <w:rPr>
          <w:rFonts w:cstheme="minorHAnsi"/>
        </w:rPr>
      </w:pPr>
      <w:r w:rsidRPr="00741D80">
        <w:rPr>
          <w:rFonts w:cstheme="minorHAnsi"/>
        </w:rPr>
        <w:t xml:space="preserve">С влизането в сила от началото на януари 2018 г на </w:t>
      </w:r>
      <w:proofErr w:type="spellStart"/>
      <w:r w:rsidRPr="00741D80">
        <w:rPr>
          <w:rFonts w:cstheme="minorHAnsi"/>
        </w:rPr>
        <w:t>MiFID</w:t>
      </w:r>
      <w:proofErr w:type="spellEnd"/>
      <w:r w:rsidRPr="00741D80">
        <w:rPr>
          <w:rFonts w:cstheme="minorHAnsi"/>
        </w:rPr>
        <w:t xml:space="preserve"> II и </w:t>
      </w:r>
      <w:proofErr w:type="spellStart"/>
      <w:r w:rsidRPr="00741D80">
        <w:rPr>
          <w:rFonts w:cstheme="minorHAnsi"/>
        </w:rPr>
        <w:t>MiFIR</w:t>
      </w:r>
      <w:proofErr w:type="spellEnd"/>
      <w:r w:rsidRPr="00741D80">
        <w:rPr>
          <w:rFonts w:cstheme="minorHAnsi"/>
        </w:rPr>
        <w:t xml:space="preserve"> нараснаха изискванията за прозрачност по отношение на извънборсовата търговия с финансови инструменти. Търгуващите извън регулираните пазари, бяха задължени да публикуват определена информация за извънборсовите транзакции. Предвидените за това механизми са доставчиците на услуги за докладване на данни, които обхващат три различни вида субекти: Одобрени механизми за докладване (ОМД), одобрени механизми за публикуване (ОМП) и доставчици на консолидирани данни.</w:t>
      </w:r>
    </w:p>
    <w:p w14:paraId="238C072B" w14:textId="7A584A3C" w:rsidR="0084445A" w:rsidRPr="00741D80" w:rsidRDefault="0084445A" w:rsidP="00374D3C">
      <w:pPr>
        <w:jc w:val="both"/>
        <w:rPr>
          <w:rFonts w:cstheme="minorHAnsi"/>
        </w:rPr>
      </w:pPr>
      <w:r w:rsidRPr="00741D80">
        <w:rPr>
          <w:rFonts w:cstheme="minorHAnsi"/>
        </w:rPr>
        <w:t xml:space="preserve">За да предостави пълен спектър от услуги, БФБ </w:t>
      </w:r>
      <w:r w:rsidR="004805BA">
        <w:rPr>
          <w:rFonts w:cstheme="minorHAnsi"/>
        </w:rPr>
        <w:t>стартира</w:t>
      </w:r>
      <w:r w:rsidRPr="00741D80">
        <w:rPr>
          <w:rFonts w:cstheme="minorHAnsi"/>
        </w:rPr>
        <w:t xml:space="preserve"> процедура по получаване на лиценз за ОМП</w:t>
      </w:r>
      <w:r w:rsidR="004805BA">
        <w:rPr>
          <w:rFonts w:cstheme="minorHAnsi"/>
        </w:rPr>
        <w:t xml:space="preserve"> и през ноември бе успешно лицензирана</w:t>
      </w:r>
      <w:r w:rsidRPr="00741D80">
        <w:rPr>
          <w:rFonts w:cstheme="minorHAnsi"/>
        </w:rPr>
        <w:t>. След лицензирането си Борсата може да предлага услуги по публикуване на данни за сделки с финансови инструменти, определени в чл. 20 и 21 Регламент (ЕС) № 600/2014 и сключени извън място за търговия (OTC сделки).</w:t>
      </w:r>
    </w:p>
    <w:p w14:paraId="24A81802" w14:textId="1459BBAA" w:rsidR="0084445A" w:rsidRPr="00741D80" w:rsidRDefault="0084445A" w:rsidP="00374D3C">
      <w:pPr>
        <w:jc w:val="both"/>
        <w:rPr>
          <w:rFonts w:cstheme="minorHAnsi"/>
        </w:rPr>
      </w:pPr>
      <w:r w:rsidRPr="00741D80">
        <w:rPr>
          <w:rFonts w:cstheme="minorHAnsi"/>
        </w:rPr>
        <w:t xml:space="preserve">В края на </w:t>
      </w:r>
      <w:r w:rsidR="004805BA">
        <w:rPr>
          <w:rFonts w:cstheme="minorHAnsi"/>
        </w:rPr>
        <w:t xml:space="preserve">2018 </w:t>
      </w:r>
      <w:r w:rsidRPr="00741D80">
        <w:rPr>
          <w:rFonts w:cstheme="minorHAnsi"/>
        </w:rPr>
        <w:t>година изт</w:t>
      </w:r>
      <w:r w:rsidR="004805BA">
        <w:rPr>
          <w:rFonts w:cstheme="minorHAnsi"/>
        </w:rPr>
        <w:t>е</w:t>
      </w:r>
      <w:r w:rsidRPr="00741D80">
        <w:rPr>
          <w:rFonts w:cstheme="minorHAnsi"/>
        </w:rPr>
        <w:t>ч</w:t>
      </w:r>
      <w:r w:rsidR="004805BA">
        <w:rPr>
          <w:rFonts w:cstheme="minorHAnsi"/>
        </w:rPr>
        <w:t>е</w:t>
      </w:r>
      <w:r w:rsidRPr="00741D80">
        <w:rPr>
          <w:rFonts w:cstheme="minorHAnsi"/>
        </w:rPr>
        <w:t xml:space="preserve"> договорът между BSE и </w:t>
      </w:r>
      <w:proofErr w:type="spellStart"/>
      <w:r w:rsidRPr="00741D80">
        <w:rPr>
          <w:rFonts w:cstheme="minorHAnsi"/>
        </w:rPr>
        <w:t>Deutsche</w:t>
      </w:r>
      <w:proofErr w:type="spellEnd"/>
      <w:r w:rsidRPr="00741D80">
        <w:rPr>
          <w:rFonts w:cstheme="minorHAnsi"/>
        </w:rPr>
        <w:t xml:space="preserve"> </w:t>
      </w:r>
      <w:proofErr w:type="spellStart"/>
      <w:r w:rsidRPr="00741D80">
        <w:rPr>
          <w:rFonts w:cstheme="minorHAnsi"/>
        </w:rPr>
        <w:t>Boerse</w:t>
      </w:r>
      <w:proofErr w:type="spellEnd"/>
      <w:r w:rsidRPr="00741D80">
        <w:rPr>
          <w:rFonts w:cstheme="minorHAnsi"/>
        </w:rPr>
        <w:t xml:space="preserve"> за експлоатация на електронната платформа за търговия XETRA. Освен това </w:t>
      </w:r>
      <w:proofErr w:type="spellStart"/>
      <w:r w:rsidRPr="00741D80">
        <w:rPr>
          <w:rFonts w:cstheme="minorHAnsi"/>
        </w:rPr>
        <w:t>Deutsche</w:t>
      </w:r>
      <w:proofErr w:type="spellEnd"/>
      <w:r w:rsidRPr="00741D80">
        <w:rPr>
          <w:rFonts w:cstheme="minorHAnsi"/>
        </w:rPr>
        <w:t xml:space="preserve"> </w:t>
      </w:r>
      <w:proofErr w:type="spellStart"/>
      <w:r w:rsidRPr="00741D80">
        <w:rPr>
          <w:rFonts w:cstheme="minorHAnsi"/>
        </w:rPr>
        <w:t>Boerse</w:t>
      </w:r>
      <w:proofErr w:type="spellEnd"/>
      <w:r w:rsidRPr="00741D80">
        <w:rPr>
          <w:rFonts w:cstheme="minorHAnsi"/>
        </w:rPr>
        <w:t xml:space="preserve"> мигрира всички пазари, които преди използваха системата XETRA, към своята нова търговска инфраструктура Т7. През второто тримесечие </w:t>
      </w:r>
      <w:r w:rsidRPr="00741D80">
        <w:rPr>
          <w:rFonts w:cstheme="minorHAnsi"/>
        </w:rPr>
        <w:lastRenderedPageBreak/>
        <w:t xml:space="preserve">на 2018 г. започна вътрешна подготовка за избор на нова търговска система, за да може в срок да бъде избрана следващата търговска инфраструктура която да обслужва търговията на регулирания пазар и </w:t>
      </w:r>
      <w:r w:rsidRPr="004805BA">
        <w:rPr>
          <w:rFonts w:cstheme="minorHAnsi"/>
        </w:rPr>
        <w:t>МТС, организирани от БФБ.</w:t>
      </w:r>
      <w:r w:rsidR="004805BA">
        <w:rPr>
          <w:rFonts w:cstheme="minorHAnsi"/>
        </w:rPr>
        <w:t xml:space="preserve"> </w:t>
      </w:r>
      <w:r w:rsidR="004805BA" w:rsidRPr="004805BA">
        <w:rPr>
          <w:rFonts w:cstheme="minorHAnsi"/>
        </w:rPr>
        <w:t>Въз основа извършен анализ на алтернативите</w:t>
      </w:r>
      <w:r w:rsidR="004805BA">
        <w:rPr>
          <w:rFonts w:cstheme="minorHAnsi"/>
        </w:rPr>
        <w:t>,</w:t>
      </w:r>
      <w:r w:rsidR="004805BA" w:rsidRPr="004805BA">
        <w:rPr>
          <w:rFonts w:cstheme="minorHAnsi"/>
        </w:rPr>
        <w:t xml:space="preserve"> бе избрана платформата на </w:t>
      </w:r>
      <w:proofErr w:type="spellStart"/>
      <w:r w:rsidR="004805BA" w:rsidRPr="004805BA">
        <w:rPr>
          <w:rFonts w:cstheme="minorHAnsi"/>
        </w:rPr>
        <w:t>Deutsche</w:t>
      </w:r>
      <w:proofErr w:type="spellEnd"/>
      <w:r w:rsidR="004805BA" w:rsidRPr="004805BA">
        <w:rPr>
          <w:rFonts w:cstheme="minorHAnsi"/>
        </w:rPr>
        <w:t xml:space="preserve"> </w:t>
      </w:r>
      <w:proofErr w:type="spellStart"/>
      <w:r w:rsidR="004805BA" w:rsidRPr="004805BA">
        <w:rPr>
          <w:rFonts w:cstheme="minorHAnsi"/>
        </w:rPr>
        <w:t>Boerse</w:t>
      </w:r>
      <w:proofErr w:type="spellEnd"/>
      <w:r w:rsidR="004805BA" w:rsidRPr="004805BA">
        <w:rPr>
          <w:rFonts w:cstheme="minorHAnsi"/>
        </w:rPr>
        <w:t xml:space="preserve"> </w:t>
      </w:r>
      <w:proofErr w:type="spellStart"/>
      <w:r w:rsidR="004805BA" w:rsidRPr="004805BA">
        <w:rPr>
          <w:rFonts w:cstheme="minorHAnsi"/>
        </w:rPr>
        <w:t>Xetra</w:t>
      </w:r>
      <w:proofErr w:type="spellEnd"/>
      <w:r w:rsidR="004805BA" w:rsidRPr="004805BA">
        <w:rPr>
          <w:rFonts w:cstheme="minorHAnsi"/>
        </w:rPr>
        <w:t xml:space="preserve"> T7 поради най-ниските си експлоатационни разходи и малките разлики във функционално отношение спрямо използваната в момента </w:t>
      </w:r>
      <w:proofErr w:type="spellStart"/>
      <w:r w:rsidR="004805BA" w:rsidRPr="004805BA">
        <w:rPr>
          <w:rFonts w:cstheme="minorHAnsi"/>
        </w:rPr>
        <w:t>Xetra</w:t>
      </w:r>
      <w:proofErr w:type="spellEnd"/>
      <w:r w:rsidR="004805BA" w:rsidRPr="004805BA">
        <w:rPr>
          <w:rFonts w:cstheme="minorHAnsi"/>
        </w:rPr>
        <w:t xml:space="preserve"> </w:t>
      </w:r>
      <w:proofErr w:type="spellStart"/>
      <w:r w:rsidR="004805BA" w:rsidRPr="004805BA">
        <w:rPr>
          <w:rFonts w:cstheme="minorHAnsi"/>
        </w:rPr>
        <w:t>Classic</w:t>
      </w:r>
      <w:proofErr w:type="spellEnd"/>
      <w:r w:rsidR="004805BA" w:rsidRPr="004805BA">
        <w:rPr>
          <w:rFonts w:cstheme="minorHAnsi"/>
        </w:rPr>
        <w:t xml:space="preserve">, което би позволило по-плавен процес на миграция. Договорът с DB AG за опериране на </w:t>
      </w:r>
      <w:proofErr w:type="spellStart"/>
      <w:r w:rsidR="004805BA" w:rsidRPr="004805BA">
        <w:rPr>
          <w:rFonts w:cstheme="minorHAnsi"/>
        </w:rPr>
        <w:t>Xetra</w:t>
      </w:r>
      <w:proofErr w:type="spellEnd"/>
      <w:r w:rsidR="004805BA" w:rsidRPr="004805BA">
        <w:rPr>
          <w:rFonts w:cstheme="minorHAnsi"/>
        </w:rPr>
        <w:t xml:space="preserve"> T7 е с първоначален срок от 7 години, считано от момента на миграция през втората половина на м. юни 2019 г.</w:t>
      </w:r>
    </w:p>
    <w:p w14:paraId="5FADC397" w14:textId="77777777" w:rsidR="0084445A" w:rsidRPr="00741D80" w:rsidRDefault="0084445A" w:rsidP="00833465">
      <w:pPr>
        <w:pStyle w:val="Mainnumbers"/>
      </w:pPr>
      <w:bookmarkStart w:id="7" w:name="_Toc439746787"/>
      <w:bookmarkStart w:id="8" w:name="_Toc418084341"/>
      <w:bookmarkStart w:id="9" w:name="_Toc536452008"/>
      <w:r w:rsidRPr="00741D80">
        <w:t xml:space="preserve">ОСНОВНИ ПОЛОЖЕНИЯ ОТ СЧЕТОВОДНАТА ПОЛИТИКА НА </w:t>
      </w:r>
      <w:bookmarkEnd w:id="7"/>
      <w:r w:rsidRPr="00741D80">
        <w:t>ДРУЖЕСТВОТО</w:t>
      </w:r>
      <w:bookmarkStart w:id="10" w:name="_Toc439746788"/>
      <w:bookmarkEnd w:id="8"/>
      <w:bookmarkEnd w:id="9"/>
    </w:p>
    <w:p w14:paraId="283560E8" w14:textId="0F845099" w:rsidR="0084445A" w:rsidRPr="00721377" w:rsidRDefault="0084445A" w:rsidP="005B5648">
      <w:pPr>
        <w:pStyle w:val="SubNumbers"/>
        <w:outlineLvl w:val="9"/>
      </w:pPr>
      <w:bookmarkStart w:id="11" w:name="_Toc418084342"/>
      <w:r w:rsidRPr="00721377">
        <w:t>База за изготвяне на междинния съкратен индивидуален финансов отчет</w:t>
      </w:r>
      <w:bookmarkEnd w:id="11"/>
      <w:r w:rsidRPr="00721377">
        <w:t xml:space="preserve"> </w:t>
      </w:r>
      <w:bookmarkEnd w:id="10"/>
    </w:p>
    <w:p w14:paraId="22D37116" w14:textId="7AF303C9" w:rsidR="0084445A" w:rsidRPr="00741D80" w:rsidRDefault="0084445A" w:rsidP="00374D3C">
      <w:pPr>
        <w:jc w:val="both"/>
        <w:rPr>
          <w:rFonts w:cstheme="minorHAnsi"/>
        </w:rPr>
      </w:pPr>
      <w:r w:rsidRPr="004805BA">
        <w:rPr>
          <w:rFonts w:cstheme="minorHAnsi"/>
        </w:rPr>
        <w:t>Този междинен съкратен индивидуален финансов отчет на Българска фондова борса АД е изготвен в</w:t>
      </w:r>
      <w:r w:rsidRPr="00741D80">
        <w:rPr>
          <w:rFonts w:cstheme="minorHAnsi"/>
        </w:rPr>
        <w:t xml:space="preserve"> съответствие с МСС 34 „Междинно финансово отчитане”, приет от ЕС. Той не съдържа цялата информация, която се изисква за изготвяне на пълни годишни финансови отчети съгласно МСФО и следва да се чете заедно с годишния индивидуален финансов отчет на Дружеството към 31.12.2017 г., изготвен в съответствие с Международните стандарти за финансово отчитане (МСФО), разработени и публикувани от Съвета по международни счетоводни стандарти (СМСС) и приети от Европейския съюз (ЕС).</w:t>
      </w:r>
    </w:p>
    <w:p w14:paraId="24A61370" w14:textId="77777777" w:rsidR="0084445A" w:rsidRPr="00741D80" w:rsidRDefault="0084445A" w:rsidP="00374D3C">
      <w:pPr>
        <w:jc w:val="both"/>
        <w:rPr>
          <w:rFonts w:cstheme="minorHAnsi"/>
        </w:rPr>
      </w:pPr>
      <w:r w:rsidRPr="00741D80">
        <w:rPr>
          <w:rFonts w:cstheme="minorHAnsi"/>
        </w:rPr>
        <w:t>Дружеството изготвя и междинен съкратен консолидиран финансов отчет в съответствие с МСФО, разработени и публикувани от СМСС и приети от ЕС. В него инвестициите в дъщерни предприятия са отчетени и оповестени в съответствие с МСС 27 „Консолидирани и индивидуални финансови отчети” и МСФО 10 „Консолидирани финансови отчети“.</w:t>
      </w:r>
    </w:p>
    <w:p w14:paraId="12447D3E" w14:textId="77777777" w:rsidR="0084445A" w:rsidRPr="00741D80" w:rsidRDefault="0084445A" w:rsidP="00374D3C">
      <w:pPr>
        <w:jc w:val="both"/>
        <w:rPr>
          <w:rFonts w:cstheme="minorHAnsi"/>
        </w:rPr>
      </w:pPr>
      <w:r w:rsidRPr="00741D80">
        <w:rPr>
          <w:rFonts w:cstheme="minorHAnsi"/>
        </w:rPr>
        <w:t>Междинният съкратен индивидуален финансов отчет е съставен при спазване на принципа на действащо предприятие.</w:t>
      </w:r>
    </w:p>
    <w:p w14:paraId="688566EC" w14:textId="77777777" w:rsidR="0084445A" w:rsidRPr="00741D80" w:rsidRDefault="0084445A" w:rsidP="00374D3C">
      <w:pPr>
        <w:jc w:val="both"/>
        <w:rPr>
          <w:rFonts w:cstheme="minorHAnsi"/>
        </w:rPr>
      </w:pPr>
      <w:r w:rsidRPr="00741D80">
        <w:rPr>
          <w:rFonts w:cstheme="minorHAnsi"/>
        </w:rPr>
        <w:t xml:space="preserve">Към датата на изготвяне на настоящия междинен съкратен индивидуален финансов отчет ръководството е направило преценка на способността на Дружеството да продължи своята дейност като действащо предприятие на база на наличната информация за предвидимото бъдеще. </w:t>
      </w:r>
    </w:p>
    <w:p w14:paraId="60CA5CCD" w14:textId="77777777" w:rsidR="0084445A" w:rsidRPr="00741D80" w:rsidRDefault="0084445A" w:rsidP="00374D3C">
      <w:pPr>
        <w:jc w:val="both"/>
        <w:rPr>
          <w:rFonts w:cstheme="minorHAnsi"/>
        </w:rPr>
      </w:pPr>
      <w:r w:rsidRPr="00741D80">
        <w:rPr>
          <w:rFonts w:cstheme="minorHAnsi"/>
        </w:rPr>
        <w:t xml:space="preserve">В резултат на извършения преглед на дейността ръководството очаква, че Дружеството ще разполага с достатъчно ресурси, за да продължи оперативната си дейност в близко бъдеще и счита, че принципът за действащо предприятие е уместно използван при изготвянето на </w:t>
      </w:r>
      <w:r w:rsidRPr="00741D80">
        <w:rPr>
          <w:rFonts w:cstheme="minorHAnsi"/>
          <w:bCs/>
        </w:rPr>
        <w:t xml:space="preserve">междинния съкратен индивидуален </w:t>
      </w:r>
      <w:r w:rsidRPr="00741D80">
        <w:rPr>
          <w:rFonts w:cstheme="minorHAnsi"/>
        </w:rPr>
        <w:t>финансов отчет.</w:t>
      </w:r>
    </w:p>
    <w:p w14:paraId="4E5701FC" w14:textId="77777777" w:rsidR="0084445A" w:rsidRPr="00A97D3D" w:rsidRDefault="0084445A" w:rsidP="00374D3C">
      <w:pPr>
        <w:jc w:val="both"/>
        <w:rPr>
          <w:b/>
        </w:rPr>
      </w:pPr>
      <w:bookmarkStart w:id="12" w:name="_Toc491790614"/>
      <w:bookmarkStart w:id="13" w:name="_Toc523331216"/>
      <w:r w:rsidRPr="00A97D3D">
        <w:rPr>
          <w:b/>
        </w:rPr>
        <w:t>Счетоводна политика и промени през периода</w:t>
      </w:r>
      <w:bookmarkEnd w:id="12"/>
      <w:bookmarkEnd w:id="13"/>
    </w:p>
    <w:p w14:paraId="7AF3EE65" w14:textId="77777777" w:rsidR="0084445A" w:rsidRPr="00A97D3D" w:rsidRDefault="0084445A" w:rsidP="00374D3C">
      <w:pPr>
        <w:jc w:val="both"/>
        <w:rPr>
          <w:b/>
        </w:rPr>
      </w:pPr>
      <w:r w:rsidRPr="00A97D3D">
        <w:rPr>
          <w:b/>
        </w:rPr>
        <w:t>Общи положения</w:t>
      </w:r>
    </w:p>
    <w:p w14:paraId="7B0D8E53" w14:textId="5AA8B397" w:rsidR="0084445A" w:rsidRPr="00741D80" w:rsidRDefault="0084445A" w:rsidP="00374D3C">
      <w:pPr>
        <w:jc w:val="both"/>
        <w:rPr>
          <w:rFonts w:cstheme="minorHAnsi"/>
        </w:rPr>
      </w:pPr>
      <w:r w:rsidRPr="00741D80">
        <w:rPr>
          <w:rFonts w:cstheme="minorHAnsi"/>
        </w:rPr>
        <w:t>С изключение на описаното по-долу счетоводната политика, приложена в настоящия междинен съкратен индивидуален финансов отчет е последователна и същата като тази приложена в последния годишен финансов отчет на Дружеството към 31 декември 2017 г. Дружеството е приело всички нови и/или ревизирани стандарти и разяснения, издадени от Съвета по Международни счетоводни стандарти (СМСС) и приети от Комисията на Европейския съюз, които са уместни за неговата дейност и са в сила за текущия отчетен период, започващ на 1 януари 2018 г. През текущия период</w:t>
      </w:r>
      <w:r w:rsidR="00FD518A">
        <w:rPr>
          <w:rFonts w:cstheme="minorHAnsi"/>
        </w:rPr>
        <w:t xml:space="preserve"> </w:t>
      </w:r>
      <w:r w:rsidRPr="00741D80">
        <w:rPr>
          <w:rFonts w:cstheme="minorHAnsi"/>
        </w:rPr>
        <w:t xml:space="preserve">Дружеството е приложило за първи път МСФО 15 „Приходи от договори с клиенти“ и МСФО 9 „Финансови инструменти“. </w:t>
      </w:r>
    </w:p>
    <w:p w14:paraId="521A0D3F" w14:textId="77777777" w:rsidR="0084445A" w:rsidRPr="00741D80" w:rsidRDefault="0084445A" w:rsidP="00374D3C">
      <w:pPr>
        <w:jc w:val="both"/>
        <w:rPr>
          <w:rFonts w:cstheme="minorHAnsi"/>
        </w:rPr>
      </w:pPr>
      <w:r w:rsidRPr="00741D80">
        <w:rPr>
          <w:rFonts w:cstheme="minorHAnsi"/>
        </w:rPr>
        <w:t xml:space="preserve">Дружеството е избрало да прилага МСФО 15 като използва метода на кумулативния ефект, при който сравнителната информация не се преизчислява. </w:t>
      </w:r>
    </w:p>
    <w:p w14:paraId="4C7B16E8" w14:textId="77777777" w:rsidR="0084445A" w:rsidRPr="00741D80" w:rsidRDefault="0084445A" w:rsidP="00374D3C">
      <w:pPr>
        <w:jc w:val="both"/>
        <w:rPr>
          <w:rFonts w:cstheme="minorHAnsi"/>
        </w:rPr>
      </w:pPr>
      <w:bookmarkStart w:id="14" w:name="_Hlk535830249"/>
      <w:r w:rsidRPr="00741D80">
        <w:rPr>
          <w:rFonts w:cstheme="minorHAnsi"/>
        </w:rPr>
        <w:lastRenderedPageBreak/>
        <w:t xml:space="preserve">Дружеството ще се възползва и от освобождаването в параграф 7.2.15 на МСФО 9 за преизчисляване на сравнителната информация по отношение на класификацията на финансовите активи и пасиви и обезценката по МСФО 9. </w:t>
      </w:r>
      <w:bookmarkEnd w:id="14"/>
    </w:p>
    <w:p w14:paraId="292AA723" w14:textId="77777777" w:rsidR="0084445A" w:rsidRPr="00741D80" w:rsidRDefault="0084445A" w:rsidP="00374D3C">
      <w:pPr>
        <w:jc w:val="both"/>
        <w:rPr>
          <w:rFonts w:cstheme="minorHAnsi"/>
        </w:rPr>
      </w:pPr>
      <w:r w:rsidRPr="00741D80">
        <w:rPr>
          <w:rFonts w:cstheme="minorHAnsi"/>
        </w:rPr>
        <w:t>Кумулативният ефект от първоначалното прилагане се признава като корекция на неразпределената печалба (непокрита загуба) на датата на първоначалното прилагане (1 януари 2018 г.). Сравнителната информация в отчета за печалбата или загубата и другия всеобхватен доход и в отчета за финансовото състояние не е преизчислена и е представена според отменените стандарти МСС 18 „Приходи“, МСС 11 „Договори за строителство“, МСС 39 „Финансови инструменти: Признаване и оценяване“ и разясненията към тях.</w:t>
      </w:r>
    </w:p>
    <w:p w14:paraId="645AAFEC" w14:textId="03C50FB3" w:rsidR="0084445A" w:rsidRPr="00A97D3D" w:rsidRDefault="0084445A" w:rsidP="00374D3C">
      <w:pPr>
        <w:jc w:val="both"/>
        <w:rPr>
          <w:b/>
        </w:rPr>
      </w:pPr>
      <w:r w:rsidRPr="00A97D3D">
        <w:rPr>
          <w:b/>
        </w:rPr>
        <w:t>Нови стандарти, изменения и разяснения към МСФО, които са</w:t>
      </w:r>
      <w:r w:rsidR="00FD518A">
        <w:rPr>
          <w:b/>
        </w:rPr>
        <w:t xml:space="preserve"> </w:t>
      </w:r>
      <w:r w:rsidRPr="00A97D3D">
        <w:rPr>
          <w:b/>
        </w:rPr>
        <w:t>в сила от 1 януари 2018г.</w:t>
      </w:r>
    </w:p>
    <w:p w14:paraId="061BD225" w14:textId="77777777" w:rsidR="0084445A" w:rsidRPr="00741D80" w:rsidRDefault="0084445A" w:rsidP="00374D3C">
      <w:pPr>
        <w:jc w:val="both"/>
        <w:rPr>
          <w:rFonts w:cstheme="minorHAnsi"/>
        </w:rPr>
      </w:pPr>
      <w:r w:rsidRPr="00741D80">
        <w:rPr>
          <w:rFonts w:cstheme="minorHAnsi"/>
        </w:rPr>
        <w:t>Дружеството прилага следните нови стандарти, изменения и разяснения към МСФО, разработени и публикувани от Съвета по международни счетоводни стандарти, които са задължителни за прилагане за периода, започващ на 1 януари 2018г.:</w:t>
      </w:r>
    </w:p>
    <w:p w14:paraId="74598E02" w14:textId="77777777" w:rsidR="0084445A" w:rsidRPr="00741D80" w:rsidRDefault="0084445A" w:rsidP="00374D3C">
      <w:pPr>
        <w:pStyle w:val="ListParagraph"/>
      </w:pPr>
      <w:r w:rsidRPr="00741D80">
        <w:t xml:space="preserve">МСФО 15 „Приходи от договори с клиенти” </w:t>
      </w:r>
    </w:p>
    <w:p w14:paraId="2AA9E840" w14:textId="66259E4A" w:rsidR="0084445A" w:rsidRDefault="0084445A" w:rsidP="00374D3C">
      <w:pPr>
        <w:jc w:val="both"/>
        <w:rPr>
          <w:rFonts w:cstheme="minorHAnsi"/>
        </w:rPr>
      </w:pPr>
      <w:r w:rsidRPr="00741D80">
        <w:rPr>
          <w:rFonts w:cstheme="minorHAnsi"/>
        </w:rPr>
        <w:t>МСФО 15 “Приходи от договори с клиенти” и свързаните разяснения към МСФО 15 „Приходи от договори с клиенти“ (наричани по-нататък МСФО 15) установява цялостна рамка за определяне дали, колко и кога се признават приходите. Той замени МСС 18 „Приходи“, МСС 11 „Договори за строителство”, както и няколко разяснения свързани с приходите. Новият стандарт изменя изискванията за признаване на приходи и установява принципи за докладване на информацията относно естеството, размера, времето и несигурността на приходите и паричните потоци, произтичащи от договори с клиенти.</w:t>
      </w:r>
    </w:p>
    <w:p w14:paraId="533FAD1A" w14:textId="77777777" w:rsidR="0084445A" w:rsidRPr="00741D80" w:rsidRDefault="0084445A" w:rsidP="00374D3C">
      <w:pPr>
        <w:jc w:val="both"/>
        <w:rPr>
          <w:rFonts w:cstheme="minorHAnsi"/>
        </w:rPr>
      </w:pPr>
      <w:r w:rsidRPr="00741D80">
        <w:rPr>
          <w:rFonts w:cstheme="minorHAnsi"/>
        </w:rPr>
        <w:t>(а) Преход</w:t>
      </w:r>
    </w:p>
    <w:p w14:paraId="4CE08DB8" w14:textId="7B030653" w:rsidR="0084445A" w:rsidRPr="00741D80" w:rsidRDefault="0084445A" w:rsidP="00374D3C">
      <w:pPr>
        <w:jc w:val="both"/>
        <w:rPr>
          <w:rFonts w:cstheme="minorHAnsi"/>
        </w:rPr>
      </w:pPr>
      <w:bookmarkStart w:id="15" w:name="_Hlk535828831"/>
      <w:r w:rsidRPr="00741D80">
        <w:rPr>
          <w:rFonts w:cstheme="minorHAnsi"/>
        </w:rPr>
        <w:t>Дружеството е избрало да приложи МСФО 15, използвайки метода на кумулативния ефект, като ефектът от първоначалното прилагане на този стандарт</w:t>
      </w:r>
      <w:r w:rsidR="00FD518A">
        <w:rPr>
          <w:rFonts w:cstheme="minorHAnsi"/>
        </w:rPr>
        <w:t xml:space="preserve"> </w:t>
      </w:r>
      <w:r w:rsidRPr="00741D80">
        <w:rPr>
          <w:rFonts w:cstheme="minorHAnsi"/>
        </w:rPr>
        <w:t xml:space="preserve">ще бъде признат като корекция на началното салдо на неразпределената печалба/(непокрита загуба) на датата на първоначалното прилагане, т.е. 1 януари 2018 г. Съответно, информацията представена за 2017 г. не е преизчислена, т.е. представена е в съответствие с прилаганите тогава разпоредби на МСС 18, МСС 11 и свързаните разяснения. </w:t>
      </w:r>
      <w:bookmarkEnd w:id="15"/>
      <w:r w:rsidRPr="00741D80">
        <w:rPr>
          <w:rFonts w:cstheme="minorHAnsi"/>
        </w:rPr>
        <w:t xml:space="preserve">В допълнение, изискванията за оповестяване на МСФО 15 не са изцяло приложени по отношение на сравнителната информация. Предоставена е информация за сравнителната информация въз основа на изискванията за оповестяване на отменените стандарти (МСС 18) и </w:t>
      </w:r>
      <w:proofErr w:type="spellStart"/>
      <w:r w:rsidRPr="00741D80">
        <w:rPr>
          <w:rFonts w:cstheme="minorHAnsi"/>
        </w:rPr>
        <w:t>прекласификации</w:t>
      </w:r>
      <w:proofErr w:type="spellEnd"/>
      <w:r w:rsidRPr="00741D80">
        <w:rPr>
          <w:rFonts w:cstheme="minorHAnsi"/>
        </w:rPr>
        <w:t xml:space="preserve"> във връзка с новите изисквания за оповестяване по МСФО 15.</w:t>
      </w:r>
    </w:p>
    <w:p w14:paraId="5DA9AC6D" w14:textId="77777777" w:rsidR="0084445A" w:rsidRPr="00741D80" w:rsidRDefault="0084445A" w:rsidP="00374D3C">
      <w:pPr>
        <w:jc w:val="both"/>
        <w:rPr>
          <w:rFonts w:cstheme="minorHAnsi"/>
        </w:rPr>
      </w:pPr>
      <w:r w:rsidRPr="00741D80">
        <w:rPr>
          <w:rFonts w:cstheme="minorHAnsi"/>
        </w:rPr>
        <w:t>В съответствие с преходните разпоредби на стандарта, МСФО 15 е приложен само към договори, които не са били приключени към 1 януари 2018 г.</w:t>
      </w:r>
    </w:p>
    <w:p w14:paraId="5148B09B" w14:textId="77777777" w:rsidR="0084445A" w:rsidRPr="00741D80" w:rsidRDefault="0084445A" w:rsidP="00374D3C">
      <w:pPr>
        <w:jc w:val="both"/>
        <w:rPr>
          <w:rFonts w:cstheme="minorHAnsi"/>
        </w:rPr>
      </w:pPr>
      <w:r w:rsidRPr="00741D80">
        <w:rPr>
          <w:rFonts w:cstheme="minorHAnsi"/>
        </w:rPr>
        <w:t>(б) Оценка и признаване</w:t>
      </w:r>
    </w:p>
    <w:p w14:paraId="6CAC106F" w14:textId="77777777" w:rsidR="0084445A" w:rsidRPr="00741D80" w:rsidRDefault="0084445A" w:rsidP="00374D3C">
      <w:pPr>
        <w:jc w:val="both"/>
        <w:rPr>
          <w:rFonts w:cstheme="minorHAnsi"/>
        </w:rPr>
      </w:pPr>
      <w:r w:rsidRPr="00741D80">
        <w:rPr>
          <w:rFonts w:cstheme="minorHAnsi"/>
        </w:rPr>
        <w:t>Предоставяне на услуги</w:t>
      </w:r>
    </w:p>
    <w:p w14:paraId="1FFF6245" w14:textId="77777777" w:rsidR="0084445A" w:rsidRPr="00741D80" w:rsidRDefault="0084445A" w:rsidP="00374D3C">
      <w:pPr>
        <w:jc w:val="both"/>
        <w:rPr>
          <w:rFonts w:cstheme="minorHAnsi"/>
        </w:rPr>
      </w:pPr>
      <w:r w:rsidRPr="00741D80">
        <w:rPr>
          <w:rFonts w:cstheme="minorHAnsi"/>
        </w:rPr>
        <w:t>Основните приходи на дружеството в обхвата на МСФО 15 включват приходи от такси за членство, регистрация и пререгистрация, информационно обслужване, интернет и он-</w:t>
      </w:r>
      <w:proofErr w:type="spellStart"/>
      <w:r w:rsidRPr="00741D80">
        <w:rPr>
          <w:rFonts w:cstheme="minorHAnsi"/>
        </w:rPr>
        <w:t>лайн</w:t>
      </w:r>
      <w:proofErr w:type="spellEnd"/>
      <w:r w:rsidRPr="00741D80">
        <w:rPr>
          <w:rFonts w:cstheme="minorHAnsi"/>
        </w:rPr>
        <w:t xml:space="preserve"> търговия и комисиони за сделки с акции и облигации и се признават при и за периода на предоставяне на услугата. Според МСФО 15, приходите се признават когато дружеството удовлетвори изискването да прехвърли услугата на клиента. В допълнение, приходите се признават и до степен, така че това води до значително обръщане в акумулираните приходи в стойността им. Въз основа на оценката, направена от дружеството, времето и сумата на приходите, които сее признават са сходни. </w:t>
      </w:r>
      <w:r w:rsidRPr="00741D80">
        <w:rPr>
          <w:rFonts w:cstheme="minorHAnsi"/>
        </w:rPr>
        <w:lastRenderedPageBreak/>
        <w:t xml:space="preserve">Признаването и оценяването на приходите по тези договори не се различава от признаването им с досегашната практика. </w:t>
      </w:r>
    </w:p>
    <w:p w14:paraId="2369B2EE" w14:textId="77777777" w:rsidR="0084445A" w:rsidRPr="00741D80" w:rsidRDefault="0084445A" w:rsidP="00374D3C">
      <w:pPr>
        <w:jc w:val="both"/>
        <w:rPr>
          <w:rFonts w:cstheme="minorHAnsi"/>
        </w:rPr>
      </w:pPr>
      <w:r w:rsidRPr="00741D80">
        <w:rPr>
          <w:rFonts w:cstheme="minorHAnsi"/>
        </w:rPr>
        <w:t xml:space="preserve">Дружеството е оценило ефектите от прилагането на новия стандарт МСФО 15 върху финансовите си отчети и не е идентифицирало области, които да бъдат засегнати и които да окажат влияние върху стойностите на неговите приходи от дейността и/или вземанията, доколкото не се очаква съществена промяна в бизнес модела, нито промяна във времевия хоризонт на прехвърляне на контрола към клиентите от оказваните от Дружеството услуги или отчитането на продажбите на други краткотрайни активи. Допълнителна информация за счетоводните политики на Дружеството, свързани с признаването на приходи по договори с клиенти, е представена в бележка </w:t>
      </w:r>
      <w:r w:rsidRPr="00741D80">
        <w:rPr>
          <w:rFonts w:cstheme="minorHAnsi"/>
          <w:lang w:val="en-US"/>
        </w:rPr>
        <w:t xml:space="preserve">3 </w:t>
      </w:r>
      <w:r w:rsidRPr="00741D80">
        <w:rPr>
          <w:rFonts w:cstheme="minorHAnsi"/>
        </w:rPr>
        <w:t>Приходи от договори с клиенти.</w:t>
      </w:r>
      <w:r w:rsidRPr="00741D80">
        <w:rPr>
          <w:rFonts w:cstheme="minorHAnsi"/>
          <w:lang w:val="en-US"/>
        </w:rPr>
        <w:t xml:space="preserve"> </w:t>
      </w:r>
    </w:p>
    <w:p w14:paraId="29022157" w14:textId="77777777" w:rsidR="0084445A" w:rsidRPr="00741D80" w:rsidRDefault="0084445A" w:rsidP="00374D3C">
      <w:pPr>
        <w:pStyle w:val="BodyText"/>
      </w:pPr>
      <w:r w:rsidRPr="00741D80">
        <w:t>МСФО 15 не оказва съществен ефект върху счетоводните политики на Дружеството по отношение на другите видове приходи, които то отчита</w:t>
      </w:r>
    </w:p>
    <w:p w14:paraId="51C5C804" w14:textId="292B37EE" w:rsidR="0084445A" w:rsidRPr="00741D80" w:rsidRDefault="0084445A" w:rsidP="00374D3C">
      <w:pPr>
        <w:pStyle w:val="ListParagraph"/>
      </w:pPr>
      <w:r w:rsidRPr="00741D80">
        <w:t>МСФО 9 „Финансови инструменти”</w:t>
      </w:r>
      <w:r w:rsidR="00FD518A">
        <w:t xml:space="preserve"> </w:t>
      </w:r>
    </w:p>
    <w:p w14:paraId="2B97313F" w14:textId="77777777" w:rsidR="0084445A" w:rsidRPr="00741D80" w:rsidRDefault="0084445A" w:rsidP="00374D3C">
      <w:pPr>
        <w:jc w:val="both"/>
        <w:rPr>
          <w:rFonts w:cstheme="minorHAnsi"/>
        </w:rPr>
      </w:pPr>
      <w:r w:rsidRPr="00741D80">
        <w:rPr>
          <w:rFonts w:cstheme="minorHAnsi"/>
        </w:rPr>
        <w:t xml:space="preserve">МСФО 9 установява нови принципи, правила и критерии за класификация, оценка и отписване на финансовите активи и пасиви, вкл. хибридните договори и заменя МСС 39 „Финансови инструменти: Признаване и оценяване“. </w:t>
      </w:r>
    </w:p>
    <w:p w14:paraId="62491806" w14:textId="5E392B64" w:rsidR="0084445A" w:rsidRDefault="0084445A" w:rsidP="00374D3C">
      <w:pPr>
        <w:jc w:val="both"/>
        <w:rPr>
          <w:rFonts w:cstheme="minorHAnsi"/>
        </w:rPr>
      </w:pPr>
      <w:r w:rsidRPr="00741D80">
        <w:rPr>
          <w:rFonts w:cstheme="minorHAnsi"/>
        </w:rPr>
        <w:t>Подробна информация за новата счетоводна политика и ефектът от промяната спрямо прилаганата преди това счетоводна политика, са представени по-долу.</w:t>
      </w:r>
    </w:p>
    <w:p w14:paraId="292B8BBA" w14:textId="77777777" w:rsidR="0084445A" w:rsidRPr="00741D80" w:rsidRDefault="0084445A" w:rsidP="00374D3C">
      <w:pPr>
        <w:jc w:val="both"/>
        <w:rPr>
          <w:rFonts w:cstheme="minorHAnsi"/>
        </w:rPr>
      </w:pPr>
      <w:r w:rsidRPr="00741D80">
        <w:rPr>
          <w:rFonts w:cstheme="minorHAnsi"/>
        </w:rPr>
        <w:t>(а) Преход</w:t>
      </w:r>
    </w:p>
    <w:p w14:paraId="069C277B" w14:textId="77777777" w:rsidR="0084445A" w:rsidRPr="00741D80" w:rsidRDefault="0084445A" w:rsidP="00374D3C">
      <w:pPr>
        <w:jc w:val="both"/>
        <w:rPr>
          <w:rFonts w:cstheme="minorHAnsi"/>
        </w:rPr>
      </w:pPr>
      <w:r w:rsidRPr="00741D80">
        <w:rPr>
          <w:rFonts w:cstheme="minorHAnsi"/>
        </w:rPr>
        <w:t>Дружеството е приело МСФО 9 на определената дата на влизане в сила (1 януари 2018 г.) и не преизчислява сравнителната информация</w:t>
      </w:r>
      <w:r w:rsidRPr="00741D80">
        <w:rPr>
          <w:rFonts w:cstheme="minorHAnsi"/>
          <w:lang w:val="en-US"/>
        </w:rPr>
        <w:t>.</w:t>
      </w:r>
      <w:r w:rsidRPr="00741D80">
        <w:rPr>
          <w:rFonts w:cstheme="minorHAnsi"/>
        </w:rPr>
        <w:t xml:space="preserve"> Дружеството се възползва от освобождаването в параграф 7.2.15 от МСФО 9 от преизчисляване на предходни периоди по отношение на класификацията и обезценката на финансовите инструменти. </w:t>
      </w:r>
    </w:p>
    <w:p w14:paraId="2FA3430C" w14:textId="717ACE6B" w:rsidR="0084445A" w:rsidRPr="00741D80" w:rsidRDefault="0084445A" w:rsidP="00374D3C">
      <w:pPr>
        <w:jc w:val="both"/>
        <w:rPr>
          <w:rFonts w:cstheme="minorHAnsi"/>
        </w:rPr>
      </w:pPr>
      <w:r w:rsidRPr="00741D80">
        <w:rPr>
          <w:rFonts w:cstheme="minorHAnsi"/>
        </w:rPr>
        <w:t>Дружеството е извършило оценка на ефектите от трите аспекта на МСФО 9.</w:t>
      </w:r>
      <w:r w:rsidR="00FD518A">
        <w:rPr>
          <w:rFonts w:cstheme="minorHAnsi"/>
        </w:rPr>
        <w:t xml:space="preserve"> </w:t>
      </w:r>
    </w:p>
    <w:p w14:paraId="254FE107" w14:textId="77777777" w:rsidR="0084445A" w:rsidRPr="00741D80" w:rsidRDefault="0084445A" w:rsidP="00374D3C">
      <w:pPr>
        <w:jc w:val="both"/>
        <w:rPr>
          <w:rFonts w:cstheme="minorHAnsi"/>
        </w:rPr>
      </w:pPr>
      <w:r w:rsidRPr="00741D80">
        <w:rPr>
          <w:rFonts w:cstheme="minorHAnsi"/>
        </w:rPr>
        <w:t>В допълнение, Дружеството е приело свързаните изменения в МСФО 7 „Финансови инструменти: Оповестяване“, които са приложими към оповестяванията за 2018 г., но не са изцяло приложени по отношение на сравнителната информация</w:t>
      </w:r>
    </w:p>
    <w:p w14:paraId="04788FD4" w14:textId="77777777" w:rsidR="0084445A" w:rsidRPr="00741D80" w:rsidRDefault="0084445A" w:rsidP="00374D3C">
      <w:pPr>
        <w:jc w:val="both"/>
        <w:rPr>
          <w:rFonts w:cstheme="minorHAnsi"/>
        </w:rPr>
      </w:pPr>
      <w:r w:rsidRPr="00741D80">
        <w:rPr>
          <w:rFonts w:cstheme="minorHAnsi"/>
        </w:rPr>
        <w:t xml:space="preserve">(б) Класификация и оценка </w:t>
      </w:r>
    </w:p>
    <w:p w14:paraId="20327A08" w14:textId="77777777" w:rsidR="0084445A" w:rsidRPr="00741D80" w:rsidRDefault="0084445A" w:rsidP="00374D3C">
      <w:pPr>
        <w:jc w:val="both"/>
        <w:rPr>
          <w:rFonts w:cstheme="minorHAnsi"/>
        </w:rPr>
      </w:pPr>
      <w:bookmarkStart w:id="16" w:name="_Hlk535941245"/>
      <w:r w:rsidRPr="00741D80">
        <w:rPr>
          <w:rFonts w:cstheme="minorHAnsi"/>
        </w:rPr>
        <w:t xml:space="preserve">МСФО 9 въвежда нов подход за класификация на финансовите активи, който се базира на характеристиките на договорните парични потоци на финансовите активи и бизнес модела, в който те се управляват. Влиянието на МСФО 9 върху класификацията и оценката на финансовите активи е представена по-долу. </w:t>
      </w:r>
    </w:p>
    <w:p w14:paraId="4B80395B" w14:textId="77777777" w:rsidR="0084445A" w:rsidRPr="00741D80" w:rsidRDefault="0084445A" w:rsidP="00374D3C">
      <w:pPr>
        <w:jc w:val="both"/>
        <w:rPr>
          <w:rFonts w:cstheme="minorHAnsi"/>
        </w:rPr>
      </w:pPr>
      <w:r w:rsidRPr="00741D80">
        <w:rPr>
          <w:rFonts w:cstheme="minorHAnsi"/>
        </w:rPr>
        <w:t xml:space="preserve">МСФО 9 запазва до голяма степен съществуващите изисквания в МСС 39 за класификация и оценка на финансовите пасиви. По отношение на финансовите пасиви приемането на МСФО 9 не оказва ефект върху класификацията и счетоводната политика на Дружеството. </w:t>
      </w:r>
    </w:p>
    <w:bookmarkEnd w:id="16"/>
    <w:p w14:paraId="11253798" w14:textId="77777777" w:rsidR="0084445A" w:rsidRPr="00741D80" w:rsidRDefault="0084445A" w:rsidP="00374D3C">
      <w:pPr>
        <w:jc w:val="both"/>
        <w:rPr>
          <w:rFonts w:cstheme="minorHAnsi"/>
        </w:rPr>
      </w:pPr>
      <w:r w:rsidRPr="00741D80">
        <w:rPr>
          <w:rFonts w:cstheme="minorHAnsi"/>
        </w:rPr>
        <w:t>Категории финансови активи, съгласно МСФО 9:</w:t>
      </w:r>
    </w:p>
    <w:p w14:paraId="5BD28C65" w14:textId="77777777" w:rsidR="0084445A" w:rsidRPr="00741D80" w:rsidRDefault="0084445A" w:rsidP="00721377">
      <w:pPr>
        <w:pStyle w:val="ListParagraph"/>
        <w:numPr>
          <w:ilvl w:val="0"/>
          <w:numId w:val="30"/>
        </w:numPr>
        <w:spacing w:line="276" w:lineRule="auto"/>
      </w:pPr>
      <w:r w:rsidRPr="00741D80">
        <w:t>Дългови инструменти, оценявани по амортизирана стойност;</w:t>
      </w:r>
    </w:p>
    <w:p w14:paraId="3760F827" w14:textId="77777777" w:rsidR="0084445A" w:rsidRPr="00741D80" w:rsidRDefault="0084445A" w:rsidP="00721377">
      <w:pPr>
        <w:pStyle w:val="ListParagraph"/>
        <w:numPr>
          <w:ilvl w:val="0"/>
          <w:numId w:val="30"/>
        </w:numPr>
        <w:spacing w:line="276" w:lineRule="auto"/>
      </w:pPr>
      <w:r w:rsidRPr="00741D80">
        <w:t>Дългови инструменти, оценявани по справедлива стойност през друг всеобхватен доход (с прекласификация в печалбата или загубата);</w:t>
      </w:r>
    </w:p>
    <w:p w14:paraId="1E1CB481" w14:textId="77777777" w:rsidR="0084445A" w:rsidRPr="00741D80" w:rsidRDefault="0084445A" w:rsidP="00721377">
      <w:pPr>
        <w:pStyle w:val="ListParagraph"/>
        <w:numPr>
          <w:ilvl w:val="0"/>
          <w:numId w:val="30"/>
        </w:numPr>
        <w:spacing w:line="276" w:lineRule="auto"/>
      </w:pPr>
      <w:r w:rsidRPr="00741D80">
        <w:t>Капиталови инструменти, оценявани по справедлива стойност през друг всеобхватен доход (без прекласификация в печалбата или загубата);</w:t>
      </w:r>
    </w:p>
    <w:p w14:paraId="4E458584" w14:textId="77777777" w:rsidR="0084445A" w:rsidRPr="00741D80" w:rsidRDefault="0084445A" w:rsidP="00721377">
      <w:pPr>
        <w:pStyle w:val="ListParagraph"/>
        <w:numPr>
          <w:ilvl w:val="0"/>
          <w:numId w:val="30"/>
        </w:numPr>
        <w:spacing w:line="276" w:lineRule="auto"/>
      </w:pPr>
      <w:r w:rsidRPr="00741D80">
        <w:lastRenderedPageBreak/>
        <w:t>Финансови активи (дългови инструменти, капиталови инструменти и деривативи), оценявани по справедлива стойност в печалбата или загубата.</w:t>
      </w:r>
    </w:p>
    <w:p w14:paraId="5C1FEBD3" w14:textId="77777777" w:rsidR="0084445A" w:rsidRPr="00741D80" w:rsidRDefault="0084445A" w:rsidP="00374D3C">
      <w:pPr>
        <w:jc w:val="both"/>
        <w:rPr>
          <w:rFonts w:eastAsia="Calibri" w:cstheme="minorHAnsi"/>
        </w:rPr>
      </w:pPr>
      <w:bookmarkStart w:id="17" w:name="_Hlk535941296"/>
      <w:r w:rsidRPr="00741D80">
        <w:rPr>
          <w:rFonts w:eastAsia="Calibri" w:cstheme="minorHAnsi"/>
        </w:rPr>
        <w:t>Следната таблица представя класификацията на всеки тип от финансовите активи на Дружеството по МСС 39 и последващата им класификация и оценяване по МСФО 9 на 1 януари 2018 г.</w:t>
      </w:r>
    </w:p>
    <w:tbl>
      <w:tblPr>
        <w:tblW w:w="5173" w:type="pct"/>
        <w:jc w:val="center"/>
        <w:tblCellMar>
          <w:left w:w="70" w:type="dxa"/>
          <w:right w:w="70" w:type="dxa"/>
        </w:tblCellMar>
        <w:tblLook w:val="04A0" w:firstRow="1" w:lastRow="0" w:firstColumn="1" w:lastColumn="0" w:noHBand="0" w:noVBand="1"/>
      </w:tblPr>
      <w:tblGrid>
        <w:gridCol w:w="2830"/>
        <w:gridCol w:w="2244"/>
        <w:gridCol w:w="4882"/>
      </w:tblGrid>
      <w:tr w:rsidR="0084445A" w:rsidRPr="00741D80" w14:paraId="0F8AF61D" w14:textId="77777777" w:rsidTr="00721377">
        <w:trPr>
          <w:trHeight w:val="170"/>
          <w:jc w:val="center"/>
        </w:trPr>
        <w:tc>
          <w:tcPr>
            <w:tcW w:w="1421" w:type="pct"/>
            <w:tcBorders>
              <w:top w:val="single" w:sz="8" w:space="0" w:color="BFBFBF"/>
              <w:left w:val="single" w:sz="4" w:space="0" w:color="D9D9D9" w:themeColor="background1" w:themeShade="D9"/>
              <w:bottom w:val="double" w:sz="6" w:space="0" w:color="auto"/>
              <w:right w:val="single" w:sz="8" w:space="0" w:color="BFBFBF"/>
            </w:tcBorders>
            <w:shd w:val="clear" w:color="auto" w:fill="auto"/>
            <w:hideMark/>
          </w:tcPr>
          <w:p w14:paraId="4FA6D372" w14:textId="77777777" w:rsidR="0084445A" w:rsidRPr="00741D80" w:rsidRDefault="0084445A" w:rsidP="00721377">
            <w:pPr>
              <w:spacing w:line="240" w:lineRule="auto"/>
              <w:rPr>
                <w:rFonts w:cstheme="minorHAnsi"/>
              </w:rPr>
            </w:pPr>
            <w:bookmarkStart w:id="18" w:name="_Hlk535941322"/>
            <w:bookmarkEnd w:id="17"/>
            <w:r w:rsidRPr="00741D80">
              <w:rPr>
                <w:rFonts w:cstheme="minorHAnsi"/>
              </w:rPr>
              <w:t>Тип на финансовия актив</w:t>
            </w:r>
          </w:p>
        </w:tc>
        <w:tc>
          <w:tcPr>
            <w:tcW w:w="1127" w:type="pct"/>
            <w:tcBorders>
              <w:top w:val="single" w:sz="8" w:space="0" w:color="BFBFBF"/>
              <w:left w:val="nil"/>
              <w:bottom w:val="double" w:sz="6" w:space="0" w:color="auto"/>
              <w:right w:val="single" w:sz="8" w:space="0" w:color="BFBFBF"/>
            </w:tcBorders>
            <w:shd w:val="clear" w:color="auto" w:fill="auto"/>
            <w:hideMark/>
          </w:tcPr>
          <w:p w14:paraId="4E0A956E" w14:textId="77777777" w:rsidR="0084445A" w:rsidRPr="00741D80" w:rsidRDefault="0084445A" w:rsidP="00721377">
            <w:pPr>
              <w:spacing w:line="240" w:lineRule="auto"/>
              <w:rPr>
                <w:rFonts w:cstheme="minorHAnsi"/>
              </w:rPr>
            </w:pPr>
            <w:r w:rsidRPr="00741D80">
              <w:rPr>
                <w:rFonts w:cstheme="minorHAnsi"/>
              </w:rPr>
              <w:t>Категория по МСС 39</w:t>
            </w:r>
          </w:p>
        </w:tc>
        <w:tc>
          <w:tcPr>
            <w:tcW w:w="2452" w:type="pct"/>
            <w:tcBorders>
              <w:top w:val="single" w:sz="8" w:space="0" w:color="BFBFBF"/>
              <w:left w:val="nil"/>
              <w:bottom w:val="double" w:sz="6" w:space="0" w:color="auto"/>
              <w:right w:val="single" w:sz="8" w:space="0" w:color="BFBFBF"/>
            </w:tcBorders>
            <w:shd w:val="clear" w:color="auto" w:fill="auto"/>
            <w:hideMark/>
          </w:tcPr>
          <w:p w14:paraId="07136EB6" w14:textId="77777777" w:rsidR="0084445A" w:rsidRPr="00741D80" w:rsidRDefault="0084445A" w:rsidP="00721377">
            <w:pPr>
              <w:spacing w:line="240" w:lineRule="auto"/>
              <w:rPr>
                <w:rFonts w:cstheme="minorHAnsi"/>
              </w:rPr>
            </w:pPr>
            <w:r w:rsidRPr="00741D80">
              <w:rPr>
                <w:rFonts w:cstheme="minorHAnsi"/>
              </w:rPr>
              <w:t>Категория по МСФО 9</w:t>
            </w:r>
          </w:p>
        </w:tc>
      </w:tr>
      <w:tr w:rsidR="0084445A" w:rsidRPr="00741D80" w14:paraId="76D142E4" w14:textId="77777777" w:rsidTr="00721377">
        <w:trPr>
          <w:trHeight w:val="170"/>
          <w:jc w:val="center"/>
        </w:trPr>
        <w:tc>
          <w:tcPr>
            <w:tcW w:w="1421" w:type="pct"/>
            <w:tcBorders>
              <w:top w:val="nil"/>
              <w:left w:val="single" w:sz="4" w:space="0" w:color="D9D9D9" w:themeColor="background1" w:themeShade="D9"/>
              <w:bottom w:val="single" w:sz="8" w:space="0" w:color="BFBFBF"/>
              <w:right w:val="single" w:sz="8" w:space="0" w:color="BFBFBF"/>
            </w:tcBorders>
            <w:shd w:val="clear" w:color="auto" w:fill="auto"/>
            <w:hideMark/>
          </w:tcPr>
          <w:p w14:paraId="611080A3" w14:textId="77777777" w:rsidR="0084445A" w:rsidRPr="00741D80" w:rsidRDefault="0084445A" w:rsidP="00721377">
            <w:pPr>
              <w:spacing w:line="240" w:lineRule="auto"/>
              <w:rPr>
                <w:rFonts w:cstheme="minorHAnsi"/>
              </w:rPr>
            </w:pPr>
            <w:r w:rsidRPr="00741D80">
              <w:rPr>
                <w:rFonts w:cstheme="minorHAnsi"/>
              </w:rPr>
              <w:t>Дълговите ценни книжа</w:t>
            </w:r>
          </w:p>
        </w:tc>
        <w:tc>
          <w:tcPr>
            <w:tcW w:w="1127" w:type="pct"/>
            <w:tcBorders>
              <w:top w:val="nil"/>
              <w:left w:val="nil"/>
              <w:bottom w:val="single" w:sz="8" w:space="0" w:color="BFBFBF"/>
              <w:right w:val="single" w:sz="8" w:space="0" w:color="BFBFBF"/>
            </w:tcBorders>
            <w:shd w:val="clear" w:color="auto" w:fill="auto"/>
            <w:hideMark/>
          </w:tcPr>
          <w:p w14:paraId="5123DFB4" w14:textId="77777777" w:rsidR="0084445A" w:rsidRPr="00741D80" w:rsidRDefault="0084445A" w:rsidP="00721377">
            <w:pPr>
              <w:spacing w:line="240" w:lineRule="auto"/>
              <w:rPr>
                <w:rFonts w:cstheme="minorHAnsi"/>
              </w:rPr>
            </w:pPr>
            <w:r w:rsidRPr="00741D80">
              <w:rPr>
                <w:rFonts w:cstheme="minorHAnsi"/>
              </w:rPr>
              <w:t>Финансови активи на разположение за продажба</w:t>
            </w:r>
          </w:p>
        </w:tc>
        <w:tc>
          <w:tcPr>
            <w:tcW w:w="2452" w:type="pct"/>
            <w:tcBorders>
              <w:top w:val="nil"/>
              <w:left w:val="nil"/>
              <w:bottom w:val="single" w:sz="8" w:space="0" w:color="BFBFBF"/>
              <w:right w:val="single" w:sz="8" w:space="0" w:color="BFBFBF"/>
            </w:tcBorders>
            <w:shd w:val="clear" w:color="auto" w:fill="auto"/>
            <w:hideMark/>
          </w:tcPr>
          <w:p w14:paraId="6849EB35" w14:textId="77777777" w:rsidR="0084445A" w:rsidRPr="00741D80" w:rsidRDefault="0084445A" w:rsidP="00721377">
            <w:pPr>
              <w:spacing w:line="240" w:lineRule="auto"/>
              <w:rPr>
                <w:rFonts w:cstheme="minorHAnsi"/>
              </w:rPr>
            </w:pPr>
            <w:r w:rsidRPr="00741D80">
              <w:rPr>
                <w:rFonts w:cstheme="minorHAnsi"/>
              </w:rPr>
              <w:t xml:space="preserve">Дългови инструменти, оценявани по справедлива стойност през друг всеобхватен доход (с </w:t>
            </w:r>
            <w:proofErr w:type="spellStart"/>
            <w:r w:rsidRPr="00741D80">
              <w:rPr>
                <w:rFonts w:cstheme="minorHAnsi"/>
              </w:rPr>
              <w:t>прекласификация</w:t>
            </w:r>
            <w:proofErr w:type="spellEnd"/>
            <w:r w:rsidRPr="00741D80">
              <w:rPr>
                <w:rFonts w:cstheme="minorHAnsi"/>
              </w:rPr>
              <w:t xml:space="preserve"> в печалбата или загубата);</w:t>
            </w:r>
          </w:p>
        </w:tc>
      </w:tr>
      <w:tr w:rsidR="0084445A" w:rsidRPr="00741D80" w14:paraId="58443552" w14:textId="77777777" w:rsidTr="00721377">
        <w:trPr>
          <w:trHeight w:val="170"/>
          <w:jc w:val="center"/>
        </w:trPr>
        <w:tc>
          <w:tcPr>
            <w:tcW w:w="1421" w:type="pct"/>
            <w:tcBorders>
              <w:top w:val="nil"/>
              <w:left w:val="single" w:sz="4" w:space="0" w:color="D9D9D9" w:themeColor="background1" w:themeShade="D9"/>
              <w:bottom w:val="single" w:sz="8" w:space="0" w:color="BFBFBF"/>
              <w:right w:val="single" w:sz="8" w:space="0" w:color="BFBFBF"/>
            </w:tcBorders>
            <w:shd w:val="clear" w:color="auto" w:fill="auto"/>
          </w:tcPr>
          <w:p w14:paraId="55002195" w14:textId="77777777" w:rsidR="0084445A" w:rsidRPr="00741D80" w:rsidRDefault="0084445A" w:rsidP="00721377">
            <w:pPr>
              <w:spacing w:line="240" w:lineRule="auto"/>
              <w:rPr>
                <w:rFonts w:cstheme="minorHAnsi"/>
              </w:rPr>
            </w:pPr>
            <w:r w:rsidRPr="00741D80">
              <w:rPr>
                <w:rFonts w:cstheme="minorHAnsi"/>
              </w:rPr>
              <w:t xml:space="preserve">Капиталовите инвестиции в </w:t>
            </w:r>
            <w:proofErr w:type="spellStart"/>
            <w:r w:rsidRPr="00741D80">
              <w:rPr>
                <w:rFonts w:cstheme="minorHAnsi"/>
              </w:rPr>
              <w:t>некотирани</w:t>
            </w:r>
            <w:proofErr w:type="spellEnd"/>
            <w:r w:rsidRPr="00741D80">
              <w:rPr>
                <w:rFonts w:cstheme="minorHAnsi"/>
              </w:rPr>
              <w:t xml:space="preserve"> компании </w:t>
            </w:r>
            <w:r w:rsidRPr="00741D80">
              <w:rPr>
                <w:rFonts w:cstheme="minorHAnsi"/>
                <w:lang w:val="en-US"/>
              </w:rPr>
              <w:t>(</w:t>
            </w:r>
            <w:r w:rsidRPr="00741D80">
              <w:rPr>
                <w:rFonts w:cstheme="minorHAnsi"/>
              </w:rPr>
              <w:t>малцинствено участие</w:t>
            </w:r>
            <w:r w:rsidRPr="00741D80">
              <w:rPr>
                <w:rFonts w:cstheme="minorHAnsi"/>
                <w:lang w:val="en-US"/>
              </w:rPr>
              <w:t>)</w:t>
            </w:r>
          </w:p>
        </w:tc>
        <w:tc>
          <w:tcPr>
            <w:tcW w:w="1127" w:type="pct"/>
            <w:tcBorders>
              <w:top w:val="nil"/>
              <w:left w:val="nil"/>
              <w:bottom w:val="single" w:sz="8" w:space="0" w:color="BFBFBF"/>
              <w:right w:val="single" w:sz="8" w:space="0" w:color="BFBFBF"/>
            </w:tcBorders>
            <w:shd w:val="clear" w:color="auto" w:fill="auto"/>
          </w:tcPr>
          <w:p w14:paraId="01153B9B" w14:textId="77777777" w:rsidR="0084445A" w:rsidRPr="00741D80" w:rsidRDefault="0084445A" w:rsidP="00721377">
            <w:pPr>
              <w:spacing w:line="240" w:lineRule="auto"/>
              <w:rPr>
                <w:rFonts w:cstheme="minorHAnsi"/>
              </w:rPr>
            </w:pPr>
            <w:r w:rsidRPr="00741D80">
              <w:rPr>
                <w:rFonts w:cstheme="minorHAnsi"/>
              </w:rPr>
              <w:t>Финансови активи на разположение за продажба</w:t>
            </w:r>
          </w:p>
        </w:tc>
        <w:tc>
          <w:tcPr>
            <w:tcW w:w="2452" w:type="pct"/>
            <w:tcBorders>
              <w:top w:val="nil"/>
              <w:left w:val="nil"/>
              <w:bottom w:val="single" w:sz="8" w:space="0" w:color="BFBFBF"/>
              <w:right w:val="single" w:sz="8" w:space="0" w:color="BFBFBF"/>
            </w:tcBorders>
            <w:shd w:val="clear" w:color="auto" w:fill="auto"/>
          </w:tcPr>
          <w:p w14:paraId="269C610F" w14:textId="77777777" w:rsidR="0084445A" w:rsidRPr="00741D80" w:rsidRDefault="0084445A" w:rsidP="00721377">
            <w:pPr>
              <w:spacing w:line="240" w:lineRule="auto"/>
              <w:rPr>
                <w:rFonts w:cstheme="minorHAnsi"/>
              </w:rPr>
            </w:pPr>
            <w:r w:rsidRPr="00741D80">
              <w:rPr>
                <w:rFonts w:cstheme="minorHAnsi"/>
              </w:rPr>
              <w:t xml:space="preserve">Капиталови инструменти, оценявани по справедлива стойност през друг всеобхватен доход (без </w:t>
            </w:r>
            <w:proofErr w:type="spellStart"/>
            <w:r w:rsidRPr="00741D80">
              <w:rPr>
                <w:rFonts w:cstheme="minorHAnsi"/>
              </w:rPr>
              <w:t>прекласификация</w:t>
            </w:r>
            <w:proofErr w:type="spellEnd"/>
            <w:r w:rsidRPr="00741D80">
              <w:rPr>
                <w:rFonts w:cstheme="minorHAnsi"/>
              </w:rPr>
              <w:t xml:space="preserve"> в печалбата или загубата)</w:t>
            </w:r>
          </w:p>
        </w:tc>
      </w:tr>
      <w:tr w:rsidR="0084445A" w:rsidRPr="00741D80" w14:paraId="2BC33EEF" w14:textId="77777777" w:rsidTr="00721377">
        <w:trPr>
          <w:trHeight w:val="170"/>
          <w:jc w:val="center"/>
        </w:trPr>
        <w:tc>
          <w:tcPr>
            <w:tcW w:w="1421" w:type="pct"/>
            <w:tcBorders>
              <w:top w:val="nil"/>
              <w:left w:val="single" w:sz="4" w:space="0" w:color="D9D9D9" w:themeColor="background1" w:themeShade="D9"/>
              <w:bottom w:val="single" w:sz="8" w:space="0" w:color="BFBFBF"/>
              <w:right w:val="single" w:sz="8" w:space="0" w:color="BFBFBF"/>
            </w:tcBorders>
            <w:shd w:val="clear" w:color="auto" w:fill="auto"/>
          </w:tcPr>
          <w:p w14:paraId="4BBE6AF6" w14:textId="77777777" w:rsidR="0084445A" w:rsidRPr="00741D80" w:rsidRDefault="0084445A" w:rsidP="00721377">
            <w:pPr>
              <w:spacing w:line="240" w:lineRule="auto"/>
              <w:rPr>
                <w:rFonts w:cstheme="minorHAnsi"/>
              </w:rPr>
            </w:pPr>
            <w:r w:rsidRPr="00741D80">
              <w:rPr>
                <w:rFonts w:cstheme="minorHAnsi"/>
              </w:rPr>
              <w:t>Дълговите ценни книжа</w:t>
            </w:r>
          </w:p>
        </w:tc>
        <w:tc>
          <w:tcPr>
            <w:tcW w:w="1127" w:type="pct"/>
            <w:tcBorders>
              <w:top w:val="nil"/>
              <w:left w:val="nil"/>
              <w:bottom w:val="single" w:sz="8" w:space="0" w:color="BFBFBF"/>
              <w:right w:val="single" w:sz="8" w:space="0" w:color="BFBFBF"/>
            </w:tcBorders>
            <w:shd w:val="clear" w:color="auto" w:fill="auto"/>
          </w:tcPr>
          <w:p w14:paraId="631A2B31" w14:textId="77777777" w:rsidR="0084445A" w:rsidRPr="00741D80" w:rsidRDefault="0084445A" w:rsidP="00721377">
            <w:pPr>
              <w:spacing w:line="240" w:lineRule="auto"/>
              <w:rPr>
                <w:rFonts w:cstheme="minorHAnsi"/>
              </w:rPr>
            </w:pPr>
            <w:proofErr w:type="spellStart"/>
            <w:r w:rsidRPr="00741D80">
              <w:rPr>
                <w:rFonts w:cstheme="minorHAnsi"/>
              </w:rPr>
              <w:t>Финасови</w:t>
            </w:r>
            <w:proofErr w:type="spellEnd"/>
            <w:r w:rsidRPr="00741D80">
              <w:rPr>
                <w:rFonts w:cstheme="minorHAnsi"/>
              </w:rPr>
              <w:t xml:space="preserve"> активи, държани до падеж</w:t>
            </w:r>
          </w:p>
        </w:tc>
        <w:tc>
          <w:tcPr>
            <w:tcW w:w="2452" w:type="pct"/>
            <w:tcBorders>
              <w:top w:val="nil"/>
              <w:left w:val="nil"/>
              <w:bottom w:val="single" w:sz="8" w:space="0" w:color="BFBFBF"/>
              <w:right w:val="single" w:sz="8" w:space="0" w:color="BFBFBF"/>
            </w:tcBorders>
            <w:shd w:val="clear" w:color="auto" w:fill="auto"/>
          </w:tcPr>
          <w:p w14:paraId="7DF7F01B" w14:textId="77777777" w:rsidR="0084445A" w:rsidRPr="00741D80" w:rsidRDefault="0084445A" w:rsidP="00721377">
            <w:pPr>
              <w:spacing w:line="240" w:lineRule="auto"/>
              <w:rPr>
                <w:rFonts w:cstheme="minorHAnsi"/>
              </w:rPr>
            </w:pPr>
            <w:r w:rsidRPr="00741D80">
              <w:rPr>
                <w:rFonts w:cstheme="minorHAnsi"/>
              </w:rPr>
              <w:t>Дългови инструменти по амортизирана стойност</w:t>
            </w:r>
          </w:p>
        </w:tc>
      </w:tr>
      <w:tr w:rsidR="0084445A" w:rsidRPr="00741D80" w14:paraId="3ADCB1C3" w14:textId="77777777" w:rsidTr="00721377">
        <w:trPr>
          <w:trHeight w:val="170"/>
          <w:jc w:val="center"/>
        </w:trPr>
        <w:tc>
          <w:tcPr>
            <w:tcW w:w="1421" w:type="pct"/>
            <w:tcBorders>
              <w:top w:val="nil"/>
              <w:left w:val="single" w:sz="4" w:space="0" w:color="D9D9D9" w:themeColor="background1" w:themeShade="D9"/>
              <w:bottom w:val="single" w:sz="8" w:space="0" w:color="BFBFBF"/>
              <w:right w:val="single" w:sz="8" w:space="0" w:color="BFBFBF"/>
            </w:tcBorders>
            <w:shd w:val="clear" w:color="auto" w:fill="auto"/>
            <w:hideMark/>
          </w:tcPr>
          <w:p w14:paraId="7C522BDD" w14:textId="39FDA771" w:rsidR="0084445A" w:rsidRPr="00741D80" w:rsidRDefault="0084445A" w:rsidP="00721377">
            <w:pPr>
              <w:spacing w:line="240" w:lineRule="auto"/>
              <w:rPr>
                <w:rFonts w:cstheme="minorHAnsi"/>
              </w:rPr>
            </w:pPr>
            <w:r w:rsidRPr="00741D80">
              <w:rPr>
                <w:rFonts w:cstheme="minorHAnsi"/>
              </w:rPr>
              <w:t>Текущи търговски и други</w:t>
            </w:r>
            <w:r w:rsidR="00FD518A">
              <w:rPr>
                <w:rFonts w:cstheme="minorHAnsi"/>
              </w:rPr>
              <w:t xml:space="preserve"> </w:t>
            </w:r>
            <w:r w:rsidRPr="00741D80">
              <w:rPr>
                <w:rFonts w:cstheme="minorHAnsi"/>
              </w:rPr>
              <w:t>вземания</w:t>
            </w:r>
          </w:p>
        </w:tc>
        <w:tc>
          <w:tcPr>
            <w:tcW w:w="1127" w:type="pct"/>
            <w:tcBorders>
              <w:top w:val="nil"/>
              <w:left w:val="nil"/>
              <w:bottom w:val="single" w:sz="8" w:space="0" w:color="BFBFBF"/>
              <w:right w:val="single" w:sz="8" w:space="0" w:color="BFBFBF"/>
            </w:tcBorders>
            <w:shd w:val="clear" w:color="auto" w:fill="auto"/>
            <w:hideMark/>
          </w:tcPr>
          <w:p w14:paraId="7769C3B4" w14:textId="77777777" w:rsidR="0084445A" w:rsidRPr="00741D80" w:rsidRDefault="0084445A" w:rsidP="00721377">
            <w:pPr>
              <w:spacing w:line="240" w:lineRule="auto"/>
              <w:rPr>
                <w:rFonts w:cstheme="minorHAnsi"/>
              </w:rPr>
            </w:pPr>
            <w:r w:rsidRPr="00741D80">
              <w:rPr>
                <w:rFonts w:cstheme="minorHAnsi"/>
              </w:rPr>
              <w:t>Кредити и вземания</w:t>
            </w:r>
          </w:p>
        </w:tc>
        <w:tc>
          <w:tcPr>
            <w:tcW w:w="2452" w:type="pct"/>
            <w:tcBorders>
              <w:top w:val="nil"/>
              <w:left w:val="nil"/>
              <w:bottom w:val="single" w:sz="8" w:space="0" w:color="BFBFBF"/>
              <w:right w:val="single" w:sz="8" w:space="0" w:color="BFBFBF"/>
            </w:tcBorders>
            <w:shd w:val="clear" w:color="auto" w:fill="auto"/>
            <w:hideMark/>
          </w:tcPr>
          <w:p w14:paraId="2F85CB80" w14:textId="77777777" w:rsidR="0084445A" w:rsidRPr="00741D80" w:rsidRDefault="0084445A" w:rsidP="00721377">
            <w:pPr>
              <w:spacing w:line="240" w:lineRule="auto"/>
              <w:rPr>
                <w:rFonts w:cstheme="minorHAnsi"/>
              </w:rPr>
            </w:pPr>
            <w:r w:rsidRPr="00741D80">
              <w:rPr>
                <w:rFonts w:cstheme="minorHAnsi"/>
              </w:rPr>
              <w:t>Дългови инструменти, оценявани по амортизирана стойност</w:t>
            </w:r>
          </w:p>
        </w:tc>
      </w:tr>
      <w:tr w:rsidR="0084445A" w:rsidRPr="00741D80" w14:paraId="4C34C374" w14:textId="77777777" w:rsidTr="00721377">
        <w:trPr>
          <w:trHeight w:val="170"/>
          <w:jc w:val="center"/>
        </w:trPr>
        <w:tc>
          <w:tcPr>
            <w:tcW w:w="1421" w:type="pct"/>
            <w:tcBorders>
              <w:top w:val="nil"/>
              <w:left w:val="single" w:sz="4" w:space="0" w:color="D9D9D9" w:themeColor="background1" w:themeShade="D9"/>
              <w:bottom w:val="single" w:sz="8" w:space="0" w:color="BFBFBF"/>
              <w:right w:val="single" w:sz="8" w:space="0" w:color="BFBFBF"/>
            </w:tcBorders>
            <w:shd w:val="clear" w:color="auto" w:fill="auto"/>
            <w:hideMark/>
          </w:tcPr>
          <w:p w14:paraId="3F9C4B86" w14:textId="77777777" w:rsidR="0084445A" w:rsidRPr="00741D80" w:rsidRDefault="0084445A" w:rsidP="00721377">
            <w:pPr>
              <w:spacing w:line="240" w:lineRule="auto"/>
              <w:rPr>
                <w:rFonts w:cstheme="minorHAnsi"/>
              </w:rPr>
            </w:pPr>
            <w:r w:rsidRPr="00741D80">
              <w:rPr>
                <w:rFonts w:cstheme="minorHAnsi"/>
              </w:rPr>
              <w:t>Парични средства и еквиваленти</w:t>
            </w:r>
          </w:p>
        </w:tc>
        <w:tc>
          <w:tcPr>
            <w:tcW w:w="1127" w:type="pct"/>
            <w:tcBorders>
              <w:top w:val="nil"/>
              <w:left w:val="nil"/>
              <w:bottom w:val="single" w:sz="8" w:space="0" w:color="BFBFBF"/>
              <w:right w:val="single" w:sz="8" w:space="0" w:color="BFBFBF"/>
            </w:tcBorders>
            <w:shd w:val="clear" w:color="auto" w:fill="auto"/>
            <w:hideMark/>
          </w:tcPr>
          <w:p w14:paraId="6A0A2AAB" w14:textId="77777777" w:rsidR="0084445A" w:rsidRPr="00741D80" w:rsidRDefault="0084445A" w:rsidP="00721377">
            <w:pPr>
              <w:spacing w:line="240" w:lineRule="auto"/>
              <w:rPr>
                <w:rFonts w:cstheme="minorHAnsi"/>
              </w:rPr>
            </w:pPr>
            <w:r w:rsidRPr="00741D80">
              <w:rPr>
                <w:rFonts w:cstheme="minorHAnsi"/>
              </w:rPr>
              <w:t>Кредити и вземания</w:t>
            </w:r>
          </w:p>
        </w:tc>
        <w:tc>
          <w:tcPr>
            <w:tcW w:w="2452" w:type="pct"/>
            <w:tcBorders>
              <w:top w:val="nil"/>
              <w:left w:val="nil"/>
              <w:bottom w:val="single" w:sz="8" w:space="0" w:color="BFBFBF"/>
              <w:right w:val="single" w:sz="8" w:space="0" w:color="BFBFBF"/>
            </w:tcBorders>
            <w:shd w:val="clear" w:color="auto" w:fill="auto"/>
            <w:hideMark/>
          </w:tcPr>
          <w:p w14:paraId="2313DDE8" w14:textId="77777777" w:rsidR="0084445A" w:rsidRPr="00741D80" w:rsidRDefault="0084445A" w:rsidP="00721377">
            <w:pPr>
              <w:spacing w:line="240" w:lineRule="auto"/>
              <w:rPr>
                <w:rFonts w:cstheme="minorHAnsi"/>
              </w:rPr>
            </w:pPr>
            <w:r w:rsidRPr="00741D80">
              <w:rPr>
                <w:rFonts w:cstheme="minorHAnsi"/>
              </w:rPr>
              <w:t>Дългови инструменти, оценявани по амортизирана стойност</w:t>
            </w:r>
          </w:p>
        </w:tc>
      </w:tr>
    </w:tbl>
    <w:bookmarkEnd w:id="18"/>
    <w:p w14:paraId="3A340342" w14:textId="77777777" w:rsidR="0084445A" w:rsidRPr="00741D80" w:rsidRDefault="0084445A" w:rsidP="00721377">
      <w:pPr>
        <w:spacing w:before="240"/>
        <w:jc w:val="both"/>
        <w:rPr>
          <w:rFonts w:cstheme="minorHAnsi"/>
        </w:rPr>
      </w:pPr>
      <w:r w:rsidRPr="00741D80">
        <w:rPr>
          <w:rFonts w:cstheme="minorHAnsi"/>
        </w:rPr>
        <w:t xml:space="preserve">Няма съществен ефект върху баланса или собствения капитал в резултат от прилагането на изискванията за класификация и оценяване на МСФО 9. Дружеството е взело решение да оценява справедливата стойност на всички финансови активи, отчитани по справедлива стойност, съгласно МСС39. </w:t>
      </w:r>
    </w:p>
    <w:p w14:paraId="786DD6B0" w14:textId="77777777" w:rsidR="0084445A" w:rsidRPr="00741D80" w:rsidRDefault="0084445A" w:rsidP="00374D3C">
      <w:pPr>
        <w:jc w:val="both"/>
        <w:rPr>
          <w:rFonts w:cstheme="minorHAnsi"/>
        </w:rPr>
      </w:pPr>
      <w:r w:rsidRPr="00741D80">
        <w:rPr>
          <w:rFonts w:cstheme="minorHAnsi"/>
        </w:rPr>
        <w:t>Намерението е притежаваните от дружеството инвестиции (финансови активи), представляващи акции в други дружества (малцинствено участие), които не се търгуват на активен пазар и за тях няма котировки на пазарни цени, да се задържат в близко бъдеще. Последващо те се оценяват и представят в индивидуалния отчет за финансовото състояние по справедлива стойност в друг всеобхватен доход. В печалбата или загубата не са признати загуби от обезценка за тези инвестиции. Дружеството е избрало да приложи опцията за представяне на промените в справедливата стойност в друг всеобхватен доход за тези инвестиции и следователно счита, че прилагането на МСФО 9 не оказва съществен ефект.</w:t>
      </w:r>
    </w:p>
    <w:p w14:paraId="28D2045E" w14:textId="77777777" w:rsidR="0084445A" w:rsidRPr="00741D80" w:rsidRDefault="0084445A" w:rsidP="00374D3C">
      <w:pPr>
        <w:jc w:val="both"/>
        <w:rPr>
          <w:rFonts w:cstheme="minorHAnsi"/>
        </w:rPr>
      </w:pPr>
      <w:r w:rsidRPr="00741D80">
        <w:rPr>
          <w:rFonts w:cstheme="minorHAnsi"/>
        </w:rPr>
        <w:t>По изключение, в ограничени случаи за дружества/предприятия от затворен тип, за които информацията за оценяването на справедлива стойност е недостатъчно актуална или ако е налице широк обхват от възможни оценки на справедливата стойност и цената на придобиване представлява най-добрата приблизителна оценка на справедливата стойност в рамките на този обхват, цената на придобиване би могла да се окаже подходяща приблизителна оценка на справедливата стойност.</w:t>
      </w:r>
    </w:p>
    <w:p w14:paraId="1BFE4951" w14:textId="77777777" w:rsidR="0084445A" w:rsidRPr="00741D80" w:rsidRDefault="0084445A" w:rsidP="00374D3C">
      <w:pPr>
        <w:jc w:val="both"/>
        <w:rPr>
          <w:rFonts w:cstheme="minorHAnsi"/>
        </w:rPr>
      </w:pPr>
      <w:r w:rsidRPr="00741D80">
        <w:rPr>
          <w:rFonts w:cstheme="minorHAnsi"/>
        </w:rPr>
        <w:t xml:space="preserve">Притежаваните от дружеството дългови ценни книжа, държани с цел получаване на договорените парични потоци, отговарят на критериите за оценяване по амортизирана стойност съгласно МСФО 9. Следователно, не е необходима </w:t>
      </w:r>
      <w:proofErr w:type="spellStart"/>
      <w:r w:rsidRPr="00741D80">
        <w:rPr>
          <w:rFonts w:cstheme="minorHAnsi"/>
        </w:rPr>
        <w:t>рекласификация</w:t>
      </w:r>
      <w:proofErr w:type="spellEnd"/>
      <w:r w:rsidRPr="00741D80">
        <w:rPr>
          <w:rFonts w:cstheme="minorHAnsi"/>
        </w:rPr>
        <w:t xml:space="preserve"> на тези инструменти.</w:t>
      </w:r>
    </w:p>
    <w:p w14:paraId="054F60A0" w14:textId="77777777" w:rsidR="0084445A" w:rsidRPr="00741D80" w:rsidRDefault="0084445A" w:rsidP="00374D3C">
      <w:pPr>
        <w:jc w:val="both"/>
        <w:rPr>
          <w:rFonts w:cstheme="minorHAnsi"/>
        </w:rPr>
      </w:pPr>
      <w:r w:rsidRPr="00741D80">
        <w:rPr>
          <w:rFonts w:cstheme="minorHAnsi"/>
        </w:rPr>
        <w:t xml:space="preserve">За дълговите ценни книжа, които дружеството държи не само с цел получаване на договорените парични потоци, но също така и да продава значителна част от тях на относително чести интервали, се очаква да бъдат оценявани по справедлива стойност през друг всеобхватен доход съгласно МСФО 9. </w:t>
      </w:r>
      <w:r w:rsidRPr="00741D80">
        <w:rPr>
          <w:rFonts w:cstheme="minorHAnsi"/>
        </w:rPr>
        <w:lastRenderedPageBreak/>
        <w:t>Дружеството оценява тези финансови активи последващо по справедлива стойност и следователно счита, че прилагането на МСФО 9 не оказва съществен ефект.</w:t>
      </w:r>
    </w:p>
    <w:p w14:paraId="513A9671" w14:textId="77777777" w:rsidR="0084445A" w:rsidRPr="00741D80" w:rsidRDefault="0084445A" w:rsidP="00374D3C">
      <w:pPr>
        <w:jc w:val="both"/>
        <w:rPr>
          <w:rFonts w:cstheme="minorHAnsi"/>
        </w:rPr>
      </w:pPr>
      <w:r w:rsidRPr="00741D80">
        <w:rPr>
          <w:rFonts w:cstheme="minorHAnsi"/>
        </w:rPr>
        <w:t xml:space="preserve">Заемите, както и търговските и други вземания, се държат с цел получаване на договорените парични потоци и се очаква да доведат до парични потоци, представляващи единствено плащания на главница и лихви. Дружеството е направило анализ на характеристиките на договорените парични потоци от тези инструменти и е достигнало до заключението, че всички те отговарят на критериите за оценяване по амортизирана стойност съгласно МСФО 9. Следователно, не е необходима </w:t>
      </w:r>
      <w:proofErr w:type="spellStart"/>
      <w:r w:rsidRPr="00741D80">
        <w:rPr>
          <w:rFonts w:cstheme="minorHAnsi"/>
        </w:rPr>
        <w:t>рекласификация</w:t>
      </w:r>
      <w:proofErr w:type="spellEnd"/>
      <w:r w:rsidRPr="00741D80">
        <w:rPr>
          <w:rFonts w:cstheme="minorHAnsi"/>
        </w:rPr>
        <w:t xml:space="preserve"> на тези инструменти.</w:t>
      </w:r>
    </w:p>
    <w:p w14:paraId="363728F8" w14:textId="77777777" w:rsidR="0084445A" w:rsidRPr="00741D80" w:rsidRDefault="0084445A" w:rsidP="00374D3C">
      <w:pPr>
        <w:jc w:val="both"/>
        <w:rPr>
          <w:rFonts w:cstheme="minorHAnsi"/>
        </w:rPr>
      </w:pPr>
      <w:bookmarkStart w:id="19" w:name="_Hlk535941714"/>
      <w:r w:rsidRPr="00741D80">
        <w:rPr>
          <w:rFonts w:cstheme="minorHAnsi"/>
        </w:rPr>
        <w:t>Таблицата по-долу представя първоначалните балансови стойности на всеки тип финансови активи на Дружеството по МСС 39 и балансови им стойности по МСФО 9 на 1 януари 2018 г.</w:t>
      </w:r>
    </w:p>
    <w:tbl>
      <w:tblPr>
        <w:tblW w:w="5221" w:type="pct"/>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70" w:type="dxa"/>
          <w:right w:w="70" w:type="dxa"/>
        </w:tblCellMar>
        <w:tblLook w:val="04A0" w:firstRow="1" w:lastRow="0" w:firstColumn="1" w:lastColumn="0" w:noHBand="0" w:noVBand="1"/>
      </w:tblPr>
      <w:tblGrid>
        <w:gridCol w:w="2358"/>
        <w:gridCol w:w="1816"/>
        <w:gridCol w:w="3334"/>
        <w:gridCol w:w="1251"/>
        <w:gridCol w:w="1295"/>
      </w:tblGrid>
      <w:tr w:rsidR="0084445A" w:rsidRPr="00741D80" w14:paraId="7505D3F0" w14:textId="77777777" w:rsidTr="00721377">
        <w:trPr>
          <w:trHeight w:val="170"/>
          <w:jc w:val="center"/>
        </w:trPr>
        <w:tc>
          <w:tcPr>
            <w:tcW w:w="1173" w:type="pct"/>
            <w:vMerge w:val="restart"/>
            <w:shd w:val="clear" w:color="auto" w:fill="auto"/>
            <w:hideMark/>
          </w:tcPr>
          <w:p w14:paraId="7D2B93B9" w14:textId="77777777" w:rsidR="0084445A" w:rsidRPr="00741D80" w:rsidRDefault="0084445A" w:rsidP="00721377">
            <w:pPr>
              <w:rPr>
                <w:rFonts w:cstheme="minorHAnsi"/>
              </w:rPr>
            </w:pPr>
            <w:r w:rsidRPr="00741D80">
              <w:rPr>
                <w:rFonts w:cstheme="minorHAnsi"/>
              </w:rPr>
              <w:t>Тип на финансовия актив</w:t>
            </w:r>
          </w:p>
        </w:tc>
        <w:tc>
          <w:tcPr>
            <w:tcW w:w="903" w:type="pct"/>
            <w:vMerge w:val="restart"/>
            <w:shd w:val="clear" w:color="auto" w:fill="auto"/>
            <w:hideMark/>
          </w:tcPr>
          <w:p w14:paraId="0BCF140D" w14:textId="77777777" w:rsidR="0084445A" w:rsidRPr="00741D80" w:rsidRDefault="0084445A" w:rsidP="00721377">
            <w:pPr>
              <w:rPr>
                <w:rFonts w:cstheme="minorHAnsi"/>
              </w:rPr>
            </w:pPr>
            <w:r w:rsidRPr="00741D80">
              <w:rPr>
                <w:rFonts w:cstheme="minorHAnsi"/>
              </w:rPr>
              <w:t>Категория по МСС 39</w:t>
            </w:r>
          </w:p>
        </w:tc>
        <w:tc>
          <w:tcPr>
            <w:tcW w:w="1658" w:type="pct"/>
            <w:vMerge w:val="restart"/>
            <w:shd w:val="clear" w:color="auto" w:fill="auto"/>
            <w:hideMark/>
          </w:tcPr>
          <w:p w14:paraId="2240E34F" w14:textId="77777777" w:rsidR="0084445A" w:rsidRPr="00741D80" w:rsidRDefault="0084445A" w:rsidP="00721377">
            <w:pPr>
              <w:rPr>
                <w:rFonts w:cstheme="minorHAnsi"/>
              </w:rPr>
            </w:pPr>
            <w:r w:rsidRPr="00741D80">
              <w:rPr>
                <w:rFonts w:cstheme="minorHAnsi"/>
              </w:rPr>
              <w:t>Категория по МСФО 9</w:t>
            </w:r>
          </w:p>
        </w:tc>
        <w:tc>
          <w:tcPr>
            <w:tcW w:w="622" w:type="pct"/>
            <w:shd w:val="clear" w:color="auto" w:fill="auto"/>
            <w:hideMark/>
          </w:tcPr>
          <w:p w14:paraId="2E5D0419" w14:textId="77777777" w:rsidR="0084445A" w:rsidRPr="00741D80" w:rsidRDefault="0084445A" w:rsidP="00721377">
            <w:pPr>
              <w:rPr>
                <w:rFonts w:cstheme="minorHAnsi"/>
              </w:rPr>
            </w:pPr>
            <w:r w:rsidRPr="00741D80">
              <w:rPr>
                <w:rFonts w:cstheme="minorHAnsi"/>
              </w:rPr>
              <w:t>Балансова стойност по МСС 39</w:t>
            </w:r>
          </w:p>
        </w:tc>
        <w:tc>
          <w:tcPr>
            <w:tcW w:w="645" w:type="pct"/>
            <w:shd w:val="clear" w:color="auto" w:fill="auto"/>
            <w:hideMark/>
          </w:tcPr>
          <w:p w14:paraId="417307FA" w14:textId="77777777" w:rsidR="0084445A" w:rsidRPr="00741D80" w:rsidRDefault="0084445A" w:rsidP="00721377">
            <w:pPr>
              <w:rPr>
                <w:rFonts w:cstheme="minorHAnsi"/>
              </w:rPr>
            </w:pPr>
            <w:r w:rsidRPr="00741D80">
              <w:rPr>
                <w:rFonts w:cstheme="minorHAnsi"/>
              </w:rPr>
              <w:t>Балансова стойност по МСФО 9</w:t>
            </w:r>
          </w:p>
        </w:tc>
      </w:tr>
      <w:tr w:rsidR="0084445A" w:rsidRPr="00741D80" w14:paraId="2B3FA36A" w14:textId="77777777" w:rsidTr="00721377">
        <w:trPr>
          <w:trHeight w:val="170"/>
          <w:jc w:val="center"/>
        </w:trPr>
        <w:tc>
          <w:tcPr>
            <w:tcW w:w="1173" w:type="pct"/>
            <w:vMerge/>
            <w:vAlign w:val="center"/>
            <w:hideMark/>
          </w:tcPr>
          <w:p w14:paraId="7BA0A162" w14:textId="77777777" w:rsidR="0084445A" w:rsidRPr="00741D80" w:rsidRDefault="0084445A" w:rsidP="00AE7CF9">
            <w:pPr>
              <w:rPr>
                <w:rFonts w:cstheme="minorHAnsi"/>
              </w:rPr>
            </w:pPr>
          </w:p>
        </w:tc>
        <w:tc>
          <w:tcPr>
            <w:tcW w:w="903" w:type="pct"/>
            <w:vMerge/>
            <w:vAlign w:val="center"/>
            <w:hideMark/>
          </w:tcPr>
          <w:p w14:paraId="5C5C2EE7" w14:textId="77777777" w:rsidR="0084445A" w:rsidRPr="00741D80" w:rsidRDefault="0084445A" w:rsidP="00AE7CF9">
            <w:pPr>
              <w:rPr>
                <w:rFonts w:cstheme="minorHAnsi"/>
              </w:rPr>
            </w:pPr>
          </w:p>
        </w:tc>
        <w:tc>
          <w:tcPr>
            <w:tcW w:w="1658" w:type="pct"/>
            <w:vMerge/>
            <w:vAlign w:val="center"/>
            <w:hideMark/>
          </w:tcPr>
          <w:p w14:paraId="578028F6" w14:textId="77777777" w:rsidR="0084445A" w:rsidRPr="00741D80" w:rsidRDefault="0084445A" w:rsidP="00AE7CF9">
            <w:pPr>
              <w:rPr>
                <w:rFonts w:cstheme="minorHAnsi"/>
              </w:rPr>
            </w:pPr>
          </w:p>
        </w:tc>
        <w:tc>
          <w:tcPr>
            <w:tcW w:w="622" w:type="pct"/>
            <w:shd w:val="clear" w:color="auto" w:fill="auto"/>
            <w:vAlign w:val="center"/>
            <w:hideMark/>
          </w:tcPr>
          <w:p w14:paraId="6AB0456C" w14:textId="77777777" w:rsidR="0084445A" w:rsidRPr="00741D80" w:rsidRDefault="0084445A" w:rsidP="00AE7CF9">
            <w:pPr>
              <w:rPr>
                <w:rFonts w:cstheme="minorHAnsi"/>
              </w:rPr>
            </w:pPr>
            <w:r w:rsidRPr="00741D80">
              <w:rPr>
                <w:rFonts w:cstheme="minorHAnsi"/>
              </w:rPr>
              <w:t>(хил. лв.)</w:t>
            </w:r>
          </w:p>
        </w:tc>
        <w:tc>
          <w:tcPr>
            <w:tcW w:w="645" w:type="pct"/>
            <w:shd w:val="clear" w:color="auto" w:fill="auto"/>
            <w:vAlign w:val="center"/>
            <w:hideMark/>
          </w:tcPr>
          <w:p w14:paraId="07643B32" w14:textId="77777777" w:rsidR="0084445A" w:rsidRPr="00741D80" w:rsidRDefault="0084445A" w:rsidP="00AE7CF9">
            <w:pPr>
              <w:rPr>
                <w:rFonts w:cstheme="minorHAnsi"/>
              </w:rPr>
            </w:pPr>
            <w:r w:rsidRPr="00741D80">
              <w:rPr>
                <w:rFonts w:cstheme="minorHAnsi"/>
              </w:rPr>
              <w:t>(хил. лв.)</w:t>
            </w:r>
          </w:p>
        </w:tc>
      </w:tr>
      <w:tr w:rsidR="0084445A" w:rsidRPr="00741D80" w14:paraId="06C2BDFB" w14:textId="77777777" w:rsidTr="00721377">
        <w:trPr>
          <w:trHeight w:val="170"/>
          <w:jc w:val="center"/>
        </w:trPr>
        <w:tc>
          <w:tcPr>
            <w:tcW w:w="1173" w:type="pct"/>
            <w:shd w:val="clear" w:color="auto" w:fill="auto"/>
            <w:hideMark/>
          </w:tcPr>
          <w:p w14:paraId="436CE077" w14:textId="77777777" w:rsidR="0084445A" w:rsidRPr="00741D80" w:rsidRDefault="0084445A" w:rsidP="00721377">
            <w:pPr>
              <w:rPr>
                <w:rFonts w:cstheme="minorHAnsi"/>
              </w:rPr>
            </w:pPr>
            <w:r w:rsidRPr="00741D80">
              <w:rPr>
                <w:rFonts w:cstheme="minorHAnsi"/>
              </w:rPr>
              <w:t>Дълговите ценни книжа</w:t>
            </w:r>
          </w:p>
        </w:tc>
        <w:tc>
          <w:tcPr>
            <w:tcW w:w="903" w:type="pct"/>
            <w:shd w:val="clear" w:color="auto" w:fill="auto"/>
            <w:hideMark/>
          </w:tcPr>
          <w:p w14:paraId="42EC0F98" w14:textId="77777777" w:rsidR="0084445A" w:rsidRPr="00741D80" w:rsidRDefault="0084445A" w:rsidP="00721377">
            <w:pPr>
              <w:rPr>
                <w:rFonts w:cstheme="minorHAnsi"/>
              </w:rPr>
            </w:pPr>
            <w:r w:rsidRPr="00741D80">
              <w:rPr>
                <w:rFonts w:cstheme="minorHAnsi"/>
              </w:rPr>
              <w:t>Финансови активи на разположение за продажба</w:t>
            </w:r>
          </w:p>
        </w:tc>
        <w:tc>
          <w:tcPr>
            <w:tcW w:w="1658" w:type="pct"/>
            <w:shd w:val="clear" w:color="auto" w:fill="auto"/>
            <w:hideMark/>
          </w:tcPr>
          <w:p w14:paraId="751F164D" w14:textId="77777777" w:rsidR="0084445A" w:rsidRPr="00741D80" w:rsidRDefault="0084445A" w:rsidP="00721377">
            <w:pPr>
              <w:rPr>
                <w:rFonts w:cstheme="minorHAnsi"/>
              </w:rPr>
            </w:pPr>
            <w:r w:rsidRPr="00741D80">
              <w:rPr>
                <w:rFonts w:eastAsia="Calibri" w:cstheme="minorHAnsi"/>
              </w:rPr>
              <w:t xml:space="preserve">Дългови инструменти, оценявани по справедлива стойност през друг всеобхватен доход (с </w:t>
            </w:r>
            <w:proofErr w:type="spellStart"/>
            <w:r w:rsidRPr="00741D80">
              <w:rPr>
                <w:rFonts w:eastAsia="Calibri" w:cstheme="minorHAnsi"/>
              </w:rPr>
              <w:t>прекласификация</w:t>
            </w:r>
            <w:proofErr w:type="spellEnd"/>
            <w:r w:rsidRPr="00741D80">
              <w:rPr>
                <w:rFonts w:eastAsia="Calibri" w:cstheme="minorHAnsi"/>
              </w:rPr>
              <w:t xml:space="preserve"> в печалбата или загубата);</w:t>
            </w:r>
          </w:p>
        </w:tc>
        <w:tc>
          <w:tcPr>
            <w:tcW w:w="622" w:type="pct"/>
            <w:shd w:val="clear" w:color="auto" w:fill="auto"/>
            <w:noWrap/>
            <w:vAlign w:val="bottom"/>
            <w:hideMark/>
          </w:tcPr>
          <w:p w14:paraId="44A7913E" w14:textId="48E28C39" w:rsidR="0084445A" w:rsidRPr="00741D80" w:rsidRDefault="0084445A" w:rsidP="00721377">
            <w:pPr>
              <w:jc w:val="right"/>
              <w:rPr>
                <w:rFonts w:cstheme="minorHAnsi"/>
              </w:rPr>
            </w:pPr>
            <w:r w:rsidRPr="00741D80">
              <w:rPr>
                <w:rFonts w:cstheme="minorHAnsi"/>
              </w:rPr>
              <w:t>2</w:t>
            </w:r>
            <w:r w:rsidR="00374D3C">
              <w:rPr>
                <w:rFonts w:cstheme="minorHAnsi"/>
                <w:lang w:val="en-US"/>
              </w:rPr>
              <w:t>,</w:t>
            </w:r>
            <w:r w:rsidRPr="00741D80">
              <w:rPr>
                <w:rFonts w:cstheme="minorHAnsi"/>
              </w:rPr>
              <w:t>035</w:t>
            </w:r>
          </w:p>
        </w:tc>
        <w:tc>
          <w:tcPr>
            <w:tcW w:w="645" w:type="pct"/>
            <w:shd w:val="clear" w:color="auto" w:fill="auto"/>
            <w:noWrap/>
            <w:vAlign w:val="bottom"/>
            <w:hideMark/>
          </w:tcPr>
          <w:p w14:paraId="6B7BC85E" w14:textId="362A3E99" w:rsidR="0084445A" w:rsidRPr="00741D80" w:rsidRDefault="0084445A" w:rsidP="00721377">
            <w:pPr>
              <w:jc w:val="right"/>
              <w:rPr>
                <w:rFonts w:cstheme="minorHAnsi"/>
              </w:rPr>
            </w:pPr>
            <w:r w:rsidRPr="00741D80">
              <w:rPr>
                <w:rFonts w:cstheme="minorHAnsi"/>
              </w:rPr>
              <w:t>2</w:t>
            </w:r>
            <w:r w:rsidR="00374D3C">
              <w:rPr>
                <w:rFonts w:cstheme="minorHAnsi"/>
                <w:lang w:val="en-US"/>
              </w:rPr>
              <w:t>,</w:t>
            </w:r>
            <w:r w:rsidRPr="00741D80">
              <w:rPr>
                <w:rFonts w:cstheme="minorHAnsi"/>
              </w:rPr>
              <w:t>035</w:t>
            </w:r>
          </w:p>
        </w:tc>
      </w:tr>
      <w:tr w:rsidR="0084445A" w:rsidRPr="00741D80" w14:paraId="5C40247B" w14:textId="77777777" w:rsidTr="00721377">
        <w:trPr>
          <w:trHeight w:val="170"/>
          <w:jc w:val="center"/>
        </w:trPr>
        <w:tc>
          <w:tcPr>
            <w:tcW w:w="1173" w:type="pct"/>
            <w:shd w:val="clear" w:color="auto" w:fill="auto"/>
            <w:hideMark/>
          </w:tcPr>
          <w:p w14:paraId="77FEF529" w14:textId="77777777" w:rsidR="0084445A" w:rsidRPr="00741D80" w:rsidRDefault="0084445A" w:rsidP="00721377">
            <w:pPr>
              <w:rPr>
                <w:rFonts w:cstheme="minorHAnsi"/>
              </w:rPr>
            </w:pPr>
            <w:r w:rsidRPr="00741D80">
              <w:rPr>
                <w:rFonts w:cstheme="minorHAnsi"/>
              </w:rPr>
              <w:t xml:space="preserve">Капиталовите инвестиции в </w:t>
            </w:r>
            <w:proofErr w:type="spellStart"/>
            <w:r w:rsidRPr="00741D80">
              <w:rPr>
                <w:rFonts w:cstheme="minorHAnsi"/>
              </w:rPr>
              <w:t>некотирани</w:t>
            </w:r>
            <w:proofErr w:type="spellEnd"/>
            <w:r w:rsidRPr="00741D80">
              <w:rPr>
                <w:rFonts w:cstheme="minorHAnsi"/>
              </w:rPr>
              <w:t xml:space="preserve"> компании (малцинствено участие)</w:t>
            </w:r>
          </w:p>
        </w:tc>
        <w:tc>
          <w:tcPr>
            <w:tcW w:w="903" w:type="pct"/>
            <w:shd w:val="clear" w:color="auto" w:fill="auto"/>
            <w:hideMark/>
          </w:tcPr>
          <w:p w14:paraId="0B1021D4" w14:textId="77777777" w:rsidR="0084445A" w:rsidRPr="00741D80" w:rsidRDefault="0084445A" w:rsidP="00721377">
            <w:pPr>
              <w:rPr>
                <w:rFonts w:cstheme="minorHAnsi"/>
              </w:rPr>
            </w:pPr>
            <w:r w:rsidRPr="00741D80">
              <w:rPr>
                <w:rFonts w:cstheme="minorHAnsi"/>
              </w:rPr>
              <w:t>Финансови активи на разположение за продажба</w:t>
            </w:r>
          </w:p>
        </w:tc>
        <w:tc>
          <w:tcPr>
            <w:tcW w:w="1658" w:type="pct"/>
            <w:shd w:val="clear" w:color="auto" w:fill="auto"/>
            <w:hideMark/>
          </w:tcPr>
          <w:p w14:paraId="04EE8647" w14:textId="77777777" w:rsidR="0084445A" w:rsidRPr="00741D80" w:rsidRDefault="0084445A" w:rsidP="00721377">
            <w:pPr>
              <w:rPr>
                <w:rFonts w:cstheme="minorHAnsi"/>
              </w:rPr>
            </w:pPr>
            <w:r w:rsidRPr="00741D80">
              <w:rPr>
                <w:rFonts w:cstheme="minorHAnsi"/>
              </w:rPr>
              <w:t>Капиталови инструменти, оценявани по справедлива стойност през друг всеобхватен доход (ДВД)</w:t>
            </w:r>
          </w:p>
        </w:tc>
        <w:tc>
          <w:tcPr>
            <w:tcW w:w="622" w:type="pct"/>
            <w:shd w:val="clear" w:color="auto" w:fill="auto"/>
            <w:noWrap/>
            <w:vAlign w:val="bottom"/>
            <w:hideMark/>
          </w:tcPr>
          <w:p w14:paraId="4DA2177A" w14:textId="77777777" w:rsidR="0084445A" w:rsidRPr="00741D80" w:rsidRDefault="0084445A" w:rsidP="00721377">
            <w:pPr>
              <w:jc w:val="right"/>
              <w:rPr>
                <w:rFonts w:cstheme="minorHAnsi"/>
              </w:rPr>
            </w:pPr>
            <w:r w:rsidRPr="00741D80">
              <w:rPr>
                <w:rFonts w:cstheme="minorHAnsi"/>
              </w:rPr>
              <w:t>328</w:t>
            </w:r>
          </w:p>
        </w:tc>
        <w:tc>
          <w:tcPr>
            <w:tcW w:w="645" w:type="pct"/>
            <w:shd w:val="clear" w:color="auto" w:fill="auto"/>
            <w:noWrap/>
            <w:vAlign w:val="bottom"/>
            <w:hideMark/>
          </w:tcPr>
          <w:p w14:paraId="5E6B7A4F" w14:textId="77777777" w:rsidR="0084445A" w:rsidRPr="00741D80" w:rsidRDefault="0084445A" w:rsidP="00721377">
            <w:pPr>
              <w:jc w:val="right"/>
              <w:rPr>
                <w:rFonts w:cstheme="minorHAnsi"/>
              </w:rPr>
            </w:pPr>
            <w:r w:rsidRPr="00741D80">
              <w:rPr>
                <w:rFonts w:cstheme="minorHAnsi"/>
              </w:rPr>
              <w:t>328</w:t>
            </w:r>
          </w:p>
        </w:tc>
      </w:tr>
      <w:tr w:rsidR="0084445A" w:rsidRPr="00741D80" w14:paraId="458D6DC4" w14:textId="77777777" w:rsidTr="00721377">
        <w:trPr>
          <w:trHeight w:val="170"/>
          <w:jc w:val="center"/>
        </w:trPr>
        <w:tc>
          <w:tcPr>
            <w:tcW w:w="1173" w:type="pct"/>
            <w:shd w:val="clear" w:color="auto" w:fill="auto"/>
            <w:hideMark/>
          </w:tcPr>
          <w:p w14:paraId="23C45F39" w14:textId="77777777" w:rsidR="0084445A" w:rsidRPr="00741D80" w:rsidRDefault="0084445A" w:rsidP="00721377">
            <w:pPr>
              <w:rPr>
                <w:rFonts w:cstheme="minorHAnsi"/>
              </w:rPr>
            </w:pPr>
            <w:r w:rsidRPr="00741D80">
              <w:rPr>
                <w:rFonts w:cstheme="minorHAnsi"/>
              </w:rPr>
              <w:t>Дълговите ценни книжа</w:t>
            </w:r>
          </w:p>
        </w:tc>
        <w:tc>
          <w:tcPr>
            <w:tcW w:w="903" w:type="pct"/>
            <w:shd w:val="clear" w:color="auto" w:fill="auto"/>
            <w:hideMark/>
          </w:tcPr>
          <w:p w14:paraId="3F85CDB2" w14:textId="77777777" w:rsidR="0084445A" w:rsidRPr="00741D80" w:rsidRDefault="0084445A" w:rsidP="00721377">
            <w:pPr>
              <w:rPr>
                <w:rFonts w:cstheme="minorHAnsi"/>
              </w:rPr>
            </w:pPr>
            <w:proofErr w:type="spellStart"/>
            <w:r w:rsidRPr="00741D80">
              <w:rPr>
                <w:rFonts w:cstheme="minorHAnsi"/>
              </w:rPr>
              <w:t>Финасови</w:t>
            </w:r>
            <w:proofErr w:type="spellEnd"/>
            <w:r w:rsidRPr="00741D80">
              <w:rPr>
                <w:rFonts w:cstheme="minorHAnsi"/>
              </w:rPr>
              <w:t xml:space="preserve"> активи, държани до падеж</w:t>
            </w:r>
          </w:p>
        </w:tc>
        <w:tc>
          <w:tcPr>
            <w:tcW w:w="1658" w:type="pct"/>
            <w:shd w:val="clear" w:color="auto" w:fill="auto"/>
            <w:hideMark/>
          </w:tcPr>
          <w:p w14:paraId="0B310427" w14:textId="77777777" w:rsidR="0084445A" w:rsidRPr="00741D80" w:rsidRDefault="0084445A" w:rsidP="00721377">
            <w:pPr>
              <w:rPr>
                <w:rFonts w:cstheme="minorHAnsi"/>
              </w:rPr>
            </w:pPr>
            <w:r w:rsidRPr="00741D80">
              <w:rPr>
                <w:rFonts w:cstheme="minorHAnsi"/>
              </w:rPr>
              <w:t>Дългови инструменти по амортизирана стойност</w:t>
            </w:r>
          </w:p>
        </w:tc>
        <w:tc>
          <w:tcPr>
            <w:tcW w:w="622" w:type="pct"/>
            <w:shd w:val="clear" w:color="auto" w:fill="auto"/>
            <w:noWrap/>
            <w:vAlign w:val="bottom"/>
            <w:hideMark/>
          </w:tcPr>
          <w:p w14:paraId="72790184" w14:textId="0DB04FE6" w:rsidR="0084445A" w:rsidRPr="00741D80" w:rsidRDefault="0084445A" w:rsidP="00721377">
            <w:pPr>
              <w:jc w:val="right"/>
              <w:rPr>
                <w:rFonts w:cstheme="minorHAnsi"/>
              </w:rPr>
            </w:pPr>
            <w:r w:rsidRPr="00741D80">
              <w:rPr>
                <w:rFonts w:cstheme="minorHAnsi"/>
              </w:rPr>
              <w:t>4</w:t>
            </w:r>
            <w:r w:rsidR="00374D3C">
              <w:rPr>
                <w:rFonts w:cstheme="minorHAnsi"/>
                <w:lang w:val="en-US"/>
              </w:rPr>
              <w:t>,</w:t>
            </w:r>
            <w:r w:rsidRPr="00741D80">
              <w:rPr>
                <w:rFonts w:cstheme="minorHAnsi"/>
              </w:rPr>
              <w:t>018</w:t>
            </w:r>
          </w:p>
        </w:tc>
        <w:tc>
          <w:tcPr>
            <w:tcW w:w="645" w:type="pct"/>
            <w:shd w:val="clear" w:color="auto" w:fill="auto"/>
            <w:noWrap/>
            <w:vAlign w:val="bottom"/>
            <w:hideMark/>
          </w:tcPr>
          <w:p w14:paraId="273C0B62" w14:textId="3FF5D5A4" w:rsidR="0084445A" w:rsidRPr="00741D80" w:rsidRDefault="0084445A" w:rsidP="00721377">
            <w:pPr>
              <w:jc w:val="right"/>
              <w:rPr>
                <w:rFonts w:cstheme="minorHAnsi"/>
              </w:rPr>
            </w:pPr>
            <w:r w:rsidRPr="00741D80">
              <w:rPr>
                <w:rFonts w:cstheme="minorHAnsi"/>
              </w:rPr>
              <w:t>4</w:t>
            </w:r>
            <w:r w:rsidR="00374D3C">
              <w:rPr>
                <w:rFonts w:cstheme="minorHAnsi"/>
                <w:lang w:val="en-US"/>
              </w:rPr>
              <w:t>,</w:t>
            </w:r>
            <w:r w:rsidRPr="00741D80">
              <w:rPr>
                <w:rFonts w:cstheme="minorHAnsi"/>
              </w:rPr>
              <w:t>018</w:t>
            </w:r>
          </w:p>
        </w:tc>
      </w:tr>
      <w:tr w:rsidR="0084445A" w:rsidRPr="00741D80" w14:paraId="3B5DD42B" w14:textId="77777777" w:rsidTr="00721377">
        <w:trPr>
          <w:trHeight w:val="170"/>
          <w:jc w:val="center"/>
        </w:trPr>
        <w:tc>
          <w:tcPr>
            <w:tcW w:w="1173" w:type="pct"/>
            <w:shd w:val="clear" w:color="auto" w:fill="auto"/>
            <w:hideMark/>
          </w:tcPr>
          <w:p w14:paraId="5DB8D6C3" w14:textId="77777777" w:rsidR="0084445A" w:rsidRPr="00741D80" w:rsidRDefault="0084445A" w:rsidP="00721377">
            <w:pPr>
              <w:rPr>
                <w:rFonts w:cstheme="minorHAnsi"/>
              </w:rPr>
            </w:pPr>
            <w:r w:rsidRPr="00741D80">
              <w:rPr>
                <w:rFonts w:cstheme="minorHAnsi"/>
              </w:rPr>
              <w:t>Текущи търговски вземания</w:t>
            </w:r>
          </w:p>
        </w:tc>
        <w:tc>
          <w:tcPr>
            <w:tcW w:w="903" w:type="pct"/>
            <w:shd w:val="clear" w:color="auto" w:fill="auto"/>
            <w:hideMark/>
          </w:tcPr>
          <w:p w14:paraId="1713D986" w14:textId="77777777" w:rsidR="0084445A" w:rsidRPr="00741D80" w:rsidRDefault="0084445A" w:rsidP="00721377">
            <w:pPr>
              <w:rPr>
                <w:rFonts w:cstheme="minorHAnsi"/>
              </w:rPr>
            </w:pPr>
            <w:r w:rsidRPr="00741D80">
              <w:rPr>
                <w:rFonts w:cstheme="minorHAnsi"/>
              </w:rPr>
              <w:t>Кредити и вземания</w:t>
            </w:r>
          </w:p>
        </w:tc>
        <w:tc>
          <w:tcPr>
            <w:tcW w:w="1658" w:type="pct"/>
            <w:shd w:val="clear" w:color="auto" w:fill="auto"/>
            <w:hideMark/>
          </w:tcPr>
          <w:p w14:paraId="6F8CA59F" w14:textId="77777777" w:rsidR="0084445A" w:rsidRPr="00741D80" w:rsidRDefault="0084445A" w:rsidP="00721377">
            <w:pPr>
              <w:rPr>
                <w:rFonts w:cstheme="minorHAnsi"/>
              </w:rPr>
            </w:pPr>
            <w:r w:rsidRPr="00741D80">
              <w:rPr>
                <w:rFonts w:cstheme="minorHAnsi"/>
              </w:rPr>
              <w:t>Дългови инструменти, оценявани по амортизирана стойност</w:t>
            </w:r>
          </w:p>
        </w:tc>
        <w:tc>
          <w:tcPr>
            <w:tcW w:w="622" w:type="pct"/>
            <w:shd w:val="clear" w:color="auto" w:fill="auto"/>
            <w:noWrap/>
            <w:vAlign w:val="bottom"/>
            <w:hideMark/>
          </w:tcPr>
          <w:p w14:paraId="01BAAA98" w14:textId="77777777" w:rsidR="0084445A" w:rsidRPr="00741D80" w:rsidRDefault="0084445A" w:rsidP="00721377">
            <w:pPr>
              <w:jc w:val="right"/>
              <w:rPr>
                <w:rFonts w:cstheme="minorHAnsi"/>
              </w:rPr>
            </w:pPr>
            <w:r w:rsidRPr="00741D80">
              <w:rPr>
                <w:rFonts w:cstheme="minorHAnsi"/>
              </w:rPr>
              <w:t>121</w:t>
            </w:r>
          </w:p>
        </w:tc>
        <w:tc>
          <w:tcPr>
            <w:tcW w:w="645" w:type="pct"/>
            <w:shd w:val="clear" w:color="auto" w:fill="auto"/>
            <w:noWrap/>
            <w:vAlign w:val="bottom"/>
            <w:hideMark/>
          </w:tcPr>
          <w:p w14:paraId="712F36FF" w14:textId="77777777" w:rsidR="0084445A" w:rsidRPr="00741D80" w:rsidRDefault="0084445A" w:rsidP="00721377">
            <w:pPr>
              <w:jc w:val="right"/>
              <w:rPr>
                <w:rFonts w:cstheme="minorHAnsi"/>
              </w:rPr>
            </w:pPr>
            <w:r w:rsidRPr="00741D80">
              <w:rPr>
                <w:rFonts w:cstheme="minorHAnsi"/>
              </w:rPr>
              <w:t>121</w:t>
            </w:r>
          </w:p>
        </w:tc>
      </w:tr>
      <w:tr w:rsidR="0084445A" w:rsidRPr="00741D80" w14:paraId="63EC3F09" w14:textId="77777777" w:rsidTr="00721377">
        <w:trPr>
          <w:trHeight w:val="170"/>
          <w:jc w:val="center"/>
        </w:trPr>
        <w:tc>
          <w:tcPr>
            <w:tcW w:w="1173" w:type="pct"/>
            <w:shd w:val="clear" w:color="auto" w:fill="auto"/>
            <w:hideMark/>
          </w:tcPr>
          <w:p w14:paraId="19A14606" w14:textId="77777777" w:rsidR="0084445A" w:rsidRPr="00741D80" w:rsidRDefault="0084445A" w:rsidP="00721377">
            <w:pPr>
              <w:rPr>
                <w:rFonts w:cstheme="minorHAnsi"/>
              </w:rPr>
            </w:pPr>
            <w:r w:rsidRPr="00741D80">
              <w:rPr>
                <w:rFonts w:cstheme="minorHAnsi"/>
              </w:rPr>
              <w:t>Други текущи вземания</w:t>
            </w:r>
          </w:p>
        </w:tc>
        <w:tc>
          <w:tcPr>
            <w:tcW w:w="903" w:type="pct"/>
            <w:shd w:val="clear" w:color="auto" w:fill="auto"/>
            <w:hideMark/>
          </w:tcPr>
          <w:p w14:paraId="5B0803D5" w14:textId="77777777" w:rsidR="0084445A" w:rsidRPr="00741D80" w:rsidRDefault="0084445A" w:rsidP="00721377">
            <w:pPr>
              <w:rPr>
                <w:rFonts w:cstheme="minorHAnsi"/>
              </w:rPr>
            </w:pPr>
            <w:r w:rsidRPr="00741D80">
              <w:rPr>
                <w:rFonts w:cstheme="minorHAnsi"/>
              </w:rPr>
              <w:t>Кредити и вземания</w:t>
            </w:r>
          </w:p>
        </w:tc>
        <w:tc>
          <w:tcPr>
            <w:tcW w:w="1658" w:type="pct"/>
            <w:shd w:val="clear" w:color="auto" w:fill="auto"/>
            <w:hideMark/>
          </w:tcPr>
          <w:p w14:paraId="5D87F04C" w14:textId="77777777" w:rsidR="0084445A" w:rsidRPr="00741D80" w:rsidRDefault="0084445A" w:rsidP="00721377">
            <w:pPr>
              <w:rPr>
                <w:rFonts w:cstheme="minorHAnsi"/>
              </w:rPr>
            </w:pPr>
            <w:r w:rsidRPr="00741D80">
              <w:rPr>
                <w:rFonts w:cstheme="minorHAnsi"/>
              </w:rPr>
              <w:t>Дългови инструменти, оценявани по амортизирана стойност</w:t>
            </w:r>
          </w:p>
        </w:tc>
        <w:tc>
          <w:tcPr>
            <w:tcW w:w="622" w:type="pct"/>
            <w:shd w:val="clear" w:color="auto" w:fill="auto"/>
            <w:noWrap/>
            <w:vAlign w:val="bottom"/>
            <w:hideMark/>
          </w:tcPr>
          <w:p w14:paraId="431A7F5B" w14:textId="5511B910" w:rsidR="0084445A" w:rsidRPr="00741D80" w:rsidRDefault="0084445A" w:rsidP="00721377">
            <w:pPr>
              <w:jc w:val="right"/>
              <w:rPr>
                <w:rFonts w:cstheme="minorHAnsi"/>
              </w:rPr>
            </w:pPr>
            <w:r w:rsidRPr="00741D80">
              <w:rPr>
                <w:rFonts w:cstheme="minorHAnsi"/>
              </w:rPr>
              <w:t>1</w:t>
            </w:r>
            <w:r w:rsidR="00374D3C">
              <w:rPr>
                <w:rFonts w:cstheme="minorHAnsi"/>
                <w:lang w:val="en-US"/>
              </w:rPr>
              <w:t>,</w:t>
            </w:r>
            <w:r w:rsidRPr="00741D80">
              <w:rPr>
                <w:rFonts w:cstheme="minorHAnsi"/>
              </w:rPr>
              <w:t>214</w:t>
            </w:r>
          </w:p>
        </w:tc>
        <w:tc>
          <w:tcPr>
            <w:tcW w:w="645" w:type="pct"/>
            <w:shd w:val="clear" w:color="auto" w:fill="auto"/>
            <w:noWrap/>
            <w:vAlign w:val="bottom"/>
            <w:hideMark/>
          </w:tcPr>
          <w:p w14:paraId="6A94A78A" w14:textId="23F57567" w:rsidR="0084445A" w:rsidRPr="00741D80" w:rsidRDefault="0084445A" w:rsidP="00721377">
            <w:pPr>
              <w:jc w:val="right"/>
              <w:rPr>
                <w:rFonts w:cstheme="minorHAnsi"/>
              </w:rPr>
            </w:pPr>
            <w:r w:rsidRPr="00741D80">
              <w:rPr>
                <w:rFonts w:cstheme="minorHAnsi"/>
              </w:rPr>
              <w:t>1</w:t>
            </w:r>
            <w:r w:rsidR="00374D3C">
              <w:rPr>
                <w:rFonts w:cstheme="minorHAnsi"/>
                <w:lang w:val="en-US"/>
              </w:rPr>
              <w:t>,</w:t>
            </w:r>
            <w:r w:rsidRPr="00741D80">
              <w:rPr>
                <w:rFonts w:cstheme="minorHAnsi"/>
              </w:rPr>
              <w:t>214</w:t>
            </w:r>
          </w:p>
        </w:tc>
      </w:tr>
      <w:tr w:rsidR="0084445A" w:rsidRPr="00741D80" w14:paraId="1B9735BA" w14:textId="77777777" w:rsidTr="00721377">
        <w:trPr>
          <w:trHeight w:val="170"/>
          <w:jc w:val="center"/>
        </w:trPr>
        <w:tc>
          <w:tcPr>
            <w:tcW w:w="1173" w:type="pct"/>
            <w:shd w:val="clear" w:color="auto" w:fill="auto"/>
            <w:hideMark/>
          </w:tcPr>
          <w:p w14:paraId="793B174E" w14:textId="77777777" w:rsidR="0084445A" w:rsidRPr="00741D80" w:rsidRDefault="0084445A" w:rsidP="00721377">
            <w:pPr>
              <w:rPr>
                <w:rFonts w:cstheme="minorHAnsi"/>
              </w:rPr>
            </w:pPr>
            <w:r w:rsidRPr="00741D80">
              <w:rPr>
                <w:rFonts w:cstheme="minorHAnsi"/>
              </w:rPr>
              <w:t>Парични средства и еквиваленти</w:t>
            </w:r>
          </w:p>
        </w:tc>
        <w:tc>
          <w:tcPr>
            <w:tcW w:w="903" w:type="pct"/>
            <w:shd w:val="clear" w:color="auto" w:fill="auto"/>
            <w:hideMark/>
          </w:tcPr>
          <w:p w14:paraId="6AF9FFC6" w14:textId="77777777" w:rsidR="0084445A" w:rsidRPr="00741D80" w:rsidRDefault="0084445A" w:rsidP="00721377">
            <w:pPr>
              <w:rPr>
                <w:rFonts w:cstheme="minorHAnsi"/>
              </w:rPr>
            </w:pPr>
            <w:r w:rsidRPr="00741D80">
              <w:rPr>
                <w:rFonts w:cstheme="minorHAnsi"/>
              </w:rPr>
              <w:t>Кредити и вземания</w:t>
            </w:r>
          </w:p>
        </w:tc>
        <w:tc>
          <w:tcPr>
            <w:tcW w:w="1658" w:type="pct"/>
            <w:shd w:val="clear" w:color="auto" w:fill="auto"/>
            <w:hideMark/>
          </w:tcPr>
          <w:p w14:paraId="13D63343" w14:textId="77777777" w:rsidR="0084445A" w:rsidRPr="00741D80" w:rsidRDefault="0084445A" w:rsidP="00721377">
            <w:pPr>
              <w:rPr>
                <w:rFonts w:cstheme="minorHAnsi"/>
              </w:rPr>
            </w:pPr>
            <w:r w:rsidRPr="00741D80">
              <w:rPr>
                <w:rFonts w:cstheme="minorHAnsi"/>
              </w:rPr>
              <w:t>Дългови инструменти, оценявани по амортизирана стойност</w:t>
            </w:r>
          </w:p>
        </w:tc>
        <w:tc>
          <w:tcPr>
            <w:tcW w:w="622" w:type="pct"/>
            <w:shd w:val="clear" w:color="auto" w:fill="auto"/>
            <w:noWrap/>
            <w:vAlign w:val="bottom"/>
            <w:hideMark/>
          </w:tcPr>
          <w:p w14:paraId="1B794D36" w14:textId="105025BB" w:rsidR="0084445A" w:rsidRPr="00741D80" w:rsidRDefault="0084445A" w:rsidP="00721377">
            <w:pPr>
              <w:jc w:val="right"/>
              <w:rPr>
                <w:rFonts w:cstheme="minorHAnsi"/>
              </w:rPr>
            </w:pPr>
            <w:r w:rsidRPr="00741D80">
              <w:rPr>
                <w:rFonts w:cstheme="minorHAnsi"/>
              </w:rPr>
              <w:t>1</w:t>
            </w:r>
            <w:r w:rsidR="00374D3C">
              <w:rPr>
                <w:rFonts w:cstheme="minorHAnsi"/>
                <w:lang w:val="en-US"/>
              </w:rPr>
              <w:t>,</w:t>
            </w:r>
            <w:r w:rsidRPr="00741D80">
              <w:rPr>
                <w:rFonts w:cstheme="minorHAnsi"/>
              </w:rPr>
              <w:t>511</w:t>
            </w:r>
          </w:p>
        </w:tc>
        <w:tc>
          <w:tcPr>
            <w:tcW w:w="645" w:type="pct"/>
            <w:shd w:val="clear" w:color="auto" w:fill="auto"/>
            <w:noWrap/>
            <w:vAlign w:val="bottom"/>
            <w:hideMark/>
          </w:tcPr>
          <w:p w14:paraId="1793C91E" w14:textId="67BB1CE3" w:rsidR="0084445A" w:rsidRPr="00741D80" w:rsidRDefault="0084445A" w:rsidP="00721377">
            <w:pPr>
              <w:jc w:val="right"/>
              <w:rPr>
                <w:rFonts w:cstheme="minorHAnsi"/>
              </w:rPr>
            </w:pPr>
            <w:r w:rsidRPr="00741D80">
              <w:rPr>
                <w:rFonts w:cstheme="minorHAnsi"/>
              </w:rPr>
              <w:t>1</w:t>
            </w:r>
            <w:r w:rsidR="00374D3C">
              <w:rPr>
                <w:rFonts w:cstheme="minorHAnsi"/>
                <w:lang w:val="en-US"/>
              </w:rPr>
              <w:t>,</w:t>
            </w:r>
            <w:r w:rsidRPr="00741D80">
              <w:rPr>
                <w:rFonts w:cstheme="minorHAnsi"/>
              </w:rPr>
              <w:t>511</w:t>
            </w:r>
          </w:p>
        </w:tc>
      </w:tr>
    </w:tbl>
    <w:bookmarkEnd w:id="19"/>
    <w:p w14:paraId="5A03CDA7" w14:textId="54D68B6C" w:rsidR="0084445A" w:rsidRPr="00741D80" w:rsidRDefault="0084445A" w:rsidP="00374D3C">
      <w:pPr>
        <w:pStyle w:val="BodyText"/>
        <w:spacing w:before="60" w:after="100"/>
      </w:pPr>
      <w:r w:rsidRPr="00741D80">
        <w:t>Няма ефект</w:t>
      </w:r>
      <w:r w:rsidR="00FD518A">
        <w:t xml:space="preserve"> </w:t>
      </w:r>
      <w:r w:rsidRPr="00741D80">
        <w:t xml:space="preserve">от приемането на МСФО 9 върху балансовите стойности на финансовите активи на 1 януари 2018 г. </w:t>
      </w:r>
      <w:bookmarkStart w:id="20" w:name="_Hlk535941907"/>
    </w:p>
    <w:p w14:paraId="5EF56C03" w14:textId="77777777" w:rsidR="0084445A" w:rsidRPr="00741D80" w:rsidRDefault="0084445A" w:rsidP="00374D3C">
      <w:pPr>
        <w:pStyle w:val="BodyText"/>
      </w:pPr>
      <w:r w:rsidRPr="00741D80">
        <w:t>(в) Обезценка на финансови активи</w:t>
      </w:r>
    </w:p>
    <w:p w14:paraId="083DA1F5" w14:textId="77777777" w:rsidR="0084445A" w:rsidRPr="00741D80" w:rsidRDefault="0084445A" w:rsidP="005B5648">
      <w:pPr>
        <w:pStyle w:val="BodyText"/>
        <w:spacing w:afterAutospacing="0" w:line="276" w:lineRule="auto"/>
      </w:pPr>
      <w:r w:rsidRPr="00741D80">
        <w:t xml:space="preserve">Приемането на МСФО 9 по същество промени счетоводното отчитане на Дружеството на загубите от обезценка за финансовите активи като замени подхода на начислените загуби на МСС 39 с ориентирания в по-голяма степен към бъдещето модел на очакваните кредитни загуби (очакваните кредитни загуби). МСФО 9 изисква от Дружеството да признава провизия за очакваните кредитни загуби за всички дългови инструменти, които не се отчитат по справедлива стойност в печалбата или загубата, и за активите по </w:t>
      </w:r>
      <w:r w:rsidRPr="00741D80">
        <w:lastRenderedPageBreak/>
        <w:t xml:space="preserve">договори. </w:t>
      </w:r>
    </w:p>
    <w:p w14:paraId="3F7AF8F0" w14:textId="54930225" w:rsidR="0084445A" w:rsidRPr="00741D80" w:rsidRDefault="0084445A" w:rsidP="005B5648">
      <w:pPr>
        <w:pStyle w:val="BodyText"/>
        <w:spacing w:afterAutospacing="0"/>
      </w:pPr>
      <w:r w:rsidRPr="00741D80">
        <w:t xml:space="preserve">След приемането на МСФО 9 Дружеството не е признало допълнителна обезценка на Други вземания на Дружествотор която води до намаление на Неразпределената печалба към 1 януари 2018 г. </w:t>
      </w:r>
    </w:p>
    <w:p w14:paraId="6BACED38" w14:textId="77777777" w:rsidR="0084445A" w:rsidRPr="00741D80" w:rsidRDefault="0084445A" w:rsidP="005B5648">
      <w:pPr>
        <w:pStyle w:val="BodyText"/>
        <w:spacing w:afterAutospacing="0"/>
      </w:pPr>
      <w:r w:rsidRPr="00741D80">
        <w:t xml:space="preserve">МСФО 9 изисква от дружеството да отчита очакваните кредитни загуби по всички свои дългови ценни книжа, заеми и търговски и други вземания или на 12-месечна база, или в течение на техния срок. Дружеството ще прилага опростен подход и ще отрази очакваните загуби през срока на всички търговски и други вземания. </w:t>
      </w:r>
    </w:p>
    <w:p w14:paraId="64157BF8" w14:textId="3CD08C40" w:rsidR="0084445A" w:rsidRPr="00741D80" w:rsidRDefault="0084445A" w:rsidP="005B5648">
      <w:pPr>
        <w:pStyle w:val="BodyText"/>
        <w:spacing w:afterAutospacing="0" w:line="276" w:lineRule="auto"/>
      </w:pPr>
      <w:r w:rsidRPr="00396969">
        <w:t>През текущия период Ръководството е взело решение за обезценка на други вземания в размер на</w:t>
      </w:r>
      <w:r w:rsidR="00FD518A" w:rsidRPr="00396969">
        <w:t xml:space="preserve"> </w:t>
      </w:r>
      <w:r w:rsidRPr="00396969">
        <w:t>607 х.лв. Прилагането на новия подход за обезценка на МСФО 9 за търговски вземания от клиенти не оказва съществен ефект.</w:t>
      </w:r>
      <w:r w:rsidRPr="00741D80">
        <w:t xml:space="preserve"> </w:t>
      </w:r>
    </w:p>
    <w:p w14:paraId="2741D866" w14:textId="77777777" w:rsidR="0084445A" w:rsidRPr="00741D80" w:rsidRDefault="0084445A" w:rsidP="00374D3C">
      <w:pPr>
        <w:pStyle w:val="BodyText"/>
      </w:pPr>
      <w:r w:rsidRPr="00741D80">
        <w:t>(в) Счетоводно отчитане на хеджирането</w:t>
      </w:r>
    </w:p>
    <w:p w14:paraId="24178BD6" w14:textId="140FD00D" w:rsidR="0084445A" w:rsidRPr="00741D80" w:rsidRDefault="0084445A" w:rsidP="00374D3C">
      <w:pPr>
        <w:pStyle w:val="BodyText"/>
      </w:pPr>
      <w:r w:rsidRPr="00741D80">
        <w:t>Дружеството не отчита хеджиране.</w:t>
      </w:r>
    </w:p>
    <w:p w14:paraId="365C4EDC" w14:textId="77777777" w:rsidR="0084445A" w:rsidRPr="00741D80" w:rsidRDefault="0084445A" w:rsidP="005B5648">
      <w:pPr>
        <w:spacing w:after="120" w:line="276" w:lineRule="auto"/>
        <w:jc w:val="both"/>
        <w:rPr>
          <w:rFonts w:cstheme="minorHAnsi"/>
        </w:rPr>
      </w:pPr>
      <w:bookmarkStart w:id="21" w:name="_Hlk535942162"/>
      <w:bookmarkEnd w:id="20"/>
      <w:r w:rsidRPr="00741D80">
        <w:rPr>
          <w:rFonts w:cstheme="minorHAnsi"/>
        </w:rPr>
        <w:t xml:space="preserve">Дружеството е приело следните нови и ревизирани стандарти и разяснения, които са задължителни за прилагане от 1 януари 2018 г. които не оказват ефект върху финансовото състояние и резултатите от дейността му. </w:t>
      </w:r>
    </w:p>
    <w:p w14:paraId="0E4A17A8" w14:textId="77777777" w:rsidR="0084445A" w:rsidRPr="00741D80" w:rsidRDefault="0084445A" w:rsidP="005B5648">
      <w:pPr>
        <w:spacing w:after="120" w:line="276" w:lineRule="auto"/>
        <w:jc w:val="both"/>
        <w:rPr>
          <w:rFonts w:cstheme="minorHAnsi"/>
        </w:rPr>
      </w:pPr>
      <w:r w:rsidRPr="00741D80">
        <w:rPr>
          <w:rFonts w:cstheme="minorHAnsi"/>
          <w:b/>
        </w:rPr>
        <w:t>КРМСФО Разяснение 22 „Сделки с чуждестранна валута и авансови възнаграждения”</w:t>
      </w:r>
      <w:r w:rsidRPr="00741D80">
        <w:rPr>
          <w:rFonts w:cstheme="minorHAnsi"/>
        </w:rPr>
        <w:t xml:space="preserve"> </w:t>
      </w:r>
      <w:r w:rsidRPr="00741D80">
        <w:rPr>
          <w:rFonts w:cstheme="minorHAnsi"/>
          <w:bCs/>
        </w:rPr>
        <w:t xml:space="preserve">- </w:t>
      </w:r>
      <w:r w:rsidRPr="00741D80">
        <w:rPr>
          <w:rFonts w:cstheme="minorHAnsi"/>
        </w:rPr>
        <w:t xml:space="preserve">приет от ЕС на 28 март 2018 г. (в сила за годишни периоди, започващи на или след 1 януари 2018г.); </w:t>
      </w:r>
    </w:p>
    <w:p w14:paraId="4B7A3151" w14:textId="77777777" w:rsidR="0084445A" w:rsidRPr="00741D80" w:rsidRDefault="0084445A" w:rsidP="005B5648">
      <w:pPr>
        <w:spacing w:after="120" w:line="276" w:lineRule="auto"/>
        <w:jc w:val="both"/>
        <w:rPr>
          <w:rFonts w:cstheme="minorHAnsi"/>
        </w:rPr>
      </w:pPr>
      <w:r w:rsidRPr="00741D80">
        <w:rPr>
          <w:rFonts w:cstheme="minorHAnsi"/>
        </w:rPr>
        <w:t>Това разяснение се отнася за отчитането на транзакции или части от транзакции в чуждестранна валута при получаването на авансови плащания, преди признаването на самия актив, разход или приход. В тези случаи предприятията отчитат актив по предплатени суми (предплащания по доставки на активи или услуги) или задължение по отсрочени приходи (получени аванси от клиенти по продажби) и те се третират за немонетарни. При получаването на такива авансови плащания в чужда валута датата на транзакцията се използва за определяне на обменния курс, а ако има множество плащания - дата на транзакцията се определя за всяко отделно плащане.</w:t>
      </w:r>
    </w:p>
    <w:p w14:paraId="29C2CD7D" w14:textId="77777777" w:rsidR="0084445A" w:rsidRPr="00741D80" w:rsidRDefault="0084445A" w:rsidP="005B5648">
      <w:pPr>
        <w:spacing w:after="120" w:line="276" w:lineRule="auto"/>
        <w:jc w:val="both"/>
        <w:rPr>
          <w:rFonts w:cstheme="minorHAnsi"/>
        </w:rPr>
      </w:pPr>
      <w:r w:rsidRPr="00741D80">
        <w:rPr>
          <w:rFonts w:cstheme="minorHAnsi"/>
          <w:b/>
          <w:bCs/>
        </w:rPr>
        <w:t>Промени в МСФО 2 „Плащане на базата на акции”</w:t>
      </w:r>
      <w:r w:rsidRPr="00741D80">
        <w:rPr>
          <w:rFonts w:cstheme="minorHAnsi"/>
          <w:bCs/>
        </w:rPr>
        <w:t xml:space="preserve"> - </w:t>
      </w:r>
      <w:r w:rsidRPr="00741D80">
        <w:rPr>
          <w:rFonts w:cstheme="minorHAnsi"/>
        </w:rPr>
        <w:t xml:space="preserve">приет от ЕС на 26 февруари 2018 г. (в сила за годишни периоди, започващи на или след 1 януари 2018 г.); </w:t>
      </w:r>
    </w:p>
    <w:p w14:paraId="3151FED1" w14:textId="77777777" w:rsidR="0084445A" w:rsidRPr="00741D80" w:rsidRDefault="0084445A" w:rsidP="005B5648">
      <w:pPr>
        <w:spacing w:after="120" w:line="276" w:lineRule="auto"/>
        <w:jc w:val="both"/>
        <w:rPr>
          <w:rFonts w:cstheme="minorHAnsi"/>
        </w:rPr>
      </w:pPr>
      <w:r w:rsidRPr="00741D80">
        <w:rPr>
          <w:rFonts w:cstheme="minorHAnsi"/>
        </w:rPr>
        <w:t xml:space="preserve">Тези пояснения уточняват следното: (а) третирането на условията, свързани с придобиване на безусловни права при оценката и отчитането на сделки с плащане на базата на акции, уреждани с парични средства; (б) подход за класификация на споразуменията за плащане на базата на акции с елементи на нетен </w:t>
      </w:r>
      <w:proofErr w:type="spellStart"/>
      <w:r w:rsidRPr="00741D80">
        <w:rPr>
          <w:rFonts w:cstheme="minorHAnsi"/>
        </w:rPr>
        <w:t>сетълмент</w:t>
      </w:r>
      <w:proofErr w:type="spellEnd"/>
      <w:r w:rsidRPr="00741D80">
        <w:rPr>
          <w:rFonts w:cstheme="minorHAnsi"/>
        </w:rPr>
        <w:t xml:space="preserve"> за целите на удържане на личен данък на лицата от самото предприятие (под формата на инструменти на собствения капитал) - въвеждане на изключение от общото правило за постигане на практическо улеснение тези транзакции да се класифицират, така както щяха да се отчетат без опцията за нетен </w:t>
      </w:r>
      <w:proofErr w:type="spellStart"/>
      <w:r w:rsidRPr="00741D80">
        <w:rPr>
          <w:rFonts w:cstheme="minorHAnsi"/>
        </w:rPr>
        <w:t>сетълмент</w:t>
      </w:r>
      <w:proofErr w:type="spellEnd"/>
      <w:r w:rsidRPr="00741D80">
        <w:rPr>
          <w:rFonts w:cstheme="minorHAnsi"/>
        </w:rPr>
        <w:t>; и (в) ново правило за отчитане при модификации на условията на транзакции за плащане на базата на акции, уреждани с парични средства към акции, уреждани чрез издаване на инструменти на собствения капитал.;</w:t>
      </w:r>
    </w:p>
    <w:p w14:paraId="31A95990" w14:textId="77777777" w:rsidR="0084445A" w:rsidRPr="00741D80" w:rsidRDefault="0084445A" w:rsidP="005B5648">
      <w:pPr>
        <w:spacing w:after="120" w:line="276" w:lineRule="auto"/>
        <w:jc w:val="both"/>
        <w:rPr>
          <w:rFonts w:cstheme="minorHAnsi"/>
        </w:rPr>
      </w:pPr>
      <w:r w:rsidRPr="00741D80">
        <w:rPr>
          <w:rFonts w:cstheme="minorHAnsi"/>
          <w:b/>
          <w:bCs/>
        </w:rPr>
        <w:t>Промени в МСС 40 „Инвестиционни имоти“</w:t>
      </w:r>
      <w:r w:rsidRPr="00741D80">
        <w:rPr>
          <w:rFonts w:cstheme="minorHAnsi"/>
        </w:rPr>
        <w:t xml:space="preserve"> - приет от ЕС на 14 март 2018 г. (в сила за годишни периоди, започващи на или след 1 януари 2018 г.); </w:t>
      </w:r>
    </w:p>
    <w:p w14:paraId="48DDC7A6" w14:textId="77777777" w:rsidR="0084445A" w:rsidRPr="00741D80" w:rsidRDefault="0084445A" w:rsidP="005B5648">
      <w:pPr>
        <w:spacing w:after="120" w:line="276" w:lineRule="auto"/>
        <w:jc w:val="both"/>
        <w:rPr>
          <w:rFonts w:cstheme="minorHAnsi"/>
        </w:rPr>
      </w:pPr>
      <w:r w:rsidRPr="00741D80">
        <w:rPr>
          <w:rFonts w:cstheme="minorHAnsi"/>
        </w:rPr>
        <w:t xml:space="preserve">Трансфери на инвестиционни имоти. Тази промяна е свързана с предоставяне на допълнително пояснение относно условията и критериите, които допускат трансфер към и от категория „инвестиционни имоти“. Още по-специално, когато обектът на трансфер са сгради в строеж при смяна на употребата им. Такива трансфери са възможни и позволени, само когато са изпълнени или респ. когато вече не са изпълнени критериите и дефиницията за инвестиционни имоти - тогава се приема, </w:t>
      </w:r>
      <w:r w:rsidRPr="00741D80">
        <w:rPr>
          <w:rFonts w:cstheme="minorHAnsi"/>
        </w:rPr>
        <w:lastRenderedPageBreak/>
        <w:t>че са налице доказателства за смяната на употребата им. Промяна в намеренията или плановете на ръководството не се считат за доказателство за промяна.</w:t>
      </w:r>
    </w:p>
    <w:p w14:paraId="7F40F914" w14:textId="77777777" w:rsidR="0084445A" w:rsidRPr="00741D80" w:rsidRDefault="0084445A" w:rsidP="005B5648">
      <w:pPr>
        <w:spacing w:after="120" w:line="276" w:lineRule="auto"/>
        <w:jc w:val="both"/>
        <w:rPr>
          <w:rFonts w:cstheme="minorHAnsi"/>
          <w:b/>
          <w:bCs/>
        </w:rPr>
      </w:pPr>
      <w:r w:rsidRPr="00741D80">
        <w:rPr>
          <w:rFonts w:cstheme="minorHAnsi"/>
          <w:b/>
          <w:bCs/>
        </w:rPr>
        <w:t xml:space="preserve">Промени в МСФО 4: Прилагане на МСФО 9 „Финансови инструменти“ с МСФО 4 „Застрахователни договори“ </w:t>
      </w:r>
      <w:r w:rsidRPr="00741D80">
        <w:rPr>
          <w:rFonts w:cstheme="minorHAnsi"/>
        </w:rPr>
        <w:t>- приет от ЕС на 3 ноември 2017 г. (в сила за годишни периоди, започващи на или след 1 януари 2018 г.);</w:t>
      </w:r>
    </w:p>
    <w:p w14:paraId="7AA062EE" w14:textId="14174F7A" w:rsidR="0084445A" w:rsidRPr="00741D80" w:rsidRDefault="0084445A" w:rsidP="005B5648">
      <w:pPr>
        <w:spacing w:after="120" w:line="276" w:lineRule="auto"/>
        <w:jc w:val="both"/>
        <w:rPr>
          <w:rFonts w:cstheme="minorHAnsi"/>
        </w:rPr>
      </w:pPr>
      <w:r w:rsidRPr="00741D80">
        <w:rPr>
          <w:rFonts w:cstheme="minorHAnsi"/>
        </w:rPr>
        <w:t>Изменението адресира въпроси, касаещи застрахователни дружества и възникващи от прилагането на МСФО 9 преди МСФО 17 „Застрахователни договори“, който ще отмени МСФО 4. Тази промяна е свързана с необходимостта от синхронизиране на отчитането при компании, които издават застрахователни договори, които попадат и в обхвата на МСФО 9, като представя два подхода за отчитането на приходи или разходи при определени финансови активи - подход на наслагване със задна дата и подход на отсрочване. Дават се две опции на дружества със застрахователни договори</w:t>
      </w:r>
      <w:r w:rsidR="00C92C03">
        <w:rPr>
          <w:rFonts w:cstheme="minorHAnsi"/>
          <w:lang w:val="en-US"/>
        </w:rPr>
        <w:t>.</w:t>
      </w:r>
      <w:r w:rsidR="00FD518A">
        <w:rPr>
          <w:rFonts w:cstheme="minorHAnsi"/>
        </w:rPr>
        <w:t xml:space="preserve"> </w:t>
      </w:r>
      <w:r w:rsidRPr="00741D80">
        <w:rPr>
          <w:rFonts w:cstheme="minorHAnsi"/>
        </w:rPr>
        <w:t>Временно освобождаване от прилагане на МСФО 9 до 01.01.2021 г. (когато влиза в сила МСФО 17). До тогава ще се прилага МСС 39. Тази опция е за дружества, чиято преимуществена дейност е свързана със застраховане.</w:t>
      </w:r>
      <w:r w:rsidR="00FD518A">
        <w:rPr>
          <w:rFonts w:cstheme="minorHAnsi"/>
        </w:rPr>
        <w:t xml:space="preserve"> </w:t>
      </w:r>
      <w:r w:rsidRPr="00741D80">
        <w:rPr>
          <w:rFonts w:cstheme="minorHAnsi"/>
        </w:rPr>
        <w:t xml:space="preserve">Припокриващ подход, при който се прилага МСФО 9, но се правят корекции в печалбата или загубата за периода (т.е. </w:t>
      </w:r>
      <w:proofErr w:type="spellStart"/>
      <w:r w:rsidRPr="00741D80">
        <w:rPr>
          <w:rFonts w:cstheme="minorHAnsi"/>
        </w:rPr>
        <w:t>рекласификации</w:t>
      </w:r>
      <w:proofErr w:type="spellEnd"/>
      <w:r w:rsidRPr="00741D80">
        <w:rPr>
          <w:rFonts w:cstheme="minorHAnsi"/>
        </w:rPr>
        <w:t xml:space="preserve"> в ДВД) само по отношение на определени (отговарящи на условия) финансови активи, които корекции привеждат тяхното отчитане до това съгл. МСС 39. Целта е да се избегне променливост на финансовите резултати вследствие на прилагане на МСФО 9 с МСФО 4. </w:t>
      </w:r>
    </w:p>
    <w:p w14:paraId="76004F9A" w14:textId="77777777" w:rsidR="0084445A" w:rsidRPr="00741D80" w:rsidRDefault="0084445A" w:rsidP="005B5648">
      <w:pPr>
        <w:spacing w:after="120" w:line="276" w:lineRule="auto"/>
        <w:jc w:val="both"/>
        <w:rPr>
          <w:rFonts w:cstheme="minorHAnsi"/>
        </w:rPr>
      </w:pPr>
      <w:r w:rsidRPr="00741D80">
        <w:rPr>
          <w:rFonts w:cstheme="minorHAnsi"/>
          <w:b/>
          <w:bCs/>
        </w:rPr>
        <w:t>Изменения на различни стандарти „Подобрения в МСФО (цикъл 2014-2016</w:t>
      </w:r>
      <w:r w:rsidRPr="00741D80">
        <w:rPr>
          <w:rFonts w:cstheme="minorHAnsi"/>
        </w:rPr>
        <w:t xml:space="preserve">) - приети от ЕС на 7 февруари 2018 г. (в сила за годишни периоди, започващи на или след 1 януари 2018 г.); </w:t>
      </w:r>
    </w:p>
    <w:p w14:paraId="04FAACA0" w14:textId="77777777" w:rsidR="0084445A" w:rsidRPr="00741D80" w:rsidRDefault="0084445A" w:rsidP="005B5648">
      <w:pPr>
        <w:spacing w:after="120" w:line="276" w:lineRule="auto"/>
        <w:jc w:val="both"/>
        <w:rPr>
          <w:rFonts w:cstheme="minorHAnsi"/>
        </w:rPr>
      </w:pPr>
      <w:r w:rsidRPr="00741D80">
        <w:rPr>
          <w:rFonts w:cstheme="minorHAnsi"/>
        </w:rPr>
        <w:t>Тези подобрения внасят частични промени и редакции в съответните стандарти, основно с цел да премахнат съществуваща непоследователност или неясноти в приложението на правилата и изискванията на отделните стандарти, както и да се внесе по-прецизна терминология на понятия. Основно промените са насочени към следните обекти или операции: а) обхватът и изискванията към оповестяването по МСФО 12 са валидни и за дружества, класифицирани по реда МСФО като държани за продажба, за разпределение или като преустановени дейности; б) отменяне на някои изключения за прилагане на МСФО 1; и в) изборът на фондове за рисков капитал или други подобни предприятия относно оценката на техните участия в асоциирани или съвместни дружества по справедлива стойност в печалбата или загубата, който избор може да бъде правен на база индивидуална инвестиция, при първоначалното й признаване (МСС 28).</w:t>
      </w:r>
    </w:p>
    <w:p w14:paraId="1FBD3C56" w14:textId="7E371848" w:rsidR="0084445A" w:rsidRPr="00741D80" w:rsidRDefault="0084445A" w:rsidP="005B5648">
      <w:pPr>
        <w:spacing w:after="120" w:line="276" w:lineRule="auto"/>
        <w:jc w:val="both"/>
        <w:rPr>
          <w:rFonts w:cstheme="minorHAnsi"/>
        </w:rPr>
      </w:pPr>
      <w:r w:rsidRPr="00741D80">
        <w:rPr>
          <w:rFonts w:cstheme="minorHAnsi"/>
        </w:rPr>
        <w:t>Стандарти и разяснения, издадени от СМСС, които все още не са влезнали</w:t>
      </w:r>
      <w:r w:rsidR="00FD518A">
        <w:rPr>
          <w:rFonts w:cstheme="minorHAnsi"/>
        </w:rPr>
        <w:t xml:space="preserve"> </w:t>
      </w:r>
      <w:r w:rsidRPr="00741D80">
        <w:rPr>
          <w:rFonts w:cstheme="minorHAnsi"/>
        </w:rPr>
        <w:t xml:space="preserve">в сила </w:t>
      </w:r>
    </w:p>
    <w:p w14:paraId="39C06A49" w14:textId="77777777" w:rsidR="0084445A" w:rsidRPr="00741D80" w:rsidRDefault="0084445A" w:rsidP="005B5648">
      <w:pPr>
        <w:spacing w:after="120" w:line="276" w:lineRule="auto"/>
        <w:jc w:val="both"/>
        <w:rPr>
          <w:rFonts w:cstheme="minorHAnsi"/>
        </w:rPr>
      </w:pPr>
      <w:bookmarkStart w:id="22" w:name="_Hlk535322221"/>
      <w:r w:rsidRPr="00741D80">
        <w:rPr>
          <w:rFonts w:cstheme="minorHAnsi"/>
        </w:rPr>
        <w:t>Към датата на съставяне на този финансов отчет следните стандарти и изменения към съществуващи стандарти и разяснения са издадени от Съвета за Международни счетоводни стандарти (СМСС), но не са все още в сила за годишни периоди, започващи на 1 януари 2018 г., които не са били приети за по-ранно приложение от Дружеството.</w:t>
      </w:r>
    </w:p>
    <w:p w14:paraId="25BA5175" w14:textId="77777777" w:rsidR="0084445A" w:rsidRPr="00741D80" w:rsidRDefault="0084445A" w:rsidP="005B5648">
      <w:pPr>
        <w:spacing w:after="120" w:line="276" w:lineRule="auto"/>
        <w:jc w:val="both"/>
        <w:rPr>
          <w:rFonts w:cstheme="minorHAnsi"/>
        </w:rPr>
      </w:pPr>
      <w:r w:rsidRPr="00741D80">
        <w:rPr>
          <w:rFonts w:cstheme="minorHAnsi"/>
        </w:rPr>
        <w:t xml:space="preserve">От тях ръководството на Дружеството е преценило, че следните биха имали потенциален ефект в бъдеще за промени в счетоводната политика и класификацията и стойностите на отчетни обекти във финансовите отчети за следващи периоди, като по- долу е оповестено как може да се очаква да бъдат повлияни оповестяванията, финансовото състояние и резултатите от дейността, когато Дружеството приеме тези стандарти за първи път. </w:t>
      </w:r>
    </w:p>
    <w:bookmarkEnd w:id="22"/>
    <w:p w14:paraId="77D3AE4C" w14:textId="77777777" w:rsidR="0084445A" w:rsidRPr="00741D80" w:rsidRDefault="0084445A" w:rsidP="005B5648">
      <w:pPr>
        <w:spacing w:after="120" w:line="276" w:lineRule="auto"/>
        <w:jc w:val="both"/>
        <w:rPr>
          <w:rFonts w:cstheme="minorHAnsi"/>
        </w:rPr>
      </w:pPr>
      <w:r w:rsidRPr="00741D80">
        <w:rPr>
          <w:rFonts w:cstheme="minorHAnsi"/>
          <w:b/>
          <w:bCs/>
        </w:rPr>
        <w:t>МСФО 16 „Лизинг” –</w:t>
      </w:r>
      <w:r w:rsidRPr="00741D80">
        <w:rPr>
          <w:rFonts w:cstheme="minorHAnsi"/>
        </w:rPr>
        <w:t xml:space="preserve"> приет от ЕС на 31 октомври 2017 г. (в сила за годишни периоди, започващи на или след 1 януари 2019 г.); </w:t>
      </w:r>
    </w:p>
    <w:p w14:paraId="0ED28DAD" w14:textId="77777777" w:rsidR="0084445A" w:rsidRPr="00741D80" w:rsidRDefault="0084445A" w:rsidP="005B5648">
      <w:pPr>
        <w:spacing w:after="120" w:line="276" w:lineRule="auto"/>
        <w:jc w:val="both"/>
        <w:rPr>
          <w:rFonts w:cstheme="minorHAnsi"/>
        </w:rPr>
      </w:pPr>
      <w:r w:rsidRPr="00741D80">
        <w:rPr>
          <w:rFonts w:cstheme="minorHAnsi"/>
        </w:rPr>
        <w:lastRenderedPageBreak/>
        <w:t>Този стандарт е с изцяло променена концепция и въвежда значителни промени в отчитането на лизинги особено от страна на лизингополучателите. Въвежда нови принципи за признаване, измерване и представяне на лизинги с цел по-достоверно представяне на тези сделки. Стандартът ще замени действащия до този момент стандарт МСС 17 „Лизинг“, КРМСФО 4 „Определяне дали дадено споразумение съдържа лизинг“, ПКР-15 „Оперативен лизинг – стимули“ и ПКР-27 „Оценяване на съдържанието на операции, включващи правната форма на лизинг“. Водещият принцип на новия стандарт е въвеждането на еднотипен модел на счетоводно третиране на лизингите при лизингополучателите за всички лизингови договори с продължителност от повече от 12 месеца, като ще се признава актив „право на ползване”, който ще се амортизира за периода на договора, и респективно, ще се отчита задължението по тези договори. Съгласно МСФО 16 за договор, който е или съдържа лизинг, се счита договор, който предоставя правото за контрол върху ползването на актива за определен период от време срещу възнаграждение. СМСС е включил право на избор за някои краткосрочни лизинги и лизинги на малоценни активи, като това изключение може да бъде приложено само от лизингополучателите.</w:t>
      </w:r>
    </w:p>
    <w:p w14:paraId="3E91E743" w14:textId="77777777" w:rsidR="0084445A" w:rsidRPr="00741D80" w:rsidRDefault="0084445A" w:rsidP="005B5648">
      <w:pPr>
        <w:spacing w:after="120" w:line="276" w:lineRule="auto"/>
        <w:jc w:val="both"/>
        <w:rPr>
          <w:rFonts w:cstheme="minorHAnsi"/>
        </w:rPr>
      </w:pPr>
      <w:r w:rsidRPr="00741D80">
        <w:rPr>
          <w:rFonts w:cstheme="minorHAnsi"/>
        </w:rPr>
        <w:t xml:space="preserve">В допълнение, МСФО 16 изисква от лизингополучателите и </w:t>
      </w:r>
      <w:proofErr w:type="spellStart"/>
      <w:r w:rsidRPr="00741D80">
        <w:rPr>
          <w:rFonts w:cstheme="minorHAnsi"/>
        </w:rPr>
        <w:t>лизингодателите</w:t>
      </w:r>
      <w:proofErr w:type="spellEnd"/>
      <w:r w:rsidRPr="00741D80">
        <w:rPr>
          <w:rFonts w:cstheme="minorHAnsi"/>
        </w:rPr>
        <w:t xml:space="preserve"> да правят по-подробни оповестявания спрямо тези по МСС 17. </w:t>
      </w:r>
    </w:p>
    <w:p w14:paraId="7E61BEC4" w14:textId="77777777" w:rsidR="0084445A" w:rsidRPr="00741D80" w:rsidRDefault="0084445A" w:rsidP="005B5648">
      <w:pPr>
        <w:spacing w:after="120" w:line="276" w:lineRule="auto"/>
        <w:jc w:val="both"/>
        <w:rPr>
          <w:rFonts w:cstheme="minorHAnsi"/>
        </w:rPr>
      </w:pPr>
      <w:bookmarkStart w:id="23" w:name="_Hlk535322307"/>
      <w:r w:rsidRPr="00741D80">
        <w:rPr>
          <w:rFonts w:cstheme="minorHAnsi"/>
        </w:rPr>
        <w:t>Преход към МСФО 16</w:t>
      </w:r>
    </w:p>
    <w:p w14:paraId="06E065B5" w14:textId="77777777" w:rsidR="0084445A" w:rsidRPr="00741D80" w:rsidRDefault="0084445A" w:rsidP="005B5648">
      <w:pPr>
        <w:spacing w:after="120" w:line="276" w:lineRule="auto"/>
        <w:jc w:val="both"/>
        <w:rPr>
          <w:rFonts w:cstheme="minorHAnsi"/>
        </w:rPr>
      </w:pPr>
      <w:r w:rsidRPr="00741D80">
        <w:rPr>
          <w:rFonts w:cstheme="minorHAnsi"/>
        </w:rPr>
        <w:t>Дружеството планира да приеме МСФО 16 като приложи модифициран ретроспективен подход., като кумулативният ефект от прилагането се признава на датата на първоначалното прилагане в началното салдо на капитала и не се преизчислява сравнителна информация. Дружеството ще избере да приложи стандарта към договори, които преди това са били идентифицирани като лизинг при прилагане на МСС 17 и КРМСФО 4. Следователно Дружеството няма да прилага стандарта към договори, които преди не бяха идентифицирани като съдържащи лизинг при прилагане на МСС 17 и КРМСФО 4.</w:t>
      </w:r>
    </w:p>
    <w:p w14:paraId="69AA9802" w14:textId="77777777" w:rsidR="0084445A" w:rsidRPr="00741D80" w:rsidRDefault="0084445A" w:rsidP="005B5648">
      <w:pPr>
        <w:spacing w:after="120" w:line="276" w:lineRule="auto"/>
        <w:jc w:val="both"/>
        <w:rPr>
          <w:rFonts w:cstheme="minorHAnsi"/>
        </w:rPr>
      </w:pPr>
      <w:r w:rsidRPr="00741D80">
        <w:rPr>
          <w:rFonts w:cstheme="minorHAnsi"/>
        </w:rPr>
        <w:t xml:space="preserve">Дружеството ще избере да използва изключенията, предложени от стандарта, за лизингови договори, за които срокът на лизинга приключва в рамките на 12 месеца и договори за лизинг, за които базовият актив е с ниска стойност. </w:t>
      </w:r>
    </w:p>
    <w:p w14:paraId="50967AF6" w14:textId="77777777" w:rsidR="0084445A" w:rsidRPr="00741D80" w:rsidRDefault="0084445A" w:rsidP="005B5648">
      <w:pPr>
        <w:spacing w:after="120" w:line="276" w:lineRule="auto"/>
        <w:jc w:val="both"/>
        <w:rPr>
          <w:rFonts w:cstheme="minorHAnsi"/>
        </w:rPr>
      </w:pPr>
      <w:r w:rsidRPr="00741D80">
        <w:rPr>
          <w:rFonts w:cstheme="minorHAnsi"/>
        </w:rPr>
        <w:t>През 2018 г. Дружеството е извършило подробна оценка на въздействието на МСФО 16. В обобщение Дружеството счита, че прилагането на МСФО 16 няма да окаже съществен ефект върху отчета за финансово състояние.</w:t>
      </w:r>
    </w:p>
    <w:p w14:paraId="37F82155" w14:textId="77777777" w:rsidR="0084445A" w:rsidRPr="00741D80" w:rsidRDefault="0084445A" w:rsidP="005B5648">
      <w:pPr>
        <w:spacing w:after="120" w:line="276" w:lineRule="auto"/>
        <w:jc w:val="both"/>
        <w:rPr>
          <w:rFonts w:cstheme="minorHAnsi"/>
        </w:rPr>
      </w:pPr>
      <w:bookmarkStart w:id="24" w:name="_Hlk535322501"/>
      <w:bookmarkEnd w:id="23"/>
      <w:r w:rsidRPr="00741D80">
        <w:rPr>
          <w:rFonts w:cstheme="minorHAnsi"/>
          <w:b/>
          <w:bCs/>
        </w:rPr>
        <w:t>Изменение в МСФО 9 „Финансови инструменти”</w:t>
      </w:r>
      <w:r w:rsidRPr="00741D80">
        <w:rPr>
          <w:rFonts w:cstheme="minorHAnsi"/>
        </w:rPr>
        <w:t xml:space="preserve"> - Предплащания с негативна компенсация – (приет от ЕС на 22 март 2018 г., в сила за годишни периоди от 1 януари 2019 г.);</w:t>
      </w:r>
    </w:p>
    <w:bookmarkEnd w:id="24"/>
    <w:p w14:paraId="45239E48" w14:textId="77777777" w:rsidR="0084445A" w:rsidRPr="00741D80" w:rsidRDefault="0084445A" w:rsidP="005B5648">
      <w:pPr>
        <w:spacing w:after="120" w:line="276" w:lineRule="auto"/>
        <w:jc w:val="both"/>
        <w:rPr>
          <w:rFonts w:cstheme="minorHAnsi"/>
        </w:rPr>
      </w:pPr>
      <w:r w:rsidRPr="00741D80">
        <w:rPr>
          <w:rFonts w:cstheme="minorHAnsi"/>
        </w:rPr>
        <w:t>Променят се съществуващите изисквания на МСФО 9 по отношение на права за прекратяване, за да се позволи оценяване по амортизирана стойност (или, в зависимост от бизнес модела, по справедлива стойност през ДВД), дори в случай на плащане на негативна компенсация.</w:t>
      </w:r>
    </w:p>
    <w:p w14:paraId="027C1949" w14:textId="77777777" w:rsidR="0084445A" w:rsidRPr="00741D80" w:rsidRDefault="0084445A" w:rsidP="005B5648">
      <w:pPr>
        <w:spacing w:after="120" w:line="276" w:lineRule="auto"/>
        <w:jc w:val="both"/>
        <w:rPr>
          <w:rFonts w:cstheme="minorHAnsi"/>
        </w:rPr>
      </w:pPr>
      <w:r w:rsidRPr="00741D80">
        <w:rPr>
          <w:rFonts w:cstheme="minorHAnsi"/>
          <w:b/>
          <w:bCs/>
        </w:rPr>
        <w:t>КРМСФО 23 „Несигурност, свързана с данъчни третирания на данъци върху дохода“</w:t>
      </w:r>
      <w:r w:rsidRPr="00741D80">
        <w:rPr>
          <w:rFonts w:cstheme="minorHAnsi"/>
        </w:rPr>
        <w:t xml:space="preserve"> – (приет от ЕС на 23 октомври 2018 г., в сила за годишни периоди от 1 януари 2019 г.);</w:t>
      </w:r>
    </w:p>
    <w:p w14:paraId="6DE2B2EC" w14:textId="77777777" w:rsidR="0084445A" w:rsidRPr="00741D80" w:rsidRDefault="0084445A" w:rsidP="005B5648">
      <w:pPr>
        <w:spacing w:after="120" w:line="276" w:lineRule="auto"/>
        <w:jc w:val="both"/>
        <w:rPr>
          <w:rFonts w:cstheme="minorHAnsi"/>
        </w:rPr>
      </w:pPr>
      <w:r w:rsidRPr="00741D80">
        <w:rPr>
          <w:rFonts w:cstheme="minorHAnsi"/>
        </w:rPr>
        <w:t>Дават се насоки за прилагане на изискванията за признаване и оценяване на МСС 12 „Данъци върху дохода“, когато съществува несигурност, свързана с данъчни третирания на данъци върху дохода (т.е. несигурност дали избраното от предприятието данъчно третиране ще бъде прието от данъчните власти съгласно данъчното законодателство). Когато съществува несигурност, предприятието признава и оценява текущи или отсрочени данъчни пасиви или активи съгласно МСС 12 като определя облагаеми печалби, данъчни загуби, данъчни основи и ставки;</w:t>
      </w:r>
    </w:p>
    <w:p w14:paraId="2CF70ACA" w14:textId="77777777" w:rsidR="0084445A" w:rsidRPr="00741D80" w:rsidRDefault="0084445A" w:rsidP="005B5648">
      <w:pPr>
        <w:spacing w:after="120" w:line="276" w:lineRule="auto"/>
        <w:jc w:val="both"/>
        <w:rPr>
          <w:rFonts w:cstheme="minorHAnsi"/>
        </w:rPr>
      </w:pPr>
      <w:r w:rsidRPr="00741D80">
        <w:rPr>
          <w:rFonts w:cstheme="minorHAnsi"/>
        </w:rPr>
        <w:lastRenderedPageBreak/>
        <w:t>Изменения на различни стандарти „Подобрения в МСФО (цикъл 2015-2017)“ –(в сила за годишни периоди от 1 януари 2019 г., не е приет от ЕК);</w:t>
      </w:r>
    </w:p>
    <w:p w14:paraId="1C65A5F3" w14:textId="77777777" w:rsidR="0084445A" w:rsidRPr="00741D80" w:rsidRDefault="0084445A" w:rsidP="005B5648">
      <w:pPr>
        <w:spacing w:after="120" w:line="276" w:lineRule="auto"/>
        <w:jc w:val="both"/>
        <w:rPr>
          <w:rFonts w:cstheme="minorHAnsi"/>
        </w:rPr>
      </w:pPr>
      <w:bookmarkStart w:id="25" w:name="_Hlk535322821"/>
      <w:r w:rsidRPr="00741D80">
        <w:rPr>
          <w:rFonts w:cstheme="minorHAnsi"/>
          <w:b/>
          <w:bCs/>
        </w:rPr>
        <w:t>Изменения в МСС 19 „Доходи на наети лица”</w:t>
      </w:r>
      <w:r w:rsidRPr="00741D80">
        <w:rPr>
          <w:rFonts w:cstheme="minorHAnsi"/>
        </w:rPr>
        <w:t xml:space="preserve"> – Изменение, съкращаване или уреждане на плана – (в сила за годишни периоди от 1 януари 2019 г. не е приет от ЕК);</w:t>
      </w:r>
    </w:p>
    <w:bookmarkEnd w:id="25"/>
    <w:p w14:paraId="029C2875" w14:textId="77777777" w:rsidR="0084445A" w:rsidRPr="00741D80" w:rsidRDefault="0084445A" w:rsidP="005B5648">
      <w:pPr>
        <w:spacing w:after="120" w:line="276" w:lineRule="auto"/>
        <w:jc w:val="both"/>
        <w:rPr>
          <w:rFonts w:cstheme="minorHAnsi"/>
        </w:rPr>
      </w:pPr>
      <w:r w:rsidRPr="00741D80">
        <w:rPr>
          <w:rFonts w:cstheme="minorHAnsi"/>
        </w:rPr>
        <w:t>Изменението изисква от предприятията да използват актуализирани актюерски предположения за определяне на разходите за текущ стаж и нетната лихва за оставащия период от годишния отчетен период след извършването на промяна в плана, съкращение или уреждане.</w:t>
      </w:r>
    </w:p>
    <w:p w14:paraId="3BC8C76D" w14:textId="29A92A1A" w:rsidR="0084445A" w:rsidRPr="00741D80" w:rsidRDefault="0084445A" w:rsidP="005B5648">
      <w:pPr>
        <w:spacing w:after="120" w:line="276" w:lineRule="auto"/>
        <w:jc w:val="both"/>
        <w:rPr>
          <w:rFonts w:cstheme="minorHAnsi"/>
        </w:rPr>
      </w:pPr>
      <w:bookmarkStart w:id="26" w:name="_Hlk535322876"/>
      <w:r w:rsidRPr="00741D80">
        <w:rPr>
          <w:rFonts w:cstheme="minorHAnsi"/>
          <w:b/>
          <w:bCs/>
        </w:rPr>
        <w:t>Промени в Концептуалната рамка за финансово отчитане</w:t>
      </w:r>
      <w:r w:rsidR="00FD518A">
        <w:rPr>
          <w:rFonts w:cstheme="minorHAnsi"/>
        </w:rPr>
        <w:t xml:space="preserve"> </w:t>
      </w:r>
      <w:r w:rsidRPr="00741D80">
        <w:rPr>
          <w:rFonts w:cstheme="minorHAnsi"/>
        </w:rPr>
        <w:t>–</w:t>
      </w:r>
      <w:r w:rsidR="00FD518A">
        <w:rPr>
          <w:rFonts w:cstheme="minorHAnsi"/>
        </w:rPr>
        <w:t xml:space="preserve"> </w:t>
      </w:r>
      <w:r w:rsidRPr="00741D80">
        <w:rPr>
          <w:rFonts w:cstheme="minorHAnsi"/>
        </w:rPr>
        <w:t>(в сила за годишни периоди от 1 януари 2020 г.);</w:t>
      </w:r>
    </w:p>
    <w:bookmarkEnd w:id="26"/>
    <w:p w14:paraId="20977FE9" w14:textId="5B8948A1" w:rsidR="0084445A" w:rsidRPr="00741D80" w:rsidRDefault="0084445A" w:rsidP="005B5648">
      <w:pPr>
        <w:spacing w:after="120" w:line="276" w:lineRule="auto"/>
        <w:jc w:val="both"/>
        <w:rPr>
          <w:rFonts w:cstheme="minorHAnsi"/>
        </w:rPr>
      </w:pPr>
      <w:r w:rsidRPr="00741D80">
        <w:rPr>
          <w:rFonts w:cstheme="minorHAnsi"/>
          <w:b/>
          <w:bCs/>
        </w:rPr>
        <w:t>МСФО 17 „Застрахователни договори”</w:t>
      </w:r>
      <w:r w:rsidR="00FD518A">
        <w:rPr>
          <w:rFonts w:cstheme="minorHAnsi"/>
        </w:rPr>
        <w:t xml:space="preserve"> </w:t>
      </w:r>
      <w:r w:rsidRPr="00741D80">
        <w:rPr>
          <w:rFonts w:cstheme="minorHAnsi"/>
        </w:rPr>
        <w:t>–</w:t>
      </w:r>
      <w:r w:rsidR="00FD518A">
        <w:rPr>
          <w:rFonts w:cstheme="minorHAnsi"/>
        </w:rPr>
        <w:t xml:space="preserve"> </w:t>
      </w:r>
      <w:r w:rsidRPr="00741D80">
        <w:rPr>
          <w:rFonts w:cstheme="minorHAnsi"/>
        </w:rPr>
        <w:t>(в сила за годишни периоди, започващи на или след 1 януари 2021 г. не е приет от ЕК);</w:t>
      </w:r>
    </w:p>
    <w:p w14:paraId="6F12D9EB" w14:textId="77777777" w:rsidR="0084445A" w:rsidRPr="00741D80" w:rsidRDefault="0084445A" w:rsidP="005B5648">
      <w:pPr>
        <w:spacing w:after="120" w:line="276" w:lineRule="auto"/>
        <w:jc w:val="both"/>
        <w:rPr>
          <w:rFonts w:cstheme="minorHAnsi"/>
        </w:rPr>
      </w:pPr>
      <w:r w:rsidRPr="00741D80">
        <w:rPr>
          <w:rFonts w:cstheme="minorHAnsi"/>
        </w:rPr>
        <w:t xml:space="preserve">През май 2017 г. СМСС публикува МСФО 17 Застрахователни договори (МСФО 17), изчерпателен нов счетоводен стандарт за застрахователни договори, обхващащ признаването и оценяването, представянето и оповестяването. След влизането му в сила, МСФО 17 ще замени МСФО 4 Застрахователни договори (МСФО 4), който беше публикуван през 2005 г. МСФО 17 се прилага към всички видове застрахователни договори (т.е. животозастраховане, общо застраховане, пряко застраховане и презастраховане), независимо от вида на предприятията, които ги издават, както и по отношение на определени гаранции и финансови инструменти с допълнителен, негарантиран доход (участие по преценка). Ще се прилагат малко на брой изключения от обхвата. Общата цел на МСФО 17 е да осигури счетоводен модел на застрахователните договори, който е по-полезен и последователен за застрахователите. </w:t>
      </w:r>
    </w:p>
    <w:p w14:paraId="413F0921" w14:textId="6A5B6B39" w:rsidR="0084445A" w:rsidRPr="00741D80" w:rsidRDefault="0084445A" w:rsidP="005B5648">
      <w:pPr>
        <w:spacing w:after="120" w:line="276" w:lineRule="auto"/>
        <w:jc w:val="both"/>
        <w:rPr>
          <w:rFonts w:cstheme="minorHAnsi"/>
        </w:rPr>
      </w:pPr>
      <w:r w:rsidRPr="00741D80">
        <w:rPr>
          <w:rFonts w:cstheme="minorHAnsi"/>
        </w:rPr>
        <w:t>Изменение в МСС 28 „Инвестиции в асоциирани предприятия и в съвместно контролирани предприятия” –</w:t>
      </w:r>
      <w:r w:rsidR="00FD518A">
        <w:rPr>
          <w:rFonts w:cstheme="minorHAnsi"/>
        </w:rPr>
        <w:t xml:space="preserve"> </w:t>
      </w:r>
      <w:r w:rsidRPr="00741D80">
        <w:rPr>
          <w:rFonts w:cstheme="minorHAnsi"/>
        </w:rPr>
        <w:t xml:space="preserve">(в сила за годишни периоди, започващи на или след 1 </w:t>
      </w:r>
      <w:r w:rsidRPr="00741D80">
        <w:rPr>
          <w:rFonts w:cstheme="minorHAnsi"/>
          <w:color w:val="000000" w:themeColor="text1"/>
        </w:rPr>
        <w:t>януари 2019 г.</w:t>
      </w:r>
      <w:r w:rsidRPr="00741D80">
        <w:rPr>
          <w:rFonts w:cstheme="minorHAnsi"/>
        </w:rPr>
        <w:t xml:space="preserve"> не е приет от ЕК);</w:t>
      </w:r>
    </w:p>
    <w:p w14:paraId="2A4DFB1A" w14:textId="77777777" w:rsidR="0084445A" w:rsidRPr="00741D80" w:rsidRDefault="0084445A" w:rsidP="005B5648">
      <w:pPr>
        <w:spacing w:after="120" w:line="276" w:lineRule="auto"/>
        <w:jc w:val="both"/>
        <w:rPr>
          <w:rFonts w:cstheme="minorHAnsi"/>
        </w:rPr>
      </w:pPr>
      <w:r w:rsidRPr="00741D80">
        <w:rPr>
          <w:rFonts w:cstheme="minorHAnsi"/>
        </w:rPr>
        <w:t>Уточнява се, че предприятие прилага МСФО 9 при отчитане на дългосрочна инвестиция в асоциирано или в съвместно контролирано предприятие, която е част от нетната инвестиция в това асоциирано или съвместно контролирано предприятие и към която, обаче, не се прилага метода на собствения капитал.</w:t>
      </w:r>
    </w:p>
    <w:p w14:paraId="0CA6CC32" w14:textId="7570AD6A" w:rsidR="0084445A" w:rsidRPr="00741D80" w:rsidRDefault="0084445A" w:rsidP="005B5648">
      <w:pPr>
        <w:spacing w:after="120" w:line="276" w:lineRule="auto"/>
        <w:jc w:val="both"/>
        <w:rPr>
          <w:rFonts w:cstheme="minorHAnsi"/>
        </w:rPr>
      </w:pPr>
      <w:bookmarkStart w:id="27" w:name="_Hlk535322930"/>
      <w:r w:rsidRPr="00741D80">
        <w:rPr>
          <w:rFonts w:cstheme="minorHAnsi"/>
          <w:b/>
          <w:bCs/>
        </w:rPr>
        <w:t>Изменения в МСФО 3 “Бизнес комбинации“</w:t>
      </w:r>
      <w:r w:rsidRPr="00741D80">
        <w:rPr>
          <w:rFonts w:cstheme="minorHAnsi"/>
        </w:rPr>
        <w:t xml:space="preserve"> –</w:t>
      </w:r>
      <w:r w:rsidR="00FD518A">
        <w:rPr>
          <w:rFonts w:cstheme="minorHAnsi"/>
        </w:rPr>
        <w:t xml:space="preserve"> </w:t>
      </w:r>
      <w:r w:rsidRPr="00741D80">
        <w:rPr>
          <w:rFonts w:cstheme="minorHAnsi"/>
        </w:rPr>
        <w:t>(в сила за годишни периоди, започващи на или след 1 януари 2020 г. не е приет от ЕК);</w:t>
      </w:r>
    </w:p>
    <w:p w14:paraId="75F45308" w14:textId="77777777" w:rsidR="0084445A" w:rsidRPr="00741D80" w:rsidRDefault="0084445A" w:rsidP="005B5648">
      <w:pPr>
        <w:spacing w:after="120" w:line="276" w:lineRule="auto"/>
        <w:jc w:val="both"/>
        <w:rPr>
          <w:rFonts w:cstheme="minorHAnsi"/>
        </w:rPr>
      </w:pPr>
      <w:r w:rsidRPr="00741D80">
        <w:rPr>
          <w:rFonts w:cstheme="minorHAnsi"/>
        </w:rPr>
        <w:t>Изменения на МСС 1 „Представяне на финансови отчети“ и МСС 8 „Счетоводна политика, промени в счетоводните приблизителни оценки и грешки“ - (в сила за годишни периоди, започващи на или след 1 януари 2020 г. не е приет от ЕК);</w:t>
      </w:r>
    </w:p>
    <w:p w14:paraId="392254F0" w14:textId="77777777" w:rsidR="0084445A" w:rsidRPr="00741D80" w:rsidRDefault="0084445A" w:rsidP="005B5648">
      <w:pPr>
        <w:spacing w:after="120" w:line="276" w:lineRule="auto"/>
        <w:jc w:val="both"/>
        <w:rPr>
          <w:rFonts w:cstheme="minorHAnsi"/>
        </w:rPr>
      </w:pPr>
      <w:r w:rsidRPr="00741D80">
        <w:rPr>
          <w:rFonts w:cstheme="minorHAnsi"/>
        </w:rPr>
        <w:t>Междинните съкратени финансови отчети са изготвени на база историческата цена.</w:t>
      </w:r>
    </w:p>
    <w:p w14:paraId="75215EEA" w14:textId="77777777" w:rsidR="0084445A" w:rsidRPr="00741D80" w:rsidRDefault="0084445A" w:rsidP="005B5648">
      <w:pPr>
        <w:spacing w:after="120" w:line="276" w:lineRule="auto"/>
        <w:jc w:val="both"/>
        <w:rPr>
          <w:rFonts w:cstheme="minorHAnsi"/>
        </w:rPr>
      </w:pPr>
      <w:r w:rsidRPr="00741D80">
        <w:rPr>
          <w:rFonts w:cstheme="minorHAnsi"/>
        </w:rPr>
        <w:t>Дружеството води своите счетоводни регистри в български лев (BGN), който приема като негова отчетна валута за представяне. Данните в отчета и приложенията към него са представени в хиляди лева, освен ако нещо друго изрично не е указано.</w:t>
      </w:r>
    </w:p>
    <w:p w14:paraId="1C432E25" w14:textId="77777777" w:rsidR="0084445A" w:rsidRPr="00741D80" w:rsidRDefault="0084445A" w:rsidP="005B5648">
      <w:pPr>
        <w:spacing w:after="120" w:line="276" w:lineRule="auto"/>
        <w:jc w:val="both"/>
        <w:rPr>
          <w:rFonts w:cstheme="minorHAnsi"/>
        </w:rPr>
      </w:pPr>
      <w:r w:rsidRPr="00741D80">
        <w:rPr>
          <w:rFonts w:cstheme="minorHAnsi"/>
        </w:rPr>
        <w:t xml:space="preserve">Представянето на финансовия отчет съгласно Международните стандарти за финансово отчитане изисква ръководството да направи най-добри приблизителни оценки, начисления и разумно обосновани предположения, които оказват ефект върху отчетените стойности на активите и пасивите, на приходите и разходите, и на оповестяването на условни вземания и задължения към датата на отчета. Тези приблизителни оценки, начисления и предположения са основани на информацията, </w:t>
      </w:r>
      <w:r w:rsidRPr="00741D80">
        <w:rPr>
          <w:rFonts w:cstheme="minorHAnsi"/>
        </w:rPr>
        <w:lastRenderedPageBreak/>
        <w:t xml:space="preserve">която е налична към датата на финансовия отчет, поради което бъдещите фактически резултати биха могли да бъдат различни от тях (като в условия на финансова криза </w:t>
      </w:r>
      <w:proofErr w:type="spellStart"/>
      <w:r w:rsidRPr="00741D80">
        <w:rPr>
          <w:rFonts w:cstheme="minorHAnsi"/>
        </w:rPr>
        <w:t>несигурностите</w:t>
      </w:r>
      <w:proofErr w:type="spellEnd"/>
      <w:r w:rsidRPr="00741D80">
        <w:rPr>
          <w:rFonts w:cstheme="minorHAnsi"/>
        </w:rPr>
        <w:t xml:space="preserve"> са по-значителни). </w:t>
      </w:r>
    </w:p>
    <w:bookmarkEnd w:id="21"/>
    <w:p w14:paraId="584E1416" w14:textId="77777777" w:rsidR="0084445A" w:rsidRPr="00741D80" w:rsidRDefault="0084445A" w:rsidP="005B5648">
      <w:pPr>
        <w:spacing w:after="120" w:line="276" w:lineRule="auto"/>
        <w:jc w:val="both"/>
        <w:rPr>
          <w:rFonts w:cstheme="minorHAnsi"/>
        </w:rPr>
      </w:pPr>
      <w:r w:rsidRPr="00741D80">
        <w:rPr>
          <w:rFonts w:cstheme="minorHAnsi"/>
          <w:iCs/>
        </w:rPr>
        <w:t xml:space="preserve">При изготвянето на представения междинен съкратен индивидуален финансов отчет </w:t>
      </w:r>
      <w:r w:rsidRPr="00741D80">
        <w:rPr>
          <w:rFonts w:cstheme="minorHAnsi"/>
        </w:rPr>
        <w:t>значимите преценки на ръководството при прилагането на счетоводните политики на дружеството и основните източници на несигурност на счетоводните приблизителни оценки не се различават от тези, оповестени в годишния индивидуален финансов отчет на Дружеството към 31.12.2017 г., с изключение на изискванията на влезлите в сила през годината нови МСФО – очаквани кредитни загуби, оценка и признаване на приходите.</w:t>
      </w:r>
    </w:p>
    <w:p w14:paraId="4665773E" w14:textId="77777777" w:rsidR="0084445A" w:rsidRPr="00741D80" w:rsidRDefault="0084445A" w:rsidP="005B5648">
      <w:pPr>
        <w:spacing w:after="120" w:line="276" w:lineRule="auto"/>
        <w:jc w:val="both"/>
        <w:rPr>
          <w:rFonts w:cstheme="minorHAnsi"/>
        </w:rPr>
      </w:pPr>
      <w:r w:rsidRPr="00741D80">
        <w:rPr>
          <w:rFonts w:cstheme="minorHAnsi"/>
        </w:rPr>
        <w:t>За целите на представянето на настоящия междинен съкратен индивидуален финансов отчет са извършвани прегледи за обезценка на търговски и други вземания, преглед за обезценка до нетна реализуема стойност на материални запаси, преглед за обезценка на имоти, машини и съоръжения. Взето е решение за обезценка на вземане по цесия в размер на 607 х.</w:t>
      </w:r>
    </w:p>
    <w:p w14:paraId="3D9C6AE7" w14:textId="0DE5009B" w:rsidR="0084445A" w:rsidRPr="00CC5D05" w:rsidRDefault="0084445A" w:rsidP="005B5648">
      <w:pPr>
        <w:pStyle w:val="SubNumbers"/>
        <w:outlineLvl w:val="9"/>
      </w:pPr>
      <w:bookmarkStart w:id="28" w:name="_Toc418084343"/>
      <w:bookmarkEnd w:id="27"/>
      <w:r w:rsidRPr="00CC5D05">
        <w:t>Сравнителни данни</w:t>
      </w:r>
      <w:bookmarkEnd w:id="28"/>
      <w:r w:rsidRPr="00CC5D05">
        <w:t xml:space="preserve"> </w:t>
      </w:r>
    </w:p>
    <w:p w14:paraId="34BDF08B" w14:textId="77777777" w:rsidR="0084445A" w:rsidRPr="00741D80" w:rsidRDefault="0084445A" w:rsidP="00374D3C">
      <w:pPr>
        <w:jc w:val="both"/>
        <w:rPr>
          <w:rFonts w:cstheme="minorHAnsi"/>
        </w:rPr>
      </w:pPr>
      <w:r w:rsidRPr="00741D80">
        <w:rPr>
          <w:rFonts w:cstheme="minorHAnsi"/>
        </w:rPr>
        <w:t>Дружеството представя сравнителна информация в този междинен съкратен финансов отчет за една предходна година.</w:t>
      </w:r>
    </w:p>
    <w:p w14:paraId="75C1C90D" w14:textId="77777777" w:rsidR="0084445A" w:rsidRPr="00741D80" w:rsidRDefault="0084445A" w:rsidP="00374D3C">
      <w:pPr>
        <w:jc w:val="both"/>
        <w:rPr>
          <w:rFonts w:cstheme="minorHAnsi"/>
        </w:rPr>
      </w:pPr>
      <w:r w:rsidRPr="00741D80">
        <w:rPr>
          <w:rFonts w:cstheme="minorHAnsi"/>
        </w:rPr>
        <w:t xml:space="preserve">Когато е необходимо, сравнителните данни се </w:t>
      </w:r>
      <w:proofErr w:type="spellStart"/>
      <w:r w:rsidRPr="00741D80">
        <w:rPr>
          <w:rFonts w:cstheme="minorHAnsi"/>
        </w:rPr>
        <w:t>рекласифицират</w:t>
      </w:r>
      <w:proofErr w:type="spellEnd"/>
      <w:r w:rsidRPr="00741D80">
        <w:rPr>
          <w:rFonts w:cstheme="minorHAnsi"/>
        </w:rPr>
        <w:t>, за да се постигне съпоставимост спрямо промени в представянето в текущата година.</w:t>
      </w:r>
    </w:p>
    <w:p w14:paraId="264AFFA5" w14:textId="3E43BDF2" w:rsidR="0084445A" w:rsidRPr="00741D80" w:rsidRDefault="0084445A" w:rsidP="00374D3C">
      <w:pPr>
        <w:jc w:val="both"/>
        <w:rPr>
          <w:rFonts w:cstheme="minorHAnsi"/>
        </w:rPr>
      </w:pPr>
      <w:r w:rsidRPr="00741D80">
        <w:rPr>
          <w:rFonts w:cstheme="minorHAnsi"/>
        </w:rPr>
        <w:t>Влизащите в сила от 1 януари 2018 г.</w:t>
      </w:r>
      <w:r w:rsidR="00FD518A">
        <w:rPr>
          <w:rFonts w:cstheme="minorHAnsi"/>
        </w:rPr>
        <w:t xml:space="preserve"> </w:t>
      </w:r>
      <w:r w:rsidRPr="00741D80">
        <w:rPr>
          <w:rFonts w:cstheme="minorHAnsi"/>
        </w:rPr>
        <w:t>МСФО 15 „Приходи от договори с клиенти“ и МСФО 9 „Финансови инструменти“ разрешават модифицирано ретроспективно прилагане. Сравнителната информация в отчета за печалбата или загубата и другия всеобхватен доход и в отчета за финансовото състояние не се преизчислена и се представя според отменените стандарти МСС 18 „Приходи“, МСС 11 „Договори за строителство“, МСС 39 „Финансови инструменти: Признаване и оценяване“ и разясненията към тях.</w:t>
      </w:r>
    </w:p>
    <w:p w14:paraId="263E239A" w14:textId="77777777" w:rsidR="0084445A" w:rsidRPr="00741D80" w:rsidRDefault="0084445A" w:rsidP="00374D3C">
      <w:pPr>
        <w:jc w:val="both"/>
        <w:rPr>
          <w:rFonts w:cstheme="minorHAnsi"/>
        </w:rPr>
      </w:pPr>
      <w:r w:rsidRPr="00741D80">
        <w:rPr>
          <w:rFonts w:cstheme="minorHAnsi"/>
        </w:rPr>
        <w:t>В останалите елементи на годишния финансов отчет и съответстващите им пояснителни сведения, сравнителната информация се представя само към края на предходния отчетен период.</w:t>
      </w:r>
    </w:p>
    <w:p w14:paraId="38E88970" w14:textId="77777777" w:rsidR="0084445A" w:rsidRPr="00741D80" w:rsidRDefault="0084445A" w:rsidP="00374D3C">
      <w:pPr>
        <w:jc w:val="both"/>
        <w:rPr>
          <w:rFonts w:cstheme="minorHAnsi"/>
        </w:rPr>
      </w:pPr>
      <w:bookmarkStart w:id="29" w:name="_Toc418084369"/>
      <w:bookmarkStart w:id="30" w:name="_Toc439746809"/>
      <w:r w:rsidRPr="00741D80">
        <w:rPr>
          <w:rFonts w:cstheme="minorHAnsi"/>
        </w:rPr>
        <w:br w:type="page"/>
      </w:r>
    </w:p>
    <w:p w14:paraId="4BED53E5" w14:textId="77777777" w:rsidR="0084445A" w:rsidRPr="00741D80" w:rsidRDefault="0084445A" w:rsidP="00833465">
      <w:pPr>
        <w:pStyle w:val="Mainnumbers"/>
      </w:pPr>
      <w:bookmarkStart w:id="31" w:name="_Toc536452009"/>
      <w:r w:rsidRPr="00741D80">
        <w:lastRenderedPageBreak/>
        <w:t>ПРИХОДИ</w:t>
      </w:r>
      <w:bookmarkEnd w:id="29"/>
      <w:r w:rsidRPr="00741D80">
        <w:t xml:space="preserve"> ОТ ДОГОВОРИ С КЛИЕНТИ</w:t>
      </w:r>
      <w:bookmarkEnd w:id="31"/>
    </w:p>
    <w:tbl>
      <w:tblPr>
        <w:tblW w:w="5000" w:type="pct"/>
        <w:jc w:val="center"/>
        <w:tblLook w:val="04A0" w:firstRow="1" w:lastRow="0" w:firstColumn="1" w:lastColumn="0" w:noHBand="0" w:noVBand="1"/>
      </w:tblPr>
      <w:tblGrid>
        <w:gridCol w:w="6073"/>
        <w:gridCol w:w="1768"/>
        <w:gridCol w:w="1797"/>
      </w:tblGrid>
      <w:tr w:rsidR="0084445A" w:rsidRPr="00833465" w14:paraId="3590BA3D" w14:textId="77777777" w:rsidTr="00833465">
        <w:trPr>
          <w:trHeight w:val="170"/>
          <w:jc w:val="center"/>
        </w:trPr>
        <w:tc>
          <w:tcPr>
            <w:tcW w:w="3151" w:type="pct"/>
            <w:tcBorders>
              <w:top w:val="nil"/>
              <w:left w:val="nil"/>
              <w:bottom w:val="nil"/>
              <w:right w:val="nil"/>
            </w:tcBorders>
            <w:shd w:val="clear" w:color="auto" w:fill="auto"/>
            <w:tcMar>
              <w:left w:w="57" w:type="dxa"/>
              <w:right w:w="57" w:type="dxa"/>
            </w:tcMar>
            <w:vAlign w:val="bottom"/>
            <w:hideMark/>
          </w:tcPr>
          <w:p w14:paraId="6AB85999" w14:textId="77777777" w:rsidR="0084445A" w:rsidRPr="00833465" w:rsidRDefault="0084445A" w:rsidP="005B5648">
            <w:pPr>
              <w:spacing w:after="0" w:line="240" w:lineRule="auto"/>
              <w:rPr>
                <w:rFonts w:cstheme="minorHAnsi"/>
              </w:rPr>
            </w:pPr>
            <w:r w:rsidRPr="00833465">
              <w:rPr>
                <w:rFonts w:cstheme="minorHAnsi"/>
              </w:rPr>
              <w:t>Приходите от услуги включват:</w:t>
            </w:r>
          </w:p>
        </w:tc>
        <w:tc>
          <w:tcPr>
            <w:tcW w:w="917" w:type="pct"/>
            <w:tcBorders>
              <w:top w:val="nil"/>
              <w:left w:val="nil"/>
              <w:bottom w:val="nil"/>
              <w:right w:val="nil"/>
            </w:tcBorders>
            <w:shd w:val="clear" w:color="auto" w:fill="auto"/>
            <w:tcMar>
              <w:left w:w="57" w:type="dxa"/>
              <w:right w:w="57" w:type="dxa"/>
            </w:tcMar>
            <w:vAlign w:val="bottom"/>
            <w:hideMark/>
          </w:tcPr>
          <w:p w14:paraId="3D522184" w14:textId="77777777" w:rsidR="0084445A" w:rsidRPr="00833465" w:rsidRDefault="0084445A" w:rsidP="005B5648">
            <w:pPr>
              <w:pStyle w:val="a1"/>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31.12</w:t>
            </w:r>
            <w:r w:rsidRPr="00833465">
              <w:rPr>
                <w:rFonts w:asciiTheme="minorHAnsi" w:hAnsiTheme="minorHAnsi" w:cstheme="minorHAnsi"/>
                <w:color w:val="auto"/>
                <w:sz w:val="22"/>
                <w:szCs w:val="22"/>
              </w:rPr>
              <w:t>.</w:t>
            </w:r>
            <w:r w:rsidRPr="00833465">
              <w:rPr>
                <w:rFonts w:asciiTheme="minorHAnsi" w:hAnsiTheme="minorHAnsi" w:cstheme="minorHAnsi"/>
                <w:color w:val="auto"/>
                <w:sz w:val="22"/>
                <w:szCs w:val="22"/>
                <w:lang w:val="bg-BG"/>
              </w:rPr>
              <w:t>2018</w:t>
            </w:r>
          </w:p>
        </w:tc>
        <w:tc>
          <w:tcPr>
            <w:tcW w:w="932" w:type="pct"/>
            <w:tcBorders>
              <w:top w:val="nil"/>
              <w:left w:val="nil"/>
              <w:bottom w:val="nil"/>
              <w:right w:val="nil"/>
            </w:tcBorders>
            <w:shd w:val="clear" w:color="auto" w:fill="auto"/>
            <w:tcMar>
              <w:left w:w="57" w:type="dxa"/>
              <w:right w:w="57" w:type="dxa"/>
            </w:tcMar>
            <w:vAlign w:val="bottom"/>
            <w:hideMark/>
          </w:tcPr>
          <w:p w14:paraId="12DCA41D" w14:textId="77777777" w:rsidR="0084445A" w:rsidRPr="00833465" w:rsidRDefault="0084445A" w:rsidP="005B5648">
            <w:pPr>
              <w:pStyle w:val="a1"/>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31</w:t>
            </w:r>
            <w:r w:rsidRPr="00833465">
              <w:rPr>
                <w:rFonts w:asciiTheme="minorHAnsi" w:hAnsiTheme="minorHAnsi" w:cstheme="minorHAnsi"/>
                <w:color w:val="auto"/>
                <w:sz w:val="22"/>
                <w:szCs w:val="22"/>
              </w:rPr>
              <w:t>.</w:t>
            </w:r>
            <w:r w:rsidRPr="00833465">
              <w:rPr>
                <w:rFonts w:asciiTheme="minorHAnsi" w:hAnsiTheme="minorHAnsi" w:cstheme="minorHAnsi"/>
                <w:color w:val="auto"/>
                <w:sz w:val="22"/>
                <w:szCs w:val="22"/>
                <w:lang w:val="bg-BG"/>
              </w:rPr>
              <w:t>12.2017</w:t>
            </w:r>
          </w:p>
        </w:tc>
      </w:tr>
      <w:tr w:rsidR="0084445A" w:rsidRPr="00833465" w14:paraId="658E994B" w14:textId="77777777" w:rsidTr="00833465">
        <w:trPr>
          <w:trHeight w:val="170"/>
          <w:jc w:val="center"/>
        </w:trPr>
        <w:tc>
          <w:tcPr>
            <w:tcW w:w="3151" w:type="pct"/>
            <w:tcBorders>
              <w:top w:val="nil"/>
              <w:left w:val="nil"/>
              <w:bottom w:val="nil"/>
              <w:right w:val="nil"/>
            </w:tcBorders>
            <w:shd w:val="clear" w:color="auto" w:fill="auto"/>
            <w:tcMar>
              <w:left w:w="57" w:type="dxa"/>
              <w:right w:w="57" w:type="dxa"/>
            </w:tcMar>
            <w:vAlign w:val="bottom"/>
            <w:hideMark/>
          </w:tcPr>
          <w:p w14:paraId="0C457780" w14:textId="77777777" w:rsidR="0084445A" w:rsidRPr="00833465" w:rsidRDefault="0084445A" w:rsidP="005B5648">
            <w:pPr>
              <w:pStyle w:val="a1"/>
              <w:rPr>
                <w:rFonts w:asciiTheme="minorHAnsi" w:hAnsiTheme="minorHAnsi" w:cstheme="minorHAnsi"/>
                <w:color w:val="auto"/>
                <w:sz w:val="22"/>
                <w:szCs w:val="22"/>
                <w:lang w:val="bg-BG"/>
              </w:rPr>
            </w:pPr>
          </w:p>
        </w:tc>
        <w:tc>
          <w:tcPr>
            <w:tcW w:w="917" w:type="pct"/>
            <w:tcBorders>
              <w:top w:val="nil"/>
              <w:left w:val="nil"/>
              <w:bottom w:val="nil"/>
              <w:right w:val="nil"/>
            </w:tcBorders>
            <w:shd w:val="clear" w:color="auto" w:fill="auto"/>
            <w:noWrap/>
            <w:tcMar>
              <w:left w:w="57" w:type="dxa"/>
              <w:right w:w="57" w:type="dxa"/>
            </w:tcMar>
            <w:hideMark/>
          </w:tcPr>
          <w:p w14:paraId="60062BF6" w14:textId="77777777" w:rsidR="0084445A" w:rsidRPr="00833465" w:rsidRDefault="0084445A" w:rsidP="005B5648">
            <w:pPr>
              <w:pStyle w:val="a1"/>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BGN'000</w:t>
            </w:r>
          </w:p>
        </w:tc>
        <w:tc>
          <w:tcPr>
            <w:tcW w:w="932" w:type="pct"/>
            <w:tcBorders>
              <w:top w:val="nil"/>
              <w:left w:val="nil"/>
              <w:bottom w:val="nil"/>
              <w:right w:val="nil"/>
            </w:tcBorders>
            <w:shd w:val="clear" w:color="auto" w:fill="auto"/>
            <w:noWrap/>
            <w:tcMar>
              <w:left w:w="57" w:type="dxa"/>
              <w:right w:w="57" w:type="dxa"/>
            </w:tcMar>
            <w:hideMark/>
          </w:tcPr>
          <w:p w14:paraId="67D15AA0" w14:textId="77777777" w:rsidR="0084445A" w:rsidRPr="00833465" w:rsidRDefault="0084445A" w:rsidP="005B5648">
            <w:pPr>
              <w:pStyle w:val="a1"/>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BGN'000</w:t>
            </w:r>
          </w:p>
        </w:tc>
      </w:tr>
      <w:tr w:rsidR="0084445A" w:rsidRPr="00833465" w14:paraId="720F1B8C" w14:textId="77777777" w:rsidTr="00833465">
        <w:trPr>
          <w:trHeight w:val="170"/>
          <w:jc w:val="center"/>
        </w:trPr>
        <w:tc>
          <w:tcPr>
            <w:tcW w:w="3151" w:type="pct"/>
            <w:tcBorders>
              <w:top w:val="nil"/>
              <w:left w:val="nil"/>
              <w:bottom w:val="nil"/>
              <w:right w:val="nil"/>
            </w:tcBorders>
            <w:shd w:val="clear" w:color="auto" w:fill="auto"/>
            <w:tcMar>
              <w:left w:w="57" w:type="dxa"/>
              <w:right w:w="57" w:type="dxa"/>
            </w:tcMar>
            <w:vAlign w:val="bottom"/>
            <w:hideMark/>
          </w:tcPr>
          <w:p w14:paraId="2A9BC50A" w14:textId="77777777" w:rsidR="0084445A" w:rsidRPr="00833465" w:rsidRDefault="0084445A" w:rsidP="005B5648">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Комисиони за сделки на Борсата</w:t>
            </w:r>
          </w:p>
        </w:tc>
        <w:tc>
          <w:tcPr>
            <w:tcW w:w="917" w:type="pct"/>
            <w:tcBorders>
              <w:top w:val="nil"/>
              <w:left w:val="nil"/>
              <w:bottom w:val="nil"/>
              <w:right w:val="nil"/>
            </w:tcBorders>
            <w:shd w:val="clear" w:color="auto" w:fill="auto"/>
            <w:tcMar>
              <w:left w:w="57" w:type="dxa"/>
              <w:right w:w="57" w:type="dxa"/>
            </w:tcMar>
            <w:vAlign w:val="bottom"/>
            <w:hideMark/>
          </w:tcPr>
          <w:p w14:paraId="34E2CE99" w14:textId="77777777" w:rsidR="0084445A" w:rsidRPr="00833465" w:rsidRDefault="0084445A" w:rsidP="005B5648">
            <w:pPr>
              <w:pStyle w:val="a0"/>
              <w:widowControl w:val="0"/>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678 </w:t>
            </w:r>
          </w:p>
        </w:tc>
        <w:tc>
          <w:tcPr>
            <w:tcW w:w="932" w:type="pct"/>
            <w:tcBorders>
              <w:top w:val="nil"/>
              <w:left w:val="nil"/>
              <w:bottom w:val="nil"/>
              <w:right w:val="nil"/>
            </w:tcBorders>
            <w:shd w:val="clear" w:color="auto" w:fill="auto"/>
            <w:tcMar>
              <w:left w:w="57" w:type="dxa"/>
              <w:right w:w="57" w:type="dxa"/>
            </w:tcMar>
            <w:vAlign w:val="bottom"/>
            <w:hideMark/>
          </w:tcPr>
          <w:p w14:paraId="7C1CA5BC" w14:textId="77777777" w:rsidR="0084445A" w:rsidRPr="00833465" w:rsidRDefault="0084445A" w:rsidP="005B5648">
            <w:pPr>
              <w:pStyle w:val="a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lang w:val="bg-BG"/>
              </w:rPr>
              <w:t>984</w:t>
            </w:r>
            <w:r w:rsidRPr="00833465">
              <w:rPr>
                <w:rFonts w:asciiTheme="minorHAnsi" w:hAnsiTheme="minorHAnsi" w:cstheme="minorHAnsi"/>
                <w:sz w:val="22"/>
                <w:szCs w:val="22"/>
              </w:rPr>
              <w:t xml:space="preserve"> </w:t>
            </w:r>
          </w:p>
        </w:tc>
      </w:tr>
      <w:tr w:rsidR="0084445A" w:rsidRPr="00833465" w14:paraId="08C6BEB3" w14:textId="77777777" w:rsidTr="00833465">
        <w:trPr>
          <w:trHeight w:val="170"/>
          <w:jc w:val="center"/>
        </w:trPr>
        <w:tc>
          <w:tcPr>
            <w:tcW w:w="3151" w:type="pct"/>
            <w:tcBorders>
              <w:top w:val="nil"/>
              <w:left w:val="nil"/>
              <w:bottom w:val="nil"/>
              <w:right w:val="nil"/>
            </w:tcBorders>
            <w:shd w:val="clear" w:color="auto" w:fill="auto"/>
            <w:tcMar>
              <w:left w:w="57" w:type="dxa"/>
              <w:right w:w="57" w:type="dxa"/>
            </w:tcMar>
            <w:vAlign w:val="bottom"/>
            <w:hideMark/>
          </w:tcPr>
          <w:p w14:paraId="48A0CC9C" w14:textId="77777777" w:rsidR="0084445A" w:rsidRPr="00833465" w:rsidRDefault="0084445A" w:rsidP="005B5648">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 xml:space="preserve">Такси за регистрация на дружества </w:t>
            </w:r>
          </w:p>
        </w:tc>
        <w:tc>
          <w:tcPr>
            <w:tcW w:w="917" w:type="pct"/>
            <w:tcBorders>
              <w:top w:val="nil"/>
              <w:left w:val="nil"/>
              <w:bottom w:val="nil"/>
              <w:right w:val="nil"/>
            </w:tcBorders>
            <w:shd w:val="clear" w:color="auto" w:fill="auto"/>
            <w:tcMar>
              <w:left w:w="57" w:type="dxa"/>
              <w:right w:w="57" w:type="dxa"/>
            </w:tcMar>
            <w:vAlign w:val="bottom"/>
            <w:hideMark/>
          </w:tcPr>
          <w:p w14:paraId="5BD65529" w14:textId="77777777" w:rsidR="0084445A" w:rsidRPr="00833465" w:rsidRDefault="0084445A" w:rsidP="005B5648">
            <w:pPr>
              <w:pStyle w:val="a0"/>
              <w:widowControl w:val="0"/>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498 </w:t>
            </w:r>
          </w:p>
        </w:tc>
        <w:tc>
          <w:tcPr>
            <w:tcW w:w="932" w:type="pct"/>
            <w:tcBorders>
              <w:top w:val="nil"/>
              <w:left w:val="nil"/>
              <w:bottom w:val="nil"/>
              <w:right w:val="nil"/>
            </w:tcBorders>
            <w:shd w:val="clear" w:color="auto" w:fill="auto"/>
            <w:tcMar>
              <w:left w:w="57" w:type="dxa"/>
              <w:right w:w="57" w:type="dxa"/>
            </w:tcMar>
            <w:vAlign w:val="bottom"/>
            <w:hideMark/>
          </w:tcPr>
          <w:p w14:paraId="488DF397" w14:textId="77777777" w:rsidR="0084445A" w:rsidRPr="00833465" w:rsidRDefault="0084445A" w:rsidP="005B5648">
            <w:pPr>
              <w:pStyle w:val="a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lang w:val="bg-BG"/>
              </w:rPr>
              <w:t>517</w:t>
            </w:r>
            <w:r w:rsidRPr="00833465">
              <w:rPr>
                <w:rFonts w:asciiTheme="minorHAnsi" w:hAnsiTheme="minorHAnsi" w:cstheme="minorHAnsi"/>
                <w:sz w:val="22"/>
                <w:szCs w:val="22"/>
              </w:rPr>
              <w:t xml:space="preserve"> </w:t>
            </w:r>
          </w:p>
        </w:tc>
      </w:tr>
      <w:tr w:rsidR="0084445A" w:rsidRPr="00833465" w14:paraId="78A56841" w14:textId="77777777" w:rsidTr="00833465">
        <w:trPr>
          <w:trHeight w:val="170"/>
          <w:jc w:val="center"/>
        </w:trPr>
        <w:tc>
          <w:tcPr>
            <w:tcW w:w="3151" w:type="pct"/>
            <w:tcBorders>
              <w:top w:val="nil"/>
              <w:left w:val="nil"/>
              <w:bottom w:val="nil"/>
              <w:right w:val="nil"/>
            </w:tcBorders>
            <w:shd w:val="clear" w:color="auto" w:fill="auto"/>
            <w:tcMar>
              <w:left w:w="57" w:type="dxa"/>
              <w:right w:w="57" w:type="dxa"/>
            </w:tcMar>
            <w:vAlign w:val="bottom"/>
            <w:hideMark/>
          </w:tcPr>
          <w:p w14:paraId="4B8EA082" w14:textId="77777777" w:rsidR="0084445A" w:rsidRPr="00833465" w:rsidRDefault="0084445A" w:rsidP="005B5648">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Такси за информационно обслужване</w:t>
            </w:r>
          </w:p>
        </w:tc>
        <w:tc>
          <w:tcPr>
            <w:tcW w:w="917" w:type="pct"/>
            <w:tcBorders>
              <w:top w:val="nil"/>
              <w:left w:val="nil"/>
              <w:bottom w:val="nil"/>
              <w:right w:val="nil"/>
            </w:tcBorders>
            <w:shd w:val="clear" w:color="auto" w:fill="auto"/>
            <w:tcMar>
              <w:left w:w="57" w:type="dxa"/>
              <w:right w:w="57" w:type="dxa"/>
            </w:tcMar>
            <w:vAlign w:val="bottom"/>
            <w:hideMark/>
          </w:tcPr>
          <w:p w14:paraId="39B08001" w14:textId="77777777" w:rsidR="0084445A" w:rsidRPr="00833465" w:rsidRDefault="0084445A" w:rsidP="005B5648">
            <w:pPr>
              <w:pStyle w:val="a0"/>
              <w:widowControl w:val="0"/>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508 </w:t>
            </w:r>
          </w:p>
        </w:tc>
        <w:tc>
          <w:tcPr>
            <w:tcW w:w="932" w:type="pct"/>
            <w:tcBorders>
              <w:top w:val="nil"/>
              <w:left w:val="nil"/>
              <w:bottom w:val="nil"/>
              <w:right w:val="nil"/>
            </w:tcBorders>
            <w:shd w:val="clear" w:color="auto" w:fill="auto"/>
            <w:tcMar>
              <w:left w:w="57" w:type="dxa"/>
              <w:right w:w="57" w:type="dxa"/>
            </w:tcMar>
            <w:vAlign w:val="bottom"/>
            <w:hideMark/>
          </w:tcPr>
          <w:p w14:paraId="432B8BF7" w14:textId="77777777" w:rsidR="0084445A" w:rsidRPr="00833465" w:rsidRDefault="0084445A" w:rsidP="005B5648">
            <w:pPr>
              <w:pStyle w:val="a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lang w:val="bg-BG"/>
              </w:rPr>
              <w:t>411</w:t>
            </w:r>
          </w:p>
        </w:tc>
      </w:tr>
      <w:tr w:rsidR="0084445A" w:rsidRPr="00833465" w14:paraId="1966911C" w14:textId="77777777" w:rsidTr="00833465">
        <w:trPr>
          <w:trHeight w:val="170"/>
          <w:jc w:val="center"/>
        </w:trPr>
        <w:tc>
          <w:tcPr>
            <w:tcW w:w="3151" w:type="pct"/>
            <w:tcBorders>
              <w:top w:val="nil"/>
              <w:left w:val="nil"/>
              <w:bottom w:val="nil"/>
              <w:right w:val="nil"/>
            </w:tcBorders>
            <w:shd w:val="clear" w:color="auto" w:fill="auto"/>
            <w:tcMar>
              <w:left w:w="57" w:type="dxa"/>
              <w:right w:w="57" w:type="dxa"/>
            </w:tcMar>
            <w:vAlign w:val="bottom"/>
            <w:hideMark/>
          </w:tcPr>
          <w:p w14:paraId="7C9D8A88" w14:textId="77777777" w:rsidR="0084445A" w:rsidRPr="00833465" w:rsidRDefault="0084445A" w:rsidP="005B5648">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Такси за членство</w:t>
            </w:r>
          </w:p>
        </w:tc>
        <w:tc>
          <w:tcPr>
            <w:tcW w:w="917" w:type="pct"/>
            <w:tcBorders>
              <w:top w:val="nil"/>
              <w:left w:val="nil"/>
              <w:bottom w:val="nil"/>
              <w:right w:val="nil"/>
            </w:tcBorders>
            <w:shd w:val="clear" w:color="auto" w:fill="auto"/>
            <w:tcMar>
              <w:left w:w="57" w:type="dxa"/>
              <w:right w:w="57" w:type="dxa"/>
            </w:tcMar>
            <w:vAlign w:val="bottom"/>
            <w:hideMark/>
          </w:tcPr>
          <w:p w14:paraId="42D88C9A" w14:textId="77777777" w:rsidR="0084445A" w:rsidRPr="00833465" w:rsidRDefault="0084445A" w:rsidP="005B5648">
            <w:pPr>
              <w:pStyle w:val="a0"/>
              <w:widowControl w:val="0"/>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121 </w:t>
            </w:r>
          </w:p>
        </w:tc>
        <w:tc>
          <w:tcPr>
            <w:tcW w:w="932" w:type="pct"/>
            <w:tcBorders>
              <w:top w:val="nil"/>
              <w:left w:val="nil"/>
              <w:bottom w:val="nil"/>
              <w:right w:val="nil"/>
            </w:tcBorders>
            <w:shd w:val="clear" w:color="auto" w:fill="auto"/>
            <w:tcMar>
              <w:left w:w="57" w:type="dxa"/>
              <w:right w:w="57" w:type="dxa"/>
            </w:tcMar>
            <w:vAlign w:val="bottom"/>
            <w:hideMark/>
          </w:tcPr>
          <w:p w14:paraId="0896B9E7" w14:textId="77777777" w:rsidR="0084445A" w:rsidRPr="00833465" w:rsidRDefault="0084445A" w:rsidP="005B5648">
            <w:pPr>
              <w:pStyle w:val="a0"/>
              <w:widowControl w:val="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lang w:val="bg-BG"/>
              </w:rPr>
              <w:t>123</w:t>
            </w:r>
            <w:r w:rsidRPr="00833465">
              <w:rPr>
                <w:rFonts w:asciiTheme="minorHAnsi" w:hAnsiTheme="minorHAnsi" w:cstheme="minorHAnsi"/>
                <w:sz w:val="22"/>
                <w:szCs w:val="22"/>
              </w:rPr>
              <w:t xml:space="preserve"> </w:t>
            </w:r>
          </w:p>
        </w:tc>
      </w:tr>
      <w:tr w:rsidR="0084445A" w:rsidRPr="00833465" w14:paraId="4812F7EC" w14:textId="77777777" w:rsidTr="00833465">
        <w:trPr>
          <w:trHeight w:val="170"/>
          <w:jc w:val="center"/>
        </w:trPr>
        <w:tc>
          <w:tcPr>
            <w:tcW w:w="3151" w:type="pct"/>
            <w:tcBorders>
              <w:top w:val="nil"/>
              <w:left w:val="nil"/>
              <w:bottom w:val="nil"/>
              <w:right w:val="nil"/>
            </w:tcBorders>
            <w:shd w:val="clear" w:color="auto" w:fill="auto"/>
            <w:tcMar>
              <w:left w:w="57" w:type="dxa"/>
              <w:right w:w="57" w:type="dxa"/>
            </w:tcMar>
            <w:vAlign w:val="bottom"/>
            <w:hideMark/>
          </w:tcPr>
          <w:p w14:paraId="0ED9AFDF" w14:textId="77777777" w:rsidR="0084445A" w:rsidRPr="00833465" w:rsidRDefault="0084445A" w:rsidP="005B5648">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Такси за промяна на параметри на емисии</w:t>
            </w:r>
          </w:p>
        </w:tc>
        <w:tc>
          <w:tcPr>
            <w:tcW w:w="917" w:type="pct"/>
            <w:tcBorders>
              <w:top w:val="nil"/>
              <w:left w:val="nil"/>
              <w:bottom w:val="nil"/>
              <w:right w:val="nil"/>
            </w:tcBorders>
            <w:shd w:val="clear" w:color="auto" w:fill="auto"/>
            <w:tcMar>
              <w:left w:w="57" w:type="dxa"/>
              <w:right w:w="57" w:type="dxa"/>
            </w:tcMar>
            <w:vAlign w:val="bottom"/>
            <w:hideMark/>
          </w:tcPr>
          <w:p w14:paraId="503CC98A" w14:textId="77777777" w:rsidR="0084445A" w:rsidRPr="00833465" w:rsidRDefault="0084445A" w:rsidP="005B5648">
            <w:pPr>
              <w:pStyle w:val="a0"/>
              <w:widowControl w:val="0"/>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22 </w:t>
            </w:r>
          </w:p>
        </w:tc>
        <w:tc>
          <w:tcPr>
            <w:tcW w:w="932" w:type="pct"/>
            <w:tcBorders>
              <w:top w:val="nil"/>
              <w:left w:val="nil"/>
              <w:bottom w:val="nil"/>
              <w:right w:val="nil"/>
            </w:tcBorders>
            <w:shd w:val="clear" w:color="auto" w:fill="auto"/>
            <w:tcMar>
              <w:left w:w="57" w:type="dxa"/>
              <w:right w:w="57" w:type="dxa"/>
            </w:tcMar>
            <w:vAlign w:val="bottom"/>
            <w:hideMark/>
          </w:tcPr>
          <w:p w14:paraId="470C9091" w14:textId="77777777" w:rsidR="0084445A" w:rsidRPr="00833465" w:rsidRDefault="0084445A" w:rsidP="005B5648">
            <w:pPr>
              <w:pStyle w:val="a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lang w:val="bg-BG"/>
              </w:rPr>
              <w:t>18</w:t>
            </w:r>
            <w:r w:rsidRPr="00833465">
              <w:rPr>
                <w:rFonts w:asciiTheme="minorHAnsi" w:hAnsiTheme="minorHAnsi" w:cstheme="minorHAnsi"/>
                <w:sz w:val="22"/>
                <w:szCs w:val="22"/>
              </w:rPr>
              <w:t xml:space="preserve"> </w:t>
            </w:r>
          </w:p>
        </w:tc>
      </w:tr>
      <w:tr w:rsidR="0084445A" w:rsidRPr="00833465" w14:paraId="78EBDF08" w14:textId="77777777" w:rsidTr="00833465">
        <w:trPr>
          <w:trHeight w:val="170"/>
          <w:jc w:val="center"/>
        </w:trPr>
        <w:tc>
          <w:tcPr>
            <w:tcW w:w="3151" w:type="pct"/>
            <w:tcBorders>
              <w:top w:val="nil"/>
              <w:left w:val="nil"/>
              <w:bottom w:val="nil"/>
              <w:right w:val="nil"/>
            </w:tcBorders>
            <w:shd w:val="clear" w:color="auto" w:fill="auto"/>
            <w:noWrap/>
            <w:tcMar>
              <w:left w:w="57" w:type="dxa"/>
              <w:right w:w="57" w:type="dxa"/>
            </w:tcMar>
            <w:vAlign w:val="bottom"/>
            <w:hideMark/>
          </w:tcPr>
          <w:p w14:paraId="1ABDEC22" w14:textId="77777777" w:rsidR="0084445A" w:rsidRPr="00833465" w:rsidRDefault="0084445A" w:rsidP="005B5648">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 xml:space="preserve">Такси за поддържане </w:t>
            </w:r>
            <w:proofErr w:type="spellStart"/>
            <w:r w:rsidRPr="00833465">
              <w:rPr>
                <w:rFonts w:asciiTheme="minorHAnsi" w:hAnsiTheme="minorHAnsi" w:cstheme="minorHAnsi"/>
                <w:color w:val="auto"/>
                <w:sz w:val="22"/>
                <w:szCs w:val="22"/>
                <w:lang w:val="bg-BG"/>
              </w:rPr>
              <w:t>неприсъствeни</w:t>
            </w:r>
            <w:proofErr w:type="spellEnd"/>
            <w:r w:rsidRPr="00833465">
              <w:rPr>
                <w:rFonts w:asciiTheme="minorHAnsi" w:hAnsiTheme="minorHAnsi" w:cstheme="minorHAnsi"/>
                <w:color w:val="auto"/>
                <w:sz w:val="22"/>
                <w:szCs w:val="22"/>
                <w:lang w:val="bg-BG"/>
              </w:rPr>
              <w:t xml:space="preserve"> работни станции </w:t>
            </w:r>
          </w:p>
        </w:tc>
        <w:tc>
          <w:tcPr>
            <w:tcW w:w="917" w:type="pct"/>
            <w:tcBorders>
              <w:top w:val="nil"/>
              <w:left w:val="nil"/>
              <w:bottom w:val="nil"/>
              <w:right w:val="nil"/>
            </w:tcBorders>
            <w:shd w:val="clear" w:color="auto" w:fill="auto"/>
            <w:tcMar>
              <w:left w:w="57" w:type="dxa"/>
              <w:right w:w="57" w:type="dxa"/>
            </w:tcMar>
            <w:vAlign w:val="bottom"/>
            <w:hideMark/>
          </w:tcPr>
          <w:p w14:paraId="03188E33" w14:textId="77777777" w:rsidR="0084445A" w:rsidRPr="00833465" w:rsidRDefault="0084445A" w:rsidP="005B5648">
            <w:pPr>
              <w:pStyle w:val="a0"/>
              <w:widowControl w:val="0"/>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26 </w:t>
            </w:r>
          </w:p>
        </w:tc>
        <w:tc>
          <w:tcPr>
            <w:tcW w:w="932" w:type="pct"/>
            <w:tcBorders>
              <w:top w:val="nil"/>
              <w:left w:val="nil"/>
              <w:bottom w:val="nil"/>
              <w:right w:val="nil"/>
            </w:tcBorders>
            <w:shd w:val="clear" w:color="auto" w:fill="auto"/>
            <w:tcMar>
              <w:left w:w="57" w:type="dxa"/>
              <w:right w:w="57" w:type="dxa"/>
            </w:tcMar>
            <w:vAlign w:val="bottom"/>
            <w:hideMark/>
          </w:tcPr>
          <w:p w14:paraId="6013F6B1" w14:textId="77777777" w:rsidR="0084445A" w:rsidRPr="00833465" w:rsidRDefault="0084445A" w:rsidP="005B5648">
            <w:pPr>
              <w:pStyle w:val="a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lang w:val="bg-BG"/>
              </w:rPr>
              <w:t>26</w:t>
            </w:r>
            <w:r w:rsidRPr="00833465">
              <w:rPr>
                <w:rFonts w:asciiTheme="minorHAnsi" w:hAnsiTheme="minorHAnsi" w:cstheme="minorHAnsi"/>
                <w:sz w:val="22"/>
                <w:szCs w:val="22"/>
              </w:rPr>
              <w:t xml:space="preserve"> </w:t>
            </w:r>
          </w:p>
        </w:tc>
      </w:tr>
      <w:tr w:rsidR="0084445A" w:rsidRPr="00833465" w14:paraId="3B208754" w14:textId="77777777" w:rsidTr="00833465">
        <w:trPr>
          <w:trHeight w:val="170"/>
          <w:jc w:val="center"/>
        </w:trPr>
        <w:tc>
          <w:tcPr>
            <w:tcW w:w="3151" w:type="pct"/>
            <w:tcBorders>
              <w:top w:val="nil"/>
              <w:left w:val="nil"/>
              <w:bottom w:val="nil"/>
              <w:right w:val="nil"/>
            </w:tcBorders>
            <w:shd w:val="clear" w:color="auto" w:fill="auto"/>
            <w:noWrap/>
            <w:tcMar>
              <w:left w:w="57" w:type="dxa"/>
              <w:right w:w="57" w:type="dxa"/>
            </w:tcMar>
            <w:vAlign w:val="bottom"/>
          </w:tcPr>
          <w:p w14:paraId="0BD83AFB" w14:textId="77777777" w:rsidR="0084445A" w:rsidRPr="00833465" w:rsidRDefault="0084445A" w:rsidP="005B5648">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Такси за право на ползване на търговска марка</w:t>
            </w:r>
          </w:p>
        </w:tc>
        <w:tc>
          <w:tcPr>
            <w:tcW w:w="917" w:type="pct"/>
            <w:tcBorders>
              <w:top w:val="nil"/>
              <w:left w:val="nil"/>
              <w:bottom w:val="nil"/>
              <w:right w:val="nil"/>
            </w:tcBorders>
            <w:shd w:val="clear" w:color="auto" w:fill="auto"/>
            <w:tcMar>
              <w:left w:w="57" w:type="dxa"/>
              <w:right w:w="57" w:type="dxa"/>
            </w:tcMar>
            <w:vAlign w:val="bottom"/>
          </w:tcPr>
          <w:p w14:paraId="015B7971" w14:textId="77777777" w:rsidR="0084445A" w:rsidRPr="00833465" w:rsidRDefault="0084445A" w:rsidP="005B5648">
            <w:pPr>
              <w:pStyle w:val="a0"/>
              <w:widowControl w:val="0"/>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16 </w:t>
            </w:r>
          </w:p>
        </w:tc>
        <w:tc>
          <w:tcPr>
            <w:tcW w:w="932" w:type="pct"/>
            <w:tcBorders>
              <w:top w:val="nil"/>
              <w:left w:val="nil"/>
              <w:bottom w:val="nil"/>
              <w:right w:val="nil"/>
            </w:tcBorders>
            <w:shd w:val="clear" w:color="auto" w:fill="auto"/>
            <w:tcMar>
              <w:left w:w="57" w:type="dxa"/>
              <w:right w:w="57" w:type="dxa"/>
            </w:tcMar>
            <w:vAlign w:val="bottom"/>
          </w:tcPr>
          <w:p w14:paraId="2D4E97C1" w14:textId="77777777" w:rsidR="0084445A" w:rsidRPr="00833465" w:rsidRDefault="0084445A" w:rsidP="005B5648">
            <w:pPr>
              <w:pStyle w:val="a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lang w:val="bg-BG"/>
              </w:rPr>
              <w:t>21</w:t>
            </w:r>
          </w:p>
        </w:tc>
      </w:tr>
      <w:tr w:rsidR="0084445A" w:rsidRPr="00833465" w14:paraId="27790BE3" w14:textId="77777777" w:rsidTr="00833465">
        <w:trPr>
          <w:trHeight w:val="170"/>
          <w:jc w:val="center"/>
        </w:trPr>
        <w:tc>
          <w:tcPr>
            <w:tcW w:w="3151" w:type="pct"/>
            <w:tcBorders>
              <w:top w:val="nil"/>
              <w:left w:val="nil"/>
              <w:bottom w:val="nil"/>
              <w:right w:val="nil"/>
            </w:tcBorders>
            <w:shd w:val="clear" w:color="auto" w:fill="auto"/>
            <w:tcMar>
              <w:left w:w="57" w:type="dxa"/>
              <w:right w:w="57" w:type="dxa"/>
            </w:tcMar>
            <w:vAlign w:val="bottom"/>
            <w:hideMark/>
          </w:tcPr>
          <w:p w14:paraId="69F47A0B" w14:textId="77777777" w:rsidR="0084445A" w:rsidRPr="00833465" w:rsidRDefault="0084445A" w:rsidP="005B5648">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 xml:space="preserve">Такси за интернет търговия </w:t>
            </w:r>
          </w:p>
        </w:tc>
        <w:tc>
          <w:tcPr>
            <w:tcW w:w="917" w:type="pct"/>
            <w:tcBorders>
              <w:top w:val="nil"/>
              <w:left w:val="nil"/>
              <w:bottom w:val="nil"/>
              <w:right w:val="nil"/>
            </w:tcBorders>
            <w:shd w:val="clear" w:color="auto" w:fill="auto"/>
            <w:tcMar>
              <w:left w:w="57" w:type="dxa"/>
              <w:right w:w="57" w:type="dxa"/>
            </w:tcMar>
            <w:vAlign w:val="bottom"/>
            <w:hideMark/>
          </w:tcPr>
          <w:p w14:paraId="62FAD5F4" w14:textId="77777777" w:rsidR="0084445A" w:rsidRPr="00833465" w:rsidRDefault="0084445A" w:rsidP="005B5648">
            <w:pPr>
              <w:pStyle w:val="a0"/>
              <w:widowControl w:val="0"/>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15</w:t>
            </w:r>
          </w:p>
        </w:tc>
        <w:tc>
          <w:tcPr>
            <w:tcW w:w="932" w:type="pct"/>
            <w:tcBorders>
              <w:top w:val="nil"/>
              <w:left w:val="nil"/>
              <w:bottom w:val="nil"/>
              <w:right w:val="nil"/>
            </w:tcBorders>
            <w:shd w:val="clear" w:color="auto" w:fill="auto"/>
            <w:tcMar>
              <w:left w:w="57" w:type="dxa"/>
              <w:right w:w="57" w:type="dxa"/>
            </w:tcMar>
            <w:vAlign w:val="bottom"/>
            <w:hideMark/>
          </w:tcPr>
          <w:p w14:paraId="4BEEE94D" w14:textId="77777777" w:rsidR="0084445A" w:rsidRPr="00833465" w:rsidRDefault="0084445A" w:rsidP="005B5648">
            <w:pPr>
              <w:pStyle w:val="a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lang w:val="bg-BG"/>
              </w:rPr>
              <w:t>17</w:t>
            </w:r>
            <w:r w:rsidRPr="00833465">
              <w:rPr>
                <w:rFonts w:asciiTheme="minorHAnsi" w:hAnsiTheme="minorHAnsi" w:cstheme="minorHAnsi"/>
                <w:sz w:val="22"/>
                <w:szCs w:val="22"/>
              </w:rPr>
              <w:t xml:space="preserve"> </w:t>
            </w:r>
          </w:p>
        </w:tc>
      </w:tr>
      <w:tr w:rsidR="0084445A" w:rsidRPr="00833465" w14:paraId="1E72AEB7" w14:textId="77777777" w:rsidTr="00833465">
        <w:trPr>
          <w:trHeight w:val="170"/>
          <w:jc w:val="center"/>
        </w:trPr>
        <w:tc>
          <w:tcPr>
            <w:tcW w:w="3151" w:type="pct"/>
            <w:tcBorders>
              <w:top w:val="nil"/>
              <w:left w:val="nil"/>
              <w:bottom w:val="nil"/>
              <w:right w:val="nil"/>
            </w:tcBorders>
            <w:shd w:val="clear" w:color="auto" w:fill="auto"/>
            <w:tcMar>
              <w:left w:w="57" w:type="dxa"/>
              <w:right w:w="57" w:type="dxa"/>
            </w:tcMar>
            <w:vAlign w:val="bottom"/>
            <w:hideMark/>
          </w:tcPr>
          <w:p w14:paraId="69C9BFEE" w14:textId="77777777" w:rsidR="0084445A" w:rsidRPr="00833465" w:rsidRDefault="0084445A" w:rsidP="005B5648">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Финансови санкции на членовете на Борсата</w:t>
            </w:r>
          </w:p>
        </w:tc>
        <w:tc>
          <w:tcPr>
            <w:tcW w:w="917" w:type="pct"/>
            <w:tcBorders>
              <w:top w:val="nil"/>
              <w:left w:val="nil"/>
              <w:bottom w:val="nil"/>
              <w:right w:val="nil"/>
            </w:tcBorders>
            <w:shd w:val="clear" w:color="auto" w:fill="auto"/>
            <w:tcMar>
              <w:left w:w="57" w:type="dxa"/>
              <w:right w:w="57" w:type="dxa"/>
            </w:tcMar>
            <w:vAlign w:val="bottom"/>
            <w:hideMark/>
          </w:tcPr>
          <w:p w14:paraId="7BD4FDB3" w14:textId="77777777" w:rsidR="0084445A" w:rsidRPr="00833465" w:rsidRDefault="0084445A" w:rsidP="005B5648">
            <w:pPr>
              <w:pStyle w:val="a0"/>
              <w:widowControl w:val="0"/>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1 </w:t>
            </w:r>
          </w:p>
        </w:tc>
        <w:tc>
          <w:tcPr>
            <w:tcW w:w="932" w:type="pct"/>
            <w:tcBorders>
              <w:top w:val="nil"/>
              <w:left w:val="nil"/>
              <w:bottom w:val="nil"/>
              <w:right w:val="nil"/>
            </w:tcBorders>
            <w:shd w:val="clear" w:color="auto" w:fill="auto"/>
            <w:tcMar>
              <w:left w:w="57" w:type="dxa"/>
              <w:right w:w="57" w:type="dxa"/>
            </w:tcMar>
            <w:vAlign w:val="bottom"/>
            <w:hideMark/>
          </w:tcPr>
          <w:p w14:paraId="3515BFFA" w14:textId="77777777" w:rsidR="0084445A" w:rsidRPr="00833465" w:rsidRDefault="0084445A" w:rsidP="005B5648">
            <w:pPr>
              <w:pStyle w:val="a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4 </w:t>
            </w:r>
          </w:p>
        </w:tc>
      </w:tr>
      <w:tr w:rsidR="0084445A" w:rsidRPr="00833465" w14:paraId="0E6A7452" w14:textId="77777777" w:rsidTr="00833465">
        <w:trPr>
          <w:trHeight w:val="170"/>
          <w:jc w:val="center"/>
        </w:trPr>
        <w:tc>
          <w:tcPr>
            <w:tcW w:w="3151" w:type="pct"/>
            <w:tcBorders>
              <w:top w:val="nil"/>
              <w:left w:val="nil"/>
              <w:bottom w:val="nil"/>
              <w:right w:val="nil"/>
            </w:tcBorders>
            <w:shd w:val="clear" w:color="auto" w:fill="auto"/>
            <w:tcMar>
              <w:left w:w="57" w:type="dxa"/>
              <w:right w:w="57" w:type="dxa"/>
            </w:tcMar>
            <w:vAlign w:val="bottom"/>
            <w:hideMark/>
          </w:tcPr>
          <w:p w14:paraId="30A5749A" w14:textId="77777777" w:rsidR="0084445A" w:rsidRPr="00833465" w:rsidRDefault="0084445A" w:rsidP="005B5648">
            <w:pPr>
              <w:pStyle w:val="a"/>
              <w:rPr>
                <w:rFonts w:asciiTheme="minorHAnsi" w:hAnsiTheme="minorHAnsi" w:cstheme="minorHAnsi"/>
                <w:b/>
                <w:color w:val="auto"/>
                <w:sz w:val="22"/>
                <w:szCs w:val="22"/>
                <w:lang w:val="bg-BG"/>
              </w:rPr>
            </w:pPr>
            <w:r w:rsidRPr="00833465">
              <w:rPr>
                <w:rFonts w:asciiTheme="minorHAnsi" w:hAnsiTheme="minorHAnsi" w:cstheme="minorHAnsi"/>
                <w:b/>
                <w:color w:val="auto"/>
                <w:sz w:val="22"/>
                <w:szCs w:val="22"/>
                <w:lang w:val="bg-BG"/>
              </w:rPr>
              <w:t>Общо</w:t>
            </w:r>
          </w:p>
        </w:tc>
        <w:tc>
          <w:tcPr>
            <w:tcW w:w="917" w:type="pct"/>
            <w:tcBorders>
              <w:top w:val="single" w:sz="4" w:space="0" w:color="auto"/>
              <w:left w:val="nil"/>
              <w:bottom w:val="double" w:sz="6" w:space="0" w:color="auto"/>
              <w:right w:val="nil"/>
            </w:tcBorders>
            <w:shd w:val="clear" w:color="auto" w:fill="auto"/>
            <w:tcMar>
              <w:left w:w="57" w:type="dxa"/>
              <w:right w:w="57" w:type="dxa"/>
            </w:tcMar>
            <w:vAlign w:val="bottom"/>
            <w:hideMark/>
          </w:tcPr>
          <w:p w14:paraId="567714C8" w14:textId="77777777" w:rsidR="0084445A" w:rsidRPr="00833465" w:rsidRDefault="0084445A" w:rsidP="005B5648">
            <w:pPr>
              <w:pStyle w:val="a0"/>
              <w:widowControl w:val="0"/>
              <w:rPr>
                <w:rFonts w:asciiTheme="minorHAnsi" w:hAnsiTheme="minorHAnsi" w:cstheme="minorHAnsi"/>
                <w:b/>
                <w:color w:val="auto"/>
                <w:sz w:val="22"/>
                <w:szCs w:val="22"/>
                <w:lang w:val="bg-BG"/>
              </w:rPr>
            </w:pPr>
            <w:r w:rsidRPr="00833465">
              <w:rPr>
                <w:rFonts w:asciiTheme="minorHAnsi" w:hAnsiTheme="minorHAnsi" w:cstheme="minorHAnsi"/>
                <w:b/>
                <w:bCs/>
                <w:sz w:val="22"/>
                <w:szCs w:val="22"/>
              </w:rPr>
              <w:t>1,885</w:t>
            </w:r>
          </w:p>
        </w:tc>
        <w:tc>
          <w:tcPr>
            <w:tcW w:w="932" w:type="pct"/>
            <w:tcBorders>
              <w:top w:val="single" w:sz="4" w:space="0" w:color="auto"/>
              <w:left w:val="nil"/>
              <w:bottom w:val="double" w:sz="6" w:space="0" w:color="auto"/>
              <w:right w:val="nil"/>
            </w:tcBorders>
            <w:shd w:val="clear" w:color="auto" w:fill="auto"/>
            <w:tcMar>
              <w:left w:w="57" w:type="dxa"/>
              <w:right w:w="57" w:type="dxa"/>
            </w:tcMar>
            <w:vAlign w:val="bottom"/>
            <w:hideMark/>
          </w:tcPr>
          <w:p w14:paraId="31651885" w14:textId="77777777" w:rsidR="0084445A" w:rsidRPr="00833465" w:rsidRDefault="0084445A" w:rsidP="005B5648">
            <w:pPr>
              <w:pStyle w:val="a0"/>
              <w:ind w:firstLine="709"/>
              <w:rPr>
                <w:rFonts w:asciiTheme="minorHAnsi" w:hAnsiTheme="minorHAnsi" w:cstheme="minorHAnsi"/>
                <w:b/>
                <w:color w:val="auto"/>
                <w:sz w:val="22"/>
                <w:szCs w:val="22"/>
                <w:lang w:val="bg-BG"/>
              </w:rPr>
            </w:pPr>
            <w:r w:rsidRPr="00833465">
              <w:rPr>
                <w:rFonts w:asciiTheme="minorHAnsi" w:hAnsiTheme="minorHAnsi" w:cstheme="minorHAnsi"/>
                <w:b/>
                <w:bCs/>
                <w:sz w:val="22"/>
                <w:szCs w:val="22"/>
              </w:rPr>
              <w:t xml:space="preserve"> </w:t>
            </w:r>
            <w:r w:rsidRPr="00833465">
              <w:rPr>
                <w:rFonts w:asciiTheme="minorHAnsi" w:hAnsiTheme="minorHAnsi" w:cstheme="minorHAnsi"/>
                <w:b/>
                <w:bCs/>
                <w:sz w:val="22"/>
                <w:szCs w:val="22"/>
                <w:lang w:val="bg-BG"/>
              </w:rPr>
              <w:t>2,121</w:t>
            </w:r>
            <w:r w:rsidRPr="00833465">
              <w:rPr>
                <w:rFonts w:asciiTheme="minorHAnsi" w:hAnsiTheme="minorHAnsi" w:cstheme="minorHAnsi"/>
                <w:b/>
                <w:bCs/>
                <w:sz w:val="22"/>
                <w:szCs w:val="22"/>
              </w:rPr>
              <w:t xml:space="preserve"> </w:t>
            </w:r>
          </w:p>
        </w:tc>
      </w:tr>
    </w:tbl>
    <w:p w14:paraId="24FD24A3" w14:textId="3037F8C3" w:rsidR="0084445A" w:rsidRPr="00833465" w:rsidRDefault="0084445A" w:rsidP="00833465">
      <w:pPr>
        <w:spacing w:before="240"/>
      </w:pPr>
      <w:bookmarkStart w:id="32" w:name="_Toc418084370"/>
      <w:r w:rsidRPr="00833465">
        <w:t>Следващата таблица предоставя информация за прилаганата от Дружеството счетоводна политика за признаване на приходите и времето на удовлетворяване на задължения за изпълнение на договорите с клиенти</w:t>
      </w:r>
      <w:r w:rsidR="00FD518A" w:rsidRPr="00833465">
        <w:t xml:space="preserve"> </w:t>
      </w:r>
      <w:r w:rsidRPr="00833465">
        <w:t>по МСФО 15 и</w:t>
      </w:r>
      <w:r w:rsidR="00FD518A" w:rsidRPr="00833465">
        <w:t xml:space="preserve"> </w:t>
      </w:r>
      <w:r w:rsidRPr="00833465">
        <w:t>МСС 18</w:t>
      </w:r>
    </w:p>
    <w:tbl>
      <w:tblPr>
        <w:tblW w:w="5771" w:type="pct"/>
        <w:jc w:val="center"/>
        <w:tblLook w:val="04A0" w:firstRow="1" w:lastRow="0" w:firstColumn="1" w:lastColumn="0" w:noHBand="0" w:noVBand="1"/>
      </w:tblPr>
      <w:tblGrid>
        <w:gridCol w:w="1793"/>
        <w:gridCol w:w="2485"/>
        <w:gridCol w:w="4083"/>
        <w:gridCol w:w="2752"/>
      </w:tblGrid>
      <w:tr w:rsidR="0084445A" w:rsidRPr="00741D80" w14:paraId="1A5373C0" w14:textId="77777777" w:rsidTr="00396969">
        <w:trPr>
          <w:trHeight w:val="170"/>
          <w:jc w:val="center"/>
        </w:trPr>
        <w:tc>
          <w:tcPr>
            <w:tcW w:w="807" w:type="pct"/>
            <w:tcBorders>
              <w:top w:val="single" w:sz="4" w:space="0" w:color="BFBFBF"/>
              <w:left w:val="single" w:sz="4" w:space="0" w:color="BFBFBF"/>
              <w:bottom w:val="single" w:sz="4" w:space="0" w:color="BFBFBF"/>
              <w:right w:val="single" w:sz="4" w:space="0" w:color="BFBFBF"/>
            </w:tcBorders>
            <w:tcMar>
              <w:left w:w="57" w:type="dxa"/>
              <w:right w:w="28" w:type="dxa"/>
            </w:tcMar>
            <w:hideMark/>
          </w:tcPr>
          <w:p w14:paraId="1E73598F" w14:textId="77777777" w:rsidR="0084445A" w:rsidRPr="00741D80" w:rsidRDefault="0084445A" w:rsidP="00AE7CF9">
            <w:pPr>
              <w:rPr>
                <w:rFonts w:cstheme="minorHAnsi"/>
                <w:spacing w:val="-4"/>
                <w:sz w:val="21"/>
                <w:szCs w:val="21"/>
              </w:rPr>
            </w:pPr>
            <w:r w:rsidRPr="00741D80">
              <w:rPr>
                <w:rFonts w:cstheme="minorHAnsi"/>
                <w:spacing w:val="-4"/>
                <w:sz w:val="21"/>
                <w:szCs w:val="21"/>
              </w:rPr>
              <w:t>Вид на продукта/услугата</w:t>
            </w:r>
          </w:p>
        </w:tc>
        <w:tc>
          <w:tcPr>
            <w:tcW w:w="1118" w:type="pct"/>
            <w:tcBorders>
              <w:top w:val="single" w:sz="4" w:space="0" w:color="BFBFBF"/>
              <w:left w:val="single" w:sz="4" w:space="0" w:color="BFBFBF"/>
              <w:bottom w:val="single" w:sz="4" w:space="0" w:color="BFBFBF"/>
              <w:right w:val="single" w:sz="4" w:space="0" w:color="BFBFBF"/>
            </w:tcBorders>
            <w:tcMar>
              <w:left w:w="57" w:type="dxa"/>
              <w:right w:w="28" w:type="dxa"/>
            </w:tcMar>
            <w:hideMark/>
          </w:tcPr>
          <w:p w14:paraId="4A3F7C58" w14:textId="77777777" w:rsidR="0084445A" w:rsidRPr="00741D80" w:rsidRDefault="0084445A" w:rsidP="00AE7CF9">
            <w:pPr>
              <w:rPr>
                <w:rFonts w:cstheme="minorHAnsi"/>
                <w:spacing w:val="-4"/>
                <w:sz w:val="21"/>
                <w:szCs w:val="21"/>
              </w:rPr>
            </w:pPr>
            <w:r w:rsidRPr="00741D80">
              <w:rPr>
                <w:rFonts w:cstheme="minorHAnsi"/>
                <w:spacing w:val="-4"/>
                <w:sz w:val="21"/>
                <w:szCs w:val="21"/>
              </w:rPr>
              <w:t>Естество и време на удовлетворяване на задълженията за изпълнение, включително съществени условия за плащане</w:t>
            </w:r>
          </w:p>
        </w:tc>
        <w:tc>
          <w:tcPr>
            <w:tcW w:w="1837" w:type="pct"/>
            <w:tcBorders>
              <w:top w:val="single" w:sz="4" w:space="0" w:color="BFBFBF"/>
              <w:left w:val="single" w:sz="4" w:space="0" w:color="BFBFBF"/>
              <w:bottom w:val="single" w:sz="4" w:space="0" w:color="BFBFBF"/>
              <w:right w:val="single" w:sz="4" w:space="0" w:color="BFBFBF"/>
            </w:tcBorders>
            <w:tcMar>
              <w:left w:w="57" w:type="dxa"/>
              <w:right w:w="28" w:type="dxa"/>
            </w:tcMar>
            <w:hideMark/>
          </w:tcPr>
          <w:p w14:paraId="00921B0F" w14:textId="77777777" w:rsidR="0084445A" w:rsidRPr="00741D80" w:rsidRDefault="0084445A" w:rsidP="00AE7CF9">
            <w:pPr>
              <w:rPr>
                <w:rFonts w:cstheme="minorHAnsi"/>
                <w:spacing w:val="-4"/>
                <w:sz w:val="21"/>
                <w:szCs w:val="21"/>
              </w:rPr>
            </w:pPr>
            <w:r w:rsidRPr="00741D80">
              <w:rPr>
                <w:rFonts w:cstheme="minorHAnsi"/>
                <w:spacing w:val="-4"/>
                <w:sz w:val="21"/>
                <w:szCs w:val="21"/>
              </w:rPr>
              <w:t>Признаване на приходи по МСФО 15 (приложим от 1 януари 2018 г.)</w:t>
            </w:r>
          </w:p>
        </w:tc>
        <w:tc>
          <w:tcPr>
            <w:tcW w:w="1239" w:type="pct"/>
            <w:tcBorders>
              <w:top w:val="single" w:sz="4" w:space="0" w:color="BFBFBF"/>
              <w:left w:val="single" w:sz="4" w:space="0" w:color="BFBFBF"/>
              <w:bottom w:val="single" w:sz="4" w:space="0" w:color="BFBFBF"/>
              <w:right w:val="single" w:sz="4" w:space="0" w:color="BFBFBF"/>
            </w:tcBorders>
            <w:tcMar>
              <w:left w:w="57" w:type="dxa"/>
              <w:right w:w="28" w:type="dxa"/>
            </w:tcMar>
            <w:hideMark/>
          </w:tcPr>
          <w:p w14:paraId="0024AED3" w14:textId="77777777" w:rsidR="0084445A" w:rsidRPr="00741D80" w:rsidRDefault="0084445A" w:rsidP="00AE7CF9">
            <w:pPr>
              <w:rPr>
                <w:rFonts w:cstheme="minorHAnsi"/>
                <w:spacing w:val="-4"/>
                <w:sz w:val="21"/>
                <w:szCs w:val="21"/>
              </w:rPr>
            </w:pPr>
            <w:r w:rsidRPr="00741D80">
              <w:rPr>
                <w:rFonts w:cstheme="minorHAnsi"/>
                <w:spacing w:val="-4"/>
                <w:sz w:val="21"/>
                <w:szCs w:val="21"/>
              </w:rPr>
              <w:t>Признаване на приходи по МСС 18 (приложим преди 1 януари 2018 г.)</w:t>
            </w:r>
          </w:p>
        </w:tc>
      </w:tr>
      <w:tr w:rsidR="0084445A" w:rsidRPr="00741D80" w14:paraId="535725DA" w14:textId="77777777" w:rsidTr="00396969">
        <w:trPr>
          <w:trHeight w:val="170"/>
          <w:jc w:val="center"/>
        </w:trPr>
        <w:tc>
          <w:tcPr>
            <w:tcW w:w="807" w:type="pct"/>
            <w:tcBorders>
              <w:top w:val="single" w:sz="4" w:space="0" w:color="BFBFBF"/>
              <w:left w:val="single" w:sz="4" w:space="0" w:color="BFBFBF"/>
              <w:bottom w:val="single" w:sz="4" w:space="0" w:color="BFBFBF"/>
              <w:right w:val="single" w:sz="4" w:space="0" w:color="BFBFBF"/>
            </w:tcBorders>
            <w:tcMar>
              <w:left w:w="57" w:type="dxa"/>
              <w:right w:w="28" w:type="dxa"/>
            </w:tcMar>
          </w:tcPr>
          <w:p w14:paraId="0E8C5A57" w14:textId="77777777" w:rsidR="0084445A" w:rsidRPr="00741D80" w:rsidRDefault="0084445A" w:rsidP="00AE7CF9">
            <w:pPr>
              <w:rPr>
                <w:rFonts w:cstheme="minorHAnsi"/>
                <w:spacing w:val="-4"/>
                <w:sz w:val="21"/>
                <w:szCs w:val="21"/>
              </w:rPr>
            </w:pPr>
            <w:r w:rsidRPr="00741D80">
              <w:rPr>
                <w:rFonts w:cstheme="minorHAnsi"/>
                <w:spacing w:val="-4"/>
                <w:sz w:val="21"/>
                <w:szCs w:val="21"/>
              </w:rPr>
              <w:t>Приходи от предоставяне на услуги (такси за членство, регистрация и пререгистрация, информационно обслужване, интернет и он-</w:t>
            </w:r>
            <w:proofErr w:type="spellStart"/>
            <w:r w:rsidRPr="00741D80">
              <w:rPr>
                <w:rFonts w:cstheme="minorHAnsi"/>
                <w:spacing w:val="-4"/>
                <w:sz w:val="21"/>
                <w:szCs w:val="21"/>
              </w:rPr>
              <w:t>лайн</w:t>
            </w:r>
            <w:proofErr w:type="spellEnd"/>
            <w:r w:rsidRPr="00741D80">
              <w:rPr>
                <w:rFonts w:cstheme="minorHAnsi"/>
                <w:spacing w:val="-4"/>
                <w:sz w:val="21"/>
                <w:szCs w:val="21"/>
              </w:rPr>
              <w:t xml:space="preserve"> търговия и комисиони за сделки с акции и облигации)</w:t>
            </w:r>
          </w:p>
        </w:tc>
        <w:tc>
          <w:tcPr>
            <w:tcW w:w="1118" w:type="pct"/>
            <w:tcBorders>
              <w:top w:val="single" w:sz="4" w:space="0" w:color="BFBFBF"/>
              <w:left w:val="single" w:sz="4" w:space="0" w:color="BFBFBF"/>
              <w:bottom w:val="single" w:sz="4" w:space="0" w:color="BFBFBF"/>
              <w:right w:val="single" w:sz="4" w:space="0" w:color="BFBFBF"/>
            </w:tcBorders>
            <w:tcMar>
              <w:left w:w="57" w:type="dxa"/>
              <w:right w:w="28" w:type="dxa"/>
            </w:tcMar>
          </w:tcPr>
          <w:p w14:paraId="3972718E" w14:textId="77777777" w:rsidR="0084445A" w:rsidRPr="00741D80" w:rsidRDefault="0084445A" w:rsidP="00AE7CF9">
            <w:pPr>
              <w:rPr>
                <w:rFonts w:cstheme="minorHAnsi"/>
                <w:spacing w:val="-4"/>
                <w:sz w:val="21"/>
                <w:szCs w:val="21"/>
              </w:rPr>
            </w:pPr>
            <w:r w:rsidRPr="00741D80">
              <w:rPr>
                <w:rFonts w:cstheme="minorHAnsi"/>
                <w:spacing w:val="-4"/>
                <w:sz w:val="21"/>
                <w:szCs w:val="21"/>
              </w:rPr>
              <w:t>Контролът се прехвърля, когато услугата е извършена. Вземането е дължимо незабавно.</w:t>
            </w:r>
          </w:p>
        </w:tc>
        <w:tc>
          <w:tcPr>
            <w:tcW w:w="1837" w:type="pct"/>
            <w:tcBorders>
              <w:top w:val="single" w:sz="4" w:space="0" w:color="BFBFBF"/>
              <w:left w:val="single" w:sz="4" w:space="0" w:color="BFBFBF"/>
              <w:bottom w:val="single" w:sz="4" w:space="0" w:color="BFBFBF"/>
              <w:right w:val="single" w:sz="4" w:space="0" w:color="BFBFBF"/>
            </w:tcBorders>
            <w:tcMar>
              <w:left w:w="57" w:type="dxa"/>
              <w:right w:w="28" w:type="dxa"/>
            </w:tcMar>
          </w:tcPr>
          <w:p w14:paraId="767B2608" w14:textId="77777777" w:rsidR="0084445A" w:rsidRPr="00741D80" w:rsidRDefault="0084445A" w:rsidP="00AE7CF9">
            <w:pPr>
              <w:rPr>
                <w:rFonts w:cstheme="minorHAnsi"/>
                <w:spacing w:val="-4"/>
                <w:sz w:val="21"/>
                <w:szCs w:val="21"/>
              </w:rPr>
            </w:pPr>
            <w:r w:rsidRPr="00741D80">
              <w:rPr>
                <w:rFonts w:cstheme="minorHAnsi"/>
                <w:spacing w:val="-4"/>
                <w:sz w:val="21"/>
                <w:szCs w:val="21"/>
              </w:rPr>
              <w:t>Дружеството прехвърля контрола върху услугите с течение на времето и следователно удовлетворява задължението за изпълнение и признава приходи с течение на времето. Ако към края на отчетния период услугата по договора не е изцяло извършена приходите се признават въз основа на действителната услуга, предоставена до края на отчетния период, като пропорционална част от общите услуги, които трябва да бъдат предоставени, тъй като клиентът получава и потребява ползите едновременно. Това се определя въз основа на действително вложено или отчетено време за извършена работа, спрямо общото очаквано време за извършване на услугата.</w:t>
            </w:r>
          </w:p>
        </w:tc>
        <w:tc>
          <w:tcPr>
            <w:tcW w:w="1239" w:type="pct"/>
            <w:tcBorders>
              <w:top w:val="single" w:sz="4" w:space="0" w:color="BFBFBF"/>
              <w:left w:val="single" w:sz="4" w:space="0" w:color="BFBFBF"/>
              <w:bottom w:val="single" w:sz="4" w:space="0" w:color="BFBFBF"/>
              <w:right w:val="single" w:sz="4" w:space="0" w:color="BFBFBF"/>
            </w:tcBorders>
            <w:tcMar>
              <w:left w:w="57" w:type="dxa"/>
              <w:right w:w="28" w:type="dxa"/>
            </w:tcMar>
          </w:tcPr>
          <w:p w14:paraId="6D6EEBC0" w14:textId="77777777" w:rsidR="0084445A" w:rsidRPr="00741D80" w:rsidRDefault="0084445A" w:rsidP="00AE7CF9">
            <w:pPr>
              <w:rPr>
                <w:rFonts w:cstheme="minorHAnsi"/>
                <w:spacing w:val="-4"/>
                <w:sz w:val="21"/>
                <w:szCs w:val="21"/>
              </w:rPr>
            </w:pPr>
            <w:r w:rsidRPr="00741D80">
              <w:rPr>
                <w:rFonts w:cstheme="minorHAnsi"/>
                <w:spacing w:val="-4"/>
                <w:sz w:val="21"/>
                <w:szCs w:val="21"/>
              </w:rPr>
              <w:t>Приходите от предоставяне на услуги се признават на база на етапа на завършеност на сделката към отчетната дата. Етапът на завършеност на сделката се определя пропорционално на срока по договора, за който е договорено да бъдат предоставени услугите. Когато резултатът от сделката (договора) не може да бъде надеждно оценен, приходът се признава само доколкото извършените разходи подлежат на възстановяване</w:t>
            </w:r>
          </w:p>
        </w:tc>
      </w:tr>
    </w:tbl>
    <w:p w14:paraId="05AE0E89" w14:textId="77777777" w:rsidR="0084445A" w:rsidRPr="00741D80" w:rsidRDefault="0084445A" w:rsidP="00833465">
      <w:pPr>
        <w:pStyle w:val="Mainnumbers"/>
      </w:pPr>
      <w:bookmarkStart w:id="33" w:name="_Toc536452010"/>
      <w:r w:rsidRPr="00741D80">
        <w:t>ДРУГИ ДОХОДИ ОТ ДЕЙНОСТТА</w:t>
      </w:r>
      <w:bookmarkEnd w:id="32"/>
      <w:bookmarkEnd w:id="33"/>
    </w:p>
    <w:tbl>
      <w:tblPr>
        <w:tblW w:w="5000" w:type="pct"/>
        <w:jc w:val="center"/>
        <w:tblLook w:val="04A0" w:firstRow="1" w:lastRow="0" w:firstColumn="1" w:lastColumn="0" w:noHBand="0" w:noVBand="1"/>
      </w:tblPr>
      <w:tblGrid>
        <w:gridCol w:w="6484"/>
        <w:gridCol w:w="1656"/>
        <w:gridCol w:w="1498"/>
      </w:tblGrid>
      <w:tr w:rsidR="0084445A" w:rsidRPr="00396969" w14:paraId="33455FD7" w14:textId="77777777" w:rsidTr="00396969">
        <w:trPr>
          <w:trHeight w:val="170"/>
          <w:jc w:val="center"/>
        </w:trPr>
        <w:tc>
          <w:tcPr>
            <w:tcW w:w="3364" w:type="pct"/>
            <w:tcBorders>
              <w:top w:val="nil"/>
              <w:left w:val="nil"/>
              <w:bottom w:val="nil"/>
              <w:right w:val="nil"/>
            </w:tcBorders>
            <w:shd w:val="clear" w:color="auto" w:fill="auto"/>
            <w:tcMar>
              <w:left w:w="28" w:type="dxa"/>
              <w:right w:w="28" w:type="dxa"/>
            </w:tcMar>
            <w:vAlign w:val="bottom"/>
            <w:hideMark/>
          </w:tcPr>
          <w:p w14:paraId="01705525" w14:textId="77777777" w:rsidR="0084445A" w:rsidRPr="00396969" w:rsidRDefault="0084445A" w:rsidP="00833465">
            <w:pPr>
              <w:spacing w:after="0" w:line="240" w:lineRule="auto"/>
              <w:rPr>
                <w:rFonts w:cstheme="minorHAnsi"/>
              </w:rPr>
            </w:pPr>
            <w:r w:rsidRPr="00396969">
              <w:rPr>
                <w:rFonts w:cstheme="minorHAnsi"/>
              </w:rPr>
              <w:t>Другите доходи от дейността включват:</w:t>
            </w:r>
          </w:p>
        </w:tc>
        <w:tc>
          <w:tcPr>
            <w:tcW w:w="859" w:type="pct"/>
            <w:tcBorders>
              <w:top w:val="nil"/>
              <w:left w:val="nil"/>
              <w:bottom w:val="nil"/>
              <w:right w:val="nil"/>
            </w:tcBorders>
            <w:shd w:val="clear" w:color="auto" w:fill="auto"/>
            <w:tcMar>
              <w:left w:w="28" w:type="dxa"/>
              <w:right w:w="28" w:type="dxa"/>
            </w:tcMar>
            <w:vAlign w:val="bottom"/>
            <w:hideMark/>
          </w:tcPr>
          <w:p w14:paraId="4D7F28D5" w14:textId="77777777" w:rsidR="0084445A" w:rsidRPr="00396969" w:rsidRDefault="0084445A" w:rsidP="00833465">
            <w:pPr>
              <w:pStyle w:val="a1"/>
              <w:jc w:val="right"/>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31.12.2018</w:t>
            </w:r>
          </w:p>
        </w:tc>
        <w:tc>
          <w:tcPr>
            <w:tcW w:w="778" w:type="pct"/>
            <w:tcBorders>
              <w:top w:val="nil"/>
              <w:left w:val="nil"/>
              <w:bottom w:val="nil"/>
              <w:right w:val="nil"/>
            </w:tcBorders>
            <w:shd w:val="clear" w:color="auto" w:fill="auto"/>
            <w:tcMar>
              <w:left w:w="28" w:type="dxa"/>
              <w:right w:w="28" w:type="dxa"/>
            </w:tcMar>
            <w:vAlign w:val="bottom"/>
            <w:hideMark/>
          </w:tcPr>
          <w:p w14:paraId="224E5CA8" w14:textId="77777777" w:rsidR="0084445A" w:rsidRPr="00396969" w:rsidRDefault="0084445A" w:rsidP="00833465">
            <w:pPr>
              <w:pStyle w:val="a1"/>
              <w:jc w:val="right"/>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31.12.2017</w:t>
            </w:r>
          </w:p>
        </w:tc>
      </w:tr>
      <w:tr w:rsidR="0084445A" w:rsidRPr="00396969" w14:paraId="0D09200A" w14:textId="77777777" w:rsidTr="00396969">
        <w:trPr>
          <w:trHeight w:val="170"/>
          <w:jc w:val="center"/>
        </w:trPr>
        <w:tc>
          <w:tcPr>
            <w:tcW w:w="3364" w:type="pct"/>
            <w:tcBorders>
              <w:top w:val="nil"/>
              <w:left w:val="nil"/>
              <w:bottom w:val="nil"/>
              <w:right w:val="nil"/>
            </w:tcBorders>
            <w:shd w:val="clear" w:color="auto" w:fill="auto"/>
            <w:tcMar>
              <w:left w:w="28" w:type="dxa"/>
              <w:right w:w="28" w:type="dxa"/>
            </w:tcMar>
            <w:vAlign w:val="bottom"/>
            <w:hideMark/>
          </w:tcPr>
          <w:p w14:paraId="077A8789" w14:textId="77777777" w:rsidR="0084445A" w:rsidRPr="00396969" w:rsidRDefault="0084445A" w:rsidP="00833465">
            <w:pPr>
              <w:spacing w:after="0" w:line="240" w:lineRule="auto"/>
              <w:rPr>
                <w:rFonts w:cstheme="minorHAnsi"/>
              </w:rPr>
            </w:pPr>
          </w:p>
        </w:tc>
        <w:tc>
          <w:tcPr>
            <w:tcW w:w="859" w:type="pct"/>
            <w:tcBorders>
              <w:top w:val="nil"/>
              <w:left w:val="nil"/>
              <w:bottom w:val="nil"/>
              <w:right w:val="nil"/>
            </w:tcBorders>
            <w:shd w:val="clear" w:color="auto" w:fill="auto"/>
            <w:noWrap/>
            <w:tcMar>
              <w:left w:w="28" w:type="dxa"/>
              <w:right w:w="28" w:type="dxa"/>
            </w:tcMar>
            <w:hideMark/>
          </w:tcPr>
          <w:p w14:paraId="02AE50BD" w14:textId="77777777" w:rsidR="0084445A" w:rsidRPr="00396969" w:rsidRDefault="0084445A" w:rsidP="00833465">
            <w:pPr>
              <w:pStyle w:val="a1"/>
              <w:jc w:val="right"/>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BGN'000</w:t>
            </w:r>
          </w:p>
        </w:tc>
        <w:tc>
          <w:tcPr>
            <w:tcW w:w="778" w:type="pct"/>
            <w:tcBorders>
              <w:top w:val="nil"/>
              <w:left w:val="nil"/>
              <w:bottom w:val="nil"/>
              <w:right w:val="nil"/>
            </w:tcBorders>
            <w:shd w:val="clear" w:color="auto" w:fill="auto"/>
            <w:noWrap/>
            <w:tcMar>
              <w:left w:w="28" w:type="dxa"/>
              <w:right w:w="28" w:type="dxa"/>
            </w:tcMar>
            <w:hideMark/>
          </w:tcPr>
          <w:p w14:paraId="745C1E73" w14:textId="77777777" w:rsidR="0084445A" w:rsidRPr="00396969" w:rsidRDefault="0084445A" w:rsidP="00833465">
            <w:pPr>
              <w:pStyle w:val="a1"/>
              <w:jc w:val="right"/>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BGN'000</w:t>
            </w:r>
          </w:p>
        </w:tc>
      </w:tr>
      <w:tr w:rsidR="0084445A" w:rsidRPr="00396969" w14:paraId="7E835845" w14:textId="77777777" w:rsidTr="00396969">
        <w:trPr>
          <w:trHeight w:val="170"/>
          <w:jc w:val="center"/>
        </w:trPr>
        <w:tc>
          <w:tcPr>
            <w:tcW w:w="3364" w:type="pct"/>
            <w:tcBorders>
              <w:top w:val="nil"/>
              <w:left w:val="nil"/>
              <w:bottom w:val="nil"/>
              <w:right w:val="nil"/>
            </w:tcBorders>
            <w:shd w:val="clear" w:color="auto" w:fill="auto"/>
            <w:tcMar>
              <w:left w:w="28" w:type="dxa"/>
              <w:right w:w="28" w:type="dxa"/>
            </w:tcMar>
            <w:vAlign w:val="bottom"/>
            <w:hideMark/>
          </w:tcPr>
          <w:p w14:paraId="321EC639"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 xml:space="preserve">Наеми </w:t>
            </w:r>
          </w:p>
        </w:tc>
        <w:tc>
          <w:tcPr>
            <w:tcW w:w="859" w:type="pct"/>
            <w:tcBorders>
              <w:top w:val="nil"/>
              <w:left w:val="nil"/>
              <w:bottom w:val="nil"/>
              <w:right w:val="nil"/>
            </w:tcBorders>
            <w:shd w:val="clear" w:color="auto" w:fill="auto"/>
            <w:tcMar>
              <w:left w:w="28" w:type="dxa"/>
              <w:right w:w="28" w:type="dxa"/>
            </w:tcMar>
            <w:vAlign w:val="bottom"/>
            <w:hideMark/>
          </w:tcPr>
          <w:p w14:paraId="61A74116"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41</w:t>
            </w:r>
          </w:p>
        </w:tc>
        <w:tc>
          <w:tcPr>
            <w:tcW w:w="778" w:type="pct"/>
            <w:tcBorders>
              <w:top w:val="nil"/>
              <w:left w:val="nil"/>
              <w:bottom w:val="nil"/>
              <w:right w:val="nil"/>
            </w:tcBorders>
            <w:shd w:val="clear" w:color="auto" w:fill="auto"/>
            <w:tcMar>
              <w:left w:w="28" w:type="dxa"/>
              <w:right w:w="28" w:type="dxa"/>
            </w:tcMar>
            <w:vAlign w:val="bottom"/>
            <w:hideMark/>
          </w:tcPr>
          <w:p w14:paraId="6878D4A9" w14:textId="77777777" w:rsidR="0084445A" w:rsidRPr="00396969" w:rsidRDefault="0084445A" w:rsidP="00833465">
            <w:pPr>
              <w:pStyle w:val="a0"/>
              <w:widowControl w:val="0"/>
              <w:rPr>
                <w:rFonts w:asciiTheme="minorHAnsi" w:hAnsiTheme="minorHAnsi" w:cstheme="minorHAnsi"/>
                <w:color w:val="auto"/>
                <w:sz w:val="22"/>
                <w:szCs w:val="22"/>
                <w:lang w:val="bg-BG"/>
              </w:rPr>
            </w:pPr>
            <w:r w:rsidRPr="00396969">
              <w:rPr>
                <w:rFonts w:asciiTheme="minorHAnsi" w:hAnsiTheme="minorHAnsi" w:cstheme="minorHAnsi"/>
                <w:sz w:val="22"/>
                <w:szCs w:val="22"/>
                <w:lang w:val="bg-BG"/>
              </w:rPr>
              <w:t>38</w:t>
            </w:r>
          </w:p>
        </w:tc>
      </w:tr>
      <w:tr w:rsidR="0084445A" w:rsidRPr="00396969" w14:paraId="035B5DD3" w14:textId="77777777" w:rsidTr="00396969">
        <w:trPr>
          <w:trHeight w:val="170"/>
          <w:jc w:val="center"/>
        </w:trPr>
        <w:tc>
          <w:tcPr>
            <w:tcW w:w="3364" w:type="pct"/>
            <w:tcBorders>
              <w:top w:val="nil"/>
              <w:left w:val="nil"/>
              <w:bottom w:val="nil"/>
              <w:right w:val="nil"/>
            </w:tcBorders>
            <w:shd w:val="clear" w:color="auto" w:fill="auto"/>
            <w:tcMar>
              <w:left w:w="28" w:type="dxa"/>
              <w:right w:w="28" w:type="dxa"/>
            </w:tcMar>
            <w:vAlign w:val="bottom"/>
          </w:tcPr>
          <w:p w14:paraId="0FDE3918"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Приходи от отписани задължения</w:t>
            </w:r>
          </w:p>
        </w:tc>
        <w:tc>
          <w:tcPr>
            <w:tcW w:w="859" w:type="pct"/>
            <w:tcBorders>
              <w:top w:val="nil"/>
              <w:left w:val="nil"/>
              <w:bottom w:val="nil"/>
              <w:right w:val="nil"/>
            </w:tcBorders>
            <w:shd w:val="clear" w:color="auto" w:fill="auto"/>
            <w:tcMar>
              <w:left w:w="28" w:type="dxa"/>
              <w:right w:w="28" w:type="dxa"/>
            </w:tcMar>
            <w:vAlign w:val="bottom"/>
          </w:tcPr>
          <w:p w14:paraId="5B410218"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 20 </w:t>
            </w:r>
          </w:p>
        </w:tc>
        <w:tc>
          <w:tcPr>
            <w:tcW w:w="778" w:type="pct"/>
            <w:tcBorders>
              <w:top w:val="nil"/>
              <w:left w:val="nil"/>
              <w:bottom w:val="nil"/>
              <w:right w:val="nil"/>
            </w:tcBorders>
            <w:shd w:val="clear" w:color="auto" w:fill="auto"/>
            <w:tcMar>
              <w:left w:w="28" w:type="dxa"/>
              <w:right w:w="28" w:type="dxa"/>
            </w:tcMar>
            <w:vAlign w:val="bottom"/>
          </w:tcPr>
          <w:p w14:paraId="67FA2B48"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14 </w:t>
            </w:r>
          </w:p>
        </w:tc>
      </w:tr>
      <w:tr w:rsidR="0084445A" w:rsidRPr="00396969" w14:paraId="2217C7FC" w14:textId="77777777" w:rsidTr="00396969">
        <w:trPr>
          <w:trHeight w:val="170"/>
          <w:jc w:val="center"/>
        </w:trPr>
        <w:tc>
          <w:tcPr>
            <w:tcW w:w="3364" w:type="pct"/>
            <w:tcBorders>
              <w:top w:val="nil"/>
              <w:left w:val="nil"/>
              <w:bottom w:val="nil"/>
              <w:right w:val="nil"/>
            </w:tcBorders>
            <w:shd w:val="clear" w:color="auto" w:fill="auto"/>
            <w:tcMar>
              <w:left w:w="28" w:type="dxa"/>
              <w:right w:w="28" w:type="dxa"/>
            </w:tcMar>
            <w:vAlign w:val="bottom"/>
          </w:tcPr>
          <w:p w14:paraId="632B1402"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Приходи от такси обучение</w:t>
            </w:r>
          </w:p>
        </w:tc>
        <w:tc>
          <w:tcPr>
            <w:tcW w:w="859" w:type="pct"/>
            <w:tcBorders>
              <w:top w:val="nil"/>
              <w:left w:val="nil"/>
              <w:bottom w:val="nil"/>
              <w:right w:val="nil"/>
            </w:tcBorders>
            <w:shd w:val="clear" w:color="auto" w:fill="auto"/>
            <w:tcMar>
              <w:left w:w="28" w:type="dxa"/>
              <w:right w:w="28" w:type="dxa"/>
            </w:tcMar>
            <w:vAlign w:val="bottom"/>
          </w:tcPr>
          <w:p w14:paraId="06AB7EF3"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 </w:t>
            </w:r>
          </w:p>
        </w:tc>
        <w:tc>
          <w:tcPr>
            <w:tcW w:w="778" w:type="pct"/>
            <w:tcBorders>
              <w:top w:val="nil"/>
              <w:left w:val="nil"/>
              <w:bottom w:val="nil"/>
              <w:right w:val="nil"/>
            </w:tcBorders>
            <w:shd w:val="clear" w:color="auto" w:fill="auto"/>
            <w:tcMar>
              <w:left w:w="28" w:type="dxa"/>
              <w:right w:w="28" w:type="dxa"/>
            </w:tcMar>
            <w:vAlign w:val="bottom"/>
          </w:tcPr>
          <w:p w14:paraId="7C31EB2B"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lang w:val="bg-BG"/>
              </w:rPr>
              <w:t>4</w:t>
            </w:r>
            <w:r w:rsidRPr="00396969">
              <w:rPr>
                <w:rFonts w:asciiTheme="minorHAnsi" w:hAnsiTheme="minorHAnsi" w:cstheme="minorHAnsi"/>
                <w:sz w:val="22"/>
                <w:szCs w:val="22"/>
              </w:rPr>
              <w:t xml:space="preserve"> </w:t>
            </w:r>
          </w:p>
        </w:tc>
      </w:tr>
      <w:tr w:rsidR="0084445A" w:rsidRPr="00396969" w14:paraId="4BD3BA9F" w14:textId="77777777" w:rsidTr="00396969">
        <w:trPr>
          <w:trHeight w:val="170"/>
          <w:jc w:val="center"/>
        </w:trPr>
        <w:tc>
          <w:tcPr>
            <w:tcW w:w="3364" w:type="pct"/>
            <w:tcBorders>
              <w:top w:val="nil"/>
              <w:left w:val="nil"/>
              <w:bottom w:val="nil"/>
              <w:right w:val="nil"/>
            </w:tcBorders>
            <w:shd w:val="clear" w:color="auto" w:fill="auto"/>
            <w:tcMar>
              <w:left w:w="28" w:type="dxa"/>
              <w:right w:w="28" w:type="dxa"/>
            </w:tcMar>
            <w:vAlign w:val="bottom"/>
            <w:hideMark/>
          </w:tcPr>
          <w:p w14:paraId="055FCFAA"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Други</w:t>
            </w:r>
          </w:p>
        </w:tc>
        <w:tc>
          <w:tcPr>
            <w:tcW w:w="859" w:type="pct"/>
            <w:tcBorders>
              <w:top w:val="nil"/>
              <w:left w:val="nil"/>
              <w:bottom w:val="nil"/>
              <w:right w:val="nil"/>
            </w:tcBorders>
            <w:shd w:val="clear" w:color="auto" w:fill="auto"/>
            <w:tcMar>
              <w:left w:w="28" w:type="dxa"/>
              <w:right w:w="28" w:type="dxa"/>
            </w:tcMar>
            <w:vAlign w:val="bottom"/>
            <w:hideMark/>
          </w:tcPr>
          <w:p w14:paraId="47AE5A50"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lang w:val="bg-BG"/>
              </w:rPr>
              <w:t>-</w:t>
            </w:r>
            <w:r w:rsidRPr="00396969">
              <w:rPr>
                <w:rFonts w:asciiTheme="minorHAnsi" w:hAnsiTheme="minorHAnsi" w:cstheme="minorHAnsi"/>
                <w:sz w:val="22"/>
                <w:szCs w:val="22"/>
              </w:rPr>
              <w:t xml:space="preserve"> </w:t>
            </w:r>
          </w:p>
        </w:tc>
        <w:tc>
          <w:tcPr>
            <w:tcW w:w="778" w:type="pct"/>
            <w:tcBorders>
              <w:top w:val="nil"/>
              <w:left w:val="nil"/>
              <w:bottom w:val="nil"/>
              <w:right w:val="nil"/>
            </w:tcBorders>
            <w:shd w:val="clear" w:color="auto" w:fill="auto"/>
            <w:tcMar>
              <w:left w:w="28" w:type="dxa"/>
              <w:right w:w="28" w:type="dxa"/>
            </w:tcMar>
            <w:vAlign w:val="bottom"/>
            <w:hideMark/>
          </w:tcPr>
          <w:p w14:paraId="06CB99B0" w14:textId="77777777" w:rsidR="0084445A" w:rsidRPr="00396969" w:rsidRDefault="0084445A" w:rsidP="00833465">
            <w:pPr>
              <w:pStyle w:val="a0"/>
              <w:widowControl w:val="0"/>
              <w:rPr>
                <w:rFonts w:asciiTheme="minorHAnsi" w:hAnsiTheme="minorHAnsi" w:cstheme="minorHAnsi"/>
                <w:color w:val="auto"/>
                <w:sz w:val="22"/>
                <w:szCs w:val="22"/>
                <w:lang w:val="bg-BG"/>
              </w:rPr>
            </w:pPr>
            <w:r w:rsidRPr="00396969">
              <w:rPr>
                <w:rFonts w:asciiTheme="minorHAnsi" w:hAnsiTheme="minorHAnsi" w:cstheme="minorHAnsi"/>
                <w:sz w:val="22"/>
                <w:szCs w:val="22"/>
              </w:rPr>
              <w:t>4</w:t>
            </w:r>
          </w:p>
        </w:tc>
      </w:tr>
      <w:tr w:rsidR="0084445A" w:rsidRPr="00396969" w14:paraId="2DCFE1E7" w14:textId="77777777" w:rsidTr="00396969">
        <w:trPr>
          <w:trHeight w:val="170"/>
          <w:jc w:val="center"/>
        </w:trPr>
        <w:tc>
          <w:tcPr>
            <w:tcW w:w="3364" w:type="pct"/>
            <w:tcBorders>
              <w:top w:val="nil"/>
              <w:left w:val="nil"/>
              <w:bottom w:val="nil"/>
              <w:right w:val="nil"/>
            </w:tcBorders>
            <w:shd w:val="clear" w:color="auto" w:fill="auto"/>
            <w:tcMar>
              <w:left w:w="28" w:type="dxa"/>
              <w:right w:w="28" w:type="dxa"/>
            </w:tcMar>
            <w:vAlign w:val="bottom"/>
            <w:hideMark/>
          </w:tcPr>
          <w:p w14:paraId="14AB3CC2" w14:textId="77777777" w:rsidR="0084445A" w:rsidRPr="00396969" w:rsidRDefault="0084445A" w:rsidP="00833465">
            <w:pPr>
              <w:pStyle w:val="a"/>
              <w:rPr>
                <w:rFonts w:asciiTheme="minorHAnsi" w:hAnsiTheme="minorHAnsi" w:cstheme="minorHAnsi"/>
                <w:b/>
                <w:color w:val="auto"/>
                <w:sz w:val="22"/>
                <w:szCs w:val="22"/>
                <w:lang w:val="bg-BG"/>
              </w:rPr>
            </w:pPr>
            <w:r w:rsidRPr="00396969">
              <w:rPr>
                <w:rFonts w:asciiTheme="minorHAnsi" w:hAnsiTheme="minorHAnsi" w:cstheme="minorHAnsi"/>
                <w:b/>
                <w:color w:val="auto"/>
                <w:sz w:val="22"/>
                <w:szCs w:val="22"/>
                <w:lang w:val="bg-BG"/>
              </w:rPr>
              <w:t xml:space="preserve">Общо </w:t>
            </w:r>
          </w:p>
        </w:tc>
        <w:tc>
          <w:tcPr>
            <w:tcW w:w="859" w:type="pct"/>
            <w:tcBorders>
              <w:top w:val="single" w:sz="4" w:space="0" w:color="auto"/>
              <w:left w:val="nil"/>
              <w:bottom w:val="double" w:sz="6" w:space="0" w:color="auto"/>
              <w:right w:val="nil"/>
            </w:tcBorders>
            <w:shd w:val="clear" w:color="auto" w:fill="auto"/>
            <w:tcMar>
              <w:left w:w="28" w:type="dxa"/>
              <w:right w:w="28" w:type="dxa"/>
            </w:tcMar>
            <w:vAlign w:val="bottom"/>
            <w:hideMark/>
          </w:tcPr>
          <w:p w14:paraId="08468D89" w14:textId="77777777" w:rsidR="0084445A" w:rsidRPr="00396969" w:rsidRDefault="0084445A" w:rsidP="00833465">
            <w:pPr>
              <w:pStyle w:val="a0"/>
              <w:widowControl w:val="0"/>
              <w:ind w:firstLine="709"/>
              <w:rPr>
                <w:rFonts w:asciiTheme="minorHAnsi" w:hAnsiTheme="minorHAnsi" w:cstheme="minorHAnsi"/>
                <w:b/>
                <w:color w:val="auto"/>
                <w:sz w:val="22"/>
                <w:szCs w:val="22"/>
                <w:lang w:val="bg-BG"/>
              </w:rPr>
            </w:pPr>
            <w:r w:rsidRPr="00396969">
              <w:rPr>
                <w:rFonts w:asciiTheme="minorHAnsi" w:hAnsiTheme="minorHAnsi" w:cstheme="minorHAnsi"/>
                <w:b/>
                <w:bCs/>
                <w:sz w:val="22"/>
                <w:szCs w:val="22"/>
              </w:rPr>
              <w:t xml:space="preserve">61 </w:t>
            </w:r>
          </w:p>
        </w:tc>
        <w:tc>
          <w:tcPr>
            <w:tcW w:w="778" w:type="pct"/>
            <w:tcBorders>
              <w:top w:val="single" w:sz="4" w:space="0" w:color="auto"/>
              <w:left w:val="nil"/>
              <w:bottom w:val="double" w:sz="6" w:space="0" w:color="auto"/>
              <w:right w:val="nil"/>
            </w:tcBorders>
            <w:shd w:val="clear" w:color="auto" w:fill="auto"/>
            <w:tcMar>
              <w:left w:w="28" w:type="dxa"/>
              <w:right w:w="28" w:type="dxa"/>
            </w:tcMar>
            <w:vAlign w:val="bottom"/>
            <w:hideMark/>
          </w:tcPr>
          <w:p w14:paraId="15B076F2" w14:textId="77777777" w:rsidR="0084445A" w:rsidRPr="00396969" w:rsidRDefault="0084445A" w:rsidP="00833465">
            <w:pPr>
              <w:pStyle w:val="a0"/>
              <w:widowControl w:val="0"/>
              <w:rPr>
                <w:rFonts w:asciiTheme="minorHAnsi" w:hAnsiTheme="minorHAnsi" w:cstheme="minorHAnsi"/>
                <w:b/>
                <w:color w:val="auto"/>
                <w:sz w:val="22"/>
                <w:szCs w:val="22"/>
                <w:lang w:val="bg-BG"/>
              </w:rPr>
            </w:pPr>
            <w:r w:rsidRPr="00396969">
              <w:rPr>
                <w:rFonts w:asciiTheme="minorHAnsi" w:hAnsiTheme="minorHAnsi" w:cstheme="minorHAnsi"/>
                <w:b/>
                <w:bCs/>
                <w:sz w:val="22"/>
                <w:szCs w:val="22"/>
                <w:lang w:val="bg-BG"/>
              </w:rPr>
              <w:t>60</w:t>
            </w:r>
          </w:p>
        </w:tc>
      </w:tr>
    </w:tbl>
    <w:p w14:paraId="1A673AAB" w14:textId="77777777" w:rsidR="00833465" w:rsidRDefault="00833465">
      <w:pPr>
        <w:rPr>
          <w:rFonts w:ascii="Calibri" w:hAnsi="Calibri"/>
        </w:rPr>
      </w:pPr>
      <w:bookmarkStart w:id="34" w:name="_Toc418084371"/>
      <w:r>
        <w:rPr>
          <w:rFonts w:ascii="Calibri" w:hAnsi="Calibri"/>
        </w:rPr>
        <w:br w:type="page"/>
      </w:r>
    </w:p>
    <w:p w14:paraId="1B1A3968" w14:textId="1C931C7B" w:rsidR="0084445A" w:rsidRPr="00741D80" w:rsidRDefault="0084445A" w:rsidP="00833465">
      <w:pPr>
        <w:pStyle w:val="Mainnumbers"/>
      </w:pPr>
      <w:bookmarkStart w:id="35" w:name="_Toc536452011"/>
      <w:r w:rsidRPr="00741D80">
        <w:lastRenderedPageBreak/>
        <w:t>РАЗХОДИ ЗА МАТЕРИАЛИ И КОНСУМАТИВИ</w:t>
      </w:r>
      <w:bookmarkEnd w:id="34"/>
      <w:bookmarkEnd w:id="35"/>
    </w:p>
    <w:tbl>
      <w:tblPr>
        <w:tblW w:w="5000" w:type="pct"/>
        <w:jc w:val="center"/>
        <w:tblLook w:val="04A0" w:firstRow="1" w:lastRow="0" w:firstColumn="1" w:lastColumn="0" w:noHBand="0" w:noVBand="1"/>
      </w:tblPr>
      <w:tblGrid>
        <w:gridCol w:w="6502"/>
        <w:gridCol w:w="1681"/>
        <w:gridCol w:w="1455"/>
      </w:tblGrid>
      <w:tr w:rsidR="0084445A" w:rsidRPr="00396969" w14:paraId="102797F6"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58190021" w14:textId="77777777" w:rsidR="0084445A" w:rsidRPr="00396969" w:rsidRDefault="0084445A" w:rsidP="00833465">
            <w:pPr>
              <w:pStyle w:val="a1"/>
              <w:jc w:val="both"/>
              <w:rPr>
                <w:rFonts w:asciiTheme="minorHAnsi" w:hAnsiTheme="minorHAnsi" w:cstheme="minorHAnsi"/>
                <w:b w:val="0"/>
                <w:color w:val="auto"/>
                <w:sz w:val="22"/>
                <w:szCs w:val="22"/>
                <w:lang w:val="bg-BG"/>
              </w:rPr>
            </w:pPr>
            <w:r w:rsidRPr="00396969">
              <w:rPr>
                <w:rFonts w:asciiTheme="minorHAnsi" w:hAnsiTheme="minorHAnsi" w:cstheme="minorHAnsi"/>
                <w:b w:val="0"/>
                <w:color w:val="auto"/>
                <w:sz w:val="22"/>
                <w:szCs w:val="22"/>
                <w:lang w:val="bg-BG"/>
              </w:rPr>
              <w:t>Разходите за материали и консумативи включват:</w:t>
            </w:r>
          </w:p>
        </w:tc>
        <w:tc>
          <w:tcPr>
            <w:tcW w:w="872" w:type="pct"/>
            <w:tcBorders>
              <w:top w:val="nil"/>
              <w:left w:val="nil"/>
              <w:bottom w:val="nil"/>
              <w:right w:val="nil"/>
            </w:tcBorders>
            <w:shd w:val="clear" w:color="auto" w:fill="auto"/>
            <w:tcMar>
              <w:left w:w="57" w:type="dxa"/>
              <w:right w:w="57" w:type="dxa"/>
            </w:tcMar>
            <w:vAlign w:val="bottom"/>
            <w:hideMark/>
          </w:tcPr>
          <w:p w14:paraId="5226D86A" w14:textId="77777777" w:rsidR="0084445A" w:rsidRPr="00396969" w:rsidRDefault="0084445A" w:rsidP="00833465">
            <w:pPr>
              <w:pStyle w:val="a1"/>
              <w:jc w:val="right"/>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31.12.2018</w:t>
            </w:r>
          </w:p>
        </w:tc>
        <w:tc>
          <w:tcPr>
            <w:tcW w:w="755" w:type="pct"/>
            <w:tcBorders>
              <w:top w:val="nil"/>
              <w:left w:val="nil"/>
              <w:bottom w:val="nil"/>
              <w:right w:val="nil"/>
            </w:tcBorders>
            <w:shd w:val="clear" w:color="auto" w:fill="auto"/>
            <w:tcMar>
              <w:left w:w="57" w:type="dxa"/>
              <w:right w:w="57" w:type="dxa"/>
            </w:tcMar>
            <w:vAlign w:val="bottom"/>
            <w:hideMark/>
          </w:tcPr>
          <w:p w14:paraId="37493FF6" w14:textId="77777777" w:rsidR="0084445A" w:rsidRPr="00396969" w:rsidRDefault="0084445A" w:rsidP="00833465">
            <w:pPr>
              <w:pStyle w:val="a1"/>
              <w:jc w:val="right"/>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31.12.2017</w:t>
            </w:r>
          </w:p>
        </w:tc>
      </w:tr>
      <w:tr w:rsidR="0084445A" w:rsidRPr="00396969" w14:paraId="51FB4A0C" w14:textId="77777777" w:rsidTr="00AE7CF9">
        <w:trPr>
          <w:trHeight w:val="120"/>
          <w:jc w:val="center"/>
        </w:trPr>
        <w:tc>
          <w:tcPr>
            <w:tcW w:w="3373" w:type="pct"/>
            <w:tcBorders>
              <w:top w:val="nil"/>
              <w:left w:val="nil"/>
              <w:bottom w:val="nil"/>
              <w:right w:val="nil"/>
            </w:tcBorders>
            <w:shd w:val="clear" w:color="auto" w:fill="auto"/>
            <w:tcMar>
              <w:left w:w="57" w:type="dxa"/>
              <w:right w:w="57" w:type="dxa"/>
            </w:tcMar>
            <w:vAlign w:val="bottom"/>
            <w:hideMark/>
          </w:tcPr>
          <w:p w14:paraId="59FD78CE" w14:textId="77777777" w:rsidR="0084445A" w:rsidRPr="00396969" w:rsidRDefault="0084445A" w:rsidP="00833465">
            <w:pPr>
              <w:pStyle w:val="a1"/>
              <w:rPr>
                <w:rFonts w:asciiTheme="minorHAnsi" w:hAnsiTheme="minorHAnsi" w:cstheme="minorHAnsi"/>
                <w:color w:val="auto"/>
                <w:sz w:val="22"/>
                <w:szCs w:val="22"/>
                <w:lang w:val="bg-BG"/>
              </w:rPr>
            </w:pPr>
          </w:p>
        </w:tc>
        <w:tc>
          <w:tcPr>
            <w:tcW w:w="872" w:type="pct"/>
            <w:tcBorders>
              <w:top w:val="nil"/>
              <w:left w:val="nil"/>
              <w:bottom w:val="nil"/>
              <w:right w:val="nil"/>
            </w:tcBorders>
            <w:shd w:val="clear" w:color="auto" w:fill="auto"/>
            <w:noWrap/>
            <w:tcMar>
              <w:left w:w="57" w:type="dxa"/>
              <w:right w:w="57" w:type="dxa"/>
            </w:tcMar>
            <w:hideMark/>
          </w:tcPr>
          <w:p w14:paraId="6C1058C4" w14:textId="77777777" w:rsidR="0084445A" w:rsidRPr="00396969" w:rsidRDefault="0084445A" w:rsidP="00833465">
            <w:pPr>
              <w:pStyle w:val="a1"/>
              <w:jc w:val="right"/>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BGN'000</w:t>
            </w:r>
          </w:p>
        </w:tc>
        <w:tc>
          <w:tcPr>
            <w:tcW w:w="755" w:type="pct"/>
            <w:tcBorders>
              <w:top w:val="nil"/>
              <w:left w:val="nil"/>
              <w:bottom w:val="nil"/>
              <w:right w:val="nil"/>
            </w:tcBorders>
            <w:shd w:val="clear" w:color="auto" w:fill="auto"/>
            <w:noWrap/>
            <w:tcMar>
              <w:left w:w="57" w:type="dxa"/>
              <w:right w:w="57" w:type="dxa"/>
            </w:tcMar>
            <w:hideMark/>
          </w:tcPr>
          <w:p w14:paraId="4A2A408D" w14:textId="77777777" w:rsidR="0084445A" w:rsidRPr="00396969" w:rsidRDefault="0084445A" w:rsidP="00833465">
            <w:pPr>
              <w:pStyle w:val="a1"/>
              <w:jc w:val="right"/>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BGN'000</w:t>
            </w:r>
          </w:p>
        </w:tc>
      </w:tr>
      <w:tr w:rsidR="0084445A" w:rsidRPr="00396969" w14:paraId="3ADB388F"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30548C9F"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Гориво и резервни части</w:t>
            </w:r>
          </w:p>
        </w:tc>
        <w:tc>
          <w:tcPr>
            <w:tcW w:w="872" w:type="pct"/>
            <w:tcBorders>
              <w:top w:val="nil"/>
              <w:left w:val="nil"/>
              <w:bottom w:val="nil"/>
              <w:right w:val="nil"/>
            </w:tcBorders>
            <w:shd w:val="clear" w:color="auto" w:fill="auto"/>
            <w:tcMar>
              <w:left w:w="57" w:type="dxa"/>
              <w:right w:w="57" w:type="dxa"/>
            </w:tcMar>
            <w:vAlign w:val="bottom"/>
            <w:hideMark/>
          </w:tcPr>
          <w:p w14:paraId="36A37692"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8 </w:t>
            </w:r>
          </w:p>
        </w:tc>
        <w:tc>
          <w:tcPr>
            <w:tcW w:w="755" w:type="pct"/>
            <w:tcBorders>
              <w:top w:val="nil"/>
              <w:left w:val="nil"/>
              <w:bottom w:val="nil"/>
              <w:right w:val="nil"/>
            </w:tcBorders>
            <w:shd w:val="clear" w:color="auto" w:fill="auto"/>
            <w:tcMar>
              <w:left w:w="57" w:type="dxa"/>
              <w:right w:w="57" w:type="dxa"/>
            </w:tcMar>
            <w:vAlign w:val="bottom"/>
            <w:hideMark/>
          </w:tcPr>
          <w:p w14:paraId="38088B77" w14:textId="77777777" w:rsidR="0084445A" w:rsidRPr="00396969" w:rsidRDefault="0084445A" w:rsidP="00833465">
            <w:pPr>
              <w:pStyle w:val="a0"/>
              <w:widowControl w:val="0"/>
              <w:rPr>
                <w:rFonts w:asciiTheme="minorHAnsi" w:hAnsiTheme="minorHAnsi" w:cstheme="minorHAnsi"/>
                <w:color w:val="auto"/>
                <w:sz w:val="22"/>
                <w:szCs w:val="22"/>
                <w:lang w:val="bg-BG"/>
              </w:rPr>
            </w:pPr>
            <w:r w:rsidRPr="00396969">
              <w:rPr>
                <w:rFonts w:asciiTheme="minorHAnsi" w:hAnsiTheme="minorHAnsi" w:cstheme="minorHAnsi"/>
                <w:sz w:val="22"/>
                <w:szCs w:val="22"/>
                <w:lang w:val="bg-BG"/>
              </w:rPr>
              <w:t>7</w:t>
            </w:r>
            <w:r w:rsidRPr="00396969">
              <w:rPr>
                <w:rFonts w:asciiTheme="minorHAnsi" w:hAnsiTheme="minorHAnsi" w:cstheme="minorHAnsi"/>
                <w:sz w:val="22"/>
                <w:szCs w:val="22"/>
              </w:rPr>
              <w:t xml:space="preserve"> </w:t>
            </w:r>
          </w:p>
        </w:tc>
      </w:tr>
      <w:tr w:rsidR="0084445A" w:rsidRPr="00396969" w14:paraId="7803F10D"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0715A81C"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 xml:space="preserve">Офис консумативи и хигиенни материали </w:t>
            </w:r>
          </w:p>
        </w:tc>
        <w:tc>
          <w:tcPr>
            <w:tcW w:w="872" w:type="pct"/>
            <w:tcBorders>
              <w:top w:val="nil"/>
              <w:left w:val="nil"/>
              <w:bottom w:val="nil"/>
              <w:right w:val="nil"/>
            </w:tcBorders>
            <w:shd w:val="clear" w:color="auto" w:fill="auto"/>
            <w:tcMar>
              <w:left w:w="57" w:type="dxa"/>
              <w:right w:w="57" w:type="dxa"/>
            </w:tcMar>
            <w:vAlign w:val="bottom"/>
            <w:hideMark/>
          </w:tcPr>
          <w:p w14:paraId="64DEEBB3"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18 </w:t>
            </w:r>
          </w:p>
        </w:tc>
        <w:tc>
          <w:tcPr>
            <w:tcW w:w="755" w:type="pct"/>
            <w:tcBorders>
              <w:top w:val="nil"/>
              <w:left w:val="nil"/>
              <w:bottom w:val="nil"/>
              <w:right w:val="nil"/>
            </w:tcBorders>
            <w:shd w:val="clear" w:color="auto" w:fill="auto"/>
            <w:tcMar>
              <w:left w:w="57" w:type="dxa"/>
              <w:right w:w="57" w:type="dxa"/>
            </w:tcMar>
            <w:vAlign w:val="bottom"/>
            <w:hideMark/>
          </w:tcPr>
          <w:p w14:paraId="57050E57"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lang w:val="bg-BG"/>
              </w:rPr>
              <w:t>11</w:t>
            </w:r>
          </w:p>
        </w:tc>
      </w:tr>
      <w:tr w:rsidR="0084445A" w:rsidRPr="00396969" w14:paraId="425E6D39"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4A436A92"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 xml:space="preserve">Канцеларски материали </w:t>
            </w:r>
          </w:p>
        </w:tc>
        <w:tc>
          <w:tcPr>
            <w:tcW w:w="872" w:type="pct"/>
            <w:tcBorders>
              <w:top w:val="nil"/>
              <w:left w:val="nil"/>
              <w:bottom w:val="nil"/>
              <w:right w:val="nil"/>
            </w:tcBorders>
            <w:shd w:val="clear" w:color="auto" w:fill="auto"/>
            <w:tcMar>
              <w:left w:w="57" w:type="dxa"/>
              <w:right w:w="57" w:type="dxa"/>
            </w:tcMar>
            <w:vAlign w:val="bottom"/>
            <w:hideMark/>
          </w:tcPr>
          <w:p w14:paraId="175C3DC8"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1</w:t>
            </w:r>
          </w:p>
        </w:tc>
        <w:tc>
          <w:tcPr>
            <w:tcW w:w="755" w:type="pct"/>
            <w:tcBorders>
              <w:top w:val="nil"/>
              <w:left w:val="nil"/>
              <w:bottom w:val="nil"/>
              <w:right w:val="nil"/>
            </w:tcBorders>
            <w:shd w:val="clear" w:color="auto" w:fill="auto"/>
            <w:tcMar>
              <w:left w:w="57" w:type="dxa"/>
              <w:right w:w="57" w:type="dxa"/>
            </w:tcMar>
            <w:vAlign w:val="bottom"/>
            <w:hideMark/>
          </w:tcPr>
          <w:p w14:paraId="48BAD3DC"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1 </w:t>
            </w:r>
          </w:p>
        </w:tc>
      </w:tr>
      <w:tr w:rsidR="0084445A" w:rsidRPr="00396969" w14:paraId="1729CC13"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3B90F66E" w14:textId="77777777" w:rsidR="0084445A" w:rsidRPr="00396969" w:rsidRDefault="0084445A" w:rsidP="00833465">
            <w:pPr>
              <w:pStyle w:val="a"/>
              <w:rPr>
                <w:rFonts w:asciiTheme="minorHAnsi" w:hAnsiTheme="minorHAnsi" w:cstheme="minorHAnsi"/>
                <w:b/>
                <w:color w:val="auto"/>
                <w:sz w:val="22"/>
                <w:szCs w:val="22"/>
                <w:lang w:val="bg-BG"/>
              </w:rPr>
            </w:pPr>
            <w:r w:rsidRPr="00396969">
              <w:rPr>
                <w:rFonts w:asciiTheme="minorHAnsi" w:hAnsiTheme="minorHAnsi" w:cstheme="minorHAnsi"/>
                <w:b/>
                <w:color w:val="auto"/>
                <w:sz w:val="22"/>
                <w:szCs w:val="22"/>
                <w:lang w:val="bg-BG"/>
              </w:rPr>
              <w:t>Общо</w:t>
            </w:r>
          </w:p>
        </w:tc>
        <w:tc>
          <w:tcPr>
            <w:tcW w:w="872" w:type="pct"/>
            <w:tcBorders>
              <w:top w:val="single" w:sz="4" w:space="0" w:color="auto"/>
              <w:left w:val="nil"/>
              <w:bottom w:val="double" w:sz="6" w:space="0" w:color="auto"/>
              <w:right w:val="nil"/>
            </w:tcBorders>
            <w:shd w:val="clear" w:color="auto" w:fill="auto"/>
            <w:tcMar>
              <w:left w:w="57" w:type="dxa"/>
              <w:right w:w="57" w:type="dxa"/>
            </w:tcMar>
            <w:vAlign w:val="bottom"/>
            <w:hideMark/>
          </w:tcPr>
          <w:p w14:paraId="434AA1D1" w14:textId="77777777" w:rsidR="0084445A" w:rsidRPr="00396969" w:rsidRDefault="0084445A" w:rsidP="00833465">
            <w:pPr>
              <w:pStyle w:val="a0"/>
              <w:widowControl w:val="0"/>
              <w:ind w:firstLine="709"/>
              <w:rPr>
                <w:rFonts w:asciiTheme="minorHAnsi" w:hAnsiTheme="minorHAnsi" w:cstheme="minorHAnsi"/>
                <w:b/>
                <w:color w:val="auto"/>
                <w:sz w:val="22"/>
                <w:szCs w:val="22"/>
                <w:lang w:val="bg-BG"/>
              </w:rPr>
            </w:pPr>
            <w:r w:rsidRPr="00396969">
              <w:rPr>
                <w:rFonts w:asciiTheme="minorHAnsi" w:hAnsiTheme="minorHAnsi" w:cstheme="minorHAnsi"/>
                <w:b/>
                <w:bCs/>
                <w:sz w:val="22"/>
                <w:szCs w:val="22"/>
              </w:rPr>
              <w:t>27</w:t>
            </w:r>
          </w:p>
        </w:tc>
        <w:tc>
          <w:tcPr>
            <w:tcW w:w="755" w:type="pct"/>
            <w:tcBorders>
              <w:top w:val="single" w:sz="4" w:space="0" w:color="auto"/>
              <w:left w:val="nil"/>
              <w:bottom w:val="double" w:sz="6" w:space="0" w:color="auto"/>
              <w:right w:val="nil"/>
            </w:tcBorders>
            <w:shd w:val="clear" w:color="auto" w:fill="auto"/>
            <w:tcMar>
              <w:left w:w="57" w:type="dxa"/>
              <w:right w:w="57" w:type="dxa"/>
            </w:tcMar>
            <w:vAlign w:val="bottom"/>
            <w:hideMark/>
          </w:tcPr>
          <w:p w14:paraId="212EB02F" w14:textId="77777777" w:rsidR="0084445A" w:rsidRPr="00396969" w:rsidRDefault="0084445A" w:rsidP="00833465">
            <w:pPr>
              <w:pStyle w:val="a0"/>
              <w:rPr>
                <w:rFonts w:asciiTheme="minorHAnsi" w:hAnsiTheme="minorHAnsi" w:cstheme="minorHAnsi"/>
                <w:b/>
                <w:sz w:val="22"/>
                <w:szCs w:val="22"/>
                <w:lang w:val="bg-BG"/>
              </w:rPr>
            </w:pPr>
            <w:r w:rsidRPr="00396969">
              <w:rPr>
                <w:rFonts w:asciiTheme="minorHAnsi" w:hAnsiTheme="minorHAnsi" w:cstheme="minorHAnsi"/>
                <w:b/>
                <w:sz w:val="22"/>
                <w:szCs w:val="22"/>
                <w:lang w:val="bg-BG"/>
              </w:rPr>
              <w:t>19</w:t>
            </w:r>
          </w:p>
        </w:tc>
      </w:tr>
    </w:tbl>
    <w:p w14:paraId="3986B5F1" w14:textId="77777777" w:rsidR="0084445A" w:rsidRPr="00741D80" w:rsidRDefault="0084445A" w:rsidP="00833465">
      <w:pPr>
        <w:pStyle w:val="Mainnumbers"/>
      </w:pPr>
      <w:bookmarkStart w:id="36" w:name="_Toc418084372"/>
      <w:bookmarkStart w:id="37" w:name="_Toc536452012"/>
      <w:r w:rsidRPr="00741D80">
        <w:t>РАЗХОДИ ЗА ВЪНШНИ УСЛУГИ</w:t>
      </w:r>
      <w:bookmarkEnd w:id="36"/>
      <w:bookmarkEnd w:id="37"/>
    </w:p>
    <w:tbl>
      <w:tblPr>
        <w:tblW w:w="5000" w:type="pct"/>
        <w:jc w:val="center"/>
        <w:tblLook w:val="04A0" w:firstRow="1" w:lastRow="0" w:firstColumn="1" w:lastColumn="0" w:noHBand="0" w:noVBand="1"/>
      </w:tblPr>
      <w:tblGrid>
        <w:gridCol w:w="6502"/>
        <w:gridCol w:w="1681"/>
        <w:gridCol w:w="1455"/>
      </w:tblGrid>
      <w:tr w:rsidR="0084445A" w:rsidRPr="00396969" w14:paraId="4960D26B"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7FFEAB80" w14:textId="77777777" w:rsidR="0084445A" w:rsidRPr="00396969" w:rsidRDefault="0084445A" w:rsidP="00833465">
            <w:pPr>
              <w:pStyle w:val="a1"/>
              <w:jc w:val="left"/>
              <w:rPr>
                <w:rFonts w:asciiTheme="minorHAnsi" w:hAnsiTheme="minorHAnsi" w:cstheme="minorHAnsi"/>
                <w:b w:val="0"/>
                <w:color w:val="auto"/>
                <w:sz w:val="22"/>
                <w:szCs w:val="22"/>
                <w:lang w:val="bg-BG"/>
              </w:rPr>
            </w:pPr>
            <w:r w:rsidRPr="00396969">
              <w:rPr>
                <w:rFonts w:asciiTheme="minorHAnsi" w:hAnsiTheme="minorHAnsi" w:cstheme="minorHAnsi"/>
                <w:b w:val="0"/>
                <w:color w:val="auto"/>
                <w:sz w:val="22"/>
                <w:szCs w:val="22"/>
                <w:lang w:val="bg-BG"/>
              </w:rPr>
              <w:t>Разходите за външни услуги включват:</w:t>
            </w:r>
          </w:p>
        </w:tc>
        <w:tc>
          <w:tcPr>
            <w:tcW w:w="872" w:type="pct"/>
            <w:tcBorders>
              <w:top w:val="nil"/>
              <w:left w:val="nil"/>
              <w:bottom w:val="nil"/>
              <w:right w:val="nil"/>
            </w:tcBorders>
            <w:shd w:val="clear" w:color="auto" w:fill="auto"/>
            <w:tcMar>
              <w:left w:w="57" w:type="dxa"/>
              <w:right w:w="57" w:type="dxa"/>
            </w:tcMar>
            <w:vAlign w:val="bottom"/>
            <w:hideMark/>
          </w:tcPr>
          <w:p w14:paraId="68063C3E" w14:textId="77777777" w:rsidR="0084445A" w:rsidRPr="00396969" w:rsidRDefault="0084445A" w:rsidP="00833465">
            <w:pPr>
              <w:pStyle w:val="a1"/>
              <w:jc w:val="right"/>
              <w:rPr>
                <w:rFonts w:asciiTheme="minorHAnsi" w:hAnsiTheme="minorHAnsi" w:cstheme="minorHAnsi"/>
                <w:color w:val="auto"/>
                <w:sz w:val="22"/>
                <w:szCs w:val="22"/>
              </w:rPr>
            </w:pPr>
            <w:r w:rsidRPr="00396969">
              <w:rPr>
                <w:rFonts w:asciiTheme="minorHAnsi" w:hAnsiTheme="minorHAnsi" w:cstheme="minorHAnsi"/>
                <w:color w:val="auto"/>
                <w:sz w:val="22"/>
                <w:szCs w:val="22"/>
                <w:lang w:val="bg-BG"/>
              </w:rPr>
              <w:t>31.12</w:t>
            </w:r>
            <w:r w:rsidRPr="00396969">
              <w:rPr>
                <w:rFonts w:asciiTheme="minorHAnsi" w:hAnsiTheme="minorHAnsi" w:cstheme="minorHAnsi"/>
                <w:color w:val="auto"/>
                <w:sz w:val="22"/>
                <w:szCs w:val="22"/>
              </w:rPr>
              <w:t>.</w:t>
            </w:r>
            <w:r w:rsidRPr="00396969">
              <w:rPr>
                <w:rFonts w:asciiTheme="minorHAnsi" w:hAnsiTheme="minorHAnsi" w:cstheme="minorHAnsi"/>
                <w:color w:val="auto"/>
                <w:sz w:val="22"/>
                <w:szCs w:val="22"/>
                <w:lang w:val="bg-BG"/>
              </w:rPr>
              <w:t>2018</w:t>
            </w:r>
          </w:p>
        </w:tc>
        <w:tc>
          <w:tcPr>
            <w:tcW w:w="755" w:type="pct"/>
            <w:tcBorders>
              <w:top w:val="nil"/>
              <w:left w:val="nil"/>
              <w:bottom w:val="nil"/>
              <w:right w:val="nil"/>
            </w:tcBorders>
            <w:shd w:val="clear" w:color="auto" w:fill="auto"/>
            <w:tcMar>
              <w:left w:w="57" w:type="dxa"/>
              <w:right w:w="57" w:type="dxa"/>
            </w:tcMar>
            <w:vAlign w:val="bottom"/>
            <w:hideMark/>
          </w:tcPr>
          <w:p w14:paraId="52420258" w14:textId="77777777" w:rsidR="0084445A" w:rsidRPr="00396969" w:rsidRDefault="0084445A" w:rsidP="00833465">
            <w:pPr>
              <w:pStyle w:val="a1"/>
              <w:jc w:val="right"/>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31.12.2017</w:t>
            </w:r>
          </w:p>
        </w:tc>
      </w:tr>
      <w:tr w:rsidR="0084445A" w:rsidRPr="00396969" w14:paraId="4D0080A6"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227534A8" w14:textId="77777777" w:rsidR="0084445A" w:rsidRPr="00396969" w:rsidRDefault="0084445A" w:rsidP="00833465">
            <w:pPr>
              <w:pStyle w:val="a1"/>
              <w:rPr>
                <w:rFonts w:asciiTheme="minorHAnsi" w:hAnsiTheme="minorHAnsi" w:cstheme="minorHAnsi"/>
                <w:color w:val="auto"/>
                <w:sz w:val="22"/>
                <w:szCs w:val="22"/>
                <w:lang w:val="bg-BG"/>
              </w:rPr>
            </w:pPr>
          </w:p>
        </w:tc>
        <w:tc>
          <w:tcPr>
            <w:tcW w:w="872" w:type="pct"/>
            <w:tcBorders>
              <w:top w:val="nil"/>
              <w:left w:val="nil"/>
              <w:bottom w:val="nil"/>
              <w:right w:val="nil"/>
            </w:tcBorders>
            <w:shd w:val="clear" w:color="auto" w:fill="auto"/>
            <w:noWrap/>
            <w:tcMar>
              <w:left w:w="57" w:type="dxa"/>
              <w:right w:w="57" w:type="dxa"/>
            </w:tcMar>
            <w:hideMark/>
          </w:tcPr>
          <w:p w14:paraId="0571C616" w14:textId="77777777" w:rsidR="0084445A" w:rsidRPr="00396969" w:rsidRDefault="0084445A" w:rsidP="00833465">
            <w:pPr>
              <w:pStyle w:val="a1"/>
              <w:jc w:val="right"/>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BGN'000</w:t>
            </w:r>
          </w:p>
        </w:tc>
        <w:tc>
          <w:tcPr>
            <w:tcW w:w="755" w:type="pct"/>
            <w:tcBorders>
              <w:top w:val="nil"/>
              <w:left w:val="nil"/>
              <w:bottom w:val="nil"/>
              <w:right w:val="nil"/>
            </w:tcBorders>
            <w:shd w:val="clear" w:color="auto" w:fill="auto"/>
            <w:noWrap/>
            <w:tcMar>
              <w:left w:w="57" w:type="dxa"/>
              <w:right w:w="57" w:type="dxa"/>
            </w:tcMar>
            <w:hideMark/>
          </w:tcPr>
          <w:p w14:paraId="78C8DE2E" w14:textId="77777777" w:rsidR="0084445A" w:rsidRPr="00396969" w:rsidRDefault="0084445A" w:rsidP="00833465">
            <w:pPr>
              <w:pStyle w:val="a1"/>
              <w:jc w:val="right"/>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BGN'000</w:t>
            </w:r>
          </w:p>
        </w:tc>
      </w:tr>
      <w:tr w:rsidR="0084445A" w:rsidRPr="00396969" w14:paraId="726F3C96"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2754368D"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Лицензионни такси</w:t>
            </w:r>
          </w:p>
        </w:tc>
        <w:tc>
          <w:tcPr>
            <w:tcW w:w="872" w:type="pct"/>
            <w:tcBorders>
              <w:top w:val="nil"/>
              <w:left w:val="nil"/>
              <w:bottom w:val="nil"/>
              <w:right w:val="nil"/>
            </w:tcBorders>
            <w:shd w:val="clear" w:color="auto" w:fill="auto"/>
            <w:tcMar>
              <w:left w:w="57" w:type="dxa"/>
              <w:right w:w="57" w:type="dxa"/>
            </w:tcMar>
            <w:vAlign w:val="bottom"/>
            <w:hideMark/>
          </w:tcPr>
          <w:p w14:paraId="64BD7552" w14:textId="77777777" w:rsidR="0084445A" w:rsidRPr="00396969" w:rsidRDefault="0084445A" w:rsidP="00833465">
            <w:pPr>
              <w:pStyle w:val="a0"/>
              <w:widowControl w:val="0"/>
              <w:ind w:firstLine="709"/>
              <w:rPr>
                <w:rFonts w:asciiTheme="minorHAnsi" w:hAnsiTheme="minorHAnsi" w:cstheme="minorHAnsi"/>
                <w:bCs/>
                <w:color w:val="auto"/>
                <w:sz w:val="22"/>
                <w:szCs w:val="22"/>
                <w:lang w:val="bg-BG"/>
              </w:rPr>
            </w:pPr>
            <w:r w:rsidRPr="00396969">
              <w:rPr>
                <w:rFonts w:asciiTheme="minorHAnsi" w:hAnsiTheme="minorHAnsi" w:cstheme="minorHAnsi"/>
                <w:sz w:val="22"/>
                <w:szCs w:val="22"/>
              </w:rPr>
              <w:t xml:space="preserve">430 </w:t>
            </w:r>
          </w:p>
        </w:tc>
        <w:tc>
          <w:tcPr>
            <w:tcW w:w="755" w:type="pct"/>
            <w:tcBorders>
              <w:top w:val="nil"/>
              <w:left w:val="nil"/>
              <w:bottom w:val="nil"/>
              <w:right w:val="nil"/>
            </w:tcBorders>
            <w:shd w:val="clear" w:color="auto" w:fill="auto"/>
            <w:tcMar>
              <w:left w:w="57" w:type="dxa"/>
              <w:right w:w="57" w:type="dxa"/>
            </w:tcMar>
            <w:vAlign w:val="bottom"/>
            <w:hideMark/>
          </w:tcPr>
          <w:p w14:paraId="534AAA2C"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407 </w:t>
            </w:r>
          </w:p>
        </w:tc>
      </w:tr>
      <w:tr w:rsidR="0084445A" w:rsidRPr="00396969" w14:paraId="6CA05B2C"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30744832"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Консултантски и други услуги</w:t>
            </w:r>
          </w:p>
        </w:tc>
        <w:tc>
          <w:tcPr>
            <w:tcW w:w="872" w:type="pct"/>
            <w:tcBorders>
              <w:top w:val="nil"/>
              <w:left w:val="nil"/>
              <w:bottom w:val="nil"/>
              <w:right w:val="nil"/>
            </w:tcBorders>
            <w:shd w:val="clear" w:color="auto" w:fill="auto"/>
            <w:tcMar>
              <w:left w:w="57" w:type="dxa"/>
              <w:right w:w="57" w:type="dxa"/>
            </w:tcMar>
            <w:vAlign w:val="bottom"/>
            <w:hideMark/>
          </w:tcPr>
          <w:p w14:paraId="780269D2" w14:textId="77777777" w:rsidR="0084445A" w:rsidRPr="00396969" w:rsidRDefault="0084445A" w:rsidP="00833465">
            <w:pPr>
              <w:pStyle w:val="a0"/>
              <w:rPr>
                <w:rFonts w:asciiTheme="minorHAnsi" w:hAnsiTheme="minorHAnsi" w:cstheme="minorHAnsi"/>
                <w:bCs/>
                <w:color w:val="auto"/>
                <w:sz w:val="22"/>
                <w:szCs w:val="22"/>
                <w:lang w:val="bg-BG"/>
              </w:rPr>
            </w:pPr>
            <w:r w:rsidRPr="00396969">
              <w:rPr>
                <w:rFonts w:asciiTheme="minorHAnsi" w:hAnsiTheme="minorHAnsi" w:cstheme="minorHAnsi"/>
                <w:sz w:val="22"/>
                <w:szCs w:val="22"/>
              </w:rPr>
              <w:t xml:space="preserve">264 </w:t>
            </w:r>
          </w:p>
        </w:tc>
        <w:tc>
          <w:tcPr>
            <w:tcW w:w="755" w:type="pct"/>
            <w:tcBorders>
              <w:top w:val="nil"/>
              <w:left w:val="nil"/>
              <w:bottom w:val="nil"/>
              <w:right w:val="nil"/>
            </w:tcBorders>
            <w:shd w:val="clear" w:color="auto" w:fill="auto"/>
            <w:tcMar>
              <w:left w:w="57" w:type="dxa"/>
              <w:right w:w="57" w:type="dxa"/>
            </w:tcMar>
            <w:vAlign w:val="bottom"/>
            <w:hideMark/>
          </w:tcPr>
          <w:p w14:paraId="0FA29E52"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187 </w:t>
            </w:r>
          </w:p>
        </w:tc>
      </w:tr>
      <w:tr w:rsidR="0084445A" w:rsidRPr="00396969" w14:paraId="5267AD24"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5ED68757"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Поддръжка на офис</w:t>
            </w:r>
          </w:p>
        </w:tc>
        <w:tc>
          <w:tcPr>
            <w:tcW w:w="872" w:type="pct"/>
            <w:tcBorders>
              <w:top w:val="nil"/>
              <w:left w:val="nil"/>
              <w:bottom w:val="nil"/>
              <w:right w:val="nil"/>
            </w:tcBorders>
            <w:shd w:val="clear" w:color="auto" w:fill="auto"/>
            <w:tcMar>
              <w:left w:w="57" w:type="dxa"/>
              <w:right w:w="57" w:type="dxa"/>
            </w:tcMar>
            <w:vAlign w:val="bottom"/>
            <w:hideMark/>
          </w:tcPr>
          <w:p w14:paraId="67130538"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138 </w:t>
            </w:r>
          </w:p>
        </w:tc>
        <w:tc>
          <w:tcPr>
            <w:tcW w:w="755" w:type="pct"/>
            <w:tcBorders>
              <w:top w:val="nil"/>
              <w:left w:val="nil"/>
              <w:bottom w:val="nil"/>
              <w:right w:val="nil"/>
            </w:tcBorders>
            <w:shd w:val="clear" w:color="auto" w:fill="auto"/>
            <w:tcMar>
              <w:left w:w="57" w:type="dxa"/>
              <w:right w:w="57" w:type="dxa"/>
            </w:tcMar>
            <w:vAlign w:val="bottom"/>
            <w:hideMark/>
          </w:tcPr>
          <w:p w14:paraId="5FBC35C5"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97 </w:t>
            </w:r>
          </w:p>
        </w:tc>
      </w:tr>
      <w:tr w:rsidR="0084445A" w:rsidRPr="00396969" w14:paraId="004A0048"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6E6A3177"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 xml:space="preserve">Такси за членство </w:t>
            </w:r>
          </w:p>
        </w:tc>
        <w:tc>
          <w:tcPr>
            <w:tcW w:w="872" w:type="pct"/>
            <w:tcBorders>
              <w:top w:val="nil"/>
              <w:left w:val="nil"/>
              <w:bottom w:val="nil"/>
              <w:right w:val="nil"/>
            </w:tcBorders>
            <w:shd w:val="clear" w:color="auto" w:fill="auto"/>
            <w:tcMar>
              <w:left w:w="57" w:type="dxa"/>
              <w:right w:w="57" w:type="dxa"/>
            </w:tcMar>
            <w:vAlign w:val="bottom"/>
            <w:hideMark/>
          </w:tcPr>
          <w:p w14:paraId="7AF897F1"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3 </w:t>
            </w:r>
          </w:p>
        </w:tc>
        <w:tc>
          <w:tcPr>
            <w:tcW w:w="755" w:type="pct"/>
            <w:tcBorders>
              <w:top w:val="nil"/>
              <w:left w:val="nil"/>
              <w:bottom w:val="nil"/>
              <w:right w:val="nil"/>
            </w:tcBorders>
            <w:shd w:val="clear" w:color="auto" w:fill="auto"/>
            <w:tcMar>
              <w:left w:w="57" w:type="dxa"/>
              <w:right w:w="57" w:type="dxa"/>
            </w:tcMar>
            <w:vAlign w:val="bottom"/>
            <w:hideMark/>
          </w:tcPr>
          <w:p w14:paraId="2DE9E02E"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31 </w:t>
            </w:r>
          </w:p>
        </w:tc>
      </w:tr>
      <w:tr w:rsidR="0084445A" w:rsidRPr="00396969" w14:paraId="0B9600E9"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31F98D25"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Комуникации</w:t>
            </w:r>
          </w:p>
        </w:tc>
        <w:tc>
          <w:tcPr>
            <w:tcW w:w="872" w:type="pct"/>
            <w:tcBorders>
              <w:top w:val="nil"/>
              <w:left w:val="nil"/>
              <w:bottom w:val="nil"/>
              <w:right w:val="nil"/>
            </w:tcBorders>
            <w:shd w:val="clear" w:color="auto" w:fill="auto"/>
            <w:tcMar>
              <w:left w:w="57" w:type="dxa"/>
              <w:right w:w="57" w:type="dxa"/>
            </w:tcMar>
            <w:vAlign w:val="bottom"/>
            <w:hideMark/>
          </w:tcPr>
          <w:p w14:paraId="4DA886C1"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35 </w:t>
            </w:r>
          </w:p>
        </w:tc>
        <w:tc>
          <w:tcPr>
            <w:tcW w:w="755" w:type="pct"/>
            <w:tcBorders>
              <w:top w:val="nil"/>
              <w:left w:val="nil"/>
              <w:bottom w:val="nil"/>
              <w:right w:val="nil"/>
            </w:tcBorders>
            <w:shd w:val="clear" w:color="auto" w:fill="auto"/>
            <w:tcMar>
              <w:left w:w="57" w:type="dxa"/>
              <w:right w:w="57" w:type="dxa"/>
            </w:tcMar>
            <w:vAlign w:val="bottom"/>
            <w:hideMark/>
          </w:tcPr>
          <w:p w14:paraId="554678D2"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38 </w:t>
            </w:r>
          </w:p>
        </w:tc>
      </w:tr>
      <w:tr w:rsidR="0084445A" w:rsidRPr="00396969" w14:paraId="328B7AD1"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14AD9E59"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 xml:space="preserve">Данъци и такси </w:t>
            </w:r>
          </w:p>
        </w:tc>
        <w:tc>
          <w:tcPr>
            <w:tcW w:w="872" w:type="pct"/>
            <w:tcBorders>
              <w:top w:val="nil"/>
              <w:left w:val="nil"/>
              <w:bottom w:val="nil"/>
              <w:right w:val="nil"/>
            </w:tcBorders>
            <w:shd w:val="clear" w:color="auto" w:fill="auto"/>
            <w:tcMar>
              <w:left w:w="57" w:type="dxa"/>
              <w:right w:w="57" w:type="dxa"/>
            </w:tcMar>
            <w:vAlign w:val="bottom"/>
            <w:hideMark/>
          </w:tcPr>
          <w:p w14:paraId="63A07C8B"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11 </w:t>
            </w:r>
          </w:p>
        </w:tc>
        <w:tc>
          <w:tcPr>
            <w:tcW w:w="755" w:type="pct"/>
            <w:tcBorders>
              <w:top w:val="nil"/>
              <w:left w:val="nil"/>
              <w:bottom w:val="nil"/>
              <w:right w:val="nil"/>
            </w:tcBorders>
            <w:shd w:val="clear" w:color="auto" w:fill="auto"/>
            <w:tcMar>
              <w:left w:w="57" w:type="dxa"/>
              <w:right w:w="57" w:type="dxa"/>
            </w:tcMar>
            <w:vAlign w:val="bottom"/>
            <w:hideMark/>
          </w:tcPr>
          <w:p w14:paraId="1ED6D3E3"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12 </w:t>
            </w:r>
          </w:p>
        </w:tc>
      </w:tr>
      <w:tr w:rsidR="0084445A" w:rsidRPr="00396969" w14:paraId="07A8BDB9"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2BF3651D"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Застраховки</w:t>
            </w:r>
          </w:p>
        </w:tc>
        <w:tc>
          <w:tcPr>
            <w:tcW w:w="872" w:type="pct"/>
            <w:tcBorders>
              <w:top w:val="nil"/>
              <w:left w:val="nil"/>
              <w:bottom w:val="nil"/>
              <w:right w:val="nil"/>
            </w:tcBorders>
            <w:shd w:val="clear" w:color="auto" w:fill="auto"/>
            <w:tcMar>
              <w:left w:w="57" w:type="dxa"/>
              <w:right w:w="57" w:type="dxa"/>
            </w:tcMar>
            <w:vAlign w:val="bottom"/>
            <w:hideMark/>
          </w:tcPr>
          <w:p w14:paraId="337AE46D"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9 </w:t>
            </w:r>
          </w:p>
        </w:tc>
        <w:tc>
          <w:tcPr>
            <w:tcW w:w="755" w:type="pct"/>
            <w:tcBorders>
              <w:top w:val="nil"/>
              <w:left w:val="nil"/>
              <w:bottom w:val="nil"/>
              <w:right w:val="nil"/>
            </w:tcBorders>
            <w:shd w:val="clear" w:color="auto" w:fill="auto"/>
            <w:tcMar>
              <w:left w:w="57" w:type="dxa"/>
              <w:right w:w="57" w:type="dxa"/>
            </w:tcMar>
            <w:vAlign w:val="bottom"/>
            <w:hideMark/>
          </w:tcPr>
          <w:p w14:paraId="0C99E9BD"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10 </w:t>
            </w:r>
          </w:p>
        </w:tc>
      </w:tr>
      <w:tr w:rsidR="0084445A" w:rsidRPr="00396969" w14:paraId="67969EA7"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6F830F50"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Текущи ремонти</w:t>
            </w:r>
          </w:p>
        </w:tc>
        <w:tc>
          <w:tcPr>
            <w:tcW w:w="872" w:type="pct"/>
            <w:tcBorders>
              <w:top w:val="nil"/>
              <w:left w:val="nil"/>
              <w:bottom w:val="nil"/>
              <w:right w:val="nil"/>
            </w:tcBorders>
            <w:shd w:val="clear" w:color="auto" w:fill="auto"/>
            <w:tcMar>
              <w:left w:w="57" w:type="dxa"/>
              <w:right w:w="57" w:type="dxa"/>
            </w:tcMar>
            <w:vAlign w:val="bottom"/>
            <w:hideMark/>
          </w:tcPr>
          <w:p w14:paraId="11EF573E"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17 </w:t>
            </w:r>
          </w:p>
        </w:tc>
        <w:tc>
          <w:tcPr>
            <w:tcW w:w="755" w:type="pct"/>
            <w:tcBorders>
              <w:top w:val="nil"/>
              <w:left w:val="nil"/>
              <w:bottom w:val="nil"/>
              <w:right w:val="nil"/>
            </w:tcBorders>
            <w:shd w:val="clear" w:color="auto" w:fill="auto"/>
            <w:tcMar>
              <w:left w:w="57" w:type="dxa"/>
              <w:right w:w="57" w:type="dxa"/>
            </w:tcMar>
            <w:vAlign w:val="bottom"/>
            <w:hideMark/>
          </w:tcPr>
          <w:p w14:paraId="25F29DA6"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17 </w:t>
            </w:r>
          </w:p>
        </w:tc>
      </w:tr>
      <w:tr w:rsidR="0084445A" w:rsidRPr="00396969" w14:paraId="2E13CE35"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18515319" w14:textId="77777777" w:rsidR="0084445A" w:rsidRPr="00396969" w:rsidRDefault="0084445A" w:rsidP="00833465">
            <w:pPr>
              <w:pStyle w:val="a"/>
              <w:rPr>
                <w:rFonts w:asciiTheme="minorHAnsi" w:hAnsiTheme="minorHAnsi" w:cstheme="minorHAnsi"/>
                <w:color w:val="auto"/>
                <w:sz w:val="22"/>
                <w:szCs w:val="22"/>
                <w:lang w:val="bg-BG"/>
              </w:rPr>
            </w:pPr>
            <w:r w:rsidRPr="00396969">
              <w:rPr>
                <w:rFonts w:asciiTheme="minorHAnsi" w:hAnsiTheme="minorHAnsi" w:cstheme="minorHAnsi"/>
                <w:color w:val="auto"/>
                <w:sz w:val="22"/>
                <w:szCs w:val="22"/>
                <w:lang w:val="bg-BG"/>
              </w:rPr>
              <w:t>Други</w:t>
            </w:r>
          </w:p>
        </w:tc>
        <w:tc>
          <w:tcPr>
            <w:tcW w:w="872" w:type="pct"/>
            <w:tcBorders>
              <w:top w:val="nil"/>
              <w:left w:val="nil"/>
              <w:bottom w:val="nil"/>
              <w:right w:val="nil"/>
            </w:tcBorders>
            <w:shd w:val="clear" w:color="auto" w:fill="auto"/>
            <w:tcMar>
              <w:left w:w="57" w:type="dxa"/>
              <w:right w:w="57" w:type="dxa"/>
            </w:tcMar>
            <w:vAlign w:val="bottom"/>
            <w:hideMark/>
          </w:tcPr>
          <w:p w14:paraId="02EDA52D" w14:textId="77777777" w:rsidR="0084445A" w:rsidRPr="00396969" w:rsidRDefault="0084445A" w:rsidP="00833465">
            <w:pPr>
              <w:pStyle w:val="a0"/>
              <w:widowControl w:val="0"/>
              <w:ind w:firstLine="709"/>
              <w:rPr>
                <w:rFonts w:asciiTheme="minorHAnsi" w:hAnsiTheme="minorHAnsi" w:cstheme="minorHAnsi"/>
                <w:color w:val="auto"/>
                <w:sz w:val="22"/>
                <w:szCs w:val="22"/>
                <w:lang w:val="bg-BG"/>
              </w:rPr>
            </w:pPr>
            <w:r w:rsidRPr="00396969">
              <w:rPr>
                <w:rFonts w:asciiTheme="minorHAnsi" w:hAnsiTheme="minorHAnsi" w:cstheme="minorHAnsi"/>
                <w:sz w:val="22"/>
                <w:szCs w:val="22"/>
                <w:lang w:val="bg-BG"/>
              </w:rPr>
              <w:t>15</w:t>
            </w:r>
          </w:p>
        </w:tc>
        <w:tc>
          <w:tcPr>
            <w:tcW w:w="755" w:type="pct"/>
            <w:tcBorders>
              <w:top w:val="nil"/>
              <w:left w:val="nil"/>
              <w:bottom w:val="nil"/>
              <w:right w:val="nil"/>
            </w:tcBorders>
            <w:shd w:val="clear" w:color="auto" w:fill="auto"/>
            <w:tcMar>
              <w:left w:w="57" w:type="dxa"/>
              <w:right w:w="57" w:type="dxa"/>
            </w:tcMar>
            <w:vAlign w:val="bottom"/>
            <w:hideMark/>
          </w:tcPr>
          <w:p w14:paraId="71E66093" w14:textId="77777777" w:rsidR="0084445A" w:rsidRPr="00396969" w:rsidRDefault="0084445A" w:rsidP="00833465">
            <w:pPr>
              <w:pStyle w:val="a0"/>
              <w:rPr>
                <w:rFonts w:asciiTheme="minorHAnsi" w:hAnsiTheme="minorHAnsi" w:cstheme="minorHAnsi"/>
                <w:color w:val="auto"/>
                <w:sz w:val="22"/>
                <w:szCs w:val="22"/>
                <w:lang w:val="bg-BG"/>
              </w:rPr>
            </w:pPr>
            <w:r w:rsidRPr="00396969">
              <w:rPr>
                <w:rFonts w:asciiTheme="minorHAnsi" w:hAnsiTheme="minorHAnsi" w:cstheme="minorHAnsi"/>
                <w:sz w:val="22"/>
                <w:szCs w:val="22"/>
              </w:rPr>
              <w:t xml:space="preserve">6 </w:t>
            </w:r>
          </w:p>
        </w:tc>
      </w:tr>
      <w:tr w:rsidR="0084445A" w:rsidRPr="00396969" w14:paraId="3A770D9B" w14:textId="77777777" w:rsidTr="00AE7CF9">
        <w:trPr>
          <w:trHeight w:val="170"/>
          <w:jc w:val="center"/>
        </w:trPr>
        <w:tc>
          <w:tcPr>
            <w:tcW w:w="3373" w:type="pct"/>
            <w:tcBorders>
              <w:top w:val="nil"/>
              <w:left w:val="nil"/>
              <w:bottom w:val="nil"/>
              <w:right w:val="nil"/>
            </w:tcBorders>
            <w:shd w:val="clear" w:color="auto" w:fill="auto"/>
            <w:tcMar>
              <w:left w:w="57" w:type="dxa"/>
              <w:right w:w="57" w:type="dxa"/>
            </w:tcMar>
            <w:vAlign w:val="bottom"/>
            <w:hideMark/>
          </w:tcPr>
          <w:p w14:paraId="48DA99E6" w14:textId="77777777" w:rsidR="0084445A" w:rsidRPr="00396969" w:rsidRDefault="0084445A" w:rsidP="00833465">
            <w:pPr>
              <w:pStyle w:val="a"/>
              <w:rPr>
                <w:rFonts w:asciiTheme="minorHAnsi" w:hAnsiTheme="minorHAnsi" w:cstheme="minorHAnsi"/>
                <w:b/>
                <w:color w:val="auto"/>
                <w:sz w:val="22"/>
                <w:szCs w:val="22"/>
                <w:lang w:val="bg-BG"/>
              </w:rPr>
            </w:pPr>
            <w:r w:rsidRPr="00396969">
              <w:rPr>
                <w:rFonts w:asciiTheme="minorHAnsi" w:hAnsiTheme="minorHAnsi" w:cstheme="minorHAnsi"/>
                <w:b/>
                <w:color w:val="auto"/>
                <w:sz w:val="22"/>
                <w:szCs w:val="22"/>
                <w:lang w:val="bg-BG"/>
              </w:rPr>
              <w:t>Общо</w:t>
            </w:r>
          </w:p>
        </w:tc>
        <w:tc>
          <w:tcPr>
            <w:tcW w:w="872" w:type="pct"/>
            <w:tcBorders>
              <w:top w:val="single" w:sz="4" w:space="0" w:color="auto"/>
              <w:left w:val="nil"/>
              <w:bottom w:val="double" w:sz="6" w:space="0" w:color="auto"/>
              <w:right w:val="nil"/>
            </w:tcBorders>
            <w:shd w:val="clear" w:color="auto" w:fill="auto"/>
            <w:tcMar>
              <w:left w:w="57" w:type="dxa"/>
              <w:right w:w="57" w:type="dxa"/>
            </w:tcMar>
            <w:vAlign w:val="bottom"/>
            <w:hideMark/>
          </w:tcPr>
          <w:p w14:paraId="054EF3CF" w14:textId="77777777" w:rsidR="0084445A" w:rsidRPr="00396969" w:rsidRDefault="0084445A" w:rsidP="00833465">
            <w:pPr>
              <w:pStyle w:val="a0"/>
              <w:widowControl w:val="0"/>
              <w:ind w:firstLine="709"/>
              <w:rPr>
                <w:rFonts w:asciiTheme="minorHAnsi" w:hAnsiTheme="minorHAnsi" w:cstheme="minorHAnsi"/>
                <w:b/>
                <w:bCs/>
                <w:color w:val="auto"/>
                <w:sz w:val="22"/>
                <w:szCs w:val="22"/>
                <w:lang w:val="bg-BG"/>
              </w:rPr>
            </w:pPr>
            <w:r w:rsidRPr="00396969">
              <w:rPr>
                <w:rFonts w:asciiTheme="minorHAnsi" w:hAnsiTheme="minorHAnsi" w:cstheme="minorHAnsi"/>
                <w:b/>
                <w:bCs/>
                <w:sz w:val="22"/>
                <w:szCs w:val="22"/>
                <w:lang w:val="bg-BG"/>
              </w:rPr>
              <w:t>922</w:t>
            </w:r>
            <w:r w:rsidRPr="00396969">
              <w:rPr>
                <w:rFonts w:asciiTheme="minorHAnsi" w:hAnsiTheme="minorHAnsi" w:cstheme="minorHAnsi"/>
                <w:b/>
                <w:bCs/>
                <w:sz w:val="22"/>
                <w:szCs w:val="22"/>
              </w:rPr>
              <w:t xml:space="preserve"> </w:t>
            </w:r>
          </w:p>
        </w:tc>
        <w:tc>
          <w:tcPr>
            <w:tcW w:w="755" w:type="pct"/>
            <w:tcBorders>
              <w:top w:val="single" w:sz="4" w:space="0" w:color="auto"/>
              <w:left w:val="nil"/>
              <w:bottom w:val="double" w:sz="6" w:space="0" w:color="auto"/>
              <w:right w:val="nil"/>
            </w:tcBorders>
            <w:shd w:val="clear" w:color="auto" w:fill="auto"/>
            <w:tcMar>
              <w:left w:w="57" w:type="dxa"/>
              <w:right w:w="57" w:type="dxa"/>
            </w:tcMar>
            <w:vAlign w:val="bottom"/>
            <w:hideMark/>
          </w:tcPr>
          <w:p w14:paraId="40EC0B37" w14:textId="77777777" w:rsidR="0084445A" w:rsidRPr="00396969" w:rsidRDefault="0084445A" w:rsidP="00833465">
            <w:pPr>
              <w:pStyle w:val="a0"/>
              <w:rPr>
                <w:rFonts w:asciiTheme="minorHAnsi" w:hAnsiTheme="minorHAnsi" w:cstheme="minorHAnsi"/>
                <w:b/>
                <w:sz w:val="22"/>
                <w:szCs w:val="22"/>
              </w:rPr>
            </w:pPr>
            <w:r w:rsidRPr="00396969">
              <w:rPr>
                <w:rFonts w:asciiTheme="minorHAnsi" w:hAnsiTheme="minorHAnsi" w:cstheme="minorHAnsi"/>
                <w:b/>
                <w:bCs/>
                <w:sz w:val="22"/>
                <w:szCs w:val="22"/>
              </w:rPr>
              <w:t xml:space="preserve">805 </w:t>
            </w:r>
          </w:p>
        </w:tc>
      </w:tr>
    </w:tbl>
    <w:p w14:paraId="0451B7DF" w14:textId="77777777" w:rsidR="0084445A" w:rsidRPr="00741D80" w:rsidRDefault="0084445A" w:rsidP="00833465">
      <w:pPr>
        <w:pStyle w:val="Mainnumbers"/>
      </w:pPr>
      <w:bookmarkStart w:id="38" w:name="_Toc418084373"/>
      <w:bookmarkStart w:id="39" w:name="_Toc536452013"/>
      <w:r w:rsidRPr="00741D80">
        <w:t>РАЗХОДИ ЗА ПЕРСОНАЛА</w:t>
      </w:r>
      <w:bookmarkEnd w:id="38"/>
      <w:bookmarkEnd w:id="39"/>
    </w:p>
    <w:tbl>
      <w:tblPr>
        <w:tblW w:w="5000" w:type="pct"/>
        <w:jc w:val="center"/>
        <w:tblCellMar>
          <w:left w:w="70" w:type="dxa"/>
          <w:right w:w="70" w:type="dxa"/>
        </w:tblCellMar>
        <w:tblLook w:val="0000" w:firstRow="0" w:lastRow="0" w:firstColumn="0" w:lastColumn="0" w:noHBand="0" w:noVBand="0"/>
      </w:tblPr>
      <w:tblGrid>
        <w:gridCol w:w="7248"/>
        <w:gridCol w:w="1150"/>
        <w:gridCol w:w="1240"/>
      </w:tblGrid>
      <w:tr w:rsidR="0084445A" w:rsidRPr="00741D80" w14:paraId="7DF827EC" w14:textId="77777777" w:rsidTr="00833465">
        <w:trPr>
          <w:trHeight w:val="20"/>
          <w:jc w:val="center"/>
        </w:trPr>
        <w:tc>
          <w:tcPr>
            <w:tcW w:w="3765" w:type="pct"/>
            <w:tcBorders>
              <w:top w:val="nil"/>
              <w:left w:val="nil"/>
              <w:bottom w:val="nil"/>
              <w:right w:val="nil"/>
            </w:tcBorders>
          </w:tcPr>
          <w:p w14:paraId="4E07A134" w14:textId="77777777" w:rsidR="0084445A" w:rsidRPr="00741D80" w:rsidRDefault="0084445A" w:rsidP="00833465">
            <w:pPr>
              <w:spacing w:after="0" w:line="240" w:lineRule="auto"/>
              <w:rPr>
                <w:rFonts w:cstheme="minorHAnsi"/>
              </w:rPr>
            </w:pPr>
            <w:r w:rsidRPr="00741D80">
              <w:rPr>
                <w:rFonts w:cstheme="minorHAnsi"/>
              </w:rPr>
              <w:t>Разходите за персонала включват:</w:t>
            </w:r>
          </w:p>
        </w:tc>
        <w:tc>
          <w:tcPr>
            <w:tcW w:w="587" w:type="pct"/>
            <w:tcBorders>
              <w:top w:val="nil"/>
              <w:left w:val="nil"/>
              <w:bottom w:val="nil"/>
              <w:right w:val="nil"/>
            </w:tcBorders>
          </w:tcPr>
          <w:p w14:paraId="15C034C4" w14:textId="77777777" w:rsidR="0084445A" w:rsidRPr="00741D80" w:rsidRDefault="0084445A" w:rsidP="00833465">
            <w:pPr>
              <w:spacing w:after="0" w:line="240" w:lineRule="auto"/>
              <w:jc w:val="right"/>
              <w:rPr>
                <w:rFonts w:cstheme="minorHAnsi"/>
                <w:b/>
              </w:rPr>
            </w:pPr>
            <w:r w:rsidRPr="00741D80">
              <w:rPr>
                <w:rFonts w:cstheme="minorHAnsi"/>
                <w:b/>
              </w:rPr>
              <w:t>31.12.2018</w:t>
            </w:r>
          </w:p>
        </w:tc>
        <w:tc>
          <w:tcPr>
            <w:tcW w:w="648" w:type="pct"/>
            <w:tcBorders>
              <w:top w:val="nil"/>
              <w:left w:val="nil"/>
              <w:bottom w:val="nil"/>
              <w:right w:val="nil"/>
            </w:tcBorders>
          </w:tcPr>
          <w:p w14:paraId="09B4F3C3" w14:textId="77777777" w:rsidR="0084445A" w:rsidRPr="00741D80" w:rsidRDefault="0084445A" w:rsidP="00833465">
            <w:pPr>
              <w:spacing w:after="0" w:line="240" w:lineRule="auto"/>
              <w:jc w:val="right"/>
              <w:rPr>
                <w:rFonts w:cstheme="minorHAnsi"/>
                <w:b/>
              </w:rPr>
            </w:pPr>
            <w:r w:rsidRPr="00741D80">
              <w:rPr>
                <w:rFonts w:cstheme="minorHAnsi"/>
                <w:b/>
              </w:rPr>
              <w:t>31.12.2017</w:t>
            </w:r>
          </w:p>
        </w:tc>
      </w:tr>
      <w:tr w:rsidR="0084445A" w:rsidRPr="00741D80" w14:paraId="6C48BE85" w14:textId="77777777" w:rsidTr="00833465">
        <w:trPr>
          <w:trHeight w:val="20"/>
          <w:jc w:val="center"/>
        </w:trPr>
        <w:tc>
          <w:tcPr>
            <w:tcW w:w="3765" w:type="pct"/>
            <w:tcBorders>
              <w:top w:val="nil"/>
              <w:left w:val="nil"/>
              <w:bottom w:val="nil"/>
              <w:right w:val="nil"/>
            </w:tcBorders>
          </w:tcPr>
          <w:p w14:paraId="34208FC2" w14:textId="77777777" w:rsidR="0084445A" w:rsidRPr="00741D80" w:rsidRDefault="0084445A" w:rsidP="00833465">
            <w:pPr>
              <w:spacing w:after="0" w:line="240" w:lineRule="auto"/>
              <w:rPr>
                <w:rFonts w:cstheme="minorHAnsi"/>
              </w:rPr>
            </w:pPr>
          </w:p>
        </w:tc>
        <w:tc>
          <w:tcPr>
            <w:tcW w:w="587" w:type="pct"/>
            <w:tcBorders>
              <w:top w:val="nil"/>
              <w:left w:val="nil"/>
              <w:bottom w:val="nil"/>
              <w:right w:val="nil"/>
            </w:tcBorders>
          </w:tcPr>
          <w:p w14:paraId="6037C53D" w14:textId="77777777" w:rsidR="0084445A" w:rsidRPr="00741D80" w:rsidRDefault="0084445A" w:rsidP="00833465">
            <w:pPr>
              <w:spacing w:after="0" w:line="240" w:lineRule="auto"/>
              <w:jc w:val="right"/>
              <w:rPr>
                <w:rFonts w:cstheme="minorHAnsi"/>
                <w:b/>
              </w:rPr>
            </w:pPr>
            <w:r w:rsidRPr="00741D80">
              <w:rPr>
                <w:rFonts w:cstheme="minorHAnsi"/>
                <w:b/>
              </w:rPr>
              <w:t>BGN'000</w:t>
            </w:r>
          </w:p>
        </w:tc>
        <w:tc>
          <w:tcPr>
            <w:tcW w:w="648" w:type="pct"/>
            <w:tcBorders>
              <w:top w:val="nil"/>
              <w:left w:val="nil"/>
              <w:bottom w:val="nil"/>
              <w:right w:val="nil"/>
            </w:tcBorders>
          </w:tcPr>
          <w:p w14:paraId="5696A51A" w14:textId="77777777" w:rsidR="0084445A" w:rsidRPr="00741D80" w:rsidRDefault="0084445A" w:rsidP="00833465">
            <w:pPr>
              <w:spacing w:after="0" w:line="240" w:lineRule="auto"/>
              <w:jc w:val="right"/>
              <w:rPr>
                <w:rFonts w:cstheme="minorHAnsi"/>
                <w:b/>
              </w:rPr>
            </w:pPr>
            <w:r w:rsidRPr="00741D80">
              <w:rPr>
                <w:rFonts w:cstheme="minorHAnsi"/>
                <w:b/>
              </w:rPr>
              <w:t>BGN'000</w:t>
            </w:r>
          </w:p>
        </w:tc>
      </w:tr>
      <w:tr w:rsidR="0084445A" w:rsidRPr="00741D80" w14:paraId="37997168" w14:textId="77777777" w:rsidTr="00833465">
        <w:trPr>
          <w:trHeight w:val="20"/>
          <w:jc w:val="center"/>
        </w:trPr>
        <w:tc>
          <w:tcPr>
            <w:tcW w:w="3765" w:type="pct"/>
            <w:tcBorders>
              <w:top w:val="nil"/>
              <w:left w:val="nil"/>
              <w:bottom w:val="nil"/>
              <w:right w:val="nil"/>
            </w:tcBorders>
          </w:tcPr>
          <w:p w14:paraId="3DC1D99F" w14:textId="77777777" w:rsidR="0084445A" w:rsidRPr="00741D80" w:rsidRDefault="0084445A" w:rsidP="00833465">
            <w:pPr>
              <w:spacing w:after="0" w:line="240" w:lineRule="auto"/>
              <w:rPr>
                <w:rFonts w:cstheme="minorHAnsi"/>
              </w:rPr>
            </w:pPr>
            <w:r w:rsidRPr="00741D80">
              <w:rPr>
                <w:rFonts w:cstheme="minorHAnsi"/>
              </w:rPr>
              <w:t>Текущи възнаграждения</w:t>
            </w:r>
          </w:p>
        </w:tc>
        <w:tc>
          <w:tcPr>
            <w:tcW w:w="587" w:type="pct"/>
            <w:tcBorders>
              <w:top w:val="nil"/>
              <w:left w:val="nil"/>
              <w:bottom w:val="nil"/>
              <w:right w:val="nil"/>
            </w:tcBorders>
            <w:vAlign w:val="center"/>
          </w:tcPr>
          <w:p w14:paraId="50C6726A" w14:textId="77777777" w:rsidR="0084445A" w:rsidRPr="00741D80" w:rsidRDefault="0084445A" w:rsidP="00833465">
            <w:pPr>
              <w:spacing w:after="0" w:line="240" w:lineRule="auto"/>
              <w:jc w:val="right"/>
              <w:rPr>
                <w:rFonts w:cstheme="minorHAnsi"/>
                <w:lang w:val="en-US"/>
              </w:rPr>
            </w:pPr>
            <w:r w:rsidRPr="00741D80">
              <w:rPr>
                <w:rFonts w:cstheme="minorHAnsi"/>
                <w:lang w:val="en-US"/>
              </w:rPr>
              <w:t>1,052</w:t>
            </w:r>
          </w:p>
        </w:tc>
        <w:tc>
          <w:tcPr>
            <w:tcW w:w="648" w:type="pct"/>
            <w:tcBorders>
              <w:top w:val="nil"/>
              <w:left w:val="nil"/>
              <w:bottom w:val="nil"/>
              <w:right w:val="nil"/>
            </w:tcBorders>
            <w:vAlign w:val="center"/>
          </w:tcPr>
          <w:p w14:paraId="68203B8D" w14:textId="77777777" w:rsidR="0084445A" w:rsidRPr="00741D80" w:rsidRDefault="0084445A" w:rsidP="00833465">
            <w:pPr>
              <w:spacing w:after="0" w:line="240" w:lineRule="auto"/>
              <w:jc w:val="right"/>
              <w:rPr>
                <w:rFonts w:cstheme="minorHAnsi"/>
              </w:rPr>
            </w:pPr>
            <w:r w:rsidRPr="00741D80">
              <w:rPr>
                <w:rFonts w:cstheme="minorHAnsi"/>
              </w:rPr>
              <w:t>977</w:t>
            </w:r>
          </w:p>
        </w:tc>
      </w:tr>
      <w:tr w:rsidR="0084445A" w:rsidRPr="00741D80" w14:paraId="11D2C7ED" w14:textId="77777777" w:rsidTr="00833465">
        <w:trPr>
          <w:trHeight w:val="20"/>
          <w:jc w:val="center"/>
        </w:trPr>
        <w:tc>
          <w:tcPr>
            <w:tcW w:w="3765" w:type="pct"/>
            <w:tcBorders>
              <w:top w:val="nil"/>
              <w:left w:val="nil"/>
              <w:bottom w:val="nil"/>
              <w:right w:val="nil"/>
            </w:tcBorders>
          </w:tcPr>
          <w:p w14:paraId="14A06CD0" w14:textId="77777777" w:rsidR="0084445A" w:rsidRPr="00741D80" w:rsidRDefault="0084445A" w:rsidP="00833465">
            <w:pPr>
              <w:spacing w:after="0" w:line="240" w:lineRule="auto"/>
              <w:rPr>
                <w:rFonts w:cstheme="minorHAnsi"/>
              </w:rPr>
            </w:pPr>
            <w:r w:rsidRPr="00741D80">
              <w:rPr>
                <w:rFonts w:cstheme="minorHAnsi"/>
              </w:rPr>
              <w:t>Вноски по социалното и здравно осигуряване върху текущи възнаграждения</w:t>
            </w:r>
          </w:p>
        </w:tc>
        <w:tc>
          <w:tcPr>
            <w:tcW w:w="587" w:type="pct"/>
            <w:tcBorders>
              <w:top w:val="nil"/>
              <w:left w:val="nil"/>
              <w:bottom w:val="nil"/>
              <w:right w:val="nil"/>
            </w:tcBorders>
            <w:vAlign w:val="center"/>
          </w:tcPr>
          <w:p w14:paraId="697B2CB8" w14:textId="77777777" w:rsidR="0084445A" w:rsidRPr="00741D80" w:rsidRDefault="0084445A" w:rsidP="00833465">
            <w:pPr>
              <w:spacing w:after="0" w:line="240" w:lineRule="auto"/>
              <w:jc w:val="right"/>
              <w:rPr>
                <w:rFonts w:cstheme="minorHAnsi"/>
                <w:lang w:val="en-US"/>
              </w:rPr>
            </w:pPr>
            <w:r w:rsidRPr="00741D80">
              <w:rPr>
                <w:rFonts w:cstheme="minorHAnsi"/>
                <w:lang w:val="en-US"/>
              </w:rPr>
              <w:t>124</w:t>
            </w:r>
          </w:p>
        </w:tc>
        <w:tc>
          <w:tcPr>
            <w:tcW w:w="648" w:type="pct"/>
            <w:tcBorders>
              <w:top w:val="nil"/>
              <w:left w:val="nil"/>
              <w:bottom w:val="nil"/>
              <w:right w:val="nil"/>
            </w:tcBorders>
            <w:vAlign w:val="center"/>
          </w:tcPr>
          <w:p w14:paraId="356F81C9" w14:textId="77777777" w:rsidR="0084445A" w:rsidRPr="00741D80" w:rsidRDefault="0084445A" w:rsidP="00833465">
            <w:pPr>
              <w:spacing w:after="0" w:line="240" w:lineRule="auto"/>
              <w:jc w:val="right"/>
              <w:rPr>
                <w:rFonts w:cstheme="minorHAnsi"/>
              </w:rPr>
            </w:pPr>
            <w:r w:rsidRPr="00741D80">
              <w:rPr>
                <w:rFonts w:cstheme="minorHAnsi"/>
              </w:rPr>
              <w:t>115</w:t>
            </w:r>
          </w:p>
        </w:tc>
      </w:tr>
      <w:tr w:rsidR="0084445A" w:rsidRPr="00741D80" w14:paraId="7A23F0AC" w14:textId="77777777" w:rsidTr="00833465">
        <w:trPr>
          <w:trHeight w:val="20"/>
          <w:jc w:val="center"/>
        </w:trPr>
        <w:tc>
          <w:tcPr>
            <w:tcW w:w="3765" w:type="pct"/>
            <w:tcBorders>
              <w:top w:val="nil"/>
              <w:left w:val="nil"/>
              <w:bottom w:val="nil"/>
              <w:right w:val="nil"/>
            </w:tcBorders>
          </w:tcPr>
          <w:p w14:paraId="5E4C82A6" w14:textId="77777777" w:rsidR="0084445A" w:rsidRPr="00741D80" w:rsidRDefault="0084445A" w:rsidP="00833465">
            <w:pPr>
              <w:spacing w:after="0" w:line="240" w:lineRule="auto"/>
              <w:rPr>
                <w:rFonts w:cstheme="minorHAnsi"/>
              </w:rPr>
            </w:pPr>
            <w:r w:rsidRPr="00741D80">
              <w:rPr>
                <w:rFonts w:cstheme="minorHAnsi"/>
              </w:rPr>
              <w:t xml:space="preserve">Социални придобивки и плащания </w:t>
            </w:r>
          </w:p>
        </w:tc>
        <w:tc>
          <w:tcPr>
            <w:tcW w:w="587" w:type="pct"/>
            <w:tcBorders>
              <w:top w:val="nil"/>
              <w:left w:val="nil"/>
              <w:bottom w:val="nil"/>
              <w:right w:val="nil"/>
            </w:tcBorders>
            <w:vAlign w:val="center"/>
          </w:tcPr>
          <w:p w14:paraId="383CF2F2" w14:textId="77777777" w:rsidR="0084445A" w:rsidRPr="00741D80" w:rsidRDefault="0084445A" w:rsidP="00833465">
            <w:pPr>
              <w:spacing w:after="0" w:line="240" w:lineRule="auto"/>
              <w:jc w:val="right"/>
              <w:rPr>
                <w:rFonts w:cstheme="minorHAnsi"/>
                <w:lang w:val="en-US"/>
              </w:rPr>
            </w:pPr>
            <w:r w:rsidRPr="00741D80">
              <w:rPr>
                <w:rFonts w:cstheme="minorHAnsi"/>
                <w:lang w:val="en-US"/>
              </w:rPr>
              <w:t>24</w:t>
            </w:r>
          </w:p>
        </w:tc>
        <w:tc>
          <w:tcPr>
            <w:tcW w:w="648" w:type="pct"/>
            <w:tcBorders>
              <w:top w:val="nil"/>
              <w:left w:val="nil"/>
              <w:bottom w:val="nil"/>
              <w:right w:val="nil"/>
            </w:tcBorders>
            <w:vAlign w:val="center"/>
          </w:tcPr>
          <w:p w14:paraId="1541032F" w14:textId="77777777" w:rsidR="0084445A" w:rsidRPr="00741D80" w:rsidRDefault="0084445A" w:rsidP="00833465">
            <w:pPr>
              <w:spacing w:after="0" w:line="240" w:lineRule="auto"/>
              <w:jc w:val="right"/>
              <w:rPr>
                <w:rFonts w:cstheme="minorHAnsi"/>
              </w:rPr>
            </w:pPr>
            <w:r w:rsidRPr="00741D80">
              <w:rPr>
                <w:rFonts w:cstheme="minorHAnsi"/>
              </w:rPr>
              <w:t>27</w:t>
            </w:r>
          </w:p>
        </w:tc>
      </w:tr>
      <w:tr w:rsidR="0084445A" w:rsidRPr="00741D80" w14:paraId="5211ED63" w14:textId="77777777" w:rsidTr="00833465">
        <w:trPr>
          <w:trHeight w:val="20"/>
          <w:jc w:val="center"/>
        </w:trPr>
        <w:tc>
          <w:tcPr>
            <w:tcW w:w="3765" w:type="pct"/>
            <w:tcBorders>
              <w:top w:val="nil"/>
              <w:left w:val="nil"/>
              <w:bottom w:val="nil"/>
              <w:right w:val="nil"/>
            </w:tcBorders>
          </w:tcPr>
          <w:p w14:paraId="4FD4E514" w14:textId="77777777" w:rsidR="0084445A" w:rsidRPr="00741D80" w:rsidRDefault="0084445A" w:rsidP="00833465">
            <w:pPr>
              <w:spacing w:after="0" w:line="240" w:lineRule="auto"/>
              <w:rPr>
                <w:rFonts w:cstheme="minorHAnsi"/>
              </w:rPr>
            </w:pPr>
            <w:r w:rsidRPr="00741D80">
              <w:rPr>
                <w:rFonts w:cstheme="minorHAnsi"/>
              </w:rPr>
              <w:t>Начислени суми за неизползван отпуск</w:t>
            </w:r>
          </w:p>
        </w:tc>
        <w:tc>
          <w:tcPr>
            <w:tcW w:w="587" w:type="pct"/>
            <w:tcBorders>
              <w:top w:val="nil"/>
              <w:left w:val="nil"/>
              <w:bottom w:val="nil"/>
              <w:right w:val="nil"/>
            </w:tcBorders>
            <w:vAlign w:val="center"/>
          </w:tcPr>
          <w:p w14:paraId="35650E00" w14:textId="77777777" w:rsidR="0084445A" w:rsidRPr="00741D80" w:rsidRDefault="0084445A" w:rsidP="00833465">
            <w:pPr>
              <w:spacing w:after="0" w:line="240" w:lineRule="auto"/>
              <w:jc w:val="right"/>
              <w:rPr>
                <w:rFonts w:cstheme="minorHAnsi"/>
                <w:lang w:val="en-US"/>
              </w:rPr>
            </w:pPr>
            <w:r w:rsidRPr="00741D80">
              <w:rPr>
                <w:rFonts w:cstheme="minorHAnsi"/>
                <w:lang w:val="en-US"/>
              </w:rPr>
              <w:t>10</w:t>
            </w:r>
          </w:p>
        </w:tc>
        <w:tc>
          <w:tcPr>
            <w:tcW w:w="648" w:type="pct"/>
            <w:tcBorders>
              <w:top w:val="nil"/>
              <w:left w:val="nil"/>
              <w:bottom w:val="nil"/>
              <w:right w:val="nil"/>
            </w:tcBorders>
            <w:vAlign w:val="center"/>
          </w:tcPr>
          <w:p w14:paraId="00D6F8C2" w14:textId="77777777" w:rsidR="0084445A" w:rsidRPr="00741D80" w:rsidRDefault="0084445A" w:rsidP="00833465">
            <w:pPr>
              <w:spacing w:after="0" w:line="240" w:lineRule="auto"/>
              <w:jc w:val="right"/>
              <w:rPr>
                <w:rFonts w:cstheme="minorHAnsi"/>
              </w:rPr>
            </w:pPr>
            <w:r w:rsidRPr="00741D80">
              <w:rPr>
                <w:rFonts w:cstheme="minorHAnsi"/>
              </w:rPr>
              <w:t>-</w:t>
            </w:r>
          </w:p>
        </w:tc>
      </w:tr>
      <w:tr w:rsidR="0084445A" w:rsidRPr="00741D80" w14:paraId="273A4630" w14:textId="77777777" w:rsidTr="00833465">
        <w:trPr>
          <w:trHeight w:val="20"/>
          <w:jc w:val="center"/>
        </w:trPr>
        <w:tc>
          <w:tcPr>
            <w:tcW w:w="3765" w:type="pct"/>
            <w:tcBorders>
              <w:top w:val="nil"/>
              <w:left w:val="nil"/>
              <w:bottom w:val="nil"/>
              <w:right w:val="nil"/>
            </w:tcBorders>
          </w:tcPr>
          <w:p w14:paraId="14CCD0AD" w14:textId="77777777" w:rsidR="0084445A" w:rsidRPr="00741D80" w:rsidRDefault="0084445A" w:rsidP="00833465">
            <w:pPr>
              <w:spacing w:after="0" w:line="240" w:lineRule="auto"/>
              <w:rPr>
                <w:rFonts w:cstheme="minorHAnsi"/>
              </w:rPr>
            </w:pPr>
            <w:r w:rsidRPr="00741D80">
              <w:rPr>
                <w:rFonts w:cstheme="minorHAnsi"/>
              </w:rPr>
              <w:t>Начислени суми за социално и здравно осигуряване за неизползван отпуск</w:t>
            </w:r>
          </w:p>
        </w:tc>
        <w:tc>
          <w:tcPr>
            <w:tcW w:w="587" w:type="pct"/>
            <w:tcBorders>
              <w:top w:val="nil"/>
              <w:left w:val="nil"/>
              <w:bottom w:val="nil"/>
              <w:right w:val="nil"/>
            </w:tcBorders>
            <w:vAlign w:val="center"/>
          </w:tcPr>
          <w:p w14:paraId="106E3665" w14:textId="77777777" w:rsidR="0084445A" w:rsidRPr="00741D80" w:rsidRDefault="0084445A" w:rsidP="00833465">
            <w:pPr>
              <w:spacing w:after="0" w:line="240" w:lineRule="auto"/>
              <w:jc w:val="right"/>
              <w:rPr>
                <w:rFonts w:cstheme="minorHAnsi"/>
                <w:lang w:val="en-US"/>
              </w:rPr>
            </w:pPr>
            <w:r w:rsidRPr="00741D80">
              <w:rPr>
                <w:rFonts w:cstheme="minorHAnsi"/>
                <w:lang w:val="en-US"/>
              </w:rPr>
              <w:t>1</w:t>
            </w:r>
          </w:p>
        </w:tc>
        <w:tc>
          <w:tcPr>
            <w:tcW w:w="648" w:type="pct"/>
            <w:tcBorders>
              <w:top w:val="nil"/>
              <w:left w:val="nil"/>
              <w:bottom w:val="nil"/>
              <w:right w:val="nil"/>
            </w:tcBorders>
            <w:vAlign w:val="center"/>
          </w:tcPr>
          <w:p w14:paraId="6F298759" w14:textId="77777777" w:rsidR="0084445A" w:rsidRPr="00741D80" w:rsidRDefault="0084445A" w:rsidP="00833465">
            <w:pPr>
              <w:spacing w:after="0" w:line="240" w:lineRule="auto"/>
              <w:jc w:val="right"/>
              <w:rPr>
                <w:rFonts w:cstheme="minorHAnsi"/>
              </w:rPr>
            </w:pPr>
            <w:r w:rsidRPr="00741D80">
              <w:rPr>
                <w:rFonts w:cstheme="minorHAnsi"/>
              </w:rPr>
              <w:t>1</w:t>
            </w:r>
          </w:p>
        </w:tc>
      </w:tr>
      <w:tr w:rsidR="0084445A" w:rsidRPr="00741D80" w14:paraId="0521A8E3" w14:textId="77777777" w:rsidTr="00833465">
        <w:trPr>
          <w:trHeight w:val="20"/>
          <w:jc w:val="center"/>
        </w:trPr>
        <w:tc>
          <w:tcPr>
            <w:tcW w:w="3765" w:type="pct"/>
            <w:tcBorders>
              <w:top w:val="nil"/>
              <w:left w:val="nil"/>
              <w:bottom w:val="nil"/>
              <w:right w:val="nil"/>
            </w:tcBorders>
          </w:tcPr>
          <w:p w14:paraId="01A365CD" w14:textId="77777777" w:rsidR="0084445A" w:rsidRPr="00741D80" w:rsidRDefault="0084445A" w:rsidP="00833465">
            <w:pPr>
              <w:spacing w:after="0" w:line="240" w:lineRule="auto"/>
              <w:rPr>
                <w:rFonts w:cstheme="minorHAnsi"/>
                <w:lang w:val="en-US"/>
              </w:rPr>
            </w:pPr>
            <w:r w:rsidRPr="00741D80">
              <w:rPr>
                <w:rFonts w:cstheme="minorHAnsi"/>
              </w:rPr>
              <w:t>Начислени суми за задължения към персонала при пенсиониране</w:t>
            </w:r>
            <w:r w:rsidRPr="00741D80">
              <w:rPr>
                <w:rFonts w:cstheme="minorHAnsi"/>
                <w:lang w:val="en-US"/>
              </w:rPr>
              <w:t>(</w:t>
            </w:r>
            <w:r w:rsidRPr="00741D80">
              <w:rPr>
                <w:rFonts w:cstheme="minorHAnsi"/>
              </w:rPr>
              <w:t xml:space="preserve">Приложение № </w:t>
            </w:r>
            <w:r w:rsidRPr="00741D80">
              <w:rPr>
                <w:rFonts w:cstheme="minorHAnsi"/>
                <w:lang w:val="en-US"/>
              </w:rPr>
              <w:t>2</w:t>
            </w:r>
            <w:r w:rsidRPr="00741D80">
              <w:rPr>
                <w:rFonts w:cstheme="minorHAnsi"/>
              </w:rPr>
              <w:t>7</w:t>
            </w:r>
            <w:r w:rsidRPr="00741D80">
              <w:rPr>
                <w:rFonts w:cstheme="minorHAnsi"/>
                <w:lang w:val="en-US"/>
              </w:rPr>
              <w:t>)</w:t>
            </w:r>
          </w:p>
        </w:tc>
        <w:tc>
          <w:tcPr>
            <w:tcW w:w="587" w:type="pct"/>
            <w:tcBorders>
              <w:top w:val="nil"/>
              <w:left w:val="nil"/>
              <w:bottom w:val="nil"/>
              <w:right w:val="nil"/>
            </w:tcBorders>
            <w:vAlign w:val="center"/>
          </w:tcPr>
          <w:p w14:paraId="74850C16" w14:textId="77777777" w:rsidR="0084445A" w:rsidRPr="00741D80" w:rsidRDefault="0084445A" w:rsidP="00833465">
            <w:pPr>
              <w:spacing w:after="0" w:line="240" w:lineRule="auto"/>
              <w:jc w:val="right"/>
              <w:rPr>
                <w:rFonts w:cstheme="minorHAnsi"/>
                <w:lang w:val="en-US"/>
              </w:rPr>
            </w:pPr>
            <w:r w:rsidRPr="00741D80">
              <w:rPr>
                <w:rFonts w:cstheme="minorHAnsi"/>
                <w:lang w:val="en-US"/>
              </w:rPr>
              <w:t>10</w:t>
            </w:r>
          </w:p>
        </w:tc>
        <w:tc>
          <w:tcPr>
            <w:tcW w:w="648" w:type="pct"/>
            <w:tcBorders>
              <w:top w:val="nil"/>
              <w:left w:val="nil"/>
              <w:bottom w:val="nil"/>
              <w:right w:val="nil"/>
            </w:tcBorders>
            <w:vAlign w:val="center"/>
          </w:tcPr>
          <w:p w14:paraId="2F2DA50D" w14:textId="77777777" w:rsidR="0084445A" w:rsidRPr="00741D80" w:rsidRDefault="0084445A" w:rsidP="00833465">
            <w:pPr>
              <w:spacing w:after="0" w:line="240" w:lineRule="auto"/>
              <w:jc w:val="right"/>
              <w:rPr>
                <w:rFonts w:cstheme="minorHAnsi"/>
              </w:rPr>
            </w:pPr>
            <w:r w:rsidRPr="00741D80">
              <w:rPr>
                <w:rFonts w:cstheme="minorHAnsi"/>
              </w:rPr>
              <w:t>10</w:t>
            </w:r>
          </w:p>
        </w:tc>
      </w:tr>
      <w:tr w:rsidR="0084445A" w:rsidRPr="00741D80" w14:paraId="38BFAF4A" w14:textId="77777777" w:rsidTr="00833465">
        <w:trPr>
          <w:trHeight w:val="20"/>
          <w:jc w:val="center"/>
        </w:trPr>
        <w:tc>
          <w:tcPr>
            <w:tcW w:w="3765" w:type="pct"/>
            <w:tcBorders>
              <w:top w:val="nil"/>
              <w:left w:val="nil"/>
              <w:bottom w:val="nil"/>
              <w:right w:val="nil"/>
            </w:tcBorders>
          </w:tcPr>
          <w:p w14:paraId="7758B2AD" w14:textId="77777777" w:rsidR="0084445A" w:rsidRPr="00741D80" w:rsidRDefault="0084445A" w:rsidP="00833465">
            <w:pPr>
              <w:spacing w:after="0" w:line="240" w:lineRule="auto"/>
              <w:rPr>
                <w:rFonts w:cstheme="minorHAnsi"/>
                <w:b/>
              </w:rPr>
            </w:pPr>
            <w:r w:rsidRPr="00741D80">
              <w:rPr>
                <w:rFonts w:cstheme="minorHAnsi"/>
                <w:b/>
              </w:rPr>
              <w:t>Общо</w:t>
            </w:r>
          </w:p>
        </w:tc>
        <w:tc>
          <w:tcPr>
            <w:tcW w:w="587" w:type="pct"/>
            <w:tcBorders>
              <w:top w:val="single" w:sz="12" w:space="0" w:color="auto"/>
              <w:left w:val="nil"/>
              <w:bottom w:val="double" w:sz="6" w:space="0" w:color="auto"/>
              <w:right w:val="nil"/>
            </w:tcBorders>
          </w:tcPr>
          <w:p w14:paraId="20CB891E" w14:textId="77777777" w:rsidR="0084445A" w:rsidRPr="00741D80" w:rsidRDefault="0084445A" w:rsidP="00833465">
            <w:pPr>
              <w:spacing w:after="0" w:line="240" w:lineRule="auto"/>
              <w:jc w:val="right"/>
              <w:rPr>
                <w:rFonts w:cstheme="minorHAnsi"/>
                <w:b/>
                <w:lang w:val="en-US"/>
              </w:rPr>
            </w:pPr>
            <w:r w:rsidRPr="00741D80">
              <w:rPr>
                <w:rFonts w:cstheme="minorHAnsi"/>
                <w:b/>
                <w:lang w:val="en-US"/>
              </w:rPr>
              <w:t>1,221</w:t>
            </w:r>
          </w:p>
        </w:tc>
        <w:tc>
          <w:tcPr>
            <w:tcW w:w="648" w:type="pct"/>
            <w:tcBorders>
              <w:top w:val="single" w:sz="12" w:space="0" w:color="auto"/>
              <w:left w:val="nil"/>
              <w:bottom w:val="double" w:sz="6" w:space="0" w:color="auto"/>
              <w:right w:val="nil"/>
            </w:tcBorders>
            <w:vAlign w:val="bottom"/>
          </w:tcPr>
          <w:p w14:paraId="3B57F786" w14:textId="77777777" w:rsidR="0084445A" w:rsidRPr="00741D80" w:rsidRDefault="0084445A" w:rsidP="00833465">
            <w:pPr>
              <w:spacing w:after="0" w:line="240" w:lineRule="auto"/>
              <w:jc w:val="right"/>
              <w:rPr>
                <w:rFonts w:cstheme="minorHAnsi"/>
                <w:b/>
                <w:bCs/>
              </w:rPr>
            </w:pPr>
            <w:r w:rsidRPr="00741D80">
              <w:rPr>
                <w:rFonts w:cstheme="minorHAnsi"/>
                <w:b/>
              </w:rPr>
              <w:t>1,130</w:t>
            </w:r>
          </w:p>
        </w:tc>
      </w:tr>
    </w:tbl>
    <w:p w14:paraId="20EE92D0" w14:textId="77777777" w:rsidR="0084445A" w:rsidRPr="00A97D3D" w:rsidRDefault="0084445A" w:rsidP="00A97D3D">
      <w:bookmarkStart w:id="40" w:name="_Toc418084374"/>
    </w:p>
    <w:p w14:paraId="7B82FEB0" w14:textId="77777777" w:rsidR="0084445A" w:rsidRPr="00741D80" w:rsidRDefault="0084445A" w:rsidP="00833465">
      <w:pPr>
        <w:pStyle w:val="Mainnumbers"/>
      </w:pPr>
      <w:bookmarkStart w:id="41" w:name="_Toc536452014"/>
      <w:r w:rsidRPr="00741D80">
        <w:t>ДРУГИ РАЗХОДИ ЗА ДЕЙНОСТТА</w:t>
      </w:r>
      <w:bookmarkEnd w:id="40"/>
      <w:bookmarkEnd w:id="41"/>
    </w:p>
    <w:tbl>
      <w:tblPr>
        <w:tblW w:w="5000" w:type="pct"/>
        <w:jc w:val="center"/>
        <w:tblCellMar>
          <w:left w:w="6" w:type="dxa"/>
          <w:right w:w="6" w:type="dxa"/>
        </w:tblCellMar>
        <w:tblLook w:val="04A0" w:firstRow="1" w:lastRow="0" w:firstColumn="1" w:lastColumn="0" w:noHBand="0" w:noVBand="1"/>
      </w:tblPr>
      <w:tblGrid>
        <w:gridCol w:w="6370"/>
        <w:gridCol w:w="1691"/>
        <w:gridCol w:w="1577"/>
      </w:tblGrid>
      <w:tr w:rsidR="0084445A" w:rsidRPr="00833465" w14:paraId="22140144" w14:textId="77777777" w:rsidTr="00AE7CF9">
        <w:trPr>
          <w:trHeight w:val="170"/>
          <w:jc w:val="center"/>
        </w:trPr>
        <w:tc>
          <w:tcPr>
            <w:tcW w:w="3305" w:type="pct"/>
            <w:tcBorders>
              <w:top w:val="nil"/>
              <w:left w:val="nil"/>
              <w:bottom w:val="nil"/>
              <w:right w:val="nil"/>
            </w:tcBorders>
            <w:shd w:val="clear" w:color="auto" w:fill="auto"/>
            <w:tcMar>
              <w:left w:w="28" w:type="dxa"/>
              <w:right w:w="28" w:type="dxa"/>
            </w:tcMar>
            <w:vAlign w:val="bottom"/>
            <w:hideMark/>
          </w:tcPr>
          <w:p w14:paraId="6B71B0ED" w14:textId="77777777" w:rsidR="0084445A" w:rsidRPr="00833465" w:rsidRDefault="0084445A" w:rsidP="00833465">
            <w:pPr>
              <w:pStyle w:val="a1"/>
              <w:jc w:val="both"/>
              <w:rPr>
                <w:rFonts w:asciiTheme="minorHAnsi" w:hAnsiTheme="minorHAnsi" w:cstheme="minorHAnsi"/>
                <w:b w:val="0"/>
                <w:color w:val="auto"/>
                <w:sz w:val="22"/>
                <w:szCs w:val="22"/>
                <w:lang w:val="bg-BG"/>
              </w:rPr>
            </w:pPr>
            <w:proofErr w:type="spellStart"/>
            <w:r w:rsidRPr="00833465">
              <w:rPr>
                <w:rFonts w:asciiTheme="minorHAnsi" w:hAnsiTheme="minorHAnsi" w:cstheme="minorHAnsi"/>
                <w:b w:val="0"/>
                <w:color w:val="auto"/>
                <w:sz w:val="22"/>
                <w:szCs w:val="22"/>
              </w:rPr>
              <w:t>Другите</w:t>
            </w:r>
            <w:proofErr w:type="spellEnd"/>
            <w:r w:rsidRPr="00833465">
              <w:rPr>
                <w:rFonts w:asciiTheme="minorHAnsi" w:hAnsiTheme="minorHAnsi" w:cstheme="minorHAnsi"/>
                <w:b w:val="0"/>
                <w:color w:val="auto"/>
                <w:sz w:val="22"/>
                <w:szCs w:val="22"/>
              </w:rPr>
              <w:t xml:space="preserve"> </w:t>
            </w:r>
            <w:proofErr w:type="spellStart"/>
            <w:r w:rsidRPr="00833465">
              <w:rPr>
                <w:rFonts w:asciiTheme="minorHAnsi" w:hAnsiTheme="minorHAnsi" w:cstheme="minorHAnsi"/>
                <w:b w:val="0"/>
                <w:color w:val="auto"/>
                <w:sz w:val="22"/>
                <w:szCs w:val="22"/>
              </w:rPr>
              <w:t>разходи</w:t>
            </w:r>
            <w:proofErr w:type="spellEnd"/>
            <w:r w:rsidRPr="00833465">
              <w:rPr>
                <w:rFonts w:asciiTheme="minorHAnsi" w:hAnsiTheme="minorHAnsi" w:cstheme="minorHAnsi"/>
                <w:b w:val="0"/>
                <w:color w:val="auto"/>
                <w:sz w:val="22"/>
                <w:szCs w:val="22"/>
              </w:rPr>
              <w:t xml:space="preserve"> </w:t>
            </w:r>
            <w:proofErr w:type="spellStart"/>
            <w:r w:rsidRPr="00833465">
              <w:rPr>
                <w:rFonts w:asciiTheme="minorHAnsi" w:hAnsiTheme="minorHAnsi" w:cstheme="minorHAnsi"/>
                <w:b w:val="0"/>
                <w:color w:val="auto"/>
                <w:sz w:val="22"/>
                <w:szCs w:val="22"/>
              </w:rPr>
              <w:t>за</w:t>
            </w:r>
            <w:proofErr w:type="spellEnd"/>
            <w:r w:rsidRPr="00833465">
              <w:rPr>
                <w:rFonts w:asciiTheme="minorHAnsi" w:hAnsiTheme="minorHAnsi" w:cstheme="minorHAnsi"/>
                <w:b w:val="0"/>
                <w:color w:val="auto"/>
                <w:sz w:val="22"/>
                <w:szCs w:val="22"/>
              </w:rPr>
              <w:t xml:space="preserve"> </w:t>
            </w:r>
            <w:proofErr w:type="spellStart"/>
            <w:r w:rsidRPr="00833465">
              <w:rPr>
                <w:rFonts w:asciiTheme="minorHAnsi" w:hAnsiTheme="minorHAnsi" w:cstheme="minorHAnsi"/>
                <w:b w:val="0"/>
                <w:color w:val="auto"/>
                <w:sz w:val="22"/>
                <w:szCs w:val="22"/>
              </w:rPr>
              <w:t>дейността</w:t>
            </w:r>
            <w:proofErr w:type="spellEnd"/>
            <w:r w:rsidRPr="00833465">
              <w:rPr>
                <w:rFonts w:asciiTheme="minorHAnsi" w:hAnsiTheme="minorHAnsi" w:cstheme="minorHAnsi"/>
                <w:b w:val="0"/>
                <w:color w:val="auto"/>
                <w:sz w:val="22"/>
                <w:szCs w:val="22"/>
              </w:rPr>
              <w:t xml:space="preserve"> </w:t>
            </w:r>
            <w:proofErr w:type="spellStart"/>
            <w:r w:rsidRPr="00833465">
              <w:rPr>
                <w:rFonts w:asciiTheme="minorHAnsi" w:hAnsiTheme="minorHAnsi" w:cstheme="minorHAnsi"/>
                <w:b w:val="0"/>
                <w:color w:val="auto"/>
                <w:sz w:val="22"/>
                <w:szCs w:val="22"/>
              </w:rPr>
              <w:t>включват</w:t>
            </w:r>
            <w:proofErr w:type="spellEnd"/>
            <w:r w:rsidRPr="00833465">
              <w:rPr>
                <w:rFonts w:asciiTheme="minorHAnsi" w:hAnsiTheme="minorHAnsi" w:cstheme="minorHAnsi"/>
                <w:b w:val="0"/>
                <w:color w:val="auto"/>
                <w:sz w:val="22"/>
                <w:szCs w:val="22"/>
              </w:rPr>
              <w:t>:</w:t>
            </w:r>
          </w:p>
        </w:tc>
        <w:tc>
          <w:tcPr>
            <w:tcW w:w="877" w:type="pct"/>
            <w:tcBorders>
              <w:top w:val="nil"/>
              <w:left w:val="nil"/>
              <w:bottom w:val="nil"/>
              <w:right w:val="nil"/>
            </w:tcBorders>
            <w:shd w:val="clear" w:color="auto" w:fill="auto"/>
            <w:tcMar>
              <w:left w:w="28" w:type="dxa"/>
              <w:right w:w="28" w:type="dxa"/>
            </w:tcMar>
            <w:vAlign w:val="bottom"/>
            <w:hideMark/>
          </w:tcPr>
          <w:p w14:paraId="039D7235" w14:textId="77777777" w:rsidR="0084445A" w:rsidRPr="00833465" w:rsidRDefault="0084445A" w:rsidP="00833465">
            <w:pPr>
              <w:pStyle w:val="a1"/>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31.12.2018</w:t>
            </w:r>
          </w:p>
        </w:tc>
        <w:tc>
          <w:tcPr>
            <w:tcW w:w="818" w:type="pct"/>
            <w:tcBorders>
              <w:top w:val="nil"/>
              <w:left w:val="nil"/>
              <w:bottom w:val="nil"/>
              <w:right w:val="nil"/>
            </w:tcBorders>
            <w:shd w:val="clear" w:color="auto" w:fill="auto"/>
            <w:tcMar>
              <w:left w:w="28" w:type="dxa"/>
              <w:right w:w="28" w:type="dxa"/>
            </w:tcMar>
            <w:vAlign w:val="bottom"/>
            <w:hideMark/>
          </w:tcPr>
          <w:p w14:paraId="4A330357" w14:textId="77777777" w:rsidR="0084445A" w:rsidRPr="00833465" w:rsidRDefault="0084445A" w:rsidP="00833465">
            <w:pPr>
              <w:pStyle w:val="a1"/>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31.12.2017</w:t>
            </w:r>
          </w:p>
        </w:tc>
      </w:tr>
      <w:tr w:rsidR="0084445A" w:rsidRPr="00833465" w14:paraId="0ED4325A" w14:textId="77777777" w:rsidTr="00AE7CF9">
        <w:trPr>
          <w:trHeight w:val="170"/>
          <w:jc w:val="center"/>
        </w:trPr>
        <w:tc>
          <w:tcPr>
            <w:tcW w:w="3305" w:type="pct"/>
            <w:tcBorders>
              <w:top w:val="nil"/>
              <w:left w:val="nil"/>
              <w:bottom w:val="nil"/>
              <w:right w:val="nil"/>
            </w:tcBorders>
            <w:shd w:val="clear" w:color="auto" w:fill="auto"/>
            <w:tcMar>
              <w:left w:w="28" w:type="dxa"/>
              <w:right w:w="28" w:type="dxa"/>
            </w:tcMar>
            <w:vAlign w:val="bottom"/>
            <w:hideMark/>
          </w:tcPr>
          <w:p w14:paraId="74814D50" w14:textId="77777777" w:rsidR="0084445A" w:rsidRPr="00833465" w:rsidRDefault="0084445A" w:rsidP="00833465">
            <w:pPr>
              <w:pStyle w:val="a1"/>
              <w:rPr>
                <w:rFonts w:asciiTheme="minorHAnsi" w:hAnsiTheme="minorHAnsi" w:cstheme="minorHAnsi"/>
                <w:b w:val="0"/>
                <w:color w:val="auto"/>
                <w:sz w:val="22"/>
                <w:szCs w:val="22"/>
                <w:lang w:val="bg-BG"/>
              </w:rPr>
            </w:pPr>
          </w:p>
        </w:tc>
        <w:tc>
          <w:tcPr>
            <w:tcW w:w="877" w:type="pct"/>
            <w:tcBorders>
              <w:top w:val="nil"/>
              <w:left w:val="nil"/>
              <w:bottom w:val="nil"/>
              <w:right w:val="nil"/>
            </w:tcBorders>
            <w:shd w:val="clear" w:color="auto" w:fill="auto"/>
            <w:noWrap/>
            <w:tcMar>
              <w:left w:w="28" w:type="dxa"/>
              <w:right w:w="28" w:type="dxa"/>
            </w:tcMar>
            <w:hideMark/>
          </w:tcPr>
          <w:p w14:paraId="1F7FFE6F" w14:textId="77777777" w:rsidR="0084445A" w:rsidRPr="00833465" w:rsidRDefault="0084445A" w:rsidP="00833465">
            <w:pPr>
              <w:pStyle w:val="a1"/>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BGN'000</w:t>
            </w:r>
          </w:p>
        </w:tc>
        <w:tc>
          <w:tcPr>
            <w:tcW w:w="818" w:type="pct"/>
            <w:tcBorders>
              <w:top w:val="nil"/>
              <w:left w:val="nil"/>
              <w:bottom w:val="nil"/>
              <w:right w:val="nil"/>
            </w:tcBorders>
            <w:shd w:val="clear" w:color="auto" w:fill="auto"/>
            <w:noWrap/>
            <w:tcMar>
              <w:left w:w="28" w:type="dxa"/>
              <w:right w:w="28" w:type="dxa"/>
            </w:tcMar>
            <w:hideMark/>
          </w:tcPr>
          <w:p w14:paraId="0C50B248" w14:textId="77777777" w:rsidR="0084445A" w:rsidRPr="00833465" w:rsidRDefault="0084445A" w:rsidP="00833465">
            <w:pPr>
              <w:pStyle w:val="a1"/>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BGN'000</w:t>
            </w:r>
          </w:p>
        </w:tc>
      </w:tr>
      <w:tr w:rsidR="0084445A" w:rsidRPr="00833465" w14:paraId="409325CC" w14:textId="77777777" w:rsidTr="00AE7CF9">
        <w:trPr>
          <w:trHeight w:val="170"/>
          <w:jc w:val="center"/>
        </w:trPr>
        <w:tc>
          <w:tcPr>
            <w:tcW w:w="3305" w:type="pct"/>
            <w:tcBorders>
              <w:top w:val="nil"/>
              <w:left w:val="nil"/>
              <w:bottom w:val="nil"/>
              <w:right w:val="nil"/>
            </w:tcBorders>
            <w:shd w:val="clear" w:color="auto" w:fill="auto"/>
            <w:tcMar>
              <w:left w:w="28" w:type="dxa"/>
              <w:right w:w="28" w:type="dxa"/>
            </w:tcMar>
            <w:vAlign w:val="bottom"/>
            <w:hideMark/>
          </w:tcPr>
          <w:p w14:paraId="7D9C5107" w14:textId="77777777" w:rsidR="0084445A" w:rsidRPr="00833465" w:rsidRDefault="0084445A" w:rsidP="00833465">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 xml:space="preserve">Представителни мероприятия </w:t>
            </w:r>
          </w:p>
        </w:tc>
        <w:tc>
          <w:tcPr>
            <w:tcW w:w="877" w:type="pct"/>
            <w:tcBorders>
              <w:top w:val="nil"/>
              <w:left w:val="nil"/>
              <w:bottom w:val="nil"/>
              <w:right w:val="nil"/>
            </w:tcBorders>
            <w:shd w:val="clear" w:color="auto" w:fill="auto"/>
            <w:noWrap/>
            <w:tcMar>
              <w:left w:w="28" w:type="dxa"/>
              <w:right w:w="28" w:type="dxa"/>
            </w:tcMar>
            <w:vAlign w:val="bottom"/>
            <w:hideMark/>
          </w:tcPr>
          <w:p w14:paraId="70DD6B6E" w14:textId="77777777" w:rsidR="0084445A" w:rsidRPr="00833465" w:rsidRDefault="0084445A" w:rsidP="00833465">
            <w:pPr>
              <w:pStyle w:val="a0"/>
              <w:widowControl w:val="0"/>
              <w:ind w:firstLine="709"/>
              <w:rPr>
                <w:rFonts w:asciiTheme="minorHAnsi" w:hAnsiTheme="minorHAnsi" w:cstheme="minorHAnsi"/>
                <w:color w:val="auto"/>
                <w:sz w:val="22"/>
                <w:szCs w:val="22"/>
              </w:rPr>
            </w:pPr>
            <w:r w:rsidRPr="00833465">
              <w:rPr>
                <w:rFonts w:asciiTheme="minorHAnsi" w:hAnsiTheme="minorHAnsi" w:cstheme="minorHAnsi"/>
                <w:color w:val="auto"/>
                <w:sz w:val="22"/>
                <w:szCs w:val="22"/>
              </w:rPr>
              <w:t>29</w:t>
            </w:r>
          </w:p>
        </w:tc>
        <w:tc>
          <w:tcPr>
            <w:tcW w:w="818" w:type="pct"/>
            <w:tcBorders>
              <w:top w:val="nil"/>
              <w:left w:val="nil"/>
              <w:bottom w:val="nil"/>
              <w:right w:val="nil"/>
            </w:tcBorders>
            <w:shd w:val="clear" w:color="auto" w:fill="auto"/>
            <w:noWrap/>
            <w:tcMar>
              <w:left w:w="28" w:type="dxa"/>
              <w:right w:w="28" w:type="dxa"/>
            </w:tcMar>
            <w:vAlign w:val="bottom"/>
            <w:hideMark/>
          </w:tcPr>
          <w:p w14:paraId="796F5EC2" w14:textId="4712E173" w:rsidR="0084445A" w:rsidRPr="00833465" w:rsidRDefault="00FD518A" w:rsidP="00833465">
            <w:pPr>
              <w:pStyle w:val="a0"/>
              <w:widowControl w:val="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w:t>
            </w:r>
            <w:r w:rsidR="0084445A" w:rsidRPr="00833465">
              <w:rPr>
                <w:rFonts w:asciiTheme="minorHAnsi" w:hAnsiTheme="minorHAnsi" w:cstheme="minorHAnsi"/>
                <w:sz w:val="22"/>
                <w:szCs w:val="22"/>
                <w:lang w:val="bg-BG"/>
              </w:rPr>
              <w:t>19</w:t>
            </w:r>
            <w:r w:rsidR="0084445A" w:rsidRPr="00833465">
              <w:rPr>
                <w:rFonts w:asciiTheme="minorHAnsi" w:hAnsiTheme="minorHAnsi" w:cstheme="minorHAnsi"/>
                <w:sz w:val="22"/>
                <w:szCs w:val="22"/>
              </w:rPr>
              <w:t xml:space="preserve"> </w:t>
            </w:r>
          </w:p>
        </w:tc>
      </w:tr>
      <w:tr w:rsidR="0084445A" w:rsidRPr="00833465" w14:paraId="4E0BE5F8" w14:textId="77777777" w:rsidTr="00AE7CF9">
        <w:trPr>
          <w:trHeight w:val="170"/>
          <w:jc w:val="center"/>
        </w:trPr>
        <w:tc>
          <w:tcPr>
            <w:tcW w:w="3305" w:type="pct"/>
            <w:tcBorders>
              <w:top w:val="nil"/>
              <w:left w:val="nil"/>
              <w:bottom w:val="nil"/>
              <w:right w:val="nil"/>
            </w:tcBorders>
            <w:shd w:val="clear" w:color="auto" w:fill="auto"/>
            <w:tcMar>
              <w:left w:w="28" w:type="dxa"/>
              <w:right w:w="28" w:type="dxa"/>
            </w:tcMar>
            <w:vAlign w:val="bottom"/>
            <w:hideMark/>
          </w:tcPr>
          <w:p w14:paraId="681DDD8C" w14:textId="77777777" w:rsidR="0084445A" w:rsidRPr="00833465" w:rsidRDefault="0084445A" w:rsidP="00833465">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Командировки</w:t>
            </w:r>
          </w:p>
        </w:tc>
        <w:tc>
          <w:tcPr>
            <w:tcW w:w="877" w:type="pct"/>
            <w:tcBorders>
              <w:top w:val="nil"/>
              <w:left w:val="nil"/>
              <w:bottom w:val="nil"/>
              <w:right w:val="nil"/>
            </w:tcBorders>
            <w:shd w:val="clear" w:color="auto" w:fill="auto"/>
            <w:noWrap/>
            <w:tcMar>
              <w:left w:w="28" w:type="dxa"/>
              <w:right w:w="28" w:type="dxa"/>
            </w:tcMar>
            <w:vAlign w:val="bottom"/>
            <w:hideMark/>
          </w:tcPr>
          <w:p w14:paraId="5CC926EA" w14:textId="77777777" w:rsidR="0084445A" w:rsidRPr="00833465" w:rsidRDefault="0084445A" w:rsidP="00833465">
            <w:pPr>
              <w:pStyle w:val="a0"/>
              <w:widowControl w:val="0"/>
              <w:ind w:firstLine="709"/>
              <w:rPr>
                <w:rFonts w:asciiTheme="minorHAnsi" w:hAnsiTheme="minorHAnsi" w:cstheme="minorHAnsi"/>
                <w:color w:val="auto"/>
                <w:sz w:val="22"/>
                <w:szCs w:val="22"/>
              </w:rPr>
            </w:pPr>
            <w:r w:rsidRPr="00833465">
              <w:rPr>
                <w:rFonts w:asciiTheme="minorHAnsi" w:hAnsiTheme="minorHAnsi" w:cstheme="minorHAnsi"/>
                <w:color w:val="auto"/>
                <w:sz w:val="22"/>
                <w:szCs w:val="22"/>
              </w:rPr>
              <w:t>45</w:t>
            </w:r>
          </w:p>
        </w:tc>
        <w:tc>
          <w:tcPr>
            <w:tcW w:w="818" w:type="pct"/>
            <w:tcBorders>
              <w:top w:val="nil"/>
              <w:left w:val="nil"/>
              <w:bottom w:val="nil"/>
              <w:right w:val="nil"/>
            </w:tcBorders>
            <w:shd w:val="clear" w:color="auto" w:fill="auto"/>
            <w:noWrap/>
            <w:tcMar>
              <w:left w:w="28" w:type="dxa"/>
              <w:right w:w="28" w:type="dxa"/>
            </w:tcMar>
            <w:vAlign w:val="bottom"/>
            <w:hideMark/>
          </w:tcPr>
          <w:p w14:paraId="2BE6BDCB" w14:textId="09C96172" w:rsidR="0084445A" w:rsidRPr="00833465" w:rsidRDefault="00FD518A" w:rsidP="00833465">
            <w:pPr>
              <w:pStyle w:val="a0"/>
              <w:widowControl w:val="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w:t>
            </w:r>
            <w:r w:rsidR="0084445A" w:rsidRPr="00833465">
              <w:rPr>
                <w:rFonts w:asciiTheme="minorHAnsi" w:hAnsiTheme="minorHAnsi" w:cstheme="minorHAnsi"/>
                <w:sz w:val="22"/>
                <w:szCs w:val="22"/>
                <w:lang w:val="bg-BG"/>
              </w:rPr>
              <w:t>48</w:t>
            </w:r>
            <w:r w:rsidR="0084445A" w:rsidRPr="00833465">
              <w:rPr>
                <w:rFonts w:asciiTheme="minorHAnsi" w:hAnsiTheme="minorHAnsi" w:cstheme="minorHAnsi"/>
                <w:sz w:val="22"/>
                <w:szCs w:val="22"/>
              </w:rPr>
              <w:t xml:space="preserve"> </w:t>
            </w:r>
          </w:p>
        </w:tc>
      </w:tr>
      <w:tr w:rsidR="0084445A" w:rsidRPr="00833465" w14:paraId="588FB1B9" w14:textId="77777777" w:rsidTr="00AE7CF9">
        <w:trPr>
          <w:trHeight w:val="170"/>
          <w:jc w:val="center"/>
        </w:trPr>
        <w:tc>
          <w:tcPr>
            <w:tcW w:w="3305" w:type="pct"/>
            <w:tcBorders>
              <w:top w:val="nil"/>
              <w:left w:val="nil"/>
              <w:bottom w:val="nil"/>
              <w:right w:val="nil"/>
            </w:tcBorders>
            <w:shd w:val="clear" w:color="auto" w:fill="auto"/>
            <w:tcMar>
              <w:left w:w="28" w:type="dxa"/>
              <w:right w:w="28" w:type="dxa"/>
            </w:tcMar>
            <w:vAlign w:val="bottom"/>
          </w:tcPr>
          <w:p w14:paraId="3982310A" w14:textId="77777777" w:rsidR="0084445A" w:rsidRPr="00833465" w:rsidRDefault="0084445A" w:rsidP="00833465">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Обучения и семинари</w:t>
            </w:r>
          </w:p>
        </w:tc>
        <w:tc>
          <w:tcPr>
            <w:tcW w:w="877" w:type="pct"/>
            <w:tcBorders>
              <w:top w:val="nil"/>
              <w:left w:val="nil"/>
              <w:bottom w:val="nil"/>
              <w:right w:val="nil"/>
            </w:tcBorders>
            <w:shd w:val="clear" w:color="auto" w:fill="auto"/>
            <w:noWrap/>
            <w:tcMar>
              <w:left w:w="28" w:type="dxa"/>
              <w:right w:w="28" w:type="dxa"/>
            </w:tcMar>
            <w:vAlign w:val="bottom"/>
          </w:tcPr>
          <w:p w14:paraId="52A00D38" w14:textId="77777777" w:rsidR="0084445A" w:rsidRPr="00833465" w:rsidRDefault="0084445A" w:rsidP="00833465">
            <w:pPr>
              <w:pStyle w:val="a0"/>
              <w:widowControl w:val="0"/>
              <w:ind w:firstLine="709"/>
              <w:rPr>
                <w:rFonts w:asciiTheme="minorHAnsi" w:hAnsiTheme="minorHAnsi" w:cstheme="minorHAnsi"/>
                <w:color w:val="auto"/>
                <w:sz w:val="22"/>
                <w:szCs w:val="22"/>
              </w:rPr>
            </w:pPr>
            <w:r w:rsidRPr="00833465">
              <w:rPr>
                <w:rFonts w:asciiTheme="minorHAnsi" w:hAnsiTheme="minorHAnsi" w:cstheme="minorHAnsi"/>
                <w:color w:val="auto"/>
                <w:sz w:val="22"/>
                <w:szCs w:val="22"/>
              </w:rPr>
              <w:t>14</w:t>
            </w:r>
          </w:p>
        </w:tc>
        <w:tc>
          <w:tcPr>
            <w:tcW w:w="818" w:type="pct"/>
            <w:tcBorders>
              <w:top w:val="nil"/>
              <w:left w:val="nil"/>
              <w:bottom w:val="nil"/>
              <w:right w:val="nil"/>
            </w:tcBorders>
            <w:shd w:val="clear" w:color="auto" w:fill="auto"/>
            <w:noWrap/>
            <w:tcMar>
              <w:left w:w="28" w:type="dxa"/>
              <w:right w:w="28" w:type="dxa"/>
            </w:tcMar>
            <w:vAlign w:val="bottom"/>
          </w:tcPr>
          <w:p w14:paraId="61280D36" w14:textId="196844A7" w:rsidR="0084445A" w:rsidRPr="00833465" w:rsidRDefault="00FD518A" w:rsidP="00833465">
            <w:pPr>
              <w:pStyle w:val="a0"/>
              <w:widowControl w:val="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w:t>
            </w:r>
            <w:r w:rsidR="0084445A" w:rsidRPr="00833465">
              <w:rPr>
                <w:rFonts w:asciiTheme="minorHAnsi" w:hAnsiTheme="minorHAnsi" w:cstheme="minorHAnsi"/>
                <w:sz w:val="22"/>
                <w:szCs w:val="22"/>
              </w:rPr>
              <w:t xml:space="preserve">31 </w:t>
            </w:r>
          </w:p>
        </w:tc>
      </w:tr>
      <w:tr w:rsidR="0084445A" w:rsidRPr="00833465" w14:paraId="3F452603" w14:textId="77777777" w:rsidTr="00AE7CF9">
        <w:trPr>
          <w:trHeight w:val="170"/>
          <w:jc w:val="center"/>
        </w:trPr>
        <w:tc>
          <w:tcPr>
            <w:tcW w:w="3305" w:type="pct"/>
            <w:tcBorders>
              <w:top w:val="nil"/>
              <w:left w:val="nil"/>
              <w:bottom w:val="nil"/>
              <w:right w:val="nil"/>
            </w:tcBorders>
            <w:shd w:val="clear" w:color="auto" w:fill="auto"/>
            <w:tcMar>
              <w:left w:w="28" w:type="dxa"/>
              <w:right w:w="28" w:type="dxa"/>
            </w:tcMar>
            <w:vAlign w:val="bottom"/>
          </w:tcPr>
          <w:p w14:paraId="1BA1EFA2" w14:textId="77777777" w:rsidR="0084445A" w:rsidRPr="00833465" w:rsidRDefault="0084445A" w:rsidP="00833465">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Глоби и неустойки</w:t>
            </w:r>
          </w:p>
        </w:tc>
        <w:tc>
          <w:tcPr>
            <w:tcW w:w="877" w:type="pct"/>
            <w:tcBorders>
              <w:top w:val="nil"/>
              <w:left w:val="nil"/>
              <w:bottom w:val="nil"/>
              <w:right w:val="nil"/>
            </w:tcBorders>
            <w:shd w:val="clear" w:color="auto" w:fill="auto"/>
            <w:noWrap/>
            <w:tcMar>
              <w:left w:w="28" w:type="dxa"/>
              <w:right w:w="28" w:type="dxa"/>
            </w:tcMar>
            <w:vAlign w:val="bottom"/>
          </w:tcPr>
          <w:p w14:paraId="2E72E322" w14:textId="77777777" w:rsidR="0084445A" w:rsidRPr="00833465" w:rsidRDefault="0084445A" w:rsidP="00833465">
            <w:pPr>
              <w:pStyle w:val="a0"/>
              <w:widowControl w:val="0"/>
              <w:ind w:firstLine="709"/>
              <w:rPr>
                <w:rFonts w:asciiTheme="minorHAnsi" w:hAnsiTheme="minorHAnsi" w:cstheme="minorHAnsi"/>
                <w:color w:val="auto"/>
                <w:sz w:val="22"/>
                <w:szCs w:val="22"/>
              </w:rPr>
            </w:pPr>
            <w:r w:rsidRPr="00833465">
              <w:rPr>
                <w:rFonts w:asciiTheme="minorHAnsi" w:hAnsiTheme="minorHAnsi" w:cstheme="minorHAnsi"/>
                <w:color w:val="auto"/>
                <w:sz w:val="22"/>
                <w:szCs w:val="22"/>
              </w:rPr>
              <w:t>-</w:t>
            </w:r>
          </w:p>
        </w:tc>
        <w:tc>
          <w:tcPr>
            <w:tcW w:w="818" w:type="pct"/>
            <w:tcBorders>
              <w:top w:val="nil"/>
              <w:left w:val="nil"/>
              <w:bottom w:val="nil"/>
              <w:right w:val="nil"/>
            </w:tcBorders>
            <w:shd w:val="clear" w:color="auto" w:fill="auto"/>
            <w:noWrap/>
            <w:tcMar>
              <w:left w:w="28" w:type="dxa"/>
              <w:right w:w="28" w:type="dxa"/>
            </w:tcMar>
            <w:vAlign w:val="bottom"/>
          </w:tcPr>
          <w:p w14:paraId="08805B8F" w14:textId="77777777" w:rsidR="0084445A" w:rsidRPr="00833465" w:rsidRDefault="0084445A" w:rsidP="00833465">
            <w:pPr>
              <w:pStyle w:val="a0"/>
              <w:widowControl w:val="0"/>
              <w:ind w:firstLine="709"/>
              <w:rPr>
                <w:rFonts w:asciiTheme="minorHAnsi" w:hAnsiTheme="minorHAnsi" w:cstheme="minorHAnsi"/>
                <w:sz w:val="22"/>
                <w:szCs w:val="22"/>
                <w:lang w:val="bg-BG"/>
              </w:rPr>
            </w:pPr>
            <w:r w:rsidRPr="00833465">
              <w:rPr>
                <w:rFonts w:asciiTheme="minorHAnsi" w:hAnsiTheme="minorHAnsi" w:cstheme="minorHAnsi"/>
                <w:sz w:val="22"/>
                <w:szCs w:val="22"/>
                <w:lang w:val="bg-BG"/>
              </w:rPr>
              <w:t>7</w:t>
            </w:r>
          </w:p>
        </w:tc>
      </w:tr>
      <w:tr w:rsidR="0084445A" w:rsidRPr="00833465" w14:paraId="0117C27A" w14:textId="77777777" w:rsidTr="00AE7CF9">
        <w:trPr>
          <w:trHeight w:val="170"/>
          <w:jc w:val="center"/>
        </w:trPr>
        <w:tc>
          <w:tcPr>
            <w:tcW w:w="3305" w:type="pct"/>
            <w:tcBorders>
              <w:top w:val="nil"/>
              <w:left w:val="nil"/>
              <w:bottom w:val="nil"/>
              <w:right w:val="nil"/>
            </w:tcBorders>
            <w:shd w:val="clear" w:color="auto" w:fill="auto"/>
            <w:tcMar>
              <w:left w:w="28" w:type="dxa"/>
              <w:right w:w="28" w:type="dxa"/>
            </w:tcMar>
            <w:vAlign w:val="bottom"/>
          </w:tcPr>
          <w:p w14:paraId="5AD0093F" w14:textId="77777777" w:rsidR="0084445A" w:rsidRPr="00833465" w:rsidRDefault="0084445A" w:rsidP="00833465">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Такси марки и лицензи</w:t>
            </w:r>
          </w:p>
        </w:tc>
        <w:tc>
          <w:tcPr>
            <w:tcW w:w="877" w:type="pct"/>
            <w:tcBorders>
              <w:top w:val="nil"/>
              <w:left w:val="nil"/>
              <w:bottom w:val="nil"/>
              <w:right w:val="nil"/>
            </w:tcBorders>
            <w:shd w:val="clear" w:color="auto" w:fill="auto"/>
            <w:noWrap/>
            <w:tcMar>
              <w:left w:w="28" w:type="dxa"/>
              <w:right w:w="28" w:type="dxa"/>
            </w:tcMar>
            <w:vAlign w:val="bottom"/>
          </w:tcPr>
          <w:p w14:paraId="79FF8CA7" w14:textId="77777777" w:rsidR="0084445A" w:rsidRPr="00833465" w:rsidRDefault="0084445A" w:rsidP="00833465">
            <w:pPr>
              <w:pStyle w:val="a0"/>
              <w:widowControl w:val="0"/>
              <w:ind w:firstLine="709"/>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1</w:t>
            </w:r>
          </w:p>
        </w:tc>
        <w:tc>
          <w:tcPr>
            <w:tcW w:w="818" w:type="pct"/>
            <w:tcBorders>
              <w:top w:val="nil"/>
              <w:left w:val="nil"/>
              <w:bottom w:val="nil"/>
              <w:right w:val="nil"/>
            </w:tcBorders>
            <w:shd w:val="clear" w:color="auto" w:fill="auto"/>
            <w:noWrap/>
            <w:tcMar>
              <w:left w:w="28" w:type="dxa"/>
              <w:right w:w="28" w:type="dxa"/>
            </w:tcMar>
            <w:vAlign w:val="bottom"/>
          </w:tcPr>
          <w:p w14:paraId="5BC3C98B" w14:textId="77777777" w:rsidR="0084445A" w:rsidRPr="00833465" w:rsidRDefault="0084445A" w:rsidP="00833465">
            <w:pPr>
              <w:pStyle w:val="a0"/>
              <w:widowControl w:val="0"/>
              <w:ind w:firstLine="709"/>
              <w:rPr>
                <w:rFonts w:asciiTheme="minorHAnsi" w:hAnsiTheme="minorHAnsi" w:cstheme="minorHAnsi"/>
                <w:sz w:val="22"/>
                <w:szCs w:val="22"/>
                <w:lang w:val="bg-BG"/>
              </w:rPr>
            </w:pPr>
            <w:r w:rsidRPr="00833465">
              <w:rPr>
                <w:rFonts w:asciiTheme="minorHAnsi" w:hAnsiTheme="minorHAnsi" w:cstheme="minorHAnsi"/>
                <w:sz w:val="22"/>
                <w:szCs w:val="22"/>
                <w:lang w:val="bg-BG"/>
              </w:rPr>
              <w:t>2</w:t>
            </w:r>
            <w:r w:rsidRPr="00833465">
              <w:rPr>
                <w:rFonts w:asciiTheme="minorHAnsi" w:hAnsiTheme="minorHAnsi" w:cstheme="minorHAnsi"/>
                <w:sz w:val="22"/>
                <w:szCs w:val="22"/>
              </w:rPr>
              <w:t xml:space="preserve"> </w:t>
            </w:r>
          </w:p>
        </w:tc>
      </w:tr>
      <w:tr w:rsidR="0084445A" w:rsidRPr="00833465" w14:paraId="70387E97" w14:textId="77777777" w:rsidTr="00AE7CF9">
        <w:trPr>
          <w:trHeight w:val="170"/>
          <w:jc w:val="center"/>
        </w:trPr>
        <w:tc>
          <w:tcPr>
            <w:tcW w:w="3305" w:type="pct"/>
            <w:tcBorders>
              <w:top w:val="nil"/>
              <w:left w:val="nil"/>
              <w:bottom w:val="nil"/>
              <w:right w:val="nil"/>
            </w:tcBorders>
            <w:shd w:val="clear" w:color="auto" w:fill="auto"/>
            <w:tcMar>
              <w:left w:w="28" w:type="dxa"/>
              <w:right w:w="28" w:type="dxa"/>
            </w:tcMar>
            <w:vAlign w:val="bottom"/>
          </w:tcPr>
          <w:p w14:paraId="078C61CB" w14:textId="77777777" w:rsidR="0084445A" w:rsidRPr="00833465" w:rsidRDefault="0084445A" w:rsidP="00833465">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Обезценка вземания по цесия БЕГ АД</w:t>
            </w:r>
          </w:p>
        </w:tc>
        <w:tc>
          <w:tcPr>
            <w:tcW w:w="877" w:type="pct"/>
            <w:tcBorders>
              <w:top w:val="nil"/>
              <w:left w:val="nil"/>
              <w:bottom w:val="nil"/>
              <w:right w:val="nil"/>
            </w:tcBorders>
            <w:shd w:val="clear" w:color="auto" w:fill="auto"/>
            <w:noWrap/>
            <w:tcMar>
              <w:left w:w="28" w:type="dxa"/>
              <w:right w:w="28" w:type="dxa"/>
            </w:tcMar>
            <w:vAlign w:val="bottom"/>
          </w:tcPr>
          <w:p w14:paraId="2F906750" w14:textId="77777777" w:rsidR="0084445A" w:rsidRPr="00833465" w:rsidRDefault="0084445A" w:rsidP="00833465">
            <w:pPr>
              <w:pStyle w:val="a0"/>
              <w:widowControl w:val="0"/>
              <w:ind w:firstLine="709"/>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607</w:t>
            </w:r>
          </w:p>
        </w:tc>
        <w:tc>
          <w:tcPr>
            <w:tcW w:w="818" w:type="pct"/>
            <w:tcBorders>
              <w:top w:val="nil"/>
              <w:left w:val="nil"/>
              <w:bottom w:val="nil"/>
              <w:right w:val="nil"/>
            </w:tcBorders>
            <w:shd w:val="clear" w:color="auto" w:fill="auto"/>
            <w:noWrap/>
            <w:tcMar>
              <w:left w:w="28" w:type="dxa"/>
              <w:right w:w="28" w:type="dxa"/>
            </w:tcMar>
            <w:vAlign w:val="bottom"/>
          </w:tcPr>
          <w:p w14:paraId="51D840BD" w14:textId="77777777" w:rsidR="0084445A" w:rsidRPr="00833465" w:rsidRDefault="0084445A" w:rsidP="00833465">
            <w:pPr>
              <w:pStyle w:val="a0"/>
              <w:widowControl w:val="0"/>
              <w:ind w:firstLine="709"/>
              <w:rPr>
                <w:rFonts w:asciiTheme="minorHAnsi" w:hAnsiTheme="minorHAnsi" w:cstheme="minorHAnsi"/>
                <w:sz w:val="22"/>
                <w:szCs w:val="22"/>
                <w:lang w:val="bg-BG"/>
              </w:rPr>
            </w:pPr>
            <w:r w:rsidRPr="00833465">
              <w:rPr>
                <w:rFonts w:asciiTheme="minorHAnsi" w:hAnsiTheme="minorHAnsi" w:cstheme="minorHAnsi"/>
                <w:sz w:val="22"/>
                <w:szCs w:val="22"/>
                <w:lang w:val="bg-BG"/>
              </w:rPr>
              <w:t>-</w:t>
            </w:r>
          </w:p>
        </w:tc>
      </w:tr>
      <w:tr w:rsidR="0084445A" w:rsidRPr="00833465" w14:paraId="20FA8AB2" w14:textId="77777777" w:rsidTr="00AE7CF9">
        <w:trPr>
          <w:trHeight w:val="170"/>
          <w:jc w:val="center"/>
        </w:trPr>
        <w:tc>
          <w:tcPr>
            <w:tcW w:w="3305" w:type="pct"/>
            <w:tcBorders>
              <w:top w:val="nil"/>
              <w:left w:val="nil"/>
              <w:bottom w:val="nil"/>
              <w:right w:val="nil"/>
            </w:tcBorders>
            <w:shd w:val="clear" w:color="auto" w:fill="auto"/>
            <w:tcMar>
              <w:left w:w="28" w:type="dxa"/>
              <w:right w:w="28" w:type="dxa"/>
            </w:tcMar>
            <w:vAlign w:val="bottom"/>
            <w:hideMark/>
          </w:tcPr>
          <w:p w14:paraId="425D6CFA" w14:textId="77777777" w:rsidR="0084445A" w:rsidRPr="00833465" w:rsidRDefault="0084445A" w:rsidP="00833465">
            <w:pPr>
              <w:pStyle w:val="a"/>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 xml:space="preserve">Други </w:t>
            </w:r>
          </w:p>
        </w:tc>
        <w:tc>
          <w:tcPr>
            <w:tcW w:w="877" w:type="pct"/>
            <w:tcBorders>
              <w:top w:val="nil"/>
              <w:left w:val="nil"/>
              <w:bottom w:val="nil"/>
              <w:right w:val="nil"/>
            </w:tcBorders>
            <w:shd w:val="clear" w:color="auto" w:fill="auto"/>
            <w:noWrap/>
            <w:tcMar>
              <w:left w:w="28" w:type="dxa"/>
              <w:right w:w="28" w:type="dxa"/>
            </w:tcMar>
            <w:vAlign w:val="bottom"/>
            <w:hideMark/>
          </w:tcPr>
          <w:p w14:paraId="152A920F" w14:textId="77777777" w:rsidR="0084445A" w:rsidRPr="00833465" w:rsidRDefault="0084445A" w:rsidP="00833465">
            <w:pPr>
              <w:pStyle w:val="a0"/>
              <w:widowControl w:val="0"/>
              <w:ind w:firstLine="709"/>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15</w:t>
            </w:r>
          </w:p>
        </w:tc>
        <w:tc>
          <w:tcPr>
            <w:tcW w:w="818" w:type="pct"/>
            <w:tcBorders>
              <w:top w:val="nil"/>
              <w:left w:val="nil"/>
              <w:bottom w:val="nil"/>
              <w:right w:val="nil"/>
            </w:tcBorders>
            <w:shd w:val="clear" w:color="auto" w:fill="auto"/>
            <w:noWrap/>
            <w:tcMar>
              <w:left w:w="28" w:type="dxa"/>
              <w:right w:w="28" w:type="dxa"/>
            </w:tcMar>
            <w:vAlign w:val="bottom"/>
            <w:hideMark/>
          </w:tcPr>
          <w:p w14:paraId="1D31F7C2" w14:textId="62D362A6" w:rsidR="0084445A" w:rsidRPr="00833465" w:rsidRDefault="00FD518A" w:rsidP="00833465">
            <w:pPr>
              <w:pStyle w:val="a0"/>
              <w:widowControl w:val="0"/>
              <w:ind w:firstLine="709"/>
              <w:rPr>
                <w:rFonts w:asciiTheme="minorHAnsi" w:hAnsiTheme="minorHAnsi" w:cstheme="minorHAnsi"/>
                <w:color w:val="auto"/>
                <w:sz w:val="22"/>
                <w:szCs w:val="22"/>
                <w:lang w:val="bg-BG"/>
              </w:rPr>
            </w:pPr>
            <w:r w:rsidRPr="00833465">
              <w:rPr>
                <w:rFonts w:asciiTheme="minorHAnsi" w:hAnsiTheme="minorHAnsi" w:cstheme="minorHAnsi"/>
                <w:sz w:val="22"/>
                <w:szCs w:val="22"/>
              </w:rPr>
              <w:t xml:space="preserve"> </w:t>
            </w:r>
            <w:r w:rsidR="0084445A" w:rsidRPr="00833465">
              <w:rPr>
                <w:rFonts w:asciiTheme="minorHAnsi" w:hAnsiTheme="minorHAnsi" w:cstheme="minorHAnsi"/>
                <w:sz w:val="22"/>
                <w:szCs w:val="22"/>
                <w:lang w:val="bg-BG"/>
              </w:rPr>
              <w:t>5</w:t>
            </w:r>
            <w:r w:rsidR="0084445A" w:rsidRPr="00833465">
              <w:rPr>
                <w:rFonts w:asciiTheme="minorHAnsi" w:hAnsiTheme="minorHAnsi" w:cstheme="minorHAnsi"/>
                <w:sz w:val="22"/>
                <w:szCs w:val="22"/>
              </w:rPr>
              <w:t xml:space="preserve"> </w:t>
            </w:r>
          </w:p>
        </w:tc>
      </w:tr>
      <w:tr w:rsidR="0084445A" w:rsidRPr="00833465" w14:paraId="2CE71FDF" w14:textId="77777777" w:rsidTr="00AE7CF9">
        <w:trPr>
          <w:trHeight w:val="170"/>
          <w:jc w:val="center"/>
        </w:trPr>
        <w:tc>
          <w:tcPr>
            <w:tcW w:w="3305" w:type="pct"/>
            <w:tcBorders>
              <w:top w:val="nil"/>
              <w:left w:val="nil"/>
              <w:bottom w:val="nil"/>
              <w:right w:val="nil"/>
            </w:tcBorders>
            <w:shd w:val="clear" w:color="auto" w:fill="auto"/>
            <w:tcMar>
              <w:left w:w="28" w:type="dxa"/>
              <w:right w:w="28" w:type="dxa"/>
            </w:tcMar>
            <w:vAlign w:val="bottom"/>
            <w:hideMark/>
          </w:tcPr>
          <w:p w14:paraId="46A79180" w14:textId="77777777" w:rsidR="0084445A" w:rsidRPr="00833465" w:rsidRDefault="0084445A" w:rsidP="00833465">
            <w:pPr>
              <w:pStyle w:val="a"/>
              <w:rPr>
                <w:rFonts w:asciiTheme="minorHAnsi" w:hAnsiTheme="minorHAnsi" w:cstheme="minorHAnsi"/>
                <w:b/>
                <w:color w:val="auto"/>
                <w:sz w:val="22"/>
                <w:szCs w:val="22"/>
                <w:lang w:val="bg-BG"/>
              </w:rPr>
            </w:pPr>
            <w:r w:rsidRPr="00833465">
              <w:rPr>
                <w:rFonts w:asciiTheme="minorHAnsi" w:hAnsiTheme="minorHAnsi" w:cstheme="minorHAnsi"/>
                <w:b/>
                <w:color w:val="auto"/>
                <w:sz w:val="22"/>
                <w:szCs w:val="22"/>
                <w:lang w:val="bg-BG"/>
              </w:rPr>
              <w:t>Общо</w:t>
            </w:r>
          </w:p>
        </w:tc>
        <w:tc>
          <w:tcPr>
            <w:tcW w:w="877" w:type="pct"/>
            <w:tcBorders>
              <w:top w:val="single" w:sz="4" w:space="0" w:color="auto"/>
              <w:left w:val="nil"/>
              <w:bottom w:val="double" w:sz="6" w:space="0" w:color="auto"/>
              <w:right w:val="nil"/>
            </w:tcBorders>
            <w:shd w:val="clear" w:color="auto" w:fill="auto"/>
            <w:tcMar>
              <w:left w:w="28" w:type="dxa"/>
              <w:right w:w="28" w:type="dxa"/>
            </w:tcMar>
            <w:vAlign w:val="bottom"/>
            <w:hideMark/>
          </w:tcPr>
          <w:p w14:paraId="2585B63D" w14:textId="77777777" w:rsidR="0084445A" w:rsidRPr="00833465" w:rsidRDefault="0084445A" w:rsidP="00833465">
            <w:pPr>
              <w:pStyle w:val="a0"/>
              <w:widowControl w:val="0"/>
              <w:ind w:left="133" w:firstLine="709"/>
              <w:rPr>
                <w:rFonts w:asciiTheme="minorHAnsi" w:hAnsiTheme="minorHAnsi" w:cstheme="minorHAnsi"/>
                <w:b/>
                <w:color w:val="auto"/>
                <w:sz w:val="22"/>
                <w:szCs w:val="22"/>
                <w:lang w:val="bg-BG"/>
              </w:rPr>
            </w:pPr>
            <w:r w:rsidRPr="00833465">
              <w:rPr>
                <w:rFonts w:asciiTheme="minorHAnsi" w:hAnsiTheme="minorHAnsi" w:cstheme="minorHAnsi"/>
                <w:b/>
                <w:bCs/>
                <w:color w:val="auto"/>
                <w:sz w:val="22"/>
                <w:szCs w:val="22"/>
                <w:lang w:val="bg-BG"/>
              </w:rPr>
              <w:t>711</w:t>
            </w:r>
          </w:p>
        </w:tc>
        <w:tc>
          <w:tcPr>
            <w:tcW w:w="818" w:type="pct"/>
            <w:tcBorders>
              <w:top w:val="single" w:sz="4" w:space="0" w:color="auto"/>
              <w:left w:val="nil"/>
              <w:bottom w:val="double" w:sz="6" w:space="0" w:color="auto"/>
              <w:right w:val="nil"/>
            </w:tcBorders>
            <w:shd w:val="clear" w:color="auto" w:fill="auto"/>
            <w:tcMar>
              <w:left w:w="28" w:type="dxa"/>
              <w:right w:w="28" w:type="dxa"/>
            </w:tcMar>
            <w:vAlign w:val="bottom"/>
            <w:hideMark/>
          </w:tcPr>
          <w:p w14:paraId="15AD1ABA" w14:textId="77777777" w:rsidR="0084445A" w:rsidRPr="00833465" w:rsidRDefault="0084445A" w:rsidP="00833465">
            <w:pPr>
              <w:pStyle w:val="a0"/>
              <w:widowControl w:val="0"/>
              <w:rPr>
                <w:rFonts w:asciiTheme="minorHAnsi" w:hAnsiTheme="minorHAnsi" w:cstheme="minorHAnsi"/>
                <w:b/>
                <w:color w:val="auto"/>
                <w:sz w:val="22"/>
                <w:szCs w:val="22"/>
                <w:lang w:val="bg-BG"/>
              </w:rPr>
            </w:pPr>
            <w:r w:rsidRPr="00833465">
              <w:rPr>
                <w:rFonts w:asciiTheme="minorHAnsi" w:hAnsiTheme="minorHAnsi" w:cstheme="minorHAnsi"/>
                <w:b/>
                <w:sz w:val="22"/>
                <w:szCs w:val="22"/>
                <w:lang w:val="bg-BG"/>
              </w:rPr>
              <w:t>112</w:t>
            </w:r>
            <w:r w:rsidRPr="00833465">
              <w:rPr>
                <w:rFonts w:asciiTheme="minorHAnsi" w:hAnsiTheme="minorHAnsi" w:cstheme="minorHAnsi"/>
                <w:b/>
                <w:sz w:val="22"/>
                <w:szCs w:val="22"/>
              </w:rPr>
              <w:t xml:space="preserve"> </w:t>
            </w:r>
          </w:p>
        </w:tc>
      </w:tr>
    </w:tbl>
    <w:p w14:paraId="5846D548" w14:textId="58B950F9" w:rsidR="00833465" w:rsidRDefault="00833465" w:rsidP="00833465">
      <w:bookmarkStart w:id="42" w:name="_Toc418084375"/>
    </w:p>
    <w:p w14:paraId="58643EF1" w14:textId="77777777" w:rsidR="00833465" w:rsidRDefault="00833465">
      <w:r>
        <w:br w:type="page"/>
      </w:r>
    </w:p>
    <w:p w14:paraId="39BE80BC" w14:textId="515C2D68" w:rsidR="0084445A" w:rsidRPr="00741D80" w:rsidRDefault="0084445A" w:rsidP="00833465">
      <w:pPr>
        <w:pStyle w:val="Mainnumbers"/>
      </w:pPr>
      <w:bookmarkStart w:id="43" w:name="_Toc536452015"/>
      <w:r w:rsidRPr="00741D80">
        <w:lastRenderedPageBreak/>
        <w:t>ФИНАНСОВИ ПРИХОДИ</w:t>
      </w:r>
      <w:bookmarkEnd w:id="42"/>
      <w:bookmarkEnd w:id="43"/>
    </w:p>
    <w:tbl>
      <w:tblPr>
        <w:tblW w:w="5000" w:type="pct"/>
        <w:jc w:val="center"/>
        <w:tblLook w:val="04A0" w:firstRow="1" w:lastRow="0" w:firstColumn="1" w:lastColumn="0" w:noHBand="0" w:noVBand="1"/>
      </w:tblPr>
      <w:tblGrid>
        <w:gridCol w:w="7344"/>
        <w:gridCol w:w="1160"/>
        <w:gridCol w:w="1134"/>
      </w:tblGrid>
      <w:tr w:rsidR="0084445A" w:rsidRPr="00741D80" w14:paraId="501A019E" w14:textId="77777777" w:rsidTr="00833465">
        <w:trPr>
          <w:trHeight w:val="170"/>
          <w:jc w:val="center"/>
        </w:trPr>
        <w:tc>
          <w:tcPr>
            <w:tcW w:w="3810" w:type="pct"/>
            <w:tcBorders>
              <w:top w:val="nil"/>
              <w:left w:val="nil"/>
              <w:bottom w:val="nil"/>
              <w:right w:val="nil"/>
            </w:tcBorders>
            <w:shd w:val="clear" w:color="auto" w:fill="auto"/>
            <w:vAlign w:val="bottom"/>
            <w:hideMark/>
          </w:tcPr>
          <w:p w14:paraId="5C5D7427" w14:textId="77777777" w:rsidR="0084445A" w:rsidRPr="00741D80" w:rsidRDefault="0084445A" w:rsidP="00833465">
            <w:pPr>
              <w:pStyle w:val="a1"/>
              <w:jc w:val="both"/>
              <w:rPr>
                <w:rFonts w:asciiTheme="minorHAnsi" w:hAnsiTheme="minorHAnsi" w:cstheme="minorHAnsi"/>
                <w:b w:val="0"/>
                <w:color w:val="auto"/>
                <w:szCs w:val="20"/>
                <w:lang w:val="bg-BG"/>
              </w:rPr>
            </w:pPr>
            <w:proofErr w:type="spellStart"/>
            <w:r w:rsidRPr="00741D80">
              <w:rPr>
                <w:rFonts w:asciiTheme="minorHAnsi" w:hAnsiTheme="minorHAnsi" w:cstheme="minorHAnsi"/>
                <w:b w:val="0"/>
                <w:color w:val="auto"/>
                <w:szCs w:val="20"/>
              </w:rPr>
              <w:t>Финансовите</w:t>
            </w:r>
            <w:proofErr w:type="spellEnd"/>
            <w:r w:rsidRPr="00741D80">
              <w:rPr>
                <w:rFonts w:asciiTheme="minorHAnsi" w:hAnsiTheme="minorHAnsi" w:cstheme="minorHAnsi"/>
                <w:b w:val="0"/>
                <w:color w:val="auto"/>
                <w:szCs w:val="20"/>
              </w:rPr>
              <w:t xml:space="preserve"> </w:t>
            </w:r>
            <w:proofErr w:type="spellStart"/>
            <w:r w:rsidRPr="00741D80">
              <w:rPr>
                <w:rFonts w:asciiTheme="minorHAnsi" w:hAnsiTheme="minorHAnsi" w:cstheme="minorHAnsi"/>
                <w:b w:val="0"/>
                <w:color w:val="auto"/>
                <w:szCs w:val="20"/>
              </w:rPr>
              <w:t>приходи</w:t>
            </w:r>
            <w:proofErr w:type="spellEnd"/>
            <w:r w:rsidRPr="00741D80">
              <w:rPr>
                <w:rFonts w:asciiTheme="minorHAnsi" w:hAnsiTheme="minorHAnsi" w:cstheme="minorHAnsi"/>
                <w:b w:val="0"/>
                <w:color w:val="auto"/>
                <w:szCs w:val="20"/>
              </w:rPr>
              <w:t xml:space="preserve"> </w:t>
            </w:r>
            <w:proofErr w:type="spellStart"/>
            <w:r w:rsidRPr="00741D80">
              <w:rPr>
                <w:rFonts w:asciiTheme="minorHAnsi" w:hAnsiTheme="minorHAnsi" w:cstheme="minorHAnsi"/>
                <w:b w:val="0"/>
                <w:color w:val="auto"/>
                <w:szCs w:val="20"/>
              </w:rPr>
              <w:t>включват</w:t>
            </w:r>
            <w:proofErr w:type="spellEnd"/>
            <w:r w:rsidRPr="00741D80">
              <w:rPr>
                <w:rFonts w:asciiTheme="minorHAnsi" w:hAnsiTheme="minorHAnsi" w:cstheme="minorHAnsi"/>
                <w:b w:val="0"/>
                <w:color w:val="auto"/>
                <w:szCs w:val="20"/>
              </w:rPr>
              <w:t>:</w:t>
            </w:r>
          </w:p>
        </w:tc>
        <w:tc>
          <w:tcPr>
            <w:tcW w:w="603" w:type="pct"/>
            <w:tcBorders>
              <w:top w:val="nil"/>
              <w:left w:val="nil"/>
              <w:bottom w:val="nil"/>
              <w:right w:val="nil"/>
            </w:tcBorders>
            <w:shd w:val="clear" w:color="auto" w:fill="auto"/>
            <w:vAlign w:val="bottom"/>
            <w:hideMark/>
          </w:tcPr>
          <w:p w14:paraId="083DDD6E" w14:textId="77777777" w:rsidR="0084445A" w:rsidRPr="00741D80" w:rsidRDefault="0084445A" w:rsidP="00833465">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586" w:type="pct"/>
            <w:tcBorders>
              <w:top w:val="nil"/>
              <w:left w:val="nil"/>
              <w:bottom w:val="nil"/>
              <w:right w:val="nil"/>
            </w:tcBorders>
            <w:shd w:val="clear" w:color="auto" w:fill="auto"/>
            <w:vAlign w:val="bottom"/>
            <w:hideMark/>
          </w:tcPr>
          <w:p w14:paraId="48646F98" w14:textId="77777777" w:rsidR="0084445A" w:rsidRPr="00741D80" w:rsidRDefault="0084445A" w:rsidP="00833465">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17CEDDBC" w14:textId="77777777" w:rsidTr="00833465">
        <w:trPr>
          <w:trHeight w:val="170"/>
          <w:jc w:val="center"/>
        </w:trPr>
        <w:tc>
          <w:tcPr>
            <w:tcW w:w="3810" w:type="pct"/>
            <w:tcBorders>
              <w:top w:val="nil"/>
              <w:left w:val="nil"/>
              <w:bottom w:val="nil"/>
              <w:right w:val="nil"/>
            </w:tcBorders>
            <w:shd w:val="clear" w:color="auto" w:fill="auto"/>
            <w:vAlign w:val="bottom"/>
            <w:hideMark/>
          </w:tcPr>
          <w:p w14:paraId="10BCFDB7" w14:textId="77777777" w:rsidR="0084445A" w:rsidRPr="00741D80" w:rsidRDefault="0084445A" w:rsidP="00833465">
            <w:pPr>
              <w:pStyle w:val="a1"/>
              <w:rPr>
                <w:rFonts w:asciiTheme="minorHAnsi" w:hAnsiTheme="minorHAnsi" w:cstheme="minorHAnsi"/>
                <w:color w:val="auto"/>
                <w:szCs w:val="20"/>
                <w:lang w:val="bg-BG"/>
              </w:rPr>
            </w:pPr>
          </w:p>
        </w:tc>
        <w:tc>
          <w:tcPr>
            <w:tcW w:w="603" w:type="pct"/>
            <w:tcBorders>
              <w:top w:val="nil"/>
              <w:left w:val="nil"/>
              <w:bottom w:val="nil"/>
              <w:right w:val="nil"/>
            </w:tcBorders>
            <w:shd w:val="clear" w:color="auto" w:fill="auto"/>
            <w:noWrap/>
            <w:hideMark/>
          </w:tcPr>
          <w:p w14:paraId="3D5E1DDD" w14:textId="77777777" w:rsidR="0084445A" w:rsidRPr="00741D80" w:rsidRDefault="0084445A" w:rsidP="00833465">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586" w:type="pct"/>
            <w:tcBorders>
              <w:top w:val="nil"/>
              <w:left w:val="nil"/>
              <w:bottom w:val="nil"/>
              <w:right w:val="nil"/>
            </w:tcBorders>
            <w:shd w:val="clear" w:color="auto" w:fill="auto"/>
            <w:noWrap/>
            <w:hideMark/>
          </w:tcPr>
          <w:p w14:paraId="5EAC6C98" w14:textId="77777777" w:rsidR="0084445A" w:rsidRPr="00741D80" w:rsidRDefault="0084445A" w:rsidP="00833465">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18352302" w14:textId="77777777" w:rsidTr="00833465">
        <w:trPr>
          <w:trHeight w:val="170"/>
          <w:jc w:val="center"/>
        </w:trPr>
        <w:tc>
          <w:tcPr>
            <w:tcW w:w="3810" w:type="pct"/>
            <w:tcBorders>
              <w:top w:val="nil"/>
              <w:left w:val="nil"/>
              <w:bottom w:val="nil"/>
              <w:right w:val="nil"/>
            </w:tcBorders>
            <w:shd w:val="clear" w:color="auto" w:fill="auto"/>
            <w:vAlign w:val="bottom"/>
            <w:hideMark/>
          </w:tcPr>
          <w:p w14:paraId="761D38F4" w14:textId="77777777" w:rsidR="0084445A" w:rsidRPr="00741D80" w:rsidRDefault="0084445A" w:rsidP="00833465">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Приходи от лихви по депозити и текущи сметки в банки</w:t>
            </w:r>
          </w:p>
        </w:tc>
        <w:tc>
          <w:tcPr>
            <w:tcW w:w="603" w:type="pct"/>
            <w:tcBorders>
              <w:top w:val="nil"/>
              <w:left w:val="nil"/>
              <w:bottom w:val="nil"/>
              <w:right w:val="nil"/>
            </w:tcBorders>
            <w:shd w:val="clear" w:color="auto" w:fill="auto"/>
            <w:vAlign w:val="bottom"/>
            <w:hideMark/>
          </w:tcPr>
          <w:p w14:paraId="5A1EE9AA" w14:textId="77777777" w:rsidR="0084445A" w:rsidRPr="00741D80" w:rsidRDefault="0084445A" w:rsidP="00833465">
            <w:pPr>
              <w:pStyle w:val="a0"/>
              <w:widowControl w:val="0"/>
              <w:rPr>
                <w:rFonts w:asciiTheme="minorHAnsi" w:hAnsiTheme="minorHAnsi" w:cstheme="minorHAnsi"/>
                <w:color w:val="auto"/>
                <w:szCs w:val="20"/>
              </w:rPr>
            </w:pPr>
            <w:r w:rsidRPr="00741D80">
              <w:rPr>
                <w:rFonts w:asciiTheme="minorHAnsi" w:hAnsiTheme="minorHAnsi" w:cstheme="minorHAnsi"/>
                <w:color w:val="auto"/>
                <w:szCs w:val="20"/>
              </w:rPr>
              <w:t>1</w:t>
            </w:r>
          </w:p>
        </w:tc>
        <w:tc>
          <w:tcPr>
            <w:tcW w:w="586" w:type="pct"/>
            <w:tcBorders>
              <w:top w:val="nil"/>
              <w:left w:val="nil"/>
              <w:bottom w:val="nil"/>
              <w:right w:val="nil"/>
            </w:tcBorders>
            <w:shd w:val="clear" w:color="auto" w:fill="auto"/>
            <w:vAlign w:val="bottom"/>
            <w:hideMark/>
          </w:tcPr>
          <w:p w14:paraId="6EF716DE" w14:textId="77777777" w:rsidR="0084445A" w:rsidRPr="00741D80" w:rsidRDefault="0084445A" w:rsidP="00833465">
            <w:pPr>
              <w:pStyle w:val="a0"/>
              <w:widowControl w:val="0"/>
              <w:rPr>
                <w:rFonts w:asciiTheme="minorHAnsi" w:hAnsiTheme="minorHAnsi" w:cstheme="minorHAnsi"/>
                <w:szCs w:val="20"/>
                <w:lang w:val="bg-BG"/>
              </w:rPr>
            </w:pPr>
            <w:r w:rsidRPr="00741D80">
              <w:rPr>
                <w:rFonts w:asciiTheme="minorHAnsi" w:hAnsiTheme="minorHAnsi" w:cstheme="minorHAnsi"/>
                <w:szCs w:val="20"/>
                <w:lang w:val="bg-BG"/>
              </w:rPr>
              <w:t>-</w:t>
            </w:r>
          </w:p>
        </w:tc>
      </w:tr>
      <w:tr w:rsidR="0084445A" w:rsidRPr="00741D80" w14:paraId="0F88AD43" w14:textId="77777777" w:rsidTr="00833465">
        <w:trPr>
          <w:trHeight w:val="170"/>
          <w:jc w:val="center"/>
        </w:trPr>
        <w:tc>
          <w:tcPr>
            <w:tcW w:w="3810" w:type="pct"/>
            <w:tcBorders>
              <w:top w:val="nil"/>
              <w:left w:val="nil"/>
              <w:bottom w:val="nil"/>
              <w:right w:val="nil"/>
            </w:tcBorders>
            <w:shd w:val="clear" w:color="auto" w:fill="auto"/>
            <w:vAlign w:val="bottom"/>
            <w:hideMark/>
          </w:tcPr>
          <w:p w14:paraId="498CCDFB" w14:textId="2CFB889B" w:rsidR="0084445A" w:rsidRPr="00741D80" w:rsidRDefault="0084445A" w:rsidP="00833465">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Приходи от лихви по </w:t>
            </w:r>
            <w:r w:rsidR="004805BA">
              <w:rPr>
                <w:rFonts w:asciiTheme="minorHAnsi" w:hAnsiTheme="minorHAnsi" w:cstheme="minorHAnsi"/>
                <w:color w:val="auto"/>
                <w:szCs w:val="20"/>
                <w:lang w:val="bg-BG"/>
              </w:rPr>
              <w:t>финансови активи, оценявани по справедлива стойност</w:t>
            </w:r>
          </w:p>
        </w:tc>
        <w:tc>
          <w:tcPr>
            <w:tcW w:w="603" w:type="pct"/>
            <w:tcBorders>
              <w:top w:val="nil"/>
              <w:left w:val="nil"/>
              <w:bottom w:val="nil"/>
              <w:right w:val="nil"/>
            </w:tcBorders>
            <w:shd w:val="clear" w:color="auto" w:fill="auto"/>
            <w:vAlign w:val="bottom"/>
            <w:hideMark/>
          </w:tcPr>
          <w:p w14:paraId="39C6F040" w14:textId="77777777" w:rsidR="0084445A" w:rsidRPr="00741D80" w:rsidRDefault="0084445A" w:rsidP="00833465">
            <w:pPr>
              <w:pStyle w:val="a0"/>
              <w:widowControl w:val="0"/>
              <w:rPr>
                <w:rFonts w:asciiTheme="minorHAnsi" w:hAnsiTheme="minorHAnsi" w:cstheme="minorHAnsi"/>
                <w:color w:val="auto"/>
                <w:szCs w:val="20"/>
              </w:rPr>
            </w:pPr>
            <w:r w:rsidRPr="00741D80">
              <w:rPr>
                <w:rFonts w:asciiTheme="minorHAnsi" w:hAnsiTheme="minorHAnsi" w:cstheme="minorHAnsi"/>
                <w:color w:val="auto"/>
                <w:szCs w:val="20"/>
              </w:rPr>
              <w:t>62</w:t>
            </w:r>
          </w:p>
        </w:tc>
        <w:tc>
          <w:tcPr>
            <w:tcW w:w="586" w:type="pct"/>
            <w:tcBorders>
              <w:top w:val="nil"/>
              <w:left w:val="nil"/>
              <w:bottom w:val="nil"/>
              <w:right w:val="nil"/>
            </w:tcBorders>
            <w:shd w:val="clear" w:color="auto" w:fill="auto"/>
            <w:vAlign w:val="bottom"/>
            <w:hideMark/>
          </w:tcPr>
          <w:p w14:paraId="1FFB8777" w14:textId="77777777" w:rsidR="0084445A" w:rsidRPr="00741D80" w:rsidRDefault="0084445A" w:rsidP="00833465">
            <w:pPr>
              <w:pStyle w:val="a0"/>
              <w:widowControl w:val="0"/>
              <w:rPr>
                <w:rFonts w:asciiTheme="minorHAnsi" w:hAnsiTheme="minorHAnsi" w:cstheme="minorHAnsi"/>
                <w:color w:val="auto"/>
                <w:szCs w:val="20"/>
                <w:lang w:val="bg-BG"/>
              </w:rPr>
            </w:pPr>
            <w:r w:rsidRPr="00741D80">
              <w:rPr>
                <w:rFonts w:asciiTheme="minorHAnsi" w:hAnsiTheme="minorHAnsi" w:cstheme="minorHAnsi"/>
                <w:szCs w:val="20"/>
                <w:lang w:val="bg-BG"/>
              </w:rPr>
              <w:t>63</w:t>
            </w:r>
            <w:r w:rsidRPr="00741D80">
              <w:rPr>
                <w:rFonts w:asciiTheme="minorHAnsi" w:hAnsiTheme="minorHAnsi" w:cstheme="minorHAnsi"/>
                <w:szCs w:val="20"/>
              </w:rPr>
              <w:t xml:space="preserve"> </w:t>
            </w:r>
          </w:p>
        </w:tc>
      </w:tr>
      <w:tr w:rsidR="0084445A" w:rsidRPr="00741D80" w14:paraId="5FA1995E" w14:textId="77777777" w:rsidTr="00833465">
        <w:trPr>
          <w:trHeight w:val="170"/>
          <w:jc w:val="center"/>
        </w:trPr>
        <w:tc>
          <w:tcPr>
            <w:tcW w:w="3810" w:type="pct"/>
            <w:tcBorders>
              <w:top w:val="nil"/>
              <w:left w:val="nil"/>
              <w:bottom w:val="nil"/>
              <w:right w:val="nil"/>
            </w:tcBorders>
            <w:shd w:val="clear" w:color="auto" w:fill="auto"/>
            <w:vAlign w:val="bottom"/>
            <w:hideMark/>
          </w:tcPr>
          <w:p w14:paraId="096B8C54" w14:textId="06DED36E" w:rsidR="0084445A" w:rsidRPr="00741D80" w:rsidRDefault="0084445A" w:rsidP="00833465">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Приходи от лихви по </w:t>
            </w:r>
            <w:r w:rsidR="004805BA">
              <w:rPr>
                <w:rFonts w:asciiTheme="minorHAnsi" w:hAnsiTheme="minorHAnsi" w:cstheme="minorHAnsi"/>
                <w:color w:val="auto"/>
                <w:szCs w:val="20"/>
                <w:lang w:val="bg-BG"/>
              </w:rPr>
              <w:t>финансови активи, оценявани по амортизиране стойност</w:t>
            </w:r>
          </w:p>
        </w:tc>
        <w:tc>
          <w:tcPr>
            <w:tcW w:w="603" w:type="pct"/>
            <w:tcBorders>
              <w:top w:val="nil"/>
              <w:left w:val="nil"/>
              <w:bottom w:val="nil"/>
              <w:right w:val="nil"/>
            </w:tcBorders>
            <w:shd w:val="clear" w:color="auto" w:fill="auto"/>
            <w:vAlign w:val="bottom"/>
            <w:hideMark/>
          </w:tcPr>
          <w:p w14:paraId="7DF333B3" w14:textId="77777777" w:rsidR="0084445A" w:rsidRPr="00741D80" w:rsidRDefault="0084445A" w:rsidP="00833465">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w:t>
            </w:r>
          </w:p>
        </w:tc>
        <w:tc>
          <w:tcPr>
            <w:tcW w:w="586" w:type="pct"/>
            <w:tcBorders>
              <w:top w:val="nil"/>
              <w:left w:val="nil"/>
              <w:bottom w:val="nil"/>
              <w:right w:val="nil"/>
            </w:tcBorders>
            <w:shd w:val="clear" w:color="auto" w:fill="auto"/>
            <w:vAlign w:val="bottom"/>
            <w:hideMark/>
          </w:tcPr>
          <w:p w14:paraId="76135B47" w14:textId="77777777" w:rsidR="0084445A" w:rsidRPr="00741D80" w:rsidRDefault="0084445A" w:rsidP="00833465">
            <w:pPr>
              <w:pStyle w:val="a0"/>
              <w:widowControl w:val="0"/>
              <w:rPr>
                <w:rFonts w:asciiTheme="minorHAnsi" w:hAnsiTheme="minorHAnsi" w:cstheme="minorHAnsi"/>
                <w:szCs w:val="20"/>
                <w:lang w:val="bg-BG"/>
              </w:rPr>
            </w:pPr>
            <w:r w:rsidRPr="00741D80">
              <w:rPr>
                <w:rFonts w:asciiTheme="minorHAnsi" w:hAnsiTheme="minorHAnsi" w:cstheme="minorHAnsi"/>
                <w:szCs w:val="20"/>
                <w:lang w:val="bg-BG"/>
              </w:rPr>
              <w:t>121</w:t>
            </w:r>
          </w:p>
        </w:tc>
      </w:tr>
      <w:tr w:rsidR="0084445A" w:rsidRPr="00741D80" w14:paraId="3228A1E4" w14:textId="77777777" w:rsidTr="00833465">
        <w:trPr>
          <w:trHeight w:val="170"/>
          <w:jc w:val="center"/>
        </w:trPr>
        <w:tc>
          <w:tcPr>
            <w:tcW w:w="3810" w:type="pct"/>
            <w:tcBorders>
              <w:top w:val="nil"/>
              <w:left w:val="nil"/>
              <w:bottom w:val="nil"/>
              <w:right w:val="nil"/>
            </w:tcBorders>
            <w:shd w:val="clear" w:color="auto" w:fill="auto"/>
            <w:vAlign w:val="bottom"/>
            <w:hideMark/>
          </w:tcPr>
          <w:p w14:paraId="55859E9D" w14:textId="32B79BF7" w:rsidR="0084445A" w:rsidRPr="00741D80" w:rsidRDefault="0084445A" w:rsidP="00833465">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Приходи от дивиденти и от продажба на </w:t>
            </w:r>
            <w:r w:rsidR="004805BA">
              <w:rPr>
                <w:rFonts w:asciiTheme="minorHAnsi" w:hAnsiTheme="minorHAnsi" w:cstheme="minorHAnsi"/>
                <w:color w:val="auto"/>
                <w:szCs w:val="20"/>
                <w:lang w:val="bg-BG"/>
              </w:rPr>
              <w:t>финансови активи, оценявани по амортизирана стойност</w:t>
            </w:r>
          </w:p>
        </w:tc>
        <w:tc>
          <w:tcPr>
            <w:tcW w:w="603" w:type="pct"/>
            <w:tcBorders>
              <w:top w:val="nil"/>
              <w:left w:val="nil"/>
              <w:bottom w:val="nil"/>
              <w:right w:val="nil"/>
            </w:tcBorders>
            <w:shd w:val="clear" w:color="auto" w:fill="auto"/>
            <w:vAlign w:val="bottom"/>
            <w:hideMark/>
          </w:tcPr>
          <w:p w14:paraId="0222C35B" w14:textId="77777777" w:rsidR="0084445A" w:rsidRPr="00741D80" w:rsidRDefault="0084445A" w:rsidP="00833465">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1,305</w:t>
            </w:r>
          </w:p>
        </w:tc>
        <w:tc>
          <w:tcPr>
            <w:tcW w:w="586" w:type="pct"/>
            <w:tcBorders>
              <w:top w:val="nil"/>
              <w:left w:val="nil"/>
              <w:bottom w:val="nil"/>
              <w:right w:val="nil"/>
            </w:tcBorders>
            <w:shd w:val="clear" w:color="auto" w:fill="auto"/>
            <w:vAlign w:val="bottom"/>
            <w:hideMark/>
          </w:tcPr>
          <w:p w14:paraId="0AAD3721" w14:textId="77777777" w:rsidR="0084445A" w:rsidRPr="00741D80" w:rsidRDefault="0084445A" w:rsidP="00833465">
            <w:pPr>
              <w:pStyle w:val="a0"/>
              <w:widowControl w:val="0"/>
              <w:rPr>
                <w:rFonts w:asciiTheme="minorHAnsi" w:hAnsiTheme="minorHAnsi" w:cstheme="minorHAnsi"/>
                <w:color w:val="auto"/>
                <w:szCs w:val="20"/>
                <w:lang w:val="bg-BG"/>
              </w:rPr>
            </w:pPr>
            <w:r w:rsidRPr="00741D80">
              <w:rPr>
                <w:rFonts w:asciiTheme="minorHAnsi" w:hAnsiTheme="minorHAnsi" w:cstheme="minorHAnsi"/>
                <w:szCs w:val="20"/>
                <w:lang w:val="bg-BG"/>
              </w:rPr>
              <w:t>3</w:t>
            </w:r>
            <w:r w:rsidRPr="00741D80">
              <w:rPr>
                <w:rFonts w:asciiTheme="minorHAnsi" w:hAnsiTheme="minorHAnsi" w:cstheme="minorHAnsi"/>
                <w:szCs w:val="20"/>
              </w:rPr>
              <w:t xml:space="preserve"> </w:t>
            </w:r>
          </w:p>
        </w:tc>
      </w:tr>
      <w:tr w:rsidR="0084445A" w:rsidRPr="00741D80" w14:paraId="77DCE5A2" w14:textId="77777777" w:rsidTr="00833465">
        <w:trPr>
          <w:trHeight w:val="170"/>
          <w:jc w:val="center"/>
        </w:trPr>
        <w:tc>
          <w:tcPr>
            <w:tcW w:w="3810" w:type="pct"/>
            <w:tcBorders>
              <w:top w:val="nil"/>
              <w:left w:val="nil"/>
              <w:bottom w:val="nil"/>
              <w:right w:val="nil"/>
            </w:tcBorders>
            <w:shd w:val="clear" w:color="auto" w:fill="auto"/>
            <w:vAlign w:val="bottom"/>
            <w:hideMark/>
          </w:tcPr>
          <w:p w14:paraId="759D5ED5" w14:textId="77777777" w:rsidR="0084445A" w:rsidRPr="00741D80" w:rsidRDefault="0084445A" w:rsidP="00833465">
            <w:pPr>
              <w:pStyle w:val="a"/>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603" w:type="pct"/>
            <w:tcBorders>
              <w:top w:val="single" w:sz="4" w:space="0" w:color="auto"/>
              <w:left w:val="nil"/>
              <w:bottom w:val="single" w:sz="4" w:space="0" w:color="auto"/>
              <w:right w:val="nil"/>
            </w:tcBorders>
            <w:shd w:val="clear" w:color="auto" w:fill="auto"/>
            <w:vAlign w:val="bottom"/>
            <w:hideMark/>
          </w:tcPr>
          <w:p w14:paraId="314C0D89" w14:textId="77777777" w:rsidR="0084445A" w:rsidRPr="00741D80" w:rsidRDefault="0084445A" w:rsidP="00833465">
            <w:pPr>
              <w:pStyle w:val="a0"/>
              <w:widowControl w:val="0"/>
              <w:rPr>
                <w:rFonts w:asciiTheme="minorHAnsi" w:hAnsiTheme="minorHAnsi" w:cstheme="minorHAnsi"/>
                <w:b/>
                <w:caps/>
                <w:color w:val="auto"/>
                <w:szCs w:val="20"/>
              </w:rPr>
            </w:pPr>
            <w:r w:rsidRPr="00741D80">
              <w:rPr>
                <w:rFonts w:asciiTheme="minorHAnsi" w:hAnsiTheme="minorHAnsi" w:cstheme="minorHAnsi"/>
                <w:b/>
                <w:bCs/>
                <w:color w:val="auto"/>
                <w:szCs w:val="20"/>
              </w:rPr>
              <w:t>1,371</w:t>
            </w:r>
          </w:p>
        </w:tc>
        <w:tc>
          <w:tcPr>
            <w:tcW w:w="586" w:type="pct"/>
            <w:tcBorders>
              <w:top w:val="single" w:sz="4" w:space="0" w:color="auto"/>
              <w:left w:val="nil"/>
              <w:bottom w:val="single" w:sz="4" w:space="0" w:color="auto"/>
              <w:right w:val="nil"/>
            </w:tcBorders>
            <w:shd w:val="clear" w:color="auto" w:fill="auto"/>
            <w:vAlign w:val="bottom"/>
            <w:hideMark/>
          </w:tcPr>
          <w:p w14:paraId="4DB019DC" w14:textId="77777777" w:rsidR="0084445A" w:rsidRPr="00741D80" w:rsidRDefault="0084445A" w:rsidP="00833465">
            <w:pPr>
              <w:pStyle w:val="a0"/>
              <w:widowControl w:val="0"/>
              <w:rPr>
                <w:rFonts w:asciiTheme="minorHAnsi" w:hAnsiTheme="minorHAnsi" w:cstheme="minorHAnsi"/>
                <w:b/>
                <w:caps/>
                <w:color w:val="auto"/>
                <w:szCs w:val="20"/>
                <w:lang w:val="bg-BG"/>
              </w:rPr>
            </w:pPr>
            <w:r w:rsidRPr="00741D80">
              <w:rPr>
                <w:rFonts w:asciiTheme="minorHAnsi" w:hAnsiTheme="minorHAnsi" w:cstheme="minorHAnsi"/>
                <w:b/>
                <w:szCs w:val="20"/>
                <w:lang w:val="bg-BG"/>
              </w:rPr>
              <w:t>187</w:t>
            </w:r>
          </w:p>
        </w:tc>
      </w:tr>
    </w:tbl>
    <w:p w14:paraId="0D007EB3" w14:textId="77777777" w:rsidR="0084445A" w:rsidRPr="00741D80" w:rsidRDefault="0084445A" w:rsidP="00927B82">
      <w:pPr>
        <w:jc w:val="both"/>
        <w:rPr>
          <w:rFonts w:cstheme="minorHAnsi"/>
        </w:rPr>
      </w:pPr>
      <w:bookmarkStart w:id="44" w:name="_Toc418084377"/>
      <w:bookmarkEnd w:id="30"/>
      <w:r w:rsidRPr="00741D80">
        <w:rPr>
          <w:rFonts w:cstheme="minorHAnsi"/>
        </w:rPr>
        <w:t xml:space="preserve">Във връзка с договора за придобиване на 100% от капитала на Българска независима енергийна борса ЕАД (БНЕБ), между Българска фондова борса АД и Български енергиен холдинг ЕАД - едноличен собственик на капитала на БНЕБ, притежаваните държавни ценни книжа – евро облигации държани до падеж бяха продадени на 31.01.2018 г. Реализиран приход от сделката по продажба на държавните ценни книжа – евро облигации държани до падеж е в размер на 589 </w:t>
      </w:r>
      <w:proofErr w:type="spellStart"/>
      <w:r w:rsidRPr="00741D80">
        <w:rPr>
          <w:rFonts w:cstheme="minorHAnsi"/>
        </w:rPr>
        <w:t>х.лв</w:t>
      </w:r>
      <w:proofErr w:type="spellEnd"/>
      <w:r w:rsidRPr="00741D80">
        <w:rPr>
          <w:rFonts w:cstheme="minorHAnsi"/>
        </w:rPr>
        <w:t xml:space="preserve">. </w:t>
      </w:r>
    </w:p>
    <w:p w14:paraId="67094250" w14:textId="77777777" w:rsidR="0084445A" w:rsidRPr="00741D80" w:rsidRDefault="0084445A" w:rsidP="00927B82">
      <w:pPr>
        <w:jc w:val="both"/>
        <w:rPr>
          <w:rFonts w:cstheme="minorHAnsi"/>
        </w:rPr>
      </w:pPr>
      <w:r w:rsidRPr="00741D80">
        <w:rPr>
          <w:rFonts w:cstheme="minorHAnsi"/>
        </w:rPr>
        <w:t>Финансовите приходи включват разпределеният и изплатен дивидент от печалбата за 2017 г. от Българска независима енергийна борса ЕАД в размер на 715 х. лв..</w:t>
      </w:r>
    </w:p>
    <w:p w14:paraId="6941D41F" w14:textId="77777777" w:rsidR="0084445A" w:rsidRPr="00741D80" w:rsidRDefault="0084445A" w:rsidP="00833465">
      <w:pPr>
        <w:pStyle w:val="Mainnumbers"/>
      </w:pPr>
      <w:bookmarkStart w:id="45" w:name="_Toc536452016"/>
      <w:r w:rsidRPr="00741D80">
        <w:t>ФИНАНСОВИ РАЗХОДИ</w:t>
      </w:r>
      <w:bookmarkEnd w:id="45"/>
    </w:p>
    <w:tbl>
      <w:tblPr>
        <w:tblW w:w="5000" w:type="pct"/>
        <w:jc w:val="center"/>
        <w:tblLook w:val="04A0" w:firstRow="1" w:lastRow="0" w:firstColumn="1" w:lastColumn="0" w:noHBand="0" w:noVBand="1"/>
      </w:tblPr>
      <w:tblGrid>
        <w:gridCol w:w="7186"/>
        <w:gridCol w:w="1226"/>
        <w:gridCol w:w="1226"/>
      </w:tblGrid>
      <w:tr w:rsidR="0084445A" w:rsidRPr="00833465" w14:paraId="5F80F93A" w14:textId="77777777" w:rsidTr="00833465">
        <w:trPr>
          <w:trHeight w:val="170"/>
          <w:jc w:val="center"/>
        </w:trPr>
        <w:tc>
          <w:tcPr>
            <w:tcW w:w="3770" w:type="pct"/>
            <w:tcBorders>
              <w:top w:val="nil"/>
              <w:left w:val="nil"/>
              <w:bottom w:val="nil"/>
              <w:right w:val="nil"/>
            </w:tcBorders>
            <w:shd w:val="clear" w:color="auto" w:fill="auto"/>
            <w:vAlign w:val="bottom"/>
            <w:hideMark/>
          </w:tcPr>
          <w:p w14:paraId="1D739A08" w14:textId="77777777" w:rsidR="0084445A" w:rsidRPr="00833465" w:rsidRDefault="0084445A" w:rsidP="00AE7CF9">
            <w:pPr>
              <w:pStyle w:val="a1"/>
              <w:widowControl w:val="0"/>
              <w:spacing w:line="276" w:lineRule="auto"/>
              <w:jc w:val="both"/>
              <w:rPr>
                <w:rFonts w:asciiTheme="minorHAnsi" w:hAnsiTheme="minorHAnsi" w:cstheme="minorHAnsi"/>
                <w:b w:val="0"/>
                <w:color w:val="auto"/>
                <w:sz w:val="22"/>
                <w:szCs w:val="22"/>
                <w:lang w:val="bg-BG"/>
              </w:rPr>
            </w:pPr>
            <w:proofErr w:type="spellStart"/>
            <w:r w:rsidRPr="00833465">
              <w:rPr>
                <w:rFonts w:asciiTheme="minorHAnsi" w:hAnsiTheme="minorHAnsi" w:cstheme="minorHAnsi"/>
                <w:b w:val="0"/>
                <w:color w:val="auto"/>
                <w:sz w:val="22"/>
                <w:szCs w:val="22"/>
              </w:rPr>
              <w:t>Финансовите</w:t>
            </w:r>
            <w:proofErr w:type="spellEnd"/>
            <w:r w:rsidRPr="00833465">
              <w:rPr>
                <w:rFonts w:asciiTheme="minorHAnsi" w:hAnsiTheme="minorHAnsi" w:cstheme="minorHAnsi"/>
                <w:b w:val="0"/>
                <w:color w:val="auto"/>
                <w:sz w:val="22"/>
                <w:szCs w:val="22"/>
              </w:rPr>
              <w:t xml:space="preserve"> </w:t>
            </w:r>
            <w:r w:rsidRPr="00833465">
              <w:rPr>
                <w:rFonts w:asciiTheme="minorHAnsi" w:hAnsiTheme="minorHAnsi" w:cstheme="minorHAnsi"/>
                <w:b w:val="0"/>
                <w:color w:val="auto"/>
                <w:sz w:val="22"/>
                <w:szCs w:val="22"/>
                <w:lang w:val="bg-BG"/>
              </w:rPr>
              <w:t>разходи</w:t>
            </w:r>
            <w:r w:rsidRPr="00833465">
              <w:rPr>
                <w:rFonts w:asciiTheme="minorHAnsi" w:hAnsiTheme="minorHAnsi" w:cstheme="minorHAnsi"/>
                <w:b w:val="0"/>
                <w:color w:val="auto"/>
                <w:sz w:val="22"/>
                <w:szCs w:val="22"/>
              </w:rPr>
              <w:t xml:space="preserve"> </w:t>
            </w:r>
            <w:proofErr w:type="spellStart"/>
            <w:r w:rsidRPr="00833465">
              <w:rPr>
                <w:rFonts w:asciiTheme="minorHAnsi" w:hAnsiTheme="minorHAnsi" w:cstheme="minorHAnsi"/>
                <w:b w:val="0"/>
                <w:color w:val="auto"/>
                <w:sz w:val="22"/>
                <w:szCs w:val="22"/>
              </w:rPr>
              <w:t>включват</w:t>
            </w:r>
            <w:proofErr w:type="spellEnd"/>
            <w:r w:rsidRPr="00833465">
              <w:rPr>
                <w:rFonts w:asciiTheme="minorHAnsi" w:hAnsiTheme="minorHAnsi" w:cstheme="minorHAnsi"/>
                <w:b w:val="0"/>
                <w:color w:val="auto"/>
                <w:sz w:val="22"/>
                <w:szCs w:val="22"/>
              </w:rPr>
              <w:t>:</w:t>
            </w:r>
          </w:p>
        </w:tc>
        <w:tc>
          <w:tcPr>
            <w:tcW w:w="615" w:type="pct"/>
            <w:tcBorders>
              <w:top w:val="nil"/>
              <w:left w:val="nil"/>
              <w:bottom w:val="nil"/>
              <w:right w:val="nil"/>
            </w:tcBorders>
            <w:shd w:val="clear" w:color="auto" w:fill="auto"/>
            <w:vAlign w:val="bottom"/>
            <w:hideMark/>
          </w:tcPr>
          <w:p w14:paraId="76E8E68A" w14:textId="77777777" w:rsidR="0084445A" w:rsidRPr="00833465" w:rsidRDefault="0084445A" w:rsidP="00AE7CF9">
            <w:pPr>
              <w:pStyle w:val="a1"/>
              <w:widowControl w:val="0"/>
              <w:spacing w:line="276" w:lineRule="auto"/>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31.12.2018</w:t>
            </w:r>
          </w:p>
        </w:tc>
        <w:tc>
          <w:tcPr>
            <w:tcW w:w="615" w:type="pct"/>
            <w:tcBorders>
              <w:top w:val="nil"/>
              <w:left w:val="nil"/>
              <w:bottom w:val="nil"/>
              <w:right w:val="nil"/>
            </w:tcBorders>
            <w:shd w:val="clear" w:color="auto" w:fill="auto"/>
            <w:vAlign w:val="bottom"/>
            <w:hideMark/>
          </w:tcPr>
          <w:p w14:paraId="5FE140D4" w14:textId="77777777" w:rsidR="0084445A" w:rsidRPr="00833465" w:rsidRDefault="0084445A" w:rsidP="00AE7CF9">
            <w:pPr>
              <w:pStyle w:val="a1"/>
              <w:widowControl w:val="0"/>
              <w:spacing w:line="276" w:lineRule="auto"/>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31.12.2017</w:t>
            </w:r>
          </w:p>
        </w:tc>
      </w:tr>
      <w:tr w:rsidR="0084445A" w:rsidRPr="00833465" w14:paraId="603F5E3F" w14:textId="77777777" w:rsidTr="00833465">
        <w:trPr>
          <w:trHeight w:val="170"/>
          <w:jc w:val="center"/>
        </w:trPr>
        <w:tc>
          <w:tcPr>
            <w:tcW w:w="3770" w:type="pct"/>
            <w:tcBorders>
              <w:top w:val="nil"/>
              <w:left w:val="nil"/>
              <w:bottom w:val="nil"/>
              <w:right w:val="nil"/>
            </w:tcBorders>
            <w:shd w:val="clear" w:color="auto" w:fill="auto"/>
            <w:vAlign w:val="bottom"/>
            <w:hideMark/>
          </w:tcPr>
          <w:p w14:paraId="71E61BB4" w14:textId="77777777" w:rsidR="0084445A" w:rsidRPr="00833465" w:rsidRDefault="0084445A" w:rsidP="00AE7CF9">
            <w:pPr>
              <w:pStyle w:val="a1"/>
              <w:widowControl w:val="0"/>
              <w:spacing w:line="276" w:lineRule="auto"/>
              <w:rPr>
                <w:rFonts w:asciiTheme="minorHAnsi" w:hAnsiTheme="minorHAnsi" w:cstheme="minorHAnsi"/>
                <w:color w:val="auto"/>
                <w:sz w:val="22"/>
                <w:szCs w:val="22"/>
                <w:lang w:val="bg-BG"/>
              </w:rPr>
            </w:pPr>
          </w:p>
        </w:tc>
        <w:tc>
          <w:tcPr>
            <w:tcW w:w="615" w:type="pct"/>
            <w:tcBorders>
              <w:top w:val="nil"/>
              <w:left w:val="nil"/>
              <w:bottom w:val="nil"/>
              <w:right w:val="nil"/>
            </w:tcBorders>
            <w:shd w:val="clear" w:color="auto" w:fill="auto"/>
            <w:noWrap/>
            <w:hideMark/>
          </w:tcPr>
          <w:p w14:paraId="23C1CF57" w14:textId="77777777" w:rsidR="0084445A" w:rsidRPr="00833465" w:rsidRDefault="0084445A" w:rsidP="00AE7CF9">
            <w:pPr>
              <w:pStyle w:val="a1"/>
              <w:widowControl w:val="0"/>
              <w:spacing w:line="276" w:lineRule="auto"/>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BGN'000</w:t>
            </w:r>
          </w:p>
        </w:tc>
        <w:tc>
          <w:tcPr>
            <w:tcW w:w="615" w:type="pct"/>
            <w:tcBorders>
              <w:top w:val="nil"/>
              <w:left w:val="nil"/>
              <w:bottom w:val="nil"/>
              <w:right w:val="nil"/>
            </w:tcBorders>
            <w:shd w:val="clear" w:color="auto" w:fill="auto"/>
            <w:noWrap/>
            <w:hideMark/>
          </w:tcPr>
          <w:p w14:paraId="5D3BF553" w14:textId="77777777" w:rsidR="0084445A" w:rsidRPr="00833465" w:rsidRDefault="0084445A" w:rsidP="00AE7CF9">
            <w:pPr>
              <w:pStyle w:val="a1"/>
              <w:widowControl w:val="0"/>
              <w:spacing w:line="276" w:lineRule="auto"/>
              <w:jc w:val="right"/>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BGN'000</w:t>
            </w:r>
          </w:p>
        </w:tc>
      </w:tr>
      <w:tr w:rsidR="0084445A" w:rsidRPr="00833465" w14:paraId="016AAFA4" w14:textId="77777777" w:rsidTr="00833465">
        <w:trPr>
          <w:trHeight w:val="170"/>
          <w:jc w:val="center"/>
        </w:trPr>
        <w:tc>
          <w:tcPr>
            <w:tcW w:w="3770" w:type="pct"/>
            <w:tcBorders>
              <w:top w:val="nil"/>
              <w:left w:val="nil"/>
              <w:bottom w:val="nil"/>
              <w:right w:val="nil"/>
            </w:tcBorders>
            <w:shd w:val="clear" w:color="auto" w:fill="auto"/>
            <w:vAlign w:val="bottom"/>
            <w:hideMark/>
          </w:tcPr>
          <w:p w14:paraId="7A0F82B5" w14:textId="77777777" w:rsidR="0084445A" w:rsidRPr="00833465" w:rsidRDefault="0084445A" w:rsidP="00AE7CF9">
            <w:pPr>
              <w:pStyle w:val="a"/>
              <w:widowControl w:val="0"/>
              <w:spacing w:line="276" w:lineRule="auto"/>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Разходи за лихви по инвестиции във връзка с придобиване на дъщерното дружество БНЕБ</w:t>
            </w:r>
          </w:p>
        </w:tc>
        <w:tc>
          <w:tcPr>
            <w:tcW w:w="615" w:type="pct"/>
            <w:tcBorders>
              <w:top w:val="nil"/>
              <w:left w:val="nil"/>
              <w:bottom w:val="single" w:sz="4" w:space="0" w:color="auto"/>
              <w:right w:val="nil"/>
            </w:tcBorders>
            <w:shd w:val="clear" w:color="auto" w:fill="auto"/>
            <w:vAlign w:val="bottom"/>
            <w:hideMark/>
          </w:tcPr>
          <w:p w14:paraId="40164234" w14:textId="77777777" w:rsidR="0084445A" w:rsidRPr="00833465" w:rsidRDefault="0084445A" w:rsidP="00AE7CF9">
            <w:pPr>
              <w:pStyle w:val="a0"/>
              <w:widowControl w:val="0"/>
              <w:spacing w:line="276" w:lineRule="auto"/>
              <w:ind w:firstLine="709"/>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4</w:t>
            </w:r>
          </w:p>
        </w:tc>
        <w:tc>
          <w:tcPr>
            <w:tcW w:w="615" w:type="pct"/>
            <w:tcBorders>
              <w:top w:val="nil"/>
              <w:left w:val="nil"/>
              <w:bottom w:val="single" w:sz="4" w:space="0" w:color="auto"/>
              <w:right w:val="nil"/>
            </w:tcBorders>
            <w:shd w:val="clear" w:color="auto" w:fill="auto"/>
            <w:vAlign w:val="bottom"/>
            <w:hideMark/>
          </w:tcPr>
          <w:p w14:paraId="30F6A6D3" w14:textId="77777777" w:rsidR="0084445A" w:rsidRPr="00833465" w:rsidRDefault="0084445A" w:rsidP="00AE7CF9">
            <w:pPr>
              <w:pStyle w:val="a0"/>
              <w:widowControl w:val="0"/>
              <w:spacing w:line="276" w:lineRule="auto"/>
              <w:ind w:firstLine="709"/>
              <w:rPr>
                <w:rFonts w:asciiTheme="minorHAnsi" w:hAnsiTheme="minorHAnsi" w:cstheme="minorHAnsi"/>
                <w:color w:val="auto"/>
                <w:sz w:val="22"/>
                <w:szCs w:val="22"/>
                <w:lang w:val="bg-BG"/>
              </w:rPr>
            </w:pPr>
            <w:r w:rsidRPr="00833465">
              <w:rPr>
                <w:rFonts w:asciiTheme="minorHAnsi" w:hAnsiTheme="minorHAnsi" w:cstheme="minorHAnsi"/>
                <w:color w:val="auto"/>
                <w:sz w:val="22"/>
                <w:szCs w:val="22"/>
                <w:lang w:val="bg-BG"/>
              </w:rPr>
              <w:t>-</w:t>
            </w:r>
          </w:p>
        </w:tc>
      </w:tr>
      <w:tr w:rsidR="0084445A" w:rsidRPr="00833465" w14:paraId="3AF1384A" w14:textId="77777777" w:rsidTr="00833465">
        <w:trPr>
          <w:trHeight w:val="170"/>
          <w:jc w:val="center"/>
        </w:trPr>
        <w:tc>
          <w:tcPr>
            <w:tcW w:w="3770" w:type="pct"/>
            <w:tcBorders>
              <w:top w:val="nil"/>
              <w:left w:val="nil"/>
              <w:bottom w:val="nil"/>
              <w:right w:val="nil"/>
            </w:tcBorders>
            <w:shd w:val="clear" w:color="auto" w:fill="auto"/>
            <w:vAlign w:val="bottom"/>
          </w:tcPr>
          <w:p w14:paraId="13271C39" w14:textId="77777777" w:rsidR="0084445A" w:rsidRPr="00833465" w:rsidRDefault="0084445A" w:rsidP="00AE7CF9">
            <w:pPr>
              <w:pStyle w:val="a"/>
              <w:widowControl w:val="0"/>
              <w:spacing w:line="276" w:lineRule="auto"/>
              <w:rPr>
                <w:rFonts w:asciiTheme="minorHAnsi" w:hAnsiTheme="minorHAnsi" w:cstheme="minorHAnsi"/>
                <w:b/>
                <w:color w:val="auto"/>
                <w:sz w:val="22"/>
                <w:szCs w:val="22"/>
                <w:lang w:val="bg-BG"/>
              </w:rPr>
            </w:pPr>
            <w:r w:rsidRPr="00833465">
              <w:rPr>
                <w:rFonts w:asciiTheme="minorHAnsi" w:hAnsiTheme="minorHAnsi" w:cstheme="minorHAnsi"/>
                <w:b/>
                <w:color w:val="auto"/>
                <w:sz w:val="22"/>
                <w:szCs w:val="22"/>
                <w:lang w:val="bg-BG"/>
              </w:rPr>
              <w:t>Общо</w:t>
            </w:r>
          </w:p>
        </w:tc>
        <w:tc>
          <w:tcPr>
            <w:tcW w:w="615" w:type="pct"/>
            <w:tcBorders>
              <w:top w:val="nil"/>
              <w:left w:val="nil"/>
              <w:bottom w:val="single" w:sz="4" w:space="0" w:color="auto"/>
              <w:right w:val="nil"/>
            </w:tcBorders>
            <w:shd w:val="clear" w:color="auto" w:fill="auto"/>
            <w:vAlign w:val="bottom"/>
          </w:tcPr>
          <w:p w14:paraId="5E72848E" w14:textId="77777777" w:rsidR="0084445A" w:rsidRPr="00833465" w:rsidRDefault="0084445A" w:rsidP="00AE7CF9">
            <w:pPr>
              <w:pStyle w:val="a0"/>
              <w:widowControl w:val="0"/>
              <w:spacing w:line="276" w:lineRule="auto"/>
              <w:ind w:firstLine="709"/>
              <w:rPr>
                <w:rFonts w:asciiTheme="minorHAnsi" w:hAnsiTheme="minorHAnsi" w:cstheme="minorHAnsi"/>
                <w:b/>
                <w:color w:val="auto"/>
                <w:sz w:val="22"/>
                <w:szCs w:val="22"/>
                <w:lang w:val="bg-BG"/>
              </w:rPr>
            </w:pPr>
            <w:r w:rsidRPr="00833465">
              <w:rPr>
                <w:rFonts w:asciiTheme="minorHAnsi" w:hAnsiTheme="minorHAnsi" w:cstheme="minorHAnsi"/>
                <w:b/>
                <w:color w:val="auto"/>
                <w:sz w:val="22"/>
                <w:szCs w:val="22"/>
                <w:lang w:val="bg-BG"/>
              </w:rPr>
              <w:t>4</w:t>
            </w:r>
          </w:p>
        </w:tc>
        <w:tc>
          <w:tcPr>
            <w:tcW w:w="615" w:type="pct"/>
            <w:tcBorders>
              <w:top w:val="nil"/>
              <w:left w:val="nil"/>
              <w:bottom w:val="single" w:sz="4" w:space="0" w:color="auto"/>
              <w:right w:val="nil"/>
            </w:tcBorders>
            <w:shd w:val="clear" w:color="auto" w:fill="auto"/>
            <w:vAlign w:val="bottom"/>
          </w:tcPr>
          <w:p w14:paraId="6A543139" w14:textId="77777777" w:rsidR="0084445A" w:rsidRPr="00833465" w:rsidRDefault="0084445A" w:rsidP="00AE7CF9">
            <w:pPr>
              <w:pStyle w:val="a0"/>
              <w:widowControl w:val="0"/>
              <w:spacing w:line="276" w:lineRule="auto"/>
              <w:ind w:firstLine="709"/>
              <w:rPr>
                <w:rFonts w:asciiTheme="minorHAnsi" w:hAnsiTheme="minorHAnsi" w:cstheme="minorHAnsi"/>
                <w:b/>
                <w:sz w:val="22"/>
                <w:szCs w:val="22"/>
                <w:lang w:val="bg-BG"/>
              </w:rPr>
            </w:pPr>
            <w:r w:rsidRPr="00833465">
              <w:rPr>
                <w:rFonts w:asciiTheme="minorHAnsi" w:hAnsiTheme="minorHAnsi" w:cstheme="minorHAnsi"/>
                <w:b/>
                <w:sz w:val="22"/>
                <w:szCs w:val="22"/>
                <w:lang w:val="bg-BG"/>
              </w:rPr>
              <w:t>-</w:t>
            </w:r>
          </w:p>
        </w:tc>
      </w:tr>
    </w:tbl>
    <w:p w14:paraId="3C252945" w14:textId="77777777" w:rsidR="0084445A" w:rsidRPr="00741D80" w:rsidRDefault="0084445A" w:rsidP="00833465">
      <w:pPr>
        <w:pStyle w:val="Mainnumbers"/>
      </w:pPr>
      <w:bookmarkStart w:id="46" w:name="_Toc536452017"/>
      <w:r w:rsidRPr="00741D80">
        <w:t>ДАНЪЧНО ОБЛАГАНЕ</w:t>
      </w:r>
      <w:bookmarkEnd w:id="44"/>
      <w:bookmarkEnd w:id="46"/>
    </w:p>
    <w:p w14:paraId="78AD0CB0" w14:textId="77777777" w:rsidR="0084445A" w:rsidRPr="00741D80" w:rsidRDefault="0084445A" w:rsidP="00306C95">
      <w:pPr>
        <w:jc w:val="both"/>
        <w:rPr>
          <w:rFonts w:cstheme="minorHAnsi"/>
        </w:rPr>
      </w:pPr>
      <w:r w:rsidRPr="00741D80">
        <w:rPr>
          <w:rFonts w:cstheme="minorHAnsi"/>
        </w:rPr>
        <w:t>Основните компоненти на разхода за данък в печалбата или загубата за отчетните периоди, завършващи на 31 декември , са както следва:</w:t>
      </w:r>
    </w:p>
    <w:tbl>
      <w:tblPr>
        <w:tblW w:w="5074" w:type="pct"/>
        <w:jc w:val="center"/>
        <w:tblCellMar>
          <w:left w:w="70" w:type="dxa"/>
          <w:right w:w="70" w:type="dxa"/>
        </w:tblCellMar>
        <w:tblLook w:val="04A0" w:firstRow="1" w:lastRow="0" w:firstColumn="1" w:lastColumn="0" w:noHBand="0" w:noVBand="1"/>
      </w:tblPr>
      <w:tblGrid>
        <w:gridCol w:w="7452"/>
        <w:gridCol w:w="1150"/>
        <w:gridCol w:w="1179"/>
      </w:tblGrid>
      <w:tr w:rsidR="00E836AA" w:rsidRPr="00833465" w14:paraId="7972789B" w14:textId="77777777" w:rsidTr="00306C95">
        <w:trPr>
          <w:trHeight w:val="170"/>
          <w:jc w:val="center"/>
        </w:trPr>
        <w:tc>
          <w:tcPr>
            <w:tcW w:w="3811" w:type="pct"/>
            <w:tcBorders>
              <w:top w:val="nil"/>
              <w:left w:val="nil"/>
              <w:bottom w:val="nil"/>
              <w:right w:val="nil"/>
            </w:tcBorders>
            <w:shd w:val="clear" w:color="auto" w:fill="auto"/>
            <w:vAlign w:val="center"/>
            <w:hideMark/>
          </w:tcPr>
          <w:p w14:paraId="21CCA6DD" w14:textId="77777777" w:rsidR="0084445A" w:rsidRPr="00833465" w:rsidRDefault="0084445A" w:rsidP="00E836AA">
            <w:pPr>
              <w:spacing w:after="0" w:line="240" w:lineRule="auto"/>
              <w:rPr>
                <w:rFonts w:cstheme="minorHAnsi"/>
              </w:rPr>
            </w:pPr>
            <w:r w:rsidRPr="00833465">
              <w:rPr>
                <w:rFonts w:cstheme="minorHAnsi"/>
              </w:rPr>
              <w:t xml:space="preserve">Отчет за всеобхватния доход (печалба или загуба за годината) </w:t>
            </w:r>
          </w:p>
        </w:tc>
        <w:tc>
          <w:tcPr>
            <w:tcW w:w="583" w:type="pct"/>
            <w:tcBorders>
              <w:top w:val="nil"/>
              <w:left w:val="nil"/>
              <w:bottom w:val="nil"/>
              <w:right w:val="nil"/>
            </w:tcBorders>
            <w:shd w:val="clear" w:color="auto" w:fill="auto"/>
            <w:vAlign w:val="center"/>
            <w:hideMark/>
          </w:tcPr>
          <w:p w14:paraId="432A278E" w14:textId="77777777" w:rsidR="0084445A" w:rsidRPr="00833465" w:rsidRDefault="0084445A" w:rsidP="00E836AA">
            <w:pPr>
              <w:spacing w:after="0" w:line="240" w:lineRule="auto"/>
              <w:jc w:val="right"/>
              <w:rPr>
                <w:rFonts w:cstheme="minorHAnsi"/>
                <w:b/>
              </w:rPr>
            </w:pPr>
            <w:r w:rsidRPr="00833465">
              <w:rPr>
                <w:rFonts w:cstheme="minorHAnsi"/>
                <w:b/>
              </w:rPr>
              <w:t>31.12.2018</w:t>
            </w:r>
          </w:p>
        </w:tc>
        <w:tc>
          <w:tcPr>
            <w:tcW w:w="605" w:type="pct"/>
            <w:tcBorders>
              <w:top w:val="nil"/>
              <w:left w:val="nil"/>
              <w:bottom w:val="nil"/>
              <w:right w:val="nil"/>
            </w:tcBorders>
            <w:shd w:val="clear" w:color="auto" w:fill="auto"/>
            <w:vAlign w:val="center"/>
            <w:hideMark/>
          </w:tcPr>
          <w:p w14:paraId="433C4010" w14:textId="77777777" w:rsidR="0084445A" w:rsidRPr="00833465" w:rsidRDefault="0084445A" w:rsidP="00E836AA">
            <w:pPr>
              <w:spacing w:after="0" w:line="240" w:lineRule="auto"/>
              <w:jc w:val="right"/>
              <w:rPr>
                <w:rFonts w:cstheme="minorHAnsi"/>
                <w:b/>
              </w:rPr>
            </w:pPr>
            <w:r w:rsidRPr="00833465">
              <w:rPr>
                <w:rFonts w:cstheme="minorHAnsi"/>
                <w:b/>
              </w:rPr>
              <w:t>31.12.2017</w:t>
            </w:r>
          </w:p>
        </w:tc>
      </w:tr>
      <w:tr w:rsidR="00E836AA" w:rsidRPr="00833465" w14:paraId="597BA25A" w14:textId="77777777" w:rsidTr="00306C95">
        <w:trPr>
          <w:trHeight w:val="170"/>
          <w:jc w:val="center"/>
        </w:trPr>
        <w:tc>
          <w:tcPr>
            <w:tcW w:w="3811" w:type="pct"/>
            <w:tcBorders>
              <w:top w:val="nil"/>
              <w:left w:val="nil"/>
              <w:bottom w:val="nil"/>
              <w:right w:val="nil"/>
            </w:tcBorders>
            <w:shd w:val="clear" w:color="auto" w:fill="auto"/>
            <w:hideMark/>
          </w:tcPr>
          <w:p w14:paraId="3789C77F" w14:textId="77777777" w:rsidR="0084445A" w:rsidRPr="00833465" w:rsidRDefault="0084445A" w:rsidP="00E836AA">
            <w:pPr>
              <w:spacing w:after="0" w:line="240" w:lineRule="auto"/>
              <w:rPr>
                <w:rFonts w:cstheme="minorHAnsi"/>
              </w:rPr>
            </w:pPr>
          </w:p>
        </w:tc>
        <w:tc>
          <w:tcPr>
            <w:tcW w:w="583" w:type="pct"/>
            <w:tcBorders>
              <w:top w:val="nil"/>
              <w:left w:val="nil"/>
              <w:bottom w:val="nil"/>
              <w:right w:val="nil"/>
            </w:tcBorders>
            <w:shd w:val="clear" w:color="auto" w:fill="auto"/>
            <w:noWrap/>
            <w:vAlign w:val="center"/>
            <w:hideMark/>
          </w:tcPr>
          <w:p w14:paraId="3BB73046" w14:textId="77777777" w:rsidR="0084445A" w:rsidRPr="00833465" w:rsidRDefault="0084445A" w:rsidP="00E836AA">
            <w:pPr>
              <w:spacing w:after="0" w:line="240" w:lineRule="auto"/>
              <w:jc w:val="right"/>
              <w:rPr>
                <w:rFonts w:cstheme="minorHAnsi"/>
                <w:b/>
              </w:rPr>
            </w:pPr>
            <w:r w:rsidRPr="00833465">
              <w:rPr>
                <w:rFonts w:cstheme="minorHAnsi"/>
                <w:b/>
              </w:rPr>
              <w:t>BGN'000</w:t>
            </w:r>
          </w:p>
        </w:tc>
        <w:tc>
          <w:tcPr>
            <w:tcW w:w="605" w:type="pct"/>
            <w:tcBorders>
              <w:top w:val="nil"/>
              <w:left w:val="nil"/>
              <w:bottom w:val="nil"/>
              <w:right w:val="nil"/>
            </w:tcBorders>
            <w:shd w:val="clear" w:color="auto" w:fill="auto"/>
            <w:noWrap/>
            <w:vAlign w:val="center"/>
            <w:hideMark/>
          </w:tcPr>
          <w:p w14:paraId="7DC3BECC" w14:textId="77777777" w:rsidR="0084445A" w:rsidRPr="00833465" w:rsidRDefault="0084445A" w:rsidP="00E836AA">
            <w:pPr>
              <w:spacing w:after="0" w:line="240" w:lineRule="auto"/>
              <w:jc w:val="right"/>
              <w:rPr>
                <w:rFonts w:cstheme="minorHAnsi"/>
                <w:b/>
              </w:rPr>
            </w:pPr>
            <w:r w:rsidRPr="00833465">
              <w:rPr>
                <w:rFonts w:cstheme="minorHAnsi"/>
                <w:b/>
              </w:rPr>
              <w:t>BGN'000</w:t>
            </w:r>
          </w:p>
        </w:tc>
      </w:tr>
      <w:tr w:rsidR="00E836AA" w:rsidRPr="00833465" w14:paraId="1600E3A9" w14:textId="77777777" w:rsidTr="00306C95">
        <w:trPr>
          <w:trHeight w:val="170"/>
          <w:jc w:val="center"/>
        </w:trPr>
        <w:tc>
          <w:tcPr>
            <w:tcW w:w="3811" w:type="pct"/>
            <w:tcBorders>
              <w:top w:val="nil"/>
              <w:left w:val="nil"/>
              <w:bottom w:val="nil"/>
              <w:right w:val="nil"/>
            </w:tcBorders>
            <w:shd w:val="clear" w:color="auto" w:fill="auto"/>
            <w:vAlign w:val="center"/>
            <w:hideMark/>
          </w:tcPr>
          <w:p w14:paraId="7710357A" w14:textId="77777777" w:rsidR="0084445A" w:rsidRPr="00833465" w:rsidRDefault="0084445A" w:rsidP="00E836AA">
            <w:pPr>
              <w:spacing w:after="0" w:line="240" w:lineRule="auto"/>
              <w:rPr>
                <w:rFonts w:cstheme="minorHAnsi"/>
              </w:rPr>
            </w:pPr>
            <w:r w:rsidRPr="00833465">
              <w:rPr>
                <w:rFonts w:cstheme="minorHAnsi"/>
              </w:rPr>
              <w:t xml:space="preserve">Данъчна </w:t>
            </w:r>
            <w:r w:rsidRPr="00833465">
              <w:rPr>
                <w:rFonts w:cstheme="minorHAnsi"/>
                <w:lang w:val="en-US"/>
              </w:rPr>
              <w:t>(</w:t>
            </w:r>
            <w:r w:rsidRPr="00833465">
              <w:rPr>
                <w:rFonts w:cstheme="minorHAnsi"/>
              </w:rPr>
              <w:t>печалба</w:t>
            </w:r>
            <w:r w:rsidRPr="00833465">
              <w:rPr>
                <w:rFonts w:cstheme="minorHAnsi"/>
                <w:lang w:val="en-US"/>
              </w:rPr>
              <w:t>)/</w:t>
            </w:r>
            <w:r w:rsidRPr="00833465">
              <w:rPr>
                <w:rFonts w:cstheme="minorHAnsi"/>
              </w:rPr>
              <w:t>загуба за годината по данъчна декларация</w:t>
            </w:r>
          </w:p>
        </w:tc>
        <w:tc>
          <w:tcPr>
            <w:tcW w:w="583" w:type="pct"/>
            <w:tcBorders>
              <w:top w:val="nil"/>
              <w:left w:val="nil"/>
              <w:bottom w:val="nil"/>
              <w:right w:val="nil"/>
            </w:tcBorders>
            <w:shd w:val="clear" w:color="auto" w:fill="auto"/>
            <w:vAlign w:val="center"/>
            <w:hideMark/>
          </w:tcPr>
          <w:p w14:paraId="43E080E8" w14:textId="77777777" w:rsidR="0084445A" w:rsidRPr="00833465" w:rsidRDefault="0084445A" w:rsidP="00E836AA">
            <w:pPr>
              <w:spacing w:after="0" w:line="240" w:lineRule="auto"/>
              <w:jc w:val="right"/>
              <w:rPr>
                <w:rFonts w:cstheme="minorHAnsi"/>
              </w:rPr>
            </w:pPr>
            <w:r w:rsidRPr="00833465">
              <w:rPr>
                <w:rFonts w:cstheme="minorHAnsi"/>
                <w:lang w:val="en-US"/>
              </w:rPr>
              <w:t>25</w:t>
            </w:r>
            <w:r w:rsidRPr="00833465">
              <w:rPr>
                <w:rFonts w:cstheme="minorHAnsi"/>
              </w:rPr>
              <w:t>1</w:t>
            </w:r>
          </w:p>
        </w:tc>
        <w:tc>
          <w:tcPr>
            <w:tcW w:w="605" w:type="pct"/>
            <w:tcBorders>
              <w:top w:val="nil"/>
              <w:left w:val="nil"/>
              <w:bottom w:val="nil"/>
              <w:right w:val="nil"/>
            </w:tcBorders>
            <w:shd w:val="clear" w:color="auto" w:fill="auto"/>
            <w:vAlign w:val="center"/>
            <w:hideMark/>
          </w:tcPr>
          <w:p w14:paraId="16BE1A3A" w14:textId="77777777" w:rsidR="0084445A" w:rsidRPr="00833465" w:rsidRDefault="0084445A" w:rsidP="00E836AA">
            <w:pPr>
              <w:spacing w:after="0" w:line="240" w:lineRule="auto"/>
              <w:jc w:val="right"/>
              <w:rPr>
                <w:rFonts w:cstheme="minorHAnsi"/>
              </w:rPr>
            </w:pPr>
            <w:r w:rsidRPr="00833465">
              <w:rPr>
                <w:rFonts w:cstheme="minorHAnsi"/>
              </w:rPr>
              <w:t>221</w:t>
            </w:r>
          </w:p>
        </w:tc>
      </w:tr>
      <w:tr w:rsidR="00E836AA" w:rsidRPr="00833465" w14:paraId="2CC904A5" w14:textId="77777777" w:rsidTr="00306C95">
        <w:trPr>
          <w:trHeight w:val="170"/>
          <w:jc w:val="center"/>
        </w:trPr>
        <w:tc>
          <w:tcPr>
            <w:tcW w:w="3811" w:type="pct"/>
            <w:tcBorders>
              <w:top w:val="nil"/>
              <w:left w:val="nil"/>
              <w:bottom w:val="nil"/>
              <w:right w:val="nil"/>
            </w:tcBorders>
            <w:shd w:val="clear" w:color="auto" w:fill="auto"/>
            <w:vAlign w:val="center"/>
            <w:hideMark/>
          </w:tcPr>
          <w:p w14:paraId="3B2A93E6" w14:textId="77777777" w:rsidR="0084445A" w:rsidRPr="00833465" w:rsidRDefault="0084445A" w:rsidP="00E836AA">
            <w:pPr>
              <w:spacing w:after="0" w:line="240" w:lineRule="auto"/>
              <w:rPr>
                <w:rFonts w:cstheme="minorHAnsi"/>
              </w:rPr>
            </w:pPr>
            <w:r w:rsidRPr="00833465">
              <w:rPr>
                <w:rFonts w:cstheme="minorHAnsi"/>
              </w:rPr>
              <w:t>Текущ разход за данък върху печалбата за годината - 10%</w:t>
            </w:r>
          </w:p>
        </w:tc>
        <w:tc>
          <w:tcPr>
            <w:tcW w:w="583" w:type="pct"/>
            <w:tcBorders>
              <w:top w:val="nil"/>
              <w:left w:val="nil"/>
              <w:bottom w:val="nil"/>
              <w:right w:val="nil"/>
            </w:tcBorders>
            <w:shd w:val="clear" w:color="auto" w:fill="auto"/>
            <w:vAlign w:val="bottom"/>
            <w:hideMark/>
          </w:tcPr>
          <w:p w14:paraId="6B78BFA9" w14:textId="77777777" w:rsidR="0084445A" w:rsidRPr="00833465" w:rsidRDefault="0084445A" w:rsidP="00E836AA">
            <w:pPr>
              <w:spacing w:after="0" w:line="240" w:lineRule="auto"/>
              <w:jc w:val="right"/>
              <w:rPr>
                <w:rFonts w:cstheme="minorHAnsi"/>
              </w:rPr>
            </w:pPr>
            <w:r w:rsidRPr="00833465">
              <w:rPr>
                <w:rFonts w:cstheme="minorHAnsi"/>
              </w:rPr>
              <w:t>-</w:t>
            </w:r>
          </w:p>
        </w:tc>
        <w:tc>
          <w:tcPr>
            <w:tcW w:w="605" w:type="pct"/>
            <w:tcBorders>
              <w:top w:val="nil"/>
              <w:left w:val="nil"/>
              <w:bottom w:val="nil"/>
              <w:right w:val="nil"/>
            </w:tcBorders>
            <w:shd w:val="clear" w:color="auto" w:fill="auto"/>
            <w:vAlign w:val="bottom"/>
            <w:hideMark/>
          </w:tcPr>
          <w:p w14:paraId="125D9FD2" w14:textId="77777777" w:rsidR="0084445A" w:rsidRPr="00833465" w:rsidRDefault="0084445A" w:rsidP="00E836AA">
            <w:pPr>
              <w:spacing w:after="0" w:line="240" w:lineRule="auto"/>
              <w:jc w:val="right"/>
              <w:rPr>
                <w:rFonts w:cstheme="minorHAnsi"/>
              </w:rPr>
            </w:pPr>
            <w:r w:rsidRPr="00833465">
              <w:rPr>
                <w:rFonts w:cstheme="minorHAnsi"/>
              </w:rPr>
              <w:t>-</w:t>
            </w:r>
          </w:p>
        </w:tc>
      </w:tr>
      <w:tr w:rsidR="00E836AA" w:rsidRPr="00833465" w14:paraId="3265C076" w14:textId="77777777" w:rsidTr="00306C95">
        <w:trPr>
          <w:trHeight w:val="170"/>
          <w:jc w:val="center"/>
        </w:trPr>
        <w:tc>
          <w:tcPr>
            <w:tcW w:w="3811" w:type="pct"/>
            <w:tcBorders>
              <w:top w:val="nil"/>
              <w:left w:val="nil"/>
              <w:bottom w:val="nil"/>
              <w:right w:val="nil"/>
            </w:tcBorders>
            <w:shd w:val="clear" w:color="auto" w:fill="auto"/>
            <w:vAlign w:val="center"/>
            <w:hideMark/>
          </w:tcPr>
          <w:p w14:paraId="36C4011D" w14:textId="77777777" w:rsidR="0084445A" w:rsidRPr="00833465" w:rsidRDefault="0084445A" w:rsidP="00E836AA">
            <w:pPr>
              <w:spacing w:after="0" w:line="240" w:lineRule="auto"/>
              <w:rPr>
                <w:rFonts w:cstheme="minorHAnsi"/>
              </w:rPr>
            </w:pPr>
            <w:r w:rsidRPr="00833465">
              <w:rPr>
                <w:rFonts w:cstheme="minorHAnsi"/>
              </w:rPr>
              <w:t xml:space="preserve">Свързани с възникване и обратно проявление на временни разлики </w:t>
            </w:r>
          </w:p>
        </w:tc>
        <w:tc>
          <w:tcPr>
            <w:tcW w:w="583" w:type="pct"/>
            <w:tcBorders>
              <w:top w:val="nil"/>
              <w:left w:val="nil"/>
              <w:bottom w:val="nil"/>
              <w:right w:val="nil"/>
            </w:tcBorders>
            <w:shd w:val="clear" w:color="auto" w:fill="auto"/>
            <w:vAlign w:val="bottom"/>
            <w:hideMark/>
          </w:tcPr>
          <w:p w14:paraId="186B80D7" w14:textId="370AE652" w:rsidR="0084445A" w:rsidRPr="00833465" w:rsidRDefault="00306C95" w:rsidP="00E836AA">
            <w:pPr>
              <w:spacing w:after="0" w:line="240" w:lineRule="auto"/>
              <w:jc w:val="right"/>
              <w:rPr>
                <w:rFonts w:cstheme="minorHAnsi"/>
                <w:lang w:val="en-US"/>
              </w:rPr>
            </w:pPr>
            <w:r>
              <w:rPr>
                <w:rFonts w:cstheme="minorHAnsi"/>
                <w:lang w:val="en-US"/>
              </w:rPr>
              <w:t>(</w:t>
            </w:r>
            <w:r w:rsidR="0084445A" w:rsidRPr="00833465">
              <w:rPr>
                <w:rFonts w:cstheme="minorHAnsi"/>
                <w:lang w:val="en-US"/>
              </w:rPr>
              <w:t>60</w:t>
            </w:r>
            <w:r>
              <w:rPr>
                <w:rFonts w:cstheme="minorHAnsi"/>
                <w:lang w:val="en-US"/>
              </w:rPr>
              <w:t>)</w:t>
            </w:r>
          </w:p>
        </w:tc>
        <w:tc>
          <w:tcPr>
            <w:tcW w:w="605" w:type="pct"/>
            <w:tcBorders>
              <w:top w:val="nil"/>
              <w:left w:val="nil"/>
              <w:bottom w:val="nil"/>
              <w:right w:val="nil"/>
            </w:tcBorders>
            <w:shd w:val="clear" w:color="auto" w:fill="auto"/>
            <w:vAlign w:val="bottom"/>
            <w:hideMark/>
          </w:tcPr>
          <w:p w14:paraId="6F3A80A2" w14:textId="77777777" w:rsidR="0084445A" w:rsidRPr="00833465" w:rsidRDefault="0084445A" w:rsidP="00E836AA">
            <w:pPr>
              <w:spacing w:after="0" w:line="240" w:lineRule="auto"/>
              <w:jc w:val="right"/>
              <w:rPr>
                <w:rFonts w:cstheme="minorHAnsi"/>
                <w:lang w:val="en-US"/>
              </w:rPr>
            </w:pPr>
            <w:r w:rsidRPr="00833465">
              <w:rPr>
                <w:rFonts w:cstheme="minorHAnsi"/>
                <w:lang w:val="en-US"/>
              </w:rPr>
              <w:t>(1)</w:t>
            </w:r>
          </w:p>
        </w:tc>
      </w:tr>
      <w:tr w:rsidR="00E836AA" w:rsidRPr="00306C95" w14:paraId="40C43C70" w14:textId="77777777" w:rsidTr="00306C95">
        <w:trPr>
          <w:trHeight w:val="170"/>
          <w:jc w:val="center"/>
        </w:trPr>
        <w:tc>
          <w:tcPr>
            <w:tcW w:w="3811" w:type="pct"/>
            <w:tcBorders>
              <w:top w:val="nil"/>
              <w:left w:val="nil"/>
              <w:bottom w:val="nil"/>
              <w:right w:val="nil"/>
            </w:tcBorders>
            <w:shd w:val="clear" w:color="auto" w:fill="auto"/>
            <w:vAlign w:val="center"/>
            <w:hideMark/>
          </w:tcPr>
          <w:p w14:paraId="6CF3A65B" w14:textId="241A83E8" w:rsidR="0084445A" w:rsidRPr="00306C95" w:rsidRDefault="0084445A" w:rsidP="00306C95">
            <w:pPr>
              <w:spacing w:after="0" w:line="240" w:lineRule="auto"/>
              <w:rPr>
                <w:rFonts w:cstheme="minorHAnsi"/>
                <w:b/>
              </w:rPr>
            </w:pPr>
            <w:r w:rsidRPr="00306C95">
              <w:rPr>
                <w:rFonts w:cstheme="minorHAnsi"/>
                <w:b/>
              </w:rPr>
              <w:t>Общо (икономия от)/разход за данък върху печалбата, отчетен в отчета за всеобхватния доход (в печалбата или загубата за годината)</w:t>
            </w:r>
          </w:p>
        </w:tc>
        <w:tc>
          <w:tcPr>
            <w:tcW w:w="583" w:type="pct"/>
            <w:tcBorders>
              <w:top w:val="single" w:sz="8" w:space="0" w:color="auto"/>
              <w:left w:val="nil"/>
              <w:bottom w:val="double" w:sz="6" w:space="0" w:color="auto"/>
              <w:right w:val="nil"/>
            </w:tcBorders>
            <w:shd w:val="clear" w:color="auto" w:fill="auto"/>
            <w:vAlign w:val="bottom"/>
            <w:hideMark/>
          </w:tcPr>
          <w:p w14:paraId="5A41E6EB" w14:textId="77777777" w:rsidR="0084445A" w:rsidRPr="00306C95" w:rsidRDefault="0084445A" w:rsidP="00E836AA">
            <w:pPr>
              <w:spacing w:after="0" w:line="240" w:lineRule="auto"/>
              <w:jc w:val="right"/>
              <w:rPr>
                <w:rFonts w:cstheme="minorHAnsi"/>
                <w:b/>
                <w:lang w:val="en-US"/>
              </w:rPr>
            </w:pPr>
            <w:r w:rsidRPr="00306C95">
              <w:rPr>
                <w:rFonts w:cstheme="minorHAnsi"/>
                <w:b/>
                <w:lang w:val="en-US"/>
              </w:rPr>
              <w:t>(60)</w:t>
            </w:r>
          </w:p>
        </w:tc>
        <w:tc>
          <w:tcPr>
            <w:tcW w:w="605" w:type="pct"/>
            <w:tcBorders>
              <w:top w:val="single" w:sz="8" w:space="0" w:color="auto"/>
              <w:left w:val="nil"/>
              <w:bottom w:val="double" w:sz="6" w:space="0" w:color="auto"/>
              <w:right w:val="nil"/>
            </w:tcBorders>
            <w:shd w:val="clear" w:color="auto" w:fill="auto"/>
            <w:vAlign w:val="bottom"/>
            <w:hideMark/>
          </w:tcPr>
          <w:p w14:paraId="2D44BAEF" w14:textId="77777777" w:rsidR="0084445A" w:rsidRPr="00306C95" w:rsidRDefault="0084445A" w:rsidP="00E836AA">
            <w:pPr>
              <w:spacing w:after="0" w:line="240" w:lineRule="auto"/>
              <w:jc w:val="right"/>
              <w:rPr>
                <w:rFonts w:cstheme="minorHAnsi"/>
                <w:b/>
                <w:lang w:val="en-US"/>
              </w:rPr>
            </w:pPr>
            <w:r w:rsidRPr="00306C95">
              <w:rPr>
                <w:rFonts w:cstheme="minorHAnsi"/>
                <w:b/>
                <w:lang w:val="en-US"/>
              </w:rPr>
              <w:t>(1)</w:t>
            </w:r>
          </w:p>
        </w:tc>
      </w:tr>
    </w:tbl>
    <w:p w14:paraId="434F77D1" w14:textId="77777777" w:rsidR="0084445A" w:rsidRPr="00741D80" w:rsidRDefault="0084445A" w:rsidP="0084445A">
      <w:pPr>
        <w:rPr>
          <w:rFonts w:cstheme="minorHAnsi"/>
        </w:rPr>
      </w:pPr>
    </w:p>
    <w:tbl>
      <w:tblPr>
        <w:tblW w:w="5000" w:type="pct"/>
        <w:tblCellMar>
          <w:left w:w="70" w:type="dxa"/>
          <w:right w:w="70" w:type="dxa"/>
        </w:tblCellMar>
        <w:tblLook w:val="04A0" w:firstRow="1" w:lastRow="0" w:firstColumn="1" w:lastColumn="0" w:noHBand="0" w:noVBand="1"/>
      </w:tblPr>
      <w:tblGrid>
        <w:gridCol w:w="7086"/>
        <w:gridCol w:w="1276"/>
        <w:gridCol w:w="1276"/>
      </w:tblGrid>
      <w:tr w:rsidR="0084445A" w:rsidRPr="00741D80" w14:paraId="7BEE2DAA" w14:textId="77777777" w:rsidTr="00E836AA">
        <w:trPr>
          <w:trHeight w:val="170"/>
        </w:trPr>
        <w:tc>
          <w:tcPr>
            <w:tcW w:w="3676" w:type="pct"/>
            <w:tcBorders>
              <w:top w:val="nil"/>
              <w:left w:val="nil"/>
              <w:bottom w:val="nil"/>
              <w:right w:val="nil"/>
            </w:tcBorders>
            <w:shd w:val="clear" w:color="auto" w:fill="auto"/>
            <w:noWrap/>
            <w:vAlign w:val="center"/>
            <w:hideMark/>
          </w:tcPr>
          <w:p w14:paraId="5AB472AD" w14:textId="77777777" w:rsidR="0084445A" w:rsidRPr="00741D80" w:rsidRDefault="0084445A" w:rsidP="00E836AA">
            <w:pPr>
              <w:spacing w:after="0" w:line="240" w:lineRule="auto"/>
              <w:rPr>
                <w:rFonts w:cstheme="minorHAnsi"/>
              </w:rPr>
            </w:pPr>
            <w:r w:rsidRPr="00741D80">
              <w:rPr>
                <w:rFonts w:cstheme="minorHAnsi"/>
              </w:rPr>
              <w:t>Равнение на (икономия от)/разход за данък върху печалбата, определен</w:t>
            </w:r>
          </w:p>
        </w:tc>
        <w:tc>
          <w:tcPr>
            <w:tcW w:w="662" w:type="pct"/>
            <w:tcBorders>
              <w:top w:val="nil"/>
              <w:left w:val="nil"/>
              <w:bottom w:val="nil"/>
              <w:right w:val="nil"/>
            </w:tcBorders>
            <w:shd w:val="clear" w:color="auto" w:fill="auto"/>
            <w:hideMark/>
          </w:tcPr>
          <w:p w14:paraId="57A04A50" w14:textId="77777777" w:rsidR="0084445A" w:rsidRPr="00741D80" w:rsidRDefault="0084445A" w:rsidP="00E836AA">
            <w:pPr>
              <w:spacing w:after="0" w:line="240" w:lineRule="auto"/>
              <w:jc w:val="right"/>
              <w:rPr>
                <w:rFonts w:cstheme="minorHAnsi"/>
                <w:b/>
              </w:rPr>
            </w:pPr>
            <w:r w:rsidRPr="00741D80">
              <w:rPr>
                <w:rFonts w:cstheme="minorHAnsi"/>
                <w:b/>
                <w:lang w:val="en-US"/>
              </w:rPr>
              <w:t>31</w:t>
            </w:r>
            <w:r w:rsidRPr="00741D80">
              <w:rPr>
                <w:rFonts w:cstheme="minorHAnsi"/>
                <w:b/>
              </w:rPr>
              <w:t>.</w:t>
            </w:r>
            <w:r w:rsidRPr="00741D80">
              <w:rPr>
                <w:rFonts w:cstheme="minorHAnsi"/>
                <w:b/>
                <w:lang w:val="en-US"/>
              </w:rPr>
              <w:t>12</w:t>
            </w:r>
            <w:r w:rsidRPr="00741D80">
              <w:rPr>
                <w:rFonts w:cstheme="minorHAnsi"/>
                <w:b/>
              </w:rPr>
              <w:t>.2018</w:t>
            </w:r>
          </w:p>
        </w:tc>
        <w:tc>
          <w:tcPr>
            <w:tcW w:w="662" w:type="pct"/>
            <w:tcBorders>
              <w:top w:val="nil"/>
              <w:left w:val="nil"/>
              <w:bottom w:val="nil"/>
              <w:right w:val="nil"/>
            </w:tcBorders>
            <w:shd w:val="clear" w:color="auto" w:fill="auto"/>
            <w:hideMark/>
          </w:tcPr>
          <w:p w14:paraId="3B4FB561" w14:textId="77777777" w:rsidR="0084445A" w:rsidRPr="00741D80" w:rsidRDefault="0084445A" w:rsidP="00E836AA">
            <w:pPr>
              <w:spacing w:after="0" w:line="240" w:lineRule="auto"/>
              <w:jc w:val="right"/>
              <w:rPr>
                <w:rFonts w:cstheme="minorHAnsi"/>
                <w:b/>
              </w:rPr>
            </w:pPr>
            <w:r w:rsidRPr="00741D80">
              <w:rPr>
                <w:rFonts w:cstheme="minorHAnsi"/>
                <w:b/>
                <w:lang w:val="en-US"/>
              </w:rPr>
              <w:t>31</w:t>
            </w:r>
            <w:r w:rsidRPr="00741D80">
              <w:rPr>
                <w:rFonts w:cstheme="minorHAnsi"/>
                <w:b/>
              </w:rPr>
              <w:t>.</w:t>
            </w:r>
            <w:r w:rsidRPr="00741D80">
              <w:rPr>
                <w:rFonts w:cstheme="minorHAnsi"/>
                <w:b/>
                <w:lang w:val="en-US"/>
              </w:rPr>
              <w:t>12</w:t>
            </w:r>
            <w:r w:rsidRPr="00741D80">
              <w:rPr>
                <w:rFonts w:cstheme="minorHAnsi"/>
                <w:b/>
              </w:rPr>
              <w:t>.2017</w:t>
            </w:r>
          </w:p>
        </w:tc>
      </w:tr>
      <w:tr w:rsidR="0084445A" w:rsidRPr="00741D80" w14:paraId="37BF31E9" w14:textId="77777777" w:rsidTr="00E836AA">
        <w:trPr>
          <w:trHeight w:val="170"/>
        </w:trPr>
        <w:tc>
          <w:tcPr>
            <w:tcW w:w="3676" w:type="pct"/>
            <w:tcBorders>
              <w:top w:val="nil"/>
              <w:left w:val="nil"/>
              <w:bottom w:val="nil"/>
              <w:right w:val="nil"/>
            </w:tcBorders>
            <w:shd w:val="clear" w:color="auto" w:fill="auto"/>
            <w:noWrap/>
            <w:hideMark/>
          </w:tcPr>
          <w:p w14:paraId="7B5AD461" w14:textId="77777777" w:rsidR="0084445A" w:rsidRPr="00741D80" w:rsidRDefault="0084445A" w:rsidP="00E836AA">
            <w:pPr>
              <w:spacing w:after="0" w:line="240" w:lineRule="auto"/>
              <w:rPr>
                <w:rFonts w:cstheme="minorHAnsi"/>
              </w:rPr>
            </w:pPr>
            <w:r w:rsidRPr="00741D80">
              <w:rPr>
                <w:rFonts w:cstheme="minorHAnsi"/>
              </w:rPr>
              <w:t>спрямо счетоводния резултат</w:t>
            </w:r>
          </w:p>
        </w:tc>
        <w:tc>
          <w:tcPr>
            <w:tcW w:w="662" w:type="pct"/>
            <w:tcBorders>
              <w:top w:val="nil"/>
              <w:left w:val="nil"/>
              <w:bottom w:val="nil"/>
              <w:right w:val="nil"/>
            </w:tcBorders>
            <w:shd w:val="clear" w:color="auto" w:fill="auto"/>
            <w:noWrap/>
            <w:hideMark/>
          </w:tcPr>
          <w:p w14:paraId="669296BB" w14:textId="77777777" w:rsidR="0084445A" w:rsidRPr="00741D80" w:rsidRDefault="0084445A" w:rsidP="00E836AA">
            <w:pPr>
              <w:spacing w:after="0" w:line="240" w:lineRule="auto"/>
              <w:jc w:val="right"/>
              <w:rPr>
                <w:rFonts w:cstheme="minorHAnsi"/>
                <w:b/>
              </w:rPr>
            </w:pPr>
            <w:r w:rsidRPr="00741D80">
              <w:rPr>
                <w:rFonts w:cstheme="minorHAnsi"/>
                <w:b/>
              </w:rPr>
              <w:t>BGN'000</w:t>
            </w:r>
          </w:p>
        </w:tc>
        <w:tc>
          <w:tcPr>
            <w:tcW w:w="662" w:type="pct"/>
            <w:tcBorders>
              <w:top w:val="nil"/>
              <w:left w:val="nil"/>
              <w:bottom w:val="nil"/>
              <w:right w:val="nil"/>
            </w:tcBorders>
            <w:shd w:val="clear" w:color="auto" w:fill="auto"/>
            <w:noWrap/>
            <w:hideMark/>
          </w:tcPr>
          <w:p w14:paraId="20AD69C3" w14:textId="77777777" w:rsidR="0084445A" w:rsidRPr="00741D80" w:rsidRDefault="0084445A" w:rsidP="00E836AA">
            <w:pPr>
              <w:spacing w:after="0" w:line="240" w:lineRule="auto"/>
              <w:jc w:val="right"/>
              <w:rPr>
                <w:rFonts w:cstheme="minorHAnsi"/>
                <w:b/>
              </w:rPr>
            </w:pPr>
            <w:r w:rsidRPr="00741D80">
              <w:rPr>
                <w:rFonts w:cstheme="minorHAnsi"/>
                <w:b/>
              </w:rPr>
              <w:t>BGN'000</w:t>
            </w:r>
          </w:p>
        </w:tc>
      </w:tr>
      <w:tr w:rsidR="0084445A" w:rsidRPr="00833465" w14:paraId="3136FE57" w14:textId="77777777" w:rsidTr="00E836AA">
        <w:trPr>
          <w:trHeight w:val="170"/>
        </w:trPr>
        <w:tc>
          <w:tcPr>
            <w:tcW w:w="3676" w:type="pct"/>
            <w:tcBorders>
              <w:top w:val="nil"/>
              <w:left w:val="nil"/>
              <w:bottom w:val="nil"/>
              <w:right w:val="nil"/>
            </w:tcBorders>
            <w:shd w:val="clear" w:color="auto" w:fill="auto"/>
            <w:noWrap/>
            <w:vAlign w:val="center"/>
            <w:hideMark/>
          </w:tcPr>
          <w:p w14:paraId="3CEA89D7" w14:textId="77777777" w:rsidR="0084445A" w:rsidRPr="00833465" w:rsidRDefault="0084445A" w:rsidP="00E836AA">
            <w:pPr>
              <w:spacing w:after="0" w:line="240" w:lineRule="auto"/>
              <w:rPr>
                <w:rFonts w:cstheme="minorHAnsi"/>
              </w:rPr>
            </w:pPr>
            <w:r w:rsidRPr="00833465">
              <w:rPr>
                <w:rFonts w:cstheme="minorHAnsi"/>
              </w:rPr>
              <w:t>Счетоводна (печалба)/загуба за периода</w:t>
            </w:r>
          </w:p>
        </w:tc>
        <w:tc>
          <w:tcPr>
            <w:tcW w:w="662" w:type="pct"/>
            <w:tcBorders>
              <w:top w:val="nil"/>
              <w:left w:val="nil"/>
              <w:bottom w:val="nil"/>
              <w:right w:val="nil"/>
            </w:tcBorders>
            <w:shd w:val="clear" w:color="auto" w:fill="auto"/>
            <w:vAlign w:val="center"/>
            <w:hideMark/>
          </w:tcPr>
          <w:p w14:paraId="0CB6E0EA" w14:textId="245CE680" w:rsidR="0084445A" w:rsidRPr="00833465" w:rsidRDefault="0084445A" w:rsidP="00E836AA">
            <w:pPr>
              <w:spacing w:after="0" w:line="240" w:lineRule="auto"/>
              <w:jc w:val="right"/>
              <w:rPr>
                <w:rFonts w:cstheme="minorHAnsi"/>
              </w:rPr>
            </w:pPr>
            <w:r w:rsidRPr="00833465">
              <w:rPr>
                <w:rFonts w:cstheme="minorHAnsi"/>
              </w:rPr>
              <w:t>41</w:t>
            </w:r>
            <w:r w:rsidR="00FD518A" w:rsidRPr="00833465">
              <w:rPr>
                <w:rFonts w:cstheme="minorHAnsi"/>
              </w:rPr>
              <w:t>5</w:t>
            </w:r>
          </w:p>
        </w:tc>
        <w:tc>
          <w:tcPr>
            <w:tcW w:w="662" w:type="pct"/>
            <w:tcBorders>
              <w:top w:val="nil"/>
              <w:left w:val="nil"/>
              <w:bottom w:val="nil"/>
              <w:right w:val="nil"/>
            </w:tcBorders>
            <w:shd w:val="clear" w:color="auto" w:fill="auto"/>
            <w:vAlign w:val="center"/>
            <w:hideMark/>
          </w:tcPr>
          <w:p w14:paraId="5EDF2262" w14:textId="77777777" w:rsidR="0084445A" w:rsidRPr="00833465" w:rsidRDefault="0084445A" w:rsidP="00E836AA">
            <w:pPr>
              <w:spacing w:after="0" w:line="240" w:lineRule="auto"/>
              <w:jc w:val="right"/>
              <w:rPr>
                <w:rFonts w:cstheme="minorHAnsi"/>
                <w:lang w:val="en-US"/>
              </w:rPr>
            </w:pPr>
            <w:r w:rsidRPr="00833465">
              <w:rPr>
                <w:rFonts w:cstheme="minorHAnsi"/>
                <w:lang w:val="en-US"/>
              </w:rPr>
              <w:t>206</w:t>
            </w:r>
          </w:p>
        </w:tc>
      </w:tr>
      <w:tr w:rsidR="0084445A" w:rsidRPr="00741D80" w14:paraId="6DD47A6B" w14:textId="77777777" w:rsidTr="00E836AA">
        <w:trPr>
          <w:trHeight w:val="170"/>
        </w:trPr>
        <w:tc>
          <w:tcPr>
            <w:tcW w:w="3676" w:type="pct"/>
            <w:tcBorders>
              <w:top w:val="nil"/>
              <w:left w:val="nil"/>
              <w:bottom w:val="nil"/>
              <w:right w:val="nil"/>
            </w:tcBorders>
            <w:shd w:val="clear" w:color="auto" w:fill="auto"/>
            <w:noWrap/>
            <w:vAlign w:val="center"/>
            <w:hideMark/>
          </w:tcPr>
          <w:p w14:paraId="25C8294C" w14:textId="77777777" w:rsidR="0084445A" w:rsidRPr="00833465" w:rsidRDefault="0084445A" w:rsidP="00E836AA">
            <w:pPr>
              <w:spacing w:after="0" w:line="240" w:lineRule="auto"/>
              <w:rPr>
                <w:rFonts w:cstheme="minorHAnsi"/>
              </w:rPr>
            </w:pPr>
            <w:r w:rsidRPr="00833465">
              <w:rPr>
                <w:rFonts w:cstheme="minorHAnsi"/>
              </w:rPr>
              <w:t>Разход за данък върху печалбата – 10 %/( икономия ) от разход за данък</w:t>
            </w:r>
          </w:p>
        </w:tc>
        <w:tc>
          <w:tcPr>
            <w:tcW w:w="662" w:type="pct"/>
            <w:tcBorders>
              <w:top w:val="nil"/>
              <w:left w:val="nil"/>
              <w:bottom w:val="nil"/>
              <w:right w:val="nil"/>
            </w:tcBorders>
            <w:shd w:val="clear" w:color="auto" w:fill="auto"/>
            <w:vAlign w:val="center"/>
            <w:hideMark/>
          </w:tcPr>
          <w:p w14:paraId="0AE50C59" w14:textId="77777777" w:rsidR="0084445A" w:rsidRPr="00833465" w:rsidRDefault="0084445A" w:rsidP="00E836AA">
            <w:pPr>
              <w:spacing w:after="0" w:line="240" w:lineRule="auto"/>
              <w:jc w:val="right"/>
              <w:rPr>
                <w:rFonts w:cstheme="minorHAnsi"/>
              </w:rPr>
            </w:pPr>
            <w:r w:rsidRPr="00833465">
              <w:rPr>
                <w:rFonts w:cstheme="minorHAnsi"/>
              </w:rPr>
              <w:t>25</w:t>
            </w:r>
          </w:p>
        </w:tc>
        <w:tc>
          <w:tcPr>
            <w:tcW w:w="662" w:type="pct"/>
            <w:tcBorders>
              <w:top w:val="nil"/>
              <w:left w:val="nil"/>
              <w:bottom w:val="nil"/>
              <w:right w:val="nil"/>
            </w:tcBorders>
            <w:shd w:val="clear" w:color="auto" w:fill="auto"/>
            <w:vAlign w:val="center"/>
            <w:hideMark/>
          </w:tcPr>
          <w:p w14:paraId="10176D9B" w14:textId="77777777" w:rsidR="0084445A" w:rsidRPr="00741D80" w:rsidRDefault="0084445A" w:rsidP="00E836AA">
            <w:pPr>
              <w:spacing w:after="0" w:line="240" w:lineRule="auto"/>
              <w:jc w:val="right"/>
              <w:rPr>
                <w:rFonts w:cstheme="minorHAnsi"/>
                <w:lang w:val="en-US"/>
              </w:rPr>
            </w:pPr>
            <w:r w:rsidRPr="00833465">
              <w:rPr>
                <w:rFonts w:cstheme="minorHAnsi"/>
                <w:lang w:val="en-US"/>
              </w:rPr>
              <w:t>21</w:t>
            </w:r>
          </w:p>
        </w:tc>
      </w:tr>
      <w:tr w:rsidR="0084445A" w:rsidRPr="00741D80" w14:paraId="0B4CD1CE" w14:textId="77777777" w:rsidTr="00E836AA">
        <w:trPr>
          <w:trHeight w:val="170"/>
        </w:trPr>
        <w:tc>
          <w:tcPr>
            <w:tcW w:w="3676" w:type="pct"/>
            <w:tcBorders>
              <w:top w:val="nil"/>
              <w:left w:val="nil"/>
              <w:bottom w:val="nil"/>
              <w:right w:val="nil"/>
            </w:tcBorders>
            <w:shd w:val="clear" w:color="auto" w:fill="auto"/>
            <w:noWrap/>
            <w:vAlign w:val="center"/>
            <w:hideMark/>
          </w:tcPr>
          <w:p w14:paraId="0B695409" w14:textId="77777777" w:rsidR="0084445A" w:rsidRPr="00741D80" w:rsidRDefault="0084445A" w:rsidP="00E836AA">
            <w:pPr>
              <w:spacing w:after="0" w:line="240" w:lineRule="auto"/>
              <w:rPr>
                <w:rFonts w:cstheme="minorHAnsi"/>
              </w:rPr>
            </w:pPr>
            <w:r w:rsidRPr="00741D80">
              <w:rPr>
                <w:rFonts w:cstheme="minorHAnsi"/>
              </w:rPr>
              <w:t>От непризнати суми по данъчни декларации свързани с:</w:t>
            </w:r>
          </w:p>
        </w:tc>
        <w:tc>
          <w:tcPr>
            <w:tcW w:w="662" w:type="pct"/>
            <w:tcBorders>
              <w:top w:val="nil"/>
              <w:left w:val="nil"/>
              <w:bottom w:val="nil"/>
              <w:right w:val="nil"/>
            </w:tcBorders>
            <w:shd w:val="clear" w:color="auto" w:fill="auto"/>
            <w:noWrap/>
            <w:vAlign w:val="bottom"/>
            <w:hideMark/>
          </w:tcPr>
          <w:p w14:paraId="62C985CE" w14:textId="77777777" w:rsidR="0084445A" w:rsidRPr="00741D80" w:rsidRDefault="0084445A" w:rsidP="00E836AA">
            <w:pPr>
              <w:spacing w:after="0" w:line="240" w:lineRule="auto"/>
              <w:jc w:val="right"/>
              <w:rPr>
                <w:rFonts w:cstheme="minorHAnsi"/>
              </w:rPr>
            </w:pPr>
          </w:p>
        </w:tc>
        <w:tc>
          <w:tcPr>
            <w:tcW w:w="662" w:type="pct"/>
            <w:tcBorders>
              <w:top w:val="nil"/>
              <w:left w:val="nil"/>
              <w:bottom w:val="nil"/>
              <w:right w:val="nil"/>
            </w:tcBorders>
            <w:shd w:val="clear" w:color="auto" w:fill="auto"/>
            <w:noWrap/>
            <w:vAlign w:val="bottom"/>
            <w:hideMark/>
          </w:tcPr>
          <w:p w14:paraId="681F13F0" w14:textId="77777777" w:rsidR="0084445A" w:rsidRPr="00741D80" w:rsidRDefault="0084445A" w:rsidP="00E836AA">
            <w:pPr>
              <w:spacing w:after="0" w:line="240" w:lineRule="auto"/>
              <w:jc w:val="right"/>
              <w:rPr>
                <w:rFonts w:cstheme="minorHAnsi"/>
              </w:rPr>
            </w:pPr>
          </w:p>
        </w:tc>
      </w:tr>
      <w:tr w:rsidR="0084445A" w:rsidRPr="00741D80" w14:paraId="4C82C459" w14:textId="77777777" w:rsidTr="00E836AA">
        <w:trPr>
          <w:trHeight w:val="170"/>
        </w:trPr>
        <w:tc>
          <w:tcPr>
            <w:tcW w:w="3676" w:type="pct"/>
            <w:tcBorders>
              <w:top w:val="nil"/>
              <w:left w:val="nil"/>
              <w:bottom w:val="nil"/>
              <w:right w:val="nil"/>
            </w:tcBorders>
            <w:shd w:val="clear" w:color="auto" w:fill="auto"/>
            <w:noWrap/>
            <w:vAlign w:val="center"/>
            <w:hideMark/>
          </w:tcPr>
          <w:p w14:paraId="1D1989BB" w14:textId="61FA4A9E" w:rsidR="0084445A" w:rsidRPr="00741D80" w:rsidRDefault="0084445A" w:rsidP="00E836AA">
            <w:pPr>
              <w:spacing w:after="0" w:line="240" w:lineRule="auto"/>
              <w:rPr>
                <w:rFonts w:cstheme="minorHAnsi"/>
              </w:rPr>
            </w:pPr>
            <w:proofErr w:type="spellStart"/>
            <w:r w:rsidRPr="00741D80">
              <w:rPr>
                <w:rFonts w:cstheme="minorHAnsi"/>
              </w:rPr>
              <w:t>Увеличения:няма</w:t>
            </w:r>
            <w:proofErr w:type="spellEnd"/>
            <w:r w:rsidRPr="00741D80">
              <w:rPr>
                <w:rFonts w:cstheme="minorHAnsi"/>
              </w:rPr>
              <w:t>, намаления: няма.</w:t>
            </w:r>
            <w:r w:rsidR="00FD518A">
              <w:rPr>
                <w:rFonts w:cstheme="minorHAnsi"/>
              </w:rPr>
              <w:t xml:space="preserve"> </w:t>
            </w:r>
          </w:p>
        </w:tc>
        <w:tc>
          <w:tcPr>
            <w:tcW w:w="662" w:type="pct"/>
            <w:tcBorders>
              <w:top w:val="nil"/>
              <w:left w:val="nil"/>
              <w:right w:val="nil"/>
            </w:tcBorders>
            <w:shd w:val="clear" w:color="auto" w:fill="auto"/>
            <w:vAlign w:val="center"/>
            <w:hideMark/>
          </w:tcPr>
          <w:p w14:paraId="77C57FC1" w14:textId="77777777" w:rsidR="0084445A" w:rsidRPr="00741D80" w:rsidRDefault="0084445A" w:rsidP="00E836AA">
            <w:pPr>
              <w:spacing w:after="0" w:line="240" w:lineRule="auto"/>
              <w:jc w:val="right"/>
              <w:rPr>
                <w:rFonts w:cstheme="minorHAnsi"/>
                <w:lang w:val="en-US"/>
              </w:rPr>
            </w:pPr>
            <w:r w:rsidRPr="00741D80">
              <w:rPr>
                <w:rFonts w:cstheme="minorHAnsi"/>
                <w:lang w:val="en-US"/>
              </w:rPr>
              <w:t>(11)</w:t>
            </w:r>
          </w:p>
        </w:tc>
        <w:tc>
          <w:tcPr>
            <w:tcW w:w="662" w:type="pct"/>
            <w:tcBorders>
              <w:top w:val="nil"/>
              <w:left w:val="nil"/>
              <w:right w:val="nil"/>
            </w:tcBorders>
            <w:shd w:val="clear" w:color="auto" w:fill="auto"/>
            <w:vAlign w:val="center"/>
            <w:hideMark/>
          </w:tcPr>
          <w:p w14:paraId="6EC3117C" w14:textId="77777777" w:rsidR="0084445A" w:rsidRPr="00741D80" w:rsidRDefault="0084445A" w:rsidP="00E836AA">
            <w:pPr>
              <w:spacing w:after="0" w:line="240" w:lineRule="auto"/>
              <w:jc w:val="right"/>
              <w:rPr>
                <w:rFonts w:cstheme="minorHAnsi"/>
              </w:rPr>
            </w:pPr>
            <w:r w:rsidRPr="00741D80">
              <w:rPr>
                <w:rFonts w:cstheme="minorHAnsi"/>
              </w:rPr>
              <w:t>-</w:t>
            </w:r>
          </w:p>
        </w:tc>
      </w:tr>
      <w:tr w:rsidR="0084445A" w:rsidRPr="00741D80" w14:paraId="5820837B" w14:textId="77777777" w:rsidTr="00E836AA">
        <w:trPr>
          <w:trHeight w:val="170"/>
        </w:trPr>
        <w:tc>
          <w:tcPr>
            <w:tcW w:w="3676" w:type="pct"/>
            <w:tcBorders>
              <w:top w:val="nil"/>
              <w:left w:val="nil"/>
              <w:bottom w:val="nil"/>
              <w:right w:val="nil"/>
            </w:tcBorders>
            <w:shd w:val="clear" w:color="auto" w:fill="auto"/>
            <w:noWrap/>
            <w:vAlign w:val="center"/>
            <w:hideMark/>
          </w:tcPr>
          <w:p w14:paraId="4FB35F60" w14:textId="77777777" w:rsidR="0084445A" w:rsidRPr="00741D80" w:rsidRDefault="0084445A" w:rsidP="00E836AA">
            <w:pPr>
              <w:spacing w:after="0" w:line="240" w:lineRule="auto"/>
              <w:rPr>
                <w:rFonts w:cstheme="minorHAnsi"/>
              </w:rPr>
            </w:pPr>
            <w:r w:rsidRPr="00741D80">
              <w:rPr>
                <w:rFonts w:cstheme="minorHAnsi"/>
              </w:rPr>
              <w:t xml:space="preserve">Непризнат отсрочен данъчен актив върху данъчна загуба </w:t>
            </w:r>
          </w:p>
        </w:tc>
        <w:tc>
          <w:tcPr>
            <w:tcW w:w="662" w:type="pct"/>
            <w:tcBorders>
              <w:top w:val="nil"/>
              <w:left w:val="nil"/>
              <w:bottom w:val="single" w:sz="4" w:space="0" w:color="auto"/>
              <w:right w:val="nil"/>
            </w:tcBorders>
            <w:shd w:val="clear" w:color="auto" w:fill="auto"/>
            <w:vAlign w:val="center"/>
            <w:hideMark/>
          </w:tcPr>
          <w:p w14:paraId="2F5EC5EF" w14:textId="77777777" w:rsidR="0084445A" w:rsidRPr="00741D80" w:rsidRDefault="0084445A" w:rsidP="00E836AA">
            <w:pPr>
              <w:spacing w:after="0" w:line="240" w:lineRule="auto"/>
              <w:jc w:val="right"/>
              <w:rPr>
                <w:rFonts w:cstheme="minorHAnsi"/>
              </w:rPr>
            </w:pPr>
            <w:r w:rsidRPr="00741D80">
              <w:rPr>
                <w:rFonts w:cstheme="minorHAnsi"/>
              </w:rPr>
              <w:t>-</w:t>
            </w:r>
          </w:p>
        </w:tc>
        <w:tc>
          <w:tcPr>
            <w:tcW w:w="662" w:type="pct"/>
            <w:tcBorders>
              <w:top w:val="nil"/>
              <w:left w:val="nil"/>
              <w:bottom w:val="single" w:sz="4" w:space="0" w:color="auto"/>
              <w:right w:val="nil"/>
            </w:tcBorders>
            <w:shd w:val="clear" w:color="auto" w:fill="auto"/>
            <w:vAlign w:val="center"/>
            <w:hideMark/>
          </w:tcPr>
          <w:p w14:paraId="61DC366B" w14:textId="77777777" w:rsidR="0084445A" w:rsidRPr="00741D80" w:rsidRDefault="0084445A" w:rsidP="00E836AA">
            <w:pPr>
              <w:spacing w:after="0" w:line="240" w:lineRule="auto"/>
              <w:jc w:val="right"/>
              <w:rPr>
                <w:rFonts w:cstheme="minorHAnsi"/>
                <w:lang w:val="en-US"/>
              </w:rPr>
            </w:pPr>
            <w:r w:rsidRPr="00741D80">
              <w:rPr>
                <w:rFonts w:cstheme="minorHAnsi"/>
                <w:lang w:val="en-US"/>
              </w:rPr>
              <w:t>(22)</w:t>
            </w:r>
          </w:p>
        </w:tc>
      </w:tr>
      <w:tr w:rsidR="0084445A" w:rsidRPr="00741D80" w14:paraId="1DAB7DAE" w14:textId="77777777" w:rsidTr="00E836AA">
        <w:trPr>
          <w:trHeight w:val="170"/>
        </w:trPr>
        <w:tc>
          <w:tcPr>
            <w:tcW w:w="3676" w:type="pct"/>
            <w:tcBorders>
              <w:top w:val="nil"/>
              <w:left w:val="nil"/>
              <w:bottom w:val="nil"/>
              <w:right w:val="nil"/>
            </w:tcBorders>
            <w:shd w:val="clear" w:color="auto" w:fill="auto"/>
            <w:noWrap/>
            <w:vAlign w:val="center"/>
            <w:hideMark/>
          </w:tcPr>
          <w:p w14:paraId="7260F300" w14:textId="77777777" w:rsidR="0084445A" w:rsidRPr="00741D80" w:rsidRDefault="0084445A" w:rsidP="00E836AA">
            <w:pPr>
              <w:spacing w:after="0" w:line="240" w:lineRule="auto"/>
              <w:rPr>
                <w:rFonts w:cstheme="minorHAnsi"/>
                <w:b/>
              </w:rPr>
            </w:pPr>
            <w:r w:rsidRPr="00741D80">
              <w:rPr>
                <w:rFonts w:cstheme="minorHAnsi"/>
                <w:b/>
              </w:rPr>
              <w:t>Общо</w:t>
            </w:r>
          </w:p>
        </w:tc>
        <w:tc>
          <w:tcPr>
            <w:tcW w:w="662" w:type="pct"/>
            <w:tcBorders>
              <w:top w:val="single" w:sz="4" w:space="0" w:color="auto"/>
              <w:left w:val="nil"/>
              <w:bottom w:val="single" w:sz="4" w:space="0" w:color="auto"/>
              <w:right w:val="nil"/>
            </w:tcBorders>
            <w:shd w:val="clear" w:color="auto" w:fill="auto"/>
            <w:noWrap/>
            <w:vAlign w:val="bottom"/>
            <w:hideMark/>
          </w:tcPr>
          <w:p w14:paraId="0C5747BB" w14:textId="77777777" w:rsidR="0084445A" w:rsidRPr="00741D80" w:rsidRDefault="0084445A" w:rsidP="00E836AA">
            <w:pPr>
              <w:spacing w:after="0" w:line="240" w:lineRule="auto"/>
              <w:jc w:val="right"/>
              <w:rPr>
                <w:rFonts w:cstheme="minorHAnsi"/>
                <w:b/>
                <w:lang w:val="en-US"/>
              </w:rPr>
            </w:pPr>
            <w:r w:rsidRPr="00741D80">
              <w:rPr>
                <w:rFonts w:cstheme="minorHAnsi"/>
                <w:b/>
                <w:lang w:val="en-US"/>
              </w:rPr>
              <w:t>(60)</w:t>
            </w:r>
          </w:p>
        </w:tc>
        <w:tc>
          <w:tcPr>
            <w:tcW w:w="662" w:type="pct"/>
            <w:tcBorders>
              <w:top w:val="single" w:sz="4" w:space="0" w:color="auto"/>
              <w:left w:val="nil"/>
              <w:bottom w:val="single" w:sz="4" w:space="0" w:color="auto"/>
              <w:right w:val="nil"/>
            </w:tcBorders>
            <w:shd w:val="clear" w:color="auto" w:fill="auto"/>
            <w:noWrap/>
            <w:vAlign w:val="bottom"/>
            <w:hideMark/>
          </w:tcPr>
          <w:p w14:paraId="0B6786D0" w14:textId="77777777" w:rsidR="0084445A" w:rsidRPr="00741D80" w:rsidRDefault="0084445A" w:rsidP="00E836AA">
            <w:pPr>
              <w:spacing w:after="0" w:line="240" w:lineRule="auto"/>
              <w:jc w:val="right"/>
              <w:rPr>
                <w:rFonts w:cstheme="minorHAnsi"/>
                <w:b/>
                <w:lang w:val="en-US"/>
              </w:rPr>
            </w:pPr>
            <w:r w:rsidRPr="00741D80">
              <w:rPr>
                <w:rFonts w:cstheme="minorHAnsi"/>
                <w:b/>
                <w:lang w:val="en-US"/>
              </w:rPr>
              <w:t>(1)</w:t>
            </w:r>
          </w:p>
        </w:tc>
      </w:tr>
    </w:tbl>
    <w:p w14:paraId="2E60E782" w14:textId="49D82F75" w:rsidR="00833465" w:rsidRDefault="00833465" w:rsidP="00833465">
      <w:bookmarkStart w:id="47" w:name="_Toc418084378"/>
    </w:p>
    <w:p w14:paraId="05A17951" w14:textId="77777777" w:rsidR="00833465" w:rsidRDefault="00833465">
      <w:r>
        <w:br w:type="page"/>
      </w:r>
    </w:p>
    <w:p w14:paraId="570144D1" w14:textId="7019F1DF" w:rsidR="0084445A" w:rsidRPr="00833465" w:rsidRDefault="0084445A" w:rsidP="00833465">
      <w:pPr>
        <w:pStyle w:val="Mainnumbers"/>
      </w:pPr>
      <w:bookmarkStart w:id="48" w:name="_Toc536452018"/>
      <w:r w:rsidRPr="00833465">
        <w:lastRenderedPageBreak/>
        <w:t>ДРУГ ВСЕОБХВАТЕН ДОХОД</w:t>
      </w:r>
      <w:bookmarkEnd w:id="47"/>
      <w:bookmarkEnd w:id="48"/>
    </w:p>
    <w:tbl>
      <w:tblPr>
        <w:tblW w:w="5000" w:type="pct"/>
        <w:jc w:val="center"/>
        <w:tblCellMar>
          <w:left w:w="113" w:type="dxa"/>
          <w:right w:w="113" w:type="dxa"/>
        </w:tblCellMar>
        <w:tblLook w:val="04A0" w:firstRow="1" w:lastRow="0" w:firstColumn="1" w:lastColumn="0" w:noHBand="0" w:noVBand="1"/>
      </w:tblPr>
      <w:tblGrid>
        <w:gridCol w:w="7062"/>
        <w:gridCol w:w="1261"/>
        <w:gridCol w:w="1315"/>
      </w:tblGrid>
      <w:tr w:rsidR="0084445A" w:rsidRPr="00741D80" w14:paraId="3DA94B71" w14:textId="77777777" w:rsidTr="00833465">
        <w:trPr>
          <w:trHeight w:val="170"/>
          <w:jc w:val="center"/>
        </w:trPr>
        <w:tc>
          <w:tcPr>
            <w:tcW w:w="3664" w:type="pct"/>
            <w:tcBorders>
              <w:top w:val="nil"/>
              <w:left w:val="nil"/>
              <w:bottom w:val="nil"/>
              <w:right w:val="nil"/>
            </w:tcBorders>
            <w:shd w:val="clear" w:color="auto" w:fill="auto"/>
            <w:noWrap/>
            <w:tcMar>
              <w:left w:w="57" w:type="dxa"/>
              <w:right w:w="57" w:type="dxa"/>
            </w:tcMar>
            <w:vAlign w:val="bottom"/>
            <w:hideMark/>
          </w:tcPr>
          <w:p w14:paraId="66B9E023" w14:textId="77777777" w:rsidR="0084445A" w:rsidRPr="00741D80" w:rsidRDefault="0084445A" w:rsidP="00833465">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Другият всеобхватен доход включва:</w:t>
            </w:r>
          </w:p>
        </w:tc>
        <w:tc>
          <w:tcPr>
            <w:tcW w:w="654" w:type="pct"/>
            <w:tcBorders>
              <w:top w:val="nil"/>
              <w:left w:val="nil"/>
              <w:bottom w:val="nil"/>
              <w:right w:val="nil"/>
            </w:tcBorders>
            <w:shd w:val="clear" w:color="auto" w:fill="auto"/>
            <w:noWrap/>
            <w:tcMar>
              <w:left w:w="57" w:type="dxa"/>
              <w:right w:w="57" w:type="dxa"/>
            </w:tcMar>
            <w:vAlign w:val="bottom"/>
            <w:hideMark/>
          </w:tcPr>
          <w:p w14:paraId="03D8933B" w14:textId="77777777" w:rsidR="0084445A" w:rsidRPr="00741D80" w:rsidRDefault="0084445A" w:rsidP="00833465">
            <w:pPr>
              <w:pStyle w:val="a1"/>
              <w:rPr>
                <w:rFonts w:asciiTheme="minorHAnsi" w:hAnsiTheme="minorHAnsi" w:cstheme="minorHAnsi"/>
                <w:color w:val="auto"/>
                <w:szCs w:val="20"/>
                <w:lang w:val="bg-BG"/>
              </w:rPr>
            </w:pPr>
            <w:r w:rsidRPr="00741D80">
              <w:rPr>
                <w:rFonts w:asciiTheme="minorHAnsi" w:hAnsiTheme="minorHAnsi" w:cstheme="minorHAnsi"/>
                <w:color w:val="auto"/>
                <w:szCs w:val="20"/>
              </w:rPr>
              <w:t>31.12</w:t>
            </w:r>
            <w:r w:rsidRPr="00741D80">
              <w:rPr>
                <w:rFonts w:asciiTheme="minorHAnsi" w:hAnsiTheme="minorHAnsi" w:cstheme="minorHAnsi"/>
                <w:color w:val="auto"/>
                <w:szCs w:val="20"/>
                <w:lang w:val="bg-BG"/>
              </w:rPr>
              <w:t>.2018</w:t>
            </w:r>
          </w:p>
        </w:tc>
        <w:tc>
          <w:tcPr>
            <w:tcW w:w="682" w:type="pct"/>
            <w:tcBorders>
              <w:top w:val="nil"/>
              <w:left w:val="nil"/>
              <w:bottom w:val="nil"/>
              <w:right w:val="nil"/>
            </w:tcBorders>
            <w:shd w:val="clear" w:color="auto" w:fill="auto"/>
            <w:noWrap/>
            <w:tcMar>
              <w:left w:w="57" w:type="dxa"/>
              <w:right w:w="57" w:type="dxa"/>
            </w:tcMar>
            <w:vAlign w:val="bottom"/>
            <w:hideMark/>
          </w:tcPr>
          <w:p w14:paraId="26950338" w14:textId="77777777" w:rsidR="0084445A" w:rsidRPr="00741D80" w:rsidRDefault="0084445A" w:rsidP="00833465">
            <w:pPr>
              <w:pStyle w:val="a1"/>
              <w:widowControl w:val="0"/>
              <w:rPr>
                <w:rFonts w:asciiTheme="minorHAnsi" w:hAnsiTheme="minorHAnsi" w:cstheme="minorHAnsi"/>
                <w:color w:val="auto"/>
                <w:szCs w:val="20"/>
              </w:rPr>
            </w:pPr>
            <w:r w:rsidRPr="00741D80">
              <w:rPr>
                <w:rFonts w:asciiTheme="minorHAnsi" w:hAnsiTheme="minorHAnsi" w:cstheme="minorHAnsi"/>
                <w:color w:val="auto"/>
                <w:szCs w:val="20"/>
              </w:rPr>
              <w:t>31.12.2017</w:t>
            </w:r>
          </w:p>
        </w:tc>
      </w:tr>
      <w:tr w:rsidR="0084445A" w:rsidRPr="00741D80" w14:paraId="608B6519" w14:textId="77777777" w:rsidTr="00833465">
        <w:trPr>
          <w:trHeight w:val="170"/>
          <w:jc w:val="center"/>
        </w:trPr>
        <w:tc>
          <w:tcPr>
            <w:tcW w:w="3664" w:type="pct"/>
            <w:tcBorders>
              <w:top w:val="nil"/>
              <w:left w:val="nil"/>
              <w:bottom w:val="nil"/>
              <w:right w:val="nil"/>
            </w:tcBorders>
            <w:shd w:val="clear" w:color="auto" w:fill="auto"/>
            <w:tcMar>
              <w:left w:w="57" w:type="dxa"/>
              <w:right w:w="57" w:type="dxa"/>
            </w:tcMar>
            <w:vAlign w:val="bottom"/>
            <w:hideMark/>
          </w:tcPr>
          <w:p w14:paraId="22C00E8F" w14:textId="77777777" w:rsidR="0084445A" w:rsidRPr="00741D80" w:rsidRDefault="0084445A" w:rsidP="00833465">
            <w:pPr>
              <w:pStyle w:val="a"/>
              <w:rPr>
                <w:rFonts w:asciiTheme="minorHAnsi" w:hAnsiTheme="minorHAnsi" w:cstheme="minorHAnsi"/>
                <w:color w:val="auto"/>
                <w:szCs w:val="20"/>
                <w:lang w:val="bg-BG"/>
              </w:rPr>
            </w:pPr>
          </w:p>
        </w:tc>
        <w:tc>
          <w:tcPr>
            <w:tcW w:w="654" w:type="pct"/>
            <w:tcBorders>
              <w:top w:val="nil"/>
              <w:left w:val="nil"/>
              <w:bottom w:val="nil"/>
              <w:right w:val="nil"/>
            </w:tcBorders>
            <w:shd w:val="clear" w:color="000000" w:fill="FFFFFF"/>
            <w:tcMar>
              <w:left w:w="57" w:type="dxa"/>
              <w:right w:w="57" w:type="dxa"/>
            </w:tcMar>
            <w:hideMark/>
          </w:tcPr>
          <w:p w14:paraId="3CFB5BFE" w14:textId="77777777" w:rsidR="0084445A" w:rsidRPr="00741D80" w:rsidRDefault="0084445A" w:rsidP="00833465">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 '000</w:t>
            </w:r>
          </w:p>
        </w:tc>
        <w:tc>
          <w:tcPr>
            <w:tcW w:w="682" w:type="pct"/>
            <w:tcBorders>
              <w:top w:val="nil"/>
              <w:left w:val="nil"/>
              <w:bottom w:val="nil"/>
              <w:right w:val="nil"/>
            </w:tcBorders>
            <w:shd w:val="clear" w:color="000000" w:fill="FFFFFF"/>
            <w:tcMar>
              <w:left w:w="57" w:type="dxa"/>
              <w:right w:w="57" w:type="dxa"/>
            </w:tcMar>
            <w:hideMark/>
          </w:tcPr>
          <w:p w14:paraId="1204E329" w14:textId="77777777" w:rsidR="0084445A" w:rsidRPr="00741D80" w:rsidRDefault="0084445A" w:rsidP="00833465">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 '000</w:t>
            </w:r>
          </w:p>
        </w:tc>
      </w:tr>
      <w:tr w:rsidR="0084445A" w:rsidRPr="00741D80" w14:paraId="04934D6B" w14:textId="77777777" w:rsidTr="00833465">
        <w:trPr>
          <w:trHeight w:val="170"/>
          <w:jc w:val="center"/>
        </w:trPr>
        <w:tc>
          <w:tcPr>
            <w:tcW w:w="3664" w:type="pct"/>
            <w:tcBorders>
              <w:top w:val="nil"/>
              <w:left w:val="nil"/>
              <w:bottom w:val="nil"/>
              <w:right w:val="nil"/>
            </w:tcBorders>
            <w:shd w:val="clear" w:color="auto" w:fill="auto"/>
            <w:tcMar>
              <w:left w:w="57" w:type="dxa"/>
              <w:right w:w="57" w:type="dxa"/>
            </w:tcMar>
            <w:vAlign w:val="bottom"/>
            <w:hideMark/>
          </w:tcPr>
          <w:p w14:paraId="5EB25BAD" w14:textId="77777777" w:rsidR="0084445A" w:rsidRPr="00741D80" w:rsidRDefault="0084445A" w:rsidP="00833465">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 xml:space="preserve">Компоненти, които няма да бъдат </w:t>
            </w:r>
            <w:proofErr w:type="spellStart"/>
            <w:r w:rsidRPr="00741D80">
              <w:rPr>
                <w:rFonts w:asciiTheme="minorHAnsi" w:hAnsiTheme="minorHAnsi" w:cstheme="minorHAnsi"/>
                <w:b/>
                <w:color w:val="auto"/>
                <w:szCs w:val="20"/>
                <w:lang w:val="bg-BG"/>
              </w:rPr>
              <w:t>рекласифицирани</w:t>
            </w:r>
            <w:proofErr w:type="spellEnd"/>
            <w:r w:rsidRPr="00741D80">
              <w:rPr>
                <w:rFonts w:asciiTheme="minorHAnsi" w:hAnsiTheme="minorHAnsi" w:cstheme="minorHAnsi"/>
                <w:b/>
                <w:color w:val="auto"/>
                <w:szCs w:val="20"/>
                <w:lang w:val="bg-BG"/>
              </w:rPr>
              <w:t xml:space="preserve"> в печалбата или загубата</w:t>
            </w:r>
          </w:p>
        </w:tc>
        <w:tc>
          <w:tcPr>
            <w:tcW w:w="654" w:type="pct"/>
            <w:tcBorders>
              <w:top w:val="nil"/>
              <w:left w:val="nil"/>
              <w:bottom w:val="nil"/>
              <w:right w:val="nil"/>
            </w:tcBorders>
            <w:shd w:val="clear" w:color="auto" w:fill="auto"/>
            <w:tcMar>
              <w:left w:w="57" w:type="dxa"/>
              <w:right w:w="57" w:type="dxa"/>
            </w:tcMar>
            <w:vAlign w:val="bottom"/>
            <w:hideMark/>
          </w:tcPr>
          <w:p w14:paraId="7B73F5C1" w14:textId="77777777" w:rsidR="0084445A" w:rsidRPr="00741D80" w:rsidRDefault="0084445A" w:rsidP="00833465">
            <w:pPr>
              <w:pStyle w:val="a0"/>
              <w:rPr>
                <w:rFonts w:asciiTheme="minorHAnsi" w:hAnsiTheme="minorHAnsi" w:cstheme="minorHAnsi"/>
                <w:color w:val="auto"/>
                <w:szCs w:val="20"/>
                <w:lang w:val="bg-BG"/>
              </w:rPr>
            </w:pPr>
          </w:p>
        </w:tc>
        <w:tc>
          <w:tcPr>
            <w:tcW w:w="682" w:type="pct"/>
            <w:tcBorders>
              <w:top w:val="nil"/>
              <w:left w:val="nil"/>
              <w:bottom w:val="nil"/>
              <w:right w:val="nil"/>
            </w:tcBorders>
            <w:shd w:val="clear" w:color="auto" w:fill="auto"/>
            <w:tcMar>
              <w:left w:w="57" w:type="dxa"/>
              <w:right w:w="57" w:type="dxa"/>
            </w:tcMar>
            <w:hideMark/>
          </w:tcPr>
          <w:p w14:paraId="2AA7DB42" w14:textId="77777777" w:rsidR="0084445A" w:rsidRPr="00741D80" w:rsidRDefault="0084445A" w:rsidP="00833465">
            <w:pPr>
              <w:pStyle w:val="a0"/>
              <w:rPr>
                <w:rFonts w:asciiTheme="minorHAnsi" w:hAnsiTheme="minorHAnsi" w:cstheme="minorHAnsi"/>
                <w:color w:val="auto"/>
                <w:szCs w:val="20"/>
                <w:lang w:val="bg-BG"/>
              </w:rPr>
            </w:pPr>
          </w:p>
        </w:tc>
      </w:tr>
      <w:tr w:rsidR="0084445A" w:rsidRPr="00741D80" w14:paraId="7024D747" w14:textId="77777777" w:rsidTr="00833465">
        <w:trPr>
          <w:trHeight w:val="170"/>
          <w:jc w:val="center"/>
        </w:trPr>
        <w:tc>
          <w:tcPr>
            <w:tcW w:w="3664" w:type="pct"/>
            <w:tcBorders>
              <w:top w:val="nil"/>
              <w:left w:val="nil"/>
              <w:bottom w:val="nil"/>
              <w:right w:val="nil"/>
            </w:tcBorders>
            <w:shd w:val="clear" w:color="auto" w:fill="auto"/>
            <w:tcMar>
              <w:left w:w="57" w:type="dxa"/>
              <w:right w:w="57" w:type="dxa"/>
            </w:tcMar>
            <w:vAlign w:val="bottom"/>
            <w:hideMark/>
          </w:tcPr>
          <w:p w14:paraId="220DBE91" w14:textId="77777777" w:rsidR="0084445A" w:rsidRPr="00741D80" w:rsidRDefault="0084445A" w:rsidP="00833465">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Последващи оценки на планове с дефинирани пенсионни доходи</w:t>
            </w:r>
          </w:p>
        </w:tc>
        <w:tc>
          <w:tcPr>
            <w:tcW w:w="654" w:type="pct"/>
            <w:tcBorders>
              <w:top w:val="nil"/>
              <w:left w:val="nil"/>
              <w:bottom w:val="nil"/>
              <w:right w:val="nil"/>
            </w:tcBorders>
            <w:shd w:val="clear" w:color="auto" w:fill="auto"/>
            <w:noWrap/>
            <w:tcMar>
              <w:left w:w="57" w:type="dxa"/>
              <w:right w:w="57" w:type="dxa"/>
            </w:tcMar>
            <w:vAlign w:val="bottom"/>
            <w:hideMark/>
          </w:tcPr>
          <w:p w14:paraId="0454791A" w14:textId="553E8755" w:rsidR="0084445A" w:rsidRPr="00FD518A" w:rsidRDefault="00FD518A" w:rsidP="00833465">
            <w:pPr>
              <w:pStyle w:val="a0"/>
              <w:widowControl w:val="0"/>
              <w:ind w:firstLine="709"/>
              <w:rPr>
                <w:rFonts w:asciiTheme="minorHAnsi" w:hAnsiTheme="minorHAnsi" w:cstheme="minorHAnsi"/>
                <w:color w:val="auto"/>
                <w:szCs w:val="20"/>
                <w:lang w:val="bg-BG"/>
              </w:rPr>
            </w:pPr>
            <w:r>
              <w:rPr>
                <w:rFonts w:asciiTheme="minorHAnsi" w:hAnsiTheme="minorHAnsi" w:cstheme="minorHAnsi"/>
                <w:color w:val="auto"/>
                <w:szCs w:val="20"/>
                <w:lang w:val="bg-BG"/>
              </w:rPr>
              <w:t>(</w:t>
            </w:r>
            <w:r w:rsidR="0084445A" w:rsidRPr="00741D80">
              <w:rPr>
                <w:rFonts w:asciiTheme="minorHAnsi" w:hAnsiTheme="minorHAnsi" w:cstheme="minorHAnsi"/>
                <w:color w:val="auto"/>
                <w:szCs w:val="20"/>
              </w:rPr>
              <w:t>1</w:t>
            </w:r>
            <w:r>
              <w:rPr>
                <w:rFonts w:asciiTheme="minorHAnsi" w:hAnsiTheme="minorHAnsi" w:cstheme="minorHAnsi"/>
                <w:color w:val="auto"/>
                <w:szCs w:val="20"/>
                <w:lang w:val="bg-BG"/>
              </w:rPr>
              <w:t>)</w:t>
            </w:r>
          </w:p>
        </w:tc>
        <w:tc>
          <w:tcPr>
            <w:tcW w:w="682" w:type="pct"/>
            <w:tcBorders>
              <w:top w:val="nil"/>
              <w:left w:val="nil"/>
              <w:bottom w:val="nil"/>
              <w:right w:val="nil"/>
            </w:tcBorders>
            <w:shd w:val="clear" w:color="auto" w:fill="auto"/>
            <w:noWrap/>
            <w:tcMar>
              <w:left w:w="57" w:type="dxa"/>
              <w:right w:w="57" w:type="dxa"/>
            </w:tcMar>
            <w:vAlign w:val="bottom"/>
            <w:hideMark/>
          </w:tcPr>
          <w:p w14:paraId="37B6854E" w14:textId="77777777" w:rsidR="0084445A" w:rsidRPr="00741D80" w:rsidRDefault="0084445A" w:rsidP="00833465">
            <w:pPr>
              <w:pStyle w:val="a0"/>
              <w:widowControl w:val="0"/>
              <w:rPr>
                <w:rFonts w:asciiTheme="minorHAnsi" w:hAnsiTheme="minorHAnsi" w:cstheme="minorHAnsi"/>
                <w:color w:val="auto"/>
                <w:szCs w:val="20"/>
              </w:rPr>
            </w:pPr>
            <w:r w:rsidRPr="00741D80">
              <w:rPr>
                <w:rFonts w:asciiTheme="minorHAnsi" w:hAnsiTheme="minorHAnsi" w:cstheme="minorHAnsi"/>
                <w:color w:val="auto"/>
                <w:szCs w:val="20"/>
              </w:rPr>
              <w:t>(18)</w:t>
            </w:r>
          </w:p>
        </w:tc>
      </w:tr>
      <w:tr w:rsidR="0084445A" w:rsidRPr="00741D80" w14:paraId="3A9B6E08" w14:textId="77777777" w:rsidTr="00833465">
        <w:trPr>
          <w:trHeight w:val="170"/>
          <w:jc w:val="center"/>
        </w:trPr>
        <w:tc>
          <w:tcPr>
            <w:tcW w:w="3664" w:type="pct"/>
            <w:tcBorders>
              <w:top w:val="nil"/>
              <w:left w:val="nil"/>
              <w:bottom w:val="nil"/>
              <w:right w:val="nil"/>
            </w:tcBorders>
            <w:shd w:val="clear" w:color="auto" w:fill="auto"/>
            <w:noWrap/>
            <w:tcMar>
              <w:left w:w="57" w:type="dxa"/>
              <w:right w:w="57" w:type="dxa"/>
            </w:tcMar>
            <w:vAlign w:val="bottom"/>
            <w:hideMark/>
          </w:tcPr>
          <w:p w14:paraId="5063A5BE" w14:textId="77777777" w:rsidR="0084445A" w:rsidRPr="00741D80" w:rsidRDefault="0084445A" w:rsidP="00833465">
            <w:pPr>
              <w:pStyle w:val="a"/>
              <w:rPr>
                <w:rFonts w:asciiTheme="minorHAnsi" w:hAnsiTheme="minorHAnsi" w:cstheme="minorHAnsi"/>
                <w:b/>
                <w:color w:val="auto"/>
                <w:szCs w:val="20"/>
                <w:lang w:val="bg-BG"/>
              </w:rPr>
            </w:pPr>
          </w:p>
        </w:tc>
        <w:tc>
          <w:tcPr>
            <w:tcW w:w="654" w:type="pct"/>
            <w:tcBorders>
              <w:top w:val="single" w:sz="4" w:space="0" w:color="auto"/>
              <w:left w:val="nil"/>
              <w:bottom w:val="single" w:sz="4" w:space="0" w:color="auto"/>
              <w:right w:val="nil"/>
            </w:tcBorders>
            <w:shd w:val="clear" w:color="auto" w:fill="auto"/>
            <w:tcMar>
              <w:left w:w="57" w:type="dxa"/>
              <w:right w:w="57" w:type="dxa"/>
            </w:tcMar>
            <w:hideMark/>
          </w:tcPr>
          <w:p w14:paraId="19DA5A0B" w14:textId="12DF25F9" w:rsidR="0084445A" w:rsidRPr="00FD518A" w:rsidRDefault="00FD518A" w:rsidP="00833465">
            <w:pPr>
              <w:pStyle w:val="a0"/>
              <w:widowControl w:val="0"/>
              <w:ind w:firstLine="709"/>
              <w:rPr>
                <w:rFonts w:asciiTheme="minorHAnsi" w:hAnsiTheme="minorHAnsi" w:cstheme="minorHAnsi"/>
                <w:b/>
                <w:color w:val="auto"/>
                <w:szCs w:val="20"/>
                <w:lang w:val="bg-BG"/>
              </w:rPr>
            </w:pPr>
            <w:r>
              <w:rPr>
                <w:rFonts w:asciiTheme="minorHAnsi" w:hAnsiTheme="minorHAnsi" w:cstheme="minorHAnsi"/>
                <w:b/>
                <w:color w:val="auto"/>
                <w:szCs w:val="20"/>
                <w:lang w:val="bg-BG"/>
              </w:rPr>
              <w:t>(</w:t>
            </w:r>
            <w:r w:rsidR="0084445A" w:rsidRPr="00741D80">
              <w:rPr>
                <w:rFonts w:asciiTheme="minorHAnsi" w:hAnsiTheme="minorHAnsi" w:cstheme="minorHAnsi"/>
                <w:b/>
                <w:color w:val="auto"/>
                <w:szCs w:val="20"/>
              </w:rPr>
              <w:t>1</w:t>
            </w:r>
            <w:r>
              <w:rPr>
                <w:rFonts w:asciiTheme="minorHAnsi" w:hAnsiTheme="minorHAnsi" w:cstheme="minorHAnsi"/>
                <w:b/>
                <w:color w:val="auto"/>
                <w:szCs w:val="20"/>
                <w:lang w:val="bg-BG"/>
              </w:rPr>
              <w:t>)</w:t>
            </w:r>
          </w:p>
        </w:tc>
        <w:tc>
          <w:tcPr>
            <w:tcW w:w="682" w:type="pct"/>
            <w:tcBorders>
              <w:top w:val="single" w:sz="4" w:space="0" w:color="auto"/>
              <w:left w:val="nil"/>
              <w:bottom w:val="single" w:sz="4" w:space="0" w:color="auto"/>
              <w:right w:val="nil"/>
            </w:tcBorders>
            <w:shd w:val="clear" w:color="auto" w:fill="auto"/>
            <w:tcMar>
              <w:left w:w="57" w:type="dxa"/>
              <w:right w:w="57" w:type="dxa"/>
            </w:tcMar>
            <w:hideMark/>
          </w:tcPr>
          <w:p w14:paraId="68BD20AD" w14:textId="77777777" w:rsidR="0084445A" w:rsidRPr="00741D80" w:rsidRDefault="0084445A" w:rsidP="00833465">
            <w:pPr>
              <w:pStyle w:val="a0"/>
              <w:widowControl w:val="0"/>
              <w:rPr>
                <w:rFonts w:asciiTheme="minorHAnsi" w:hAnsiTheme="minorHAnsi" w:cstheme="minorHAnsi"/>
                <w:b/>
                <w:color w:val="auto"/>
                <w:szCs w:val="20"/>
              </w:rPr>
            </w:pPr>
            <w:r w:rsidRPr="00741D80">
              <w:rPr>
                <w:rFonts w:asciiTheme="minorHAnsi" w:hAnsiTheme="minorHAnsi" w:cstheme="minorHAnsi"/>
                <w:b/>
                <w:color w:val="auto"/>
                <w:szCs w:val="20"/>
              </w:rPr>
              <w:t>(18)</w:t>
            </w:r>
          </w:p>
        </w:tc>
      </w:tr>
      <w:tr w:rsidR="0084445A" w:rsidRPr="00741D80" w14:paraId="3719466B" w14:textId="77777777" w:rsidTr="00833465">
        <w:trPr>
          <w:trHeight w:val="170"/>
          <w:jc w:val="center"/>
        </w:trPr>
        <w:tc>
          <w:tcPr>
            <w:tcW w:w="3664" w:type="pct"/>
            <w:tcBorders>
              <w:top w:val="nil"/>
              <w:left w:val="nil"/>
              <w:bottom w:val="nil"/>
              <w:right w:val="nil"/>
            </w:tcBorders>
            <w:shd w:val="clear" w:color="auto" w:fill="auto"/>
            <w:tcMar>
              <w:left w:w="57" w:type="dxa"/>
              <w:right w:w="57" w:type="dxa"/>
            </w:tcMar>
            <w:vAlign w:val="bottom"/>
            <w:hideMark/>
          </w:tcPr>
          <w:p w14:paraId="77D8F2EF" w14:textId="77777777" w:rsidR="0084445A" w:rsidRPr="00741D80" w:rsidRDefault="0084445A" w:rsidP="00833465">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 xml:space="preserve">Компоненти, които могат да бъдат </w:t>
            </w:r>
            <w:proofErr w:type="spellStart"/>
            <w:r w:rsidRPr="00741D80">
              <w:rPr>
                <w:rFonts w:asciiTheme="minorHAnsi" w:hAnsiTheme="minorHAnsi" w:cstheme="minorHAnsi"/>
                <w:b/>
                <w:color w:val="auto"/>
                <w:szCs w:val="20"/>
                <w:lang w:val="bg-BG"/>
              </w:rPr>
              <w:t>рекласифицирани</w:t>
            </w:r>
            <w:proofErr w:type="spellEnd"/>
            <w:r w:rsidRPr="00741D80">
              <w:rPr>
                <w:rFonts w:asciiTheme="minorHAnsi" w:hAnsiTheme="minorHAnsi" w:cstheme="minorHAnsi"/>
                <w:b/>
                <w:color w:val="auto"/>
                <w:szCs w:val="20"/>
                <w:lang w:val="bg-BG"/>
              </w:rPr>
              <w:t xml:space="preserve"> в печалбата или загубата</w:t>
            </w:r>
          </w:p>
        </w:tc>
        <w:tc>
          <w:tcPr>
            <w:tcW w:w="654" w:type="pct"/>
            <w:tcBorders>
              <w:top w:val="nil"/>
              <w:left w:val="nil"/>
              <w:bottom w:val="nil"/>
              <w:right w:val="nil"/>
            </w:tcBorders>
            <w:shd w:val="clear" w:color="auto" w:fill="auto"/>
            <w:tcMar>
              <w:left w:w="57" w:type="dxa"/>
              <w:right w:w="57" w:type="dxa"/>
            </w:tcMar>
            <w:vAlign w:val="bottom"/>
            <w:hideMark/>
          </w:tcPr>
          <w:p w14:paraId="58ECA658" w14:textId="77777777" w:rsidR="0084445A" w:rsidRPr="00741D80" w:rsidRDefault="0084445A" w:rsidP="00833465">
            <w:pPr>
              <w:pStyle w:val="a0"/>
              <w:widowControl w:val="0"/>
              <w:rPr>
                <w:rFonts w:asciiTheme="minorHAnsi" w:hAnsiTheme="minorHAnsi" w:cstheme="minorHAnsi"/>
                <w:color w:val="auto"/>
                <w:szCs w:val="20"/>
                <w:lang w:val="bg-BG"/>
              </w:rPr>
            </w:pPr>
          </w:p>
        </w:tc>
        <w:tc>
          <w:tcPr>
            <w:tcW w:w="682" w:type="pct"/>
            <w:tcBorders>
              <w:top w:val="nil"/>
              <w:left w:val="nil"/>
              <w:bottom w:val="nil"/>
              <w:right w:val="nil"/>
            </w:tcBorders>
            <w:shd w:val="clear" w:color="auto" w:fill="auto"/>
            <w:tcMar>
              <w:left w:w="57" w:type="dxa"/>
              <w:right w:w="57" w:type="dxa"/>
            </w:tcMar>
            <w:vAlign w:val="bottom"/>
            <w:hideMark/>
          </w:tcPr>
          <w:p w14:paraId="09B670FD" w14:textId="77777777" w:rsidR="0084445A" w:rsidRPr="00741D80" w:rsidRDefault="0084445A" w:rsidP="00833465">
            <w:pPr>
              <w:pStyle w:val="a0"/>
              <w:rPr>
                <w:rFonts w:asciiTheme="minorHAnsi" w:hAnsiTheme="minorHAnsi" w:cstheme="minorHAnsi"/>
                <w:color w:val="auto"/>
                <w:szCs w:val="20"/>
                <w:lang w:val="bg-BG"/>
              </w:rPr>
            </w:pPr>
          </w:p>
        </w:tc>
      </w:tr>
      <w:tr w:rsidR="0084445A" w:rsidRPr="00741D80" w14:paraId="07911436" w14:textId="77777777" w:rsidTr="00833465">
        <w:trPr>
          <w:trHeight w:val="170"/>
          <w:jc w:val="center"/>
        </w:trPr>
        <w:tc>
          <w:tcPr>
            <w:tcW w:w="3664" w:type="pct"/>
            <w:tcBorders>
              <w:top w:val="nil"/>
              <w:left w:val="nil"/>
              <w:bottom w:val="nil"/>
              <w:right w:val="nil"/>
            </w:tcBorders>
            <w:shd w:val="clear" w:color="auto" w:fill="auto"/>
            <w:tcMar>
              <w:left w:w="57" w:type="dxa"/>
              <w:right w:w="57" w:type="dxa"/>
            </w:tcMar>
            <w:vAlign w:val="bottom"/>
            <w:hideMark/>
          </w:tcPr>
          <w:p w14:paraId="5FAF4CAA" w14:textId="3B8F39F7" w:rsidR="0084445A" w:rsidRPr="00741D80" w:rsidRDefault="0084445A" w:rsidP="00833465">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Нетна промяна в справедливата стойност на финансови активи</w:t>
            </w:r>
            <w:r w:rsidR="004805BA">
              <w:rPr>
                <w:rFonts w:asciiTheme="minorHAnsi" w:hAnsiTheme="minorHAnsi" w:cstheme="minorHAnsi"/>
                <w:color w:val="auto"/>
                <w:szCs w:val="20"/>
                <w:lang w:val="bg-BG"/>
              </w:rPr>
              <w:t>,</w:t>
            </w:r>
            <w:r w:rsidRPr="00741D80">
              <w:rPr>
                <w:rFonts w:asciiTheme="minorHAnsi" w:hAnsiTheme="minorHAnsi" w:cstheme="minorHAnsi"/>
                <w:color w:val="auto"/>
                <w:szCs w:val="20"/>
                <w:lang w:val="bg-BG"/>
              </w:rPr>
              <w:t xml:space="preserve"> </w:t>
            </w:r>
            <w:r w:rsidR="004805BA">
              <w:rPr>
                <w:rFonts w:asciiTheme="minorHAnsi" w:hAnsiTheme="minorHAnsi" w:cstheme="minorHAnsi"/>
                <w:color w:val="auto"/>
                <w:szCs w:val="20"/>
                <w:lang w:val="bg-BG"/>
              </w:rPr>
              <w:t>оценявани по справедлива стойност</w:t>
            </w:r>
            <w:r w:rsidRPr="00741D80">
              <w:rPr>
                <w:rFonts w:asciiTheme="minorHAnsi" w:hAnsiTheme="minorHAnsi" w:cstheme="minorHAnsi"/>
                <w:color w:val="auto"/>
                <w:szCs w:val="20"/>
                <w:lang w:val="bg-BG"/>
              </w:rPr>
              <w:t>:</w:t>
            </w:r>
          </w:p>
        </w:tc>
        <w:tc>
          <w:tcPr>
            <w:tcW w:w="654" w:type="pct"/>
            <w:tcBorders>
              <w:top w:val="nil"/>
              <w:left w:val="nil"/>
              <w:bottom w:val="nil"/>
              <w:right w:val="nil"/>
            </w:tcBorders>
            <w:shd w:val="clear" w:color="auto" w:fill="auto"/>
            <w:tcMar>
              <w:left w:w="57" w:type="dxa"/>
              <w:right w:w="57" w:type="dxa"/>
            </w:tcMar>
            <w:vAlign w:val="bottom"/>
            <w:hideMark/>
          </w:tcPr>
          <w:p w14:paraId="631CEEC5" w14:textId="77777777" w:rsidR="0084445A" w:rsidRPr="00741D80" w:rsidRDefault="0084445A" w:rsidP="00833465">
            <w:pPr>
              <w:pStyle w:val="a0"/>
              <w:widowControl w:val="0"/>
              <w:rPr>
                <w:rFonts w:asciiTheme="minorHAnsi" w:hAnsiTheme="minorHAnsi" w:cstheme="minorHAnsi"/>
                <w:color w:val="auto"/>
                <w:szCs w:val="20"/>
                <w:lang w:val="bg-BG"/>
              </w:rPr>
            </w:pPr>
          </w:p>
        </w:tc>
        <w:tc>
          <w:tcPr>
            <w:tcW w:w="682" w:type="pct"/>
            <w:tcBorders>
              <w:top w:val="nil"/>
              <w:left w:val="nil"/>
              <w:bottom w:val="nil"/>
              <w:right w:val="nil"/>
            </w:tcBorders>
            <w:shd w:val="clear" w:color="auto" w:fill="auto"/>
            <w:tcMar>
              <w:left w:w="57" w:type="dxa"/>
              <w:right w:w="57" w:type="dxa"/>
            </w:tcMar>
            <w:hideMark/>
          </w:tcPr>
          <w:p w14:paraId="6800F3AD" w14:textId="77777777" w:rsidR="0084445A" w:rsidRPr="00741D80" w:rsidRDefault="0084445A" w:rsidP="00833465">
            <w:pPr>
              <w:pStyle w:val="a0"/>
              <w:rPr>
                <w:rFonts w:asciiTheme="minorHAnsi" w:hAnsiTheme="minorHAnsi" w:cstheme="minorHAnsi"/>
                <w:color w:val="auto"/>
                <w:szCs w:val="20"/>
              </w:rPr>
            </w:pPr>
          </w:p>
        </w:tc>
      </w:tr>
      <w:tr w:rsidR="0084445A" w:rsidRPr="00741D80" w14:paraId="78EB7C8F" w14:textId="77777777" w:rsidTr="00833465">
        <w:trPr>
          <w:trHeight w:val="170"/>
          <w:jc w:val="center"/>
        </w:trPr>
        <w:tc>
          <w:tcPr>
            <w:tcW w:w="3664" w:type="pct"/>
            <w:tcBorders>
              <w:top w:val="nil"/>
              <w:left w:val="nil"/>
              <w:bottom w:val="nil"/>
              <w:right w:val="nil"/>
            </w:tcBorders>
            <w:shd w:val="clear" w:color="auto" w:fill="auto"/>
            <w:noWrap/>
            <w:tcMar>
              <w:left w:w="57" w:type="dxa"/>
              <w:right w:w="57" w:type="dxa"/>
            </w:tcMar>
            <w:vAlign w:val="bottom"/>
            <w:hideMark/>
          </w:tcPr>
          <w:p w14:paraId="63C0FF5B" w14:textId="77777777" w:rsidR="0084445A" w:rsidRPr="00741D80" w:rsidRDefault="0084445A" w:rsidP="00833465">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Печалби, възникнали през периода</w:t>
            </w:r>
          </w:p>
        </w:tc>
        <w:tc>
          <w:tcPr>
            <w:tcW w:w="654" w:type="pct"/>
            <w:tcBorders>
              <w:top w:val="nil"/>
              <w:left w:val="nil"/>
              <w:bottom w:val="nil"/>
              <w:right w:val="nil"/>
            </w:tcBorders>
            <w:shd w:val="clear" w:color="auto" w:fill="auto"/>
            <w:noWrap/>
            <w:tcMar>
              <w:left w:w="57" w:type="dxa"/>
              <w:right w:w="57" w:type="dxa"/>
            </w:tcMar>
            <w:vAlign w:val="bottom"/>
            <w:hideMark/>
          </w:tcPr>
          <w:p w14:paraId="7E11388C" w14:textId="77777777" w:rsidR="0084445A" w:rsidRPr="00741D80" w:rsidRDefault="0084445A" w:rsidP="00833465">
            <w:pPr>
              <w:pStyle w:val="a0"/>
              <w:widowControl w:val="0"/>
              <w:rPr>
                <w:rFonts w:asciiTheme="minorHAnsi" w:hAnsiTheme="minorHAnsi" w:cstheme="minorHAnsi"/>
                <w:color w:val="auto"/>
                <w:szCs w:val="20"/>
              </w:rPr>
            </w:pPr>
            <w:r w:rsidRPr="00741D80">
              <w:rPr>
                <w:rFonts w:asciiTheme="minorHAnsi" w:hAnsiTheme="minorHAnsi" w:cstheme="minorHAnsi"/>
                <w:color w:val="auto"/>
                <w:szCs w:val="20"/>
              </w:rPr>
              <w:t>(41)</w:t>
            </w:r>
          </w:p>
        </w:tc>
        <w:tc>
          <w:tcPr>
            <w:tcW w:w="682" w:type="pct"/>
            <w:tcBorders>
              <w:top w:val="nil"/>
              <w:left w:val="nil"/>
              <w:bottom w:val="nil"/>
              <w:right w:val="nil"/>
            </w:tcBorders>
            <w:shd w:val="clear" w:color="auto" w:fill="auto"/>
            <w:noWrap/>
            <w:tcMar>
              <w:left w:w="57" w:type="dxa"/>
              <w:right w:w="57" w:type="dxa"/>
            </w:tcMar>
            <w:vAlign w:val="bottom"/>
            <w:hideMark/>
          </w:tcPr>
          <w:p w14:paraId="75B341AD" w14:textId="77777777" w:rsidR="0084445A" w:rsidRPr="00741D80" w:rsidRDefault="0084445A" w:rsidP="00833465">
            <w:pPr>
              <w:pStyle w:val="a0"/>
              <w:widowControl w:val="0"/>
              <w:ind w:firstLine="709"/>
              <w:rPr>
                <w:rFonts w:asciiTheme="minorHAnsi" w:hAnsiTheme="minorHAnsi" w:cstheme="minorHAnsi"/>
                <w:color w:val="auto"/>
                <w:szCs w:val="20"/>
              </w:rPr>
            </w:pPr>
            <w:r w:rsidRPr="00741D80">
              <w:rPr>
                <w:rFonts w:asciiTheme="minorHAnsi" w:hAnsiTheme="minorHAnsi" w:cstheme="minorHAnsi"/>
                <w:color w:val="auto"/>
                <w:szCs w:val="20"/>
              </w:rPr>
              <w:t>97</w:t>
            </w:r>
          </w:p>
        </w:tc>
      </w:tr>
      <w:tr w:rsidR="0084445A" w:rsidRPr="00741D80" w14:paraId="65C969DB" w14:textId="77777777" w:rsidTr="00833465">
        <w:trPr>
          <w:trHeight w:val="170"/>
          <w:jc w:val="center"/>
        </w:trPr>
        <w:tc>
          <w:tcPr>
            <w:tcW w:w="3664" w:type="pct"/>
            <w:tcBorders>
              <w:top w:val="nil"/>
              <w:left w:val="nil"/>
              <w:bottom w:val="nil"/>
              <w:right w:val="nil"/>
            </w:tcBorders>
            <w:shd w:val="clear" w:color="auto" w:fill="auto"/>
            <w:tcMar>
              <w:left w:w="57" w:type="dxa"/>
              <w:right w:w="57" w:type="dxa"/>
            </w:tcMar>
            <w:vAlign w:val="bottom"/>
            <w:hideMark/>
          </w:tcPr>
          <w:p w14:paraId="7D167DBF" w14:textId="77777777" w:rsidR="0084445A" w:rsidRPr="00741D80" w:rsidRDefault="0084445A" w:rsidP="00833465">
            <w:pPr>
              <w:pStyle w:val="a"/>
              <w:rPr>
                <w:rFonts w:asciiTheme="minorHAnsi" w:hAnsiTheme="minorHAnsi" w:cstheme="minorHAnsi"/>
                <w:color w:val="auto"/>
                <w:szCs w:val="20"/>
                <w:lang w:val="bg-BG"/>
              </w:rPr>
            </w:pPr>
          </w:p>
        </w:tc>
        <w:tc>
          <w:tcPr>
            <w:tcW w:w="654" w:type="pct"/>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62E2F5B5" w14:textId="77777777" w:rsidR="0084445A" w:rsidRPr="00741D80" w:rsidRDefault="0084445A" w:rsidP="00833465">
            <w:pPr>
              <w:pStyle w:val="a0"/>
              <w:widowControl w:val="0"/>
              <w:rPr>
                <w:rFonts w:asciiTheme="minorHAnsi" w:hAnsiTheme="minorHAnsi" w:cstheme="minorHAnsi"/>
                <w:b/>
                <w:color w:val="auto"/>
                <w:szCs w:val="20"/>
              </w:rPr>
            </w:pPr>
            <w:r w:rsidRPr="00741D80">
              <w:rPr>
                <w:rFonts w:asciiTheme="minorHAnsi" w:hAnsiTheme="minorHAnsi" w:cstheme="minorHAnsi"/>
                <w:b/>
                <w:color w:val="auto"/>
                <w:szCs w:val="20"/>
              </w:rPr>
              <w:t>(41)</w:t>
            </w:r>
          </w:p>
        </w:tc>
        <w:tc>
          <w:tcPr>
            <w:tcW w:w="682" w:type="pct"/>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37F8FB31" w14:textId="77777777" w:rsidR="0084445A" w:rsidRPr="00741D80" w:rsidRDefault="0084445A" w:rsidP="00833465">
            <w:pPr>
              <w:pStyle w:val="a0"/>
              <w:widowControl w:val="0"/>
              <w:ind w:firstLine="709"/>
              <w:rPr>
                <w:rFonts w:asciiTheme="minorHAnsi" w:hAnsiTheme="minorHAnsi" w:cstheme="minorHAnsi"/>
                <w:b/>
                <w:color w:val="auto"/>
                <w:szCs w:val="20"/>
              </w:rPr>
            </w:pPr>
            <w:r w:rsidRPr="00741D80">
              <w:rPr>
                <w:rFonts w:asciiTheme="minorHAnsi" w:hAnsiTheme="minorHAnsi" w:cstheme="minorHAnsi"/>
                <w:b/>
                <w:color w:val="auto"/>
                <w:szCs w:val="20"/>
              </w:rPr>
              <w:t>97</w:t>
            </w:r>
          </w:p>
        </w:tc>
      </w:tr>
      <w:tr w:rsidR="0084445A" w:rsidRPr="00741D80" w14:paraId="3565AAFA" w14:textId="77777777" w:rsidTr="00833465">
        <w:trPr>
          <w:trHeight w:val="170"/>
          <w:jc w:val="center"/>
        </w:trPr>
        <w:tc>
          <w:tcPr>
            <w:tcW w:w="3664" w:type="pct"/>
            <w:tcBorders>
              <w:top w:val="nil"/>
              <w:left w:val="nil"/>
              <w:bottom w:val="nil"/>
              <w:right w:val="nil"/>
            </w:tcBorders>
            <w:shd w:val="clear" w:color="auto" w:fill="auto"/>
            <w:tcMar>
              <w:left w:w="57" w:type="dxa"/>
              <w:right w:w="57" w:type="dxa"/>
            </w:tcMar>
            <w:vAlign w:val="bottom"/>
            <w:hideMark/>
          </w:tcPr>
          <w:p w14:paraId="7AEED557" w14:textId="77777777" w:rsidR="0084445A" w:rsidRPr="00741D80" w:rsidRDefault="0084445A" w:rsidP="00833465">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Данък върху доходите, свързан с компонентите на другия всеобхватен доход</w:t>
            </w:r>
          </w:p>
        </w:tc>
        <w:tc>
          <w:tcPr>
            <w:tcW w:w="654" w:type="pct"/>
            <w:tcBorders>
              <w:top w:val="nil"/>
              <w:left w:val="nil"/>
              <w:bottom w:val="nil"/>
              <w:right w:val="nil"/>
            </w:tcBorders>
            <w:shd w:val="clear" w:color="auto" w:fill="auto"/>
            <w:tcMar>
              <w:left w:w="57" w:type="dxa"/>
              <w:right w:w="57" w:type="dxa"/>
            </w:tcMar>
            <w:vAlign w:val="bottom"/>
            <w:hideMark/>
          </w:tcPr>
          <w:p w14:paraId="377B6231" w14:textId="77777777" w:rsidR="0084445A" w:rsidRPr="00741D80" w:rsidRDefault="0084445A" w:rsidP="00833465">
            <w:pPr>
              <w:pStyle w:val="a0"/>
              <w:widowControl w:val="0"/>
              <w:ind w:firstLine="709"/>
              <w:rPr>
                <w:rFonts w:asciiTheme="minorHAnsi" w:hAnsiTheme="minorHAnsi" w:cstheme="minorHAnsi"/>
                <w:color w:val="auto"/>
                <w:szCs w:val="20"/>
              </w:rPr>
            </w:pPr>
            <w:r w:rsidRPr="00741D80">
              <w:rPr>
                <w:rFonts w:asciiTheme="minorHAnsi" w:hAnsiTheme="minorHAnsi" w:cstheme="minorHAnsi"/>
                <w:color w:val="auto"/>
                <w:szCs w:val="20"/>
              </w:rPr>
              <w:t>4</w:t>
            </w:r>
          </w:p>
        </w:tc>
        <w:tc>
          <w:tcPr>
            <w:tcW w:w="682" w:type="pct"/>
            <w:tcBorders>
              <w:top w:val="nil"/>
              <w:left w:val="nil"/>
              <w:bottom w:val="nil"/>
              <w:right w:val="nil"/>
            </w:tcBorders>
            <w:shd w:val="clear" w:color="auto" w:fill="auto"/>
            <w:noWrap/>
            <w:tcMar>
              <w:left w:w="57" w:type="dxa"/>
              <w:right w:w="57" w:type="dxa"/>
            </w:tcMar>
            <w:vAlign w:val="bottom"/>
            <w:hideMark/>
          </w:tcPr>
          <w:p w14:paraId="1372C7BF" w14:textId="77777777" w:rsidR="0084445A" w:rsidRPr="00741D80" w:rsidRDefault="0084445A" w:rsidP="00833465">
            <w:pPr>
              <w:pStyle w:val="a0"/>
              <w:rPr>
                <w:rFonts w:asciiTheme="minorHAnsi" w:hAnsiTheme="minorHAnsi" w:cstheme="minorHAnsi"/>
                <w:bCs/>
                <w:color w:val="auto"/>
                <w:szCs w:val="20"/>
                <w:lang w:val="bg-BG"/>
              </w:rPr>
            </w:pPr>
            <w:r w:rsidRPr="00741D80">
              <w:rPr>
                <w:rFonts w:asciiTheme="minorHAnsi" w:hAnsiTheme="minorHAnsi" w:cstheme="minorHAnsi"/>
                <w:color w:val="auto"/>
                <w:szCs w:val="20"/>
                <w:lang w:val="bg-BG"/>
              </w:rPr>
              <w:t>(</w:t>
            </w:r>
            <w:r w:rsidRPr="00741D80">
              <w:rPr>
                <w:rFonts w:asciiTheme="minorHAnsi" w:hAnsiTheme="minorHAnsi" w:cstheme="minorHAnsi"/>
                <w:color w:val="auto"/>
                <w:szCs w:val="20"/>
              </w:rPr>
              <w:t>10</w:t>
            </w:r>
            <w:r w:rsidRPr="00741D80">
              <w:rPr>
                <w:rFonts w:asciiTheme="minorHAnsi" w:hAnsiTheme="minorHAnsi" w:cstheme="minorHAnsi"/>
                <w:color w:val="auto"/>
                <w:szCs w:val="20"/>
                <w:lang w:val="bg-BG"/>
              </w:rPr>
              <w:t>)</w:t>
            </w:r>
          </w:p>
        </w:tc>
      </w:tr>
      <w:tr w:rsidR="0084445A" w:rsidRPr="00741D80" w14:paraId="04E154B4" w14:textId="77777777" w:rsidTr="00833465">
        <w:trPr>
          <w:trHeight w:val="170"/>
          <w:jc w:val="center"/>
        </w:trPr>
        <w:tc>
          <w:tcPr>
            <w:tcW w:w="3664" w:type="pct"/>
            <w:tcBorders>
              <w:top w:val="nil"/>
              <w:left w:val="nil"/>
              <w:bottom w:val="nil"/>
              <w:right w:val="nil"/>
            </w:tcBorders>
            <w:shd w:val="clear" w:color="auto" w:fill="auto"/>
            <w:tcMar>
              <w:left w:w="57" w:type="dxa"/>
              <w:right w:w="57" w:type="dxa"/>
            </w:tcMar>
            <w:vAlign w:val="bottom"/>
            <w:hideMark/>
          </w:tcPr>
          <w:p w14:paraId="185D0254" w14:textId="77777777" w:rsidR="0084445A" w:rsidRPr="00741D80" w:rsidRDefault="0084445A" w:rsidP="00833465">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 друг всеобхватен доход за годината</w:t>
            </w:r>
          </w:p>
        </w:tc>
        <w:tc>
          <w:tcPr>
            <w:tcW w:w="654" w:type="pct"/>
            <w:tcBorders>
              <w:top w:val="single" w:sz="4" w:space="0" w:color="auto"/>
              <w:left w:val="nil"/>
              <w:bottom w:val="double" w:sz="6" w:space="0" w:color="auto"/>
              <w:right w:val="nil"/>
            </w:tcBorders>
            <w:shd w:val="clear" w:color="auto" w:fill="auto"/>
            <w:noWrap/>
            <w:tcMar>
              <w:left w:w="57" w:type="dxa"/>
              <w:right w:w="57" w:type="dxa"/>
            </w:tcMar>
            <w:vAlign w:val="bottom"/>
            <w:hideMark/>
          </w:tcPr>
          <w:p w14:paraId="432F0B42" w14:textId="13F0DF63" w:rsidR="0084445A" w:rsidRPr="00741D80" w:rsidRDefault="0084445A" w:rsidP="00833465">
            <w:pPr>
              <w:pStyle w:val="a0"/>
              <w:widowControl w:val="0"/>
              <w:rPr>
                <w:rFonts w:asciiTheme="minorHAnsi" w:hAnsiTheme="minorHAnsi" w:cstheme="minorHAnsi"/>
                <w:b/>
                <w:color w:val="auto"/>
                <w:szCs w:val="20"/>
              </w:rPr>
            </w:pPr>
            <w:r w:rsidRPr="00741D80">
              <w:rPr>
                <w:rFonts w:asciiTheme="minorHAnsi" w:hAnsiTheme="minorHAnsi" w:cstheme="minorHAnsi"/>
                <w:b/>
                <w:color w:val="auto"/>
                <w:szCs w:val="20"/>
              </w:rPr>
              <w:t>(3</w:t>
            </w:r>
            <w:r w:rsidR="00FD518A">
              <w:rPr>
                <w:rFonts w:asciiTheme="minorHAnsi" w:hAnsiTheme="minorHAnsi" w:cstheme="minorHAnsi"/>
                <w:b/>
                <w:color w:val="auto"/>
                <w:szCs w:val="20"/>
                <w:lang w:val="bg-BG"/>
              </w:rPr>
              <w:t>8</w:t>
            </w:r>
            <w:r w:rsidRPr="00741D80">
              <w:rPr>
                <w:rFonts w:asciiTheme="minorHAnsi" w:hAnsiTheme="minorHAnsi" w:cstheme="minorHAnsi"/>
                <w:b/>
                <w:color w:val="auto"/>
                <w:szCs w:val="20"/>
              </w:rPr>
              <w:t>)</w:t>
            </w:r>
          </w:p>
        </w:tc>
        <w:tc>
          <w:tcPr>
            <w:tcW w:w="682" w:type="pct"/>
            <w:tcBorders>
              <w:top w:val="single" w:sz="4" w:space="0" w:color="auto"/>
              <w:left w:val="nil"/>
              <w:bottom w:val="double" w:sz="6" w:space="0" w:color="auto"/>
              <w:right w:val="nil"/>
            </w:tcBorders>
            <w:shd w:val="clear" w:color="auto" w:fill="auto"/>
            <w:noWrap/>
            <w:tcMar>
              <w:left w:w="57" w:type="dxa"/>
              <w:right w:w="57" w:type="dxa"/>
            </w:tcMar>
            <w:vAlign w:val="bottom"/>
            <w:hideMark/>
          </w:tcPr>
          <w:p w14:paraId="7ECFCC66" w14:textId="77777777" w:rsidR="0084445A" w:rsidRPr="00741D80" w:rsidRDefault="0084445A" w:rsidP="00833465">
            <w:pPr>
              <w:pStyle w:val="a0"/>
              <w:widowControl w:val="0"/>
              <w:ind w:firstLine="709"/>
              <w:rPr>
                <w:rFonts w:asciiTheme="minorHAnsi" w:hAnsiTheme="minorHAnsi" w:cstheme="minorHAnsi"/>
                <w:b/>
                <w:color w:val="auto"/>
                <w:szCs w:val="20"/>
              </w:rPr>
            </w:pPr>
            <w:r w:rsidRPr="00741D80">
              <w:rPr>
                <w:rFonts w:asciiTheme="minorHAnsi" w:hAnsiTheme="minorHAnsi" w:cstheme="minorHAnsi"/>
                <w:b/>
                <w:color w:val="auto"/>
                <w:szCs w:val="20"/>
              </w:rPr>
              <w:t>69</w:t>
            </w:r>
          </w:p>
        </w:tc>
      </w:tr>
    </w:tbl>
    <w:p w14:paraId="6D1A1B75" w14:textId="77777777" w:rsidR="0084445A" w:rsidRPr="00741D80" w:rsidRDefault="0084445A" w:rsidP="00833465">
      <w:pPr>
        <w:pStyle w:val="Mainnumbers"/>
      </w:pPr>
      <w:bookmarkStart w:id="49" w:name="_Toc418084379"/>
      <w:bookmarkStart w:id="50" w:name="_Toc536452019"/>
      <w:r w:rsidRPr="00741D80">
        <w:t>ИМОТИ, МАШИНИ, ОБОРУДВАНЕ</w:t>
      </w:r>
      <w:bookmarkEnd w:id="49"/>
      <w:bookmarkEnd w:id="50"/>
    </w:p>
    <w:tbl>
      <w:tblPr>
        <w:tblW w:w="10637" w:type="dxa"/>
        <w:jc w:val="center"/>
        <w:tblLayout w:type="fixed"/>
        <w:tblCellMar>
          <w:left w:w="70" w:type="dxa"/>
          <w:right w:w="70" w:type="dxa"/>
        </w:tblCellMar>
        <w:tblLook w:val="04A0" w:firstRow="1" w:lastRow="0" w:firstColumn="1" w:lastColumn="0" w:noHBand="0" w:noVBand="1"/>
      </w:tblPr>
      <w:tblGrid>
        <w:gridCol w:w="2127"/>
        <w:gridCol w:w="856"/>
        <w:gridCol w:w="851"/>
        <w:gridCol w:w="851"/>
        <w:gridCol w:w="838"/>
        <w:gridCol w:w="862"/>
        <w:gridCol w:w="836"/>
        <w:gridCol w:w="865"/>
        <w:gridCol w:w="850"/>
        <w:gridCol w:w="851"/>
        <w:gridCol w:w="850"/>
      </w:tblGrid>
      <w:tr w:rsidR="0084445A" w:rsidRPr="00833465" w14:paraId="2B48B39B"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bottom"/>
            <w:hideMark/>
          </w:tcPr>
          <w:p w14:paraId="1D9C3C6F" w14:textId="77777777" w:rsidR="0084445A" w:rsidRPr="00833465" w:rsidRDefault="0084445A" w:rsidP="006661FC">
            <w:pPr>
              <w:pStyle w:val="a1"/>
              <w:rPr>
                <w:rFonts w:asciiTheme="minorHAnsi" w:hAnsiTheme="minorHAnsi" w:cstheme="minorHAnsi"/>
                <w:color w:val="auto"/>
                <w:sz w:val="18"/>
                <w:szCs w:val="18"/>
                <w:lang w:val="bg-BG"/>
              </w:rPr>
            </w:pPr>
          </w:p>
        </w:tc>
        <w:tc>
          <w:tcPr>
            <w:tcW w:w="1707" w:type="dxa"/>
            <w:gridSpan w:val="2"/>
            <w:tcBorders>
              <w:top w:val="nil"/>
              <w:left w:val="nil"/>
              <w:bottom w:val="nil"/>
              <w:right w:val="nil"/>
            </w:tcBorders>
            <w:shd w:val="clear" w:color="auto" w:fill="auto"/>
            <w:tcMar>
              <w:left w:w="28" w:type="dxa"/>
              <w:right w:w="28" w:type="dxa"/>
            </w:tcMar>
            <w:hideMark/>
          </w:tcPr>
          <w:p w14:paraId="0DC73B94" w14:textId="77777777" w:rsidR="0084445A" w:rsidRPr="00833465" w:rsidRDefault="0084445A" w:rsidP="006661FC">
            <w:pPr>
              <w:pStyle w:val="a1"/>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Сгради</w:t>
            </w:r>
          </w:p>
        </w:tc>
        <w:tc>
          <w:tcPr>
            <w:tcW w:w="1689" w:type="dxa"/>
            <w:gridSpan w:val="2"/>
            <w:tcBorders>
              <w:top w:val="nil"/>
              <w:left w:val="nil"/>
              <w:bottom w:val="nil"/>
              <w:right w:val="nil"/>
            </w:tcBorders>
            <w:shd w:val="clear" w:color="auto" w:fill="auto"/>
            <w:tcMar>
              <w:left w:w="28" w:type="dxa"/>
              <w:right w:w="28" w:type="dxa"/>
            </w:tcMar>
            <w:hideMark/>
          </w:tcPr>
          <w:p w14:paraId="2F455AA8" w14:textId="77777777" w:rsidR="0084445A" w:rsidRPr="00833465" w:rsidRDefault="0084445A" w:rsidP="006661FC">
            <w:pPr>
              <w:pStyle w:val="a1"/>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Компютри и офис оборудване</w:t>
            </w:r>
          </w:p>
        </w:tc>
        <w:tc>
          <w:tcPr>
            <w:tcW w:w="1698" w:type="dxa"/>
            <w:gridSpan w:val="2"/>
            <w:tcBorders>
              <w:top w:val="nil"/>
              <w:left w:val="nil"/>
              <w:bottom w:val="nil"/>
              <w:right w:val="nil"/>
            </w:tcBorders>
            <w:shd w:val="clear" w:color="auto" w:fill="auto"/>
            <w:tcMar>
              <w:left w:w="28" w:type="dxa"/>
              <w:right w:w="28" w:type="dxa"/>
            </w:tcMar>
            <w:hideMark/>
          </w:tcPr>
          <w:p w14:paraId="12B3BA39" w14:textId="77777777" w:rsidR="0084445A" w:rsidRPr="00833465" w:rsidRDefault="0084445A" w:rsidP="006661FC">
            <w:pPr>
              <w:pStyle w:val="a1"/>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Транспортни средства</w:t>
            </w:r>
          </w:p>
        </w:tc>
        <w:tc>
          <w:tcPr>
            <w:tcW w:w="1715" w:type="dxa"/>
            <w:gridSpan w:val="2"/>
            <w:tcBorders>
              <w:top w:val="nil"/>
              <w:left w:val="nil"/>
              <w:bottom w:val="nil"/>
              <w:right w:val="nil"/>
            </w:tcBorders>
            <w:shd w:val="clear" w:color="auto" w:fill="auto"/>
            <w:tcMar>
              <w:left w:w="28" w:type="dxa"/>
              <w:right w:w="28" w:type="dxa"/>
            </w:tcMar>
            <w:hideMark/>
          </w:tcPr>
          <w:p w14:paraId="13FBD25C" w14:textId="77777777" w:rsidR="0084445A" w:rsidRPr="00833465" w:rsidRDefault="0084445A" w:rsidP="006661FC">
            <w:pPr>
              <w:pStyle w:val="a1"/>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Други</w:t>
            </w:r>
          </w:p>
        </w:tc>
        <w:tc>
          <w:tcPr>
            <w:tcW w:w="1701" w:type="dxa"/>
            <w:gridSpan w:val="2"/>
            <w:tcBorders>
              <w:top w:val="nil"/>
              <w:left w:val="nil"/>
              <w:bottom w:val="nil"/>
              <w:right w:val="nil"/>
            </w:tcBorders>
            <w:shd w:val="clear" w:color="auto" w:fill="auto"/>
            <w:tcMar>
              <w:left w:w="28" w:type="dxa"/>
              <w:right w:w="28" w:type="dxa"/>
            </w:tcMar>
            <w:hideMark/>
          </w:tcPr>
          <w:p w14:paraId="3EC1C8FF" w14:textId="77777777" w:rsidR="0084445A" w:rsidRPr="00833465" w:rsidRDefault="0084445A" w:rsidP="006661FC">
            <w:pPr>
              <w:pStyle w:val="a1"/>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Общо</w:t>
            </w:r>
          </w:p>
        </w:tc>
      </w:tr>
      <w:tr w:rsidR="0084445A" w:rsidRPr="00833465" w14:paraId="562EDE97"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bottom"/>
            <w:hideMark/>
          </w:tcPr>
          <w:p w14:paraId="1F1F1A67" w14:textId="77777777" w:rsidR="0084445A" w:rsidRPr="00833465" w:rsidRDefault="0084445A" w:rsidP="006661FC">
            <w:pPr>
              <w:pStyle w:val="a1"/>
              <w:rPr>
                <w:rFonts w:asciiTheme="minorHAnsi" w:hAnsiTheme="minorHAnsi" w:cstheme="minorHAnsi"/>
                <w:color w:val="auto"/>
                <w:sz w:val="18"/>
                <w:szCs w:val="18"/>
              </w:rPr>
            </w:pPr>
          </w:p>
        </w:tc>
        <w:tc>
          <w:tcPr>
            <w:tcW w:w="856" w:type="dxa"/>
            <w:tcBorders>
              <w:top w:val="nil"/>
              <w:left w:val="nil"/>
              <w:bottom w:val="nil"/>
              <w:right w:val="nil"/>
            </w:tcBorders>
            <w:shd w:val="clear" w:color="auto" w:fill="auto"/>
            <w:tcMar>
              <w:left w:w="28" w:type="dxa"/>
              <w:right w:w="28" w:type="dxa"/>
            </w:tcMar>
            <w:vAlign w:val="center"/>
            <w:hideMark/>
          </w:tcPr>
          <w:p w14:paraId="074493C6" w14:textId="77777777" w:rsidR="0084445A" w:rsidRPr="00833465" w:rsidRDefault="0084445A" w:rsidP="006661FC">
            <w:pPr>
              <w:pStyle w:val="a1"/>
              <w:widowControl w:val="0"/>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2018</w:t>
            </w:r>
          </w:p>
        </w:tc>
        <w:tc>
          <w:tcPr>
            <w:tcW w:w="851" w:type="dxa"/>
            <w:tcBorders>
              <w:top w:val="nil"/>
              <w:left w:val="nil"/>
              <w:bottom w:val="nil"/>
              <w:right w:val="nil"/>
            </w:tcBorders>
            <w:shd w:val="clear" w:color="auto" w:fill="auto"/>
            <w:tcMar>
              <w:left w:w="28" w:type="dxa"/>
              <w:right w:w="28" w:type="dxa"/>
            </w:tcMar>
            <w:vAlign w:val="center"/>
            <w:hideMark/>
          </w:tcPr>
          <w:p w14:paraId="6CE5C8CD" w14:textId="77777777" w:rsidR="0084445A" w:rsidRPr="00833465" w:rsidRDefault="0084445A" w:rsidP="006661FC">
            <w:pPr>
              <w:pStyle w:val="a1"/>
              <w:widowControl w:val="0"/>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2017</w:t>
            </w:r>
          </w:p>
        </w:tc>
        <w:tc>
          <w:tcPr>
            <w:tcW w:w="851" w:type="dxa"/>
            <w:tcBorders>
              <w:top w:val="nil"/>
              <w:left w:val="nil"/>
              <w:bottom w:val="nil"/>
              <w:right w:val="nil"/>
            </w:tcBorders>
            <w:shd w:val="clear" w:color="auto" w:fill="auto"/>
            <w:tcMar>
              <w:left w:w="28" w:type="dxa"/>
              <w:right w:w="28" w:type="dxa"/>
            </w:tcMar>
            <w:vAlign w:val="center"/>
            <w:hideMark/>
          </w:tcPr>
          <w:p w14:paraId="46555151" w14:textId="77777777" w:rsidR="0084445A" w:rsidRPr="00833465" w:rsidRDefault="0084445A" w:rsidP="006661FC">
            <w:pPr>
              <w:pStyle w:val="a1"/>
              <w:widowControl w:val="0"/>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2018</w:t>
            </w:r>
          </w:p>
        </w:tc>
        <w:tc>
          <w:tcPr>
            <w:tcW w:w="838" w:type="dxa"/>
            <w:tcBorders>
              <w:top w:val="nil"/>
              <w:left w:val="nil"/>
              <w:bottom w:val="nil"/>
              <w:right w:val="nil"/>
            </w:tcBorders>
            <w:shd w:val="clear" w:color="auto" w:fill="auto"/>
            <w:tcMar>
              <w:left w:w="28" w:type="dxa"/>
              <w:right w:w="28" w:type="dxa"/>
            </w:tcMar>
            <w:vAlign w:val="center"/>
            <w:hideMark/>
          </w:tcPr>
          <w:p w14:paraId="521D592E" w14:textId="77777777" w:rsidR="0084445A" w:rsidRPr="00833465" w:rsidRDefault="0084445A" w:rsidP="006661FC">
            <w:pPr>
              <w:pStyle w:val="a1"/>
              <w:widowControl w:val="0"/>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2017</w:t>
            </w:r>
          </w:p>
        </w:tc>
        <w:tc>
          <w:tcPr>
            <w:tcW w:w="862" w:type="dxa"/>
            <w:tcBorders>
              <w:top w:val="nil"/>
              <w:left w:val="nil"/>
              <w:bottom w:val="nil"/>
              <w:right w:val="nil"/>
            </w:tcBorders>
            <w:shd w:val="clear" w:color="auto" w:fill="auto"/>
            <w:tcMar>
              <w:left w:w="28" w:type="dxa"/>
              <w:right w:w="28" w:type="dxa"/>
            </w:tcMar>
            <w:vAlign w:val="center"/>
            <w:hideMark/>
          </w:tcPr>
          <w:p w14:paraId="4AF321DC" w14:textId="77777777" w:rsidR="0084445A" w:rsidRPr="00833465" w:rsidRDefault="0084445A" w:rsidP="006661FC">
            <w:pPr>
              <w:pStyle w:val="a1"/>
              <w:widowControl w:val="0"/>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2018</w:t>
            </w:r>
          </w:p>
        </w:tc>
        <w:tc>
          <w:tcPr>
            <w:tcW w:w="836" w:type="dxa"/>
            <w:tcBorders>
              <w:top w:val="nil"/>
              <w:left w:val="nil"/>
              <w:bottom w:val="nil"/>
              <w:right w:val="nil"/>
            </w:tcBorders>
            <w:shd w:val="clear" w:color="auto" w:fill="auto"/>
            <w:tcMar>
              <w:left w:w="28" w:type="dxa"/>
              <w:right w:w="28" w:type="dxa"/>
            </w:tcMar>
            <w:vAlign w:val="center"/>
            <w:hideMark/>
          </w:tcPr>
          <w:p w14:paraId="6C66E131" w14:textId="77777777" w:rsidR="0084445A" w:rsidRPr="00833465" w:rsidRDefault="0084445A" w:rsidP="006661FC">
            <w:pPr>
              <w:pStyle w:val="a1"/>
              <w:widowControl w:val="0"/>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2017</w:t>
            </w:r>
          </w:p>
        </w:tc>
        <w:tc>
          <w:tcPr>
            <w:tcW w:w="865" w:type="dxa"/>
            <w:tcBorders>
              <w:top w:val="nil"/>
              <w:left w:val="nil"/>
              <w:bottom w:val="nil"/>
              <w:right w:val="nil"/>
            </w:tcBorders>
            <w:shd w:val="clear" w:color="auto" w:fill="auto"/>
            <w:tcMar>
              <w:left w:w="28" w:type="dxa"/>
              <w:right w:w="28" w:type="dxa"/>
            </w:tcMar>
            <w:vAlign w:val="center"/>
            <w:hideMark/>
          </w:tcPr>
          <w:p w14:paraId="41DA00B3" w14:textId="77777777" w:rsidR="0084445A" w:rsidRPr="00833465" w:rsidRDefault="0084445A" w:rsidP="006661FC">
            <w:pPr>
              <w:pStyle w:val="a1"/>
              <w:widowControl w:val="0"/>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2018</w:t>
            </w:r>
          </w:p>
        </w:tc>
        <w:tc>
          <w:tcPr>
            <w:tcW w:w="850" w:type="dxa"/>
            <w:tcBorders>
              <w:top w:val="nil"/>
              <w:left w:val="nil"/>
              <w:bottom w:val="nil"/>
              <w:right w:val="nil"/>
            </w:tcBorders>
            <w:shd w:val="clear" w:color="auto" w:fill="auto"/>
            <w:tcMar>
              <w:left w:w="28" w:type="dxa"/>
              <w:right w:w="28" w:type="dxa"/>
            </w:tcMar>
            <w:vAlign w:val="center"/>
            <w:hideMark/>
          </w:tcPr>
          <w:p w14:paraId="63599C15"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2017</w:t>
            </w:r>
          </w:p>
        </w:tc>
        <w:tc>
          <w:tcPr>
            <w:tcW w:w="851" w:type="dxa"/>
            <w:tcBorders>
              <w:top w:val="nil"/>
              <w:left w:val="nil"/>
              <w:bottom w:val="nil"/>
              <w:right w:val="nil"/>
            </w:tcBorders>
            <w:shd w:val="clear" w:color="auto" w:fill="auto"/>
            <w:noWrap/>
            <w:tcMar>
              <w:left w:w="28" w:type="dxa"/>
              <w:right w:w="28" w:type="dxa"/>
            </w:tcMar>
            <w:vAlign w:val="center"/>
            <w:hideMark/>
          </w:tcPr>
          <w:p w14:paraId="7FC5AF49"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2018</w:t>
            </w:r>
          </w:p>
        </w:tc>
        <w:tc>
          <w:tcPr>
            <w:tcW w:w="850" w:type="dxa"/>
            <w:tcBorders>
              <w:top w:val="nil"/>
              <w:left w:val="nil"/>
              <w:bottom w:val="nil"/>
              <w:right w:val="nil"/>
            </w:tcBorders>
            <w:shd w:val="clear" w:color="auto" w:fill="auto"/>
            <w:tcMar>
              <w:left w:w="28" w:type="dxa"/>
              <w:right w:w="28" w:type="dxa"/>
            </w:tcMar>
            <w:vAlign w:val="center"/>
            <w:hideMark/>
          </w:tcPr>
          <w:p w14:paraId="5DE285AB"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2017</w:t>
            </w:r>
          </w:p>
        </w:tc>
      </w:tr>
      <w:tr w:rsidR="0084445A" w:rsidRPr="00833465" w14:paraId="3E052F40"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center"/>
            <w:hideMark/>
          </w:tcPr>
          <w:p w14:paraId="5F1E2F27" w14:textId="77777777" w:rsidR="0084445A" w:rsidRPr="00833465" w:rsidRDefault="0084445A" w:rsidP="006661FC">
            <w:pPr>
              <w:pStyle w:val="a"/>
              <w:rPr>
                <w:rFonts w:asciiTheme="minorHAnsi" w:hAnsiTheme="minorHAnsi" w:cstheme="minorHAnsi"/>
                <w:b/>
                <w:color w:val="auto"/>
                <w:sz w:val="18"/>
                <w:szCs w:val="18"/>
                <w:lang w:val="bg-BG"/>
              </w:rPr>
            </w:pPr>
            <w:r w:rsidRPr="00833465">
              <w:rPr>
                <w:rFonts w:asciiTheme="minorHAnsi" w:hAnsiTheme="minorHAnsi" w:cstheme="minorHAnsi"/>
                <w:b/>
                <w:color w:val="auto"/>
                <w:sz w:val="18"/>
                <w:szCs w:val="18"/>
                <w:lang w:val="bg-BG"/>
              </w:rPr>
              <w:t>Отчетна стойност</w:t>
            </w:r>
          </w:p>
        </w:tc>
        <w:tc>
          <w:tcPr>
            <w:tcW w:w="856" w:type="dxa"/>
            <w:tcBorders>
              <w:top w:val="nil"/>
              <w:left w:val="nil"/>
              <w:bottom w:val="nil"/>
              <w:right w:val="nil"/>
            </w:tcBorders>
            <w:shd w:val="clear" w:color="auto" w:fill="auto"/>
            <w:noWrap/>
            <w:tcMar>
              <w:left w:w="28" w:type="dxa"/>
              <w:right w:w="28" w:type="dxa"/>
            </w:tcMar>
            <w:vAlign w:val="center"/>
            <w:hideMark/>
          </w:tcPr>
          <w:p w14:paraId="2403E561"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BGN'000</w:t>
            </w:r>
          </w:p>
        </w:tc>
        <w:tc>
          <w:tcPr>
            <w:tcW w:w="851" w:type="dxa"/>
            <w:tcBorders>
              <w:top w:val="nil"/>
              <w:left w:val="nil"/>
              <w:bottom w:val="nil"/>
              <w:right w:val="nil"/>
            </w:tcBorders>
            <w:shd w:val="clear" w:color="auto" w:fill="auto"/>
            <w:noWrap/>
            <w:tcMar>
              <w:left w:w="28" w:type="dxa"/>
              <w:right w:w="28" w:type="dxa"/>
            </w:tcMar>
            <w:vAlign w:val="center"/>
            <w:hideMark/>
          </w:tcPr>
          <w:p w14:paraId="44837788"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BGN'000</w:t>
            </w:r>
          </w:p>
        </w:tc>
        <w:tc>
          <w:tcPr>
            <w:tcW w:w="851" w:type="dxa"/>
            <w:tcBorders>
              <w:top w:val="nil"/>
              <w:left w:val="nil"/>
              <w:bottom w:val="nil"/>
              <w:right w:val="nil"/>
            </w:tcBorders>
            <w:shd w:val="clear" w:color="auto" w:fill="auto"/>
            <w:noWrap/>
            <w:tcMar>
              <w:left w:w="28" w:type="dxa"/>
              <w:right w:w="28" w:type="dxa"/>
            </w:tcMar>
            <w:vAlign w:val="center"/>
            <w:hideMark/>
          </w:tcPr>
          <w:p w14:paraId="028D6637"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BGN'000</w:t>
            </w:r>
          </w:p>
        </w:tc>
        <w:tc>
          <w:tcPr>
            <w:tcW w:w="838" w:type="dxa"/>
            <w:tcBorders>
              <w:top w:val="nil"/>
              <w:left w:val="nil"/>
              <w:bottom w:val="nil"/>
              <w:right w:val="nil"/>
            </w:tcBorders>
            <w:shd w:val="clear" w:color="auto" w:fill="auto"/>
            <w:noWrap/>
            <w:tcMar>
              <w:left w:w="28" w:type="dxa"/>
              <w:right w:w="28" w:type="dxa"/>
            </w:tcMar>
            <w:vAlign w:val="center"/>
            <w:hideMark/>
          </w:tcPr>
          <w:p w14:paraId="0596FC3D"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BGN'000</w:t>
            </w:r>
          </w:p>
        </w:tc>
        <w:tc>
          <w:tcPr>
            <w:tcW w:w="862" w:type="dxa"/>
            <w:tcBorders>
              <w:top w:val="nil"/>
              <w:left w:val="nil"/>
              <w:bottom w:val="nil"/>
              <w:right w:val="nil"/>
            </w:tcBorders>
            <w:shd w:val="clear" w:color="auto" w:fill="auto"/>
            <w:noWrap/>
            <w:tcMar>
              <w:left w:w="28" w:type="dxa"/>
              <w:right w:w="28" w:type="dxa"/>
            </w:tcMar>
            <w:vAlign w:val="center"/>
            <w:hideMark/>
          </w:tcPr>
          <w:p w14:paraId="0C5762BE"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BGN'000</w:t>
            </w:r>
          </w:p>
        </w:tc>
        <w:tc>
          <w:tcPr>
            <w:tcW w:w="836" w:type="dxa"/>
            <w:tcBorders>
              <w:top w:val="nil"/>
              <w:left w:val="nil"/>
              <w:bottom w:val="nil"/>
              <w:right w:val="nil"/>
            </w:tcBorders>
            <w:shd w:val="clear" w:color="auto" w:fill="auto"/>
            <w:noWrap/>
            <w:tcMar>
              <w:left w:w="28" w:type="dxa"/>
              <w:right w:w="28" w:type="dxa"/>
            </w:tcMar>
            <w:vAlign w:val="center"/>
            <w:hideMark/>
          </w:tcPr>
          <w:p w14:paraId="0F73CE6F"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BGN'000</w:t>
            </w:r>
          </w:p>
        </w:tc>
        <w:tc>
          <w:tcPr>
            <w:tcW w:w="865" w:type="dxa"/>
            <w:tcBorders>
              <w:top w:val="nil"/>
              <w:left w:val="nil"/>
              <w:bottom w:val="nil"/>
              <w:right w:val="nil"/>
            </w:tcBorders>
            <w:shd w:val="clear" w:color="auto" w:fill="auto"/>
            <w:noWrap/>
            <w:tcMar>
              <w:left w:w="28" w:type="dxa"/>
              <w:right w:w="28" w:type="dxa"/>
            </w:tcMar>
            <w:vAlign w:val="center"/>
            <w:hideMark/>
          </w:tcPr>
          <w:p w14:paraId="68C3447A"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BGN'000</w:t>
            </w:r>
          </w:p>
        </w:tc>
        <w:tc>
          <w:tcPr>
            <w:tcW w:w="850" w:type="dxa"/>
            <w:tcBorders>
              <w:top w:val="nil"/>
              <w:left w:val="nil"/>
              <w:bottom w:val="nil"/>
              <w:right w:val="nil"/>
            </w:tcBorders>
            <w:shd w:val="clear" w:color="auto" w:fill="auto"/>
            <w:noWrap/>
            <w:tcMar>
              <w:left w:w="28" w:type="dxa"/>
              <w:right w:w="28" w:type="dxa"/>
            </w:tcMar>
            <w:vAlign w:val="center"/>
            <w:hideMark/>
          </w:tcPr>
          <w:p w14:paraId="2626F28F"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BGN'000</w:t>
            </w:r>
          </w:p>
        </w:tc>
        <w:tc>
          <w:tcPr>
            <w:tcW w:w="851" w:type="dxa"/>
            <w:tcBorders>
              <w:top w:val="nil"/>
              <w:left w:val="nil"/>
              <w:bottom w:val="nil"/>
              <w:right w:val="nil"/>
            </w:tcBorders>
            <w:shd w:val="clear" w:color="auto" w:fill="auto"/>
            <w:noWrap/>
            <w:tcMar>
              <w:left w:w="28" w:type="dxa"/>
              <w:right w:w="28" w:type="dxa"/>
            </w:tcMar>
            <w:vAlign w:val="center"/>
            <w:hideMark/>
          </w:tcPr>
          <w:p w14:paraId="3F34238D"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BGN'000</w:t>
            </w:r>
          </w:p>
        </w:tc>
        <w:tc>
          <w:tcPr>
            <w:tcW w:w="850" w:type="dxa"/>
            <w:tcBorders>
              <w:top w:val="nil"/>
              <w:left w:val="nil"/>
              <w:bottom w:val="nil"/>
              <w:right w:val="nil"/>
            </w:tcBorders>
            <w:shd w:val="clear" w:color="auto" w:fill="auto"/>
            <w:noWrap/>
            <w:tcMar>
              <w:left w:w="28" w:type="dxa"/>
              <w:right w:w="28" w:type="dxa"/>
            </w:tcMar>
            <w:vAlign w:val="center"/>
            <w:hideMark/>
          </w:tcPr>
          <w:p w14:paraId="4E44BCA0" w14:textId="77777777" w:rsidR="0084445A" w:rsidRPr="00833465" w:rsidRDefault="0084445A" w:rsidP="006661FC">
            <w:pPr>
              <w:pStyle w:val="a1"/>
              <w:widowControl w:val="0"/>
              <w:rPr>
                <w:rFonts w:asciiTheme="minorHAnsi" w:hAnsiTheme="minorHAnsi" w:cstheme="minorHAnsi"/>
                <w:color w:val="auto"/>
                <w:sz w:val="18"/>
                <w:szCs w:val="18"/>
              </w:rPr>
            </w:pPr>
            <w:r w:rsidRPr="00833465">
              <w:rPr>
                <w:rFonts w:asciiTheme="minorHAnsi" w:hAnsiTheme="minorHAnsi" w:cstheme="minorHAnsi"/>
                <w:color w:val="auto"/>
                <w:sz w:val="18"/>
                <w:szCs w:val="18"/>
              </w:rPr>
              <w:t>BGN'000</w:t>
            </w:r>
          </w:p>
        </w:tc>
      </w:tr>
      <w:tr w:rsidR="0084445A" w:rsidRPr="00833465" w14:paraId="7CFA14EB"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center"/>
            <w:hideMark/>
          </w:tcPr>
          <w:p w14:paraId="67F27E05" w14:textId="77777777" w:rsidR="0084445A" w:rsidRPr="00833465" w:rsidRDefault="0084445A" w:rsidP="006661FC">
            <w:pPr>
              <w:pStyle w:val="a"/>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Салдо на 1 януари</w:t>
            </w:r>
          </w:p>
        </w:tc>
        <w:tc>
          <w:tcPr>
            <w:tcW w:w="856" w:type="dxa"/>
            <w:tcBorders>
              <w:top w:val="nil"/>
              <w:left w:val="nil"/>
              <w:bottom w:val="nil"/>
              <w:right w:val="nil"/>
            </w:tcBorders>
            <w:shd w:val="clear" w:color="auto" w:fill="auto"/>
            <w:tcMar>
              <w:left w:w="28" w:type="dxa"/>
              <w:right w:w="28" w:type="dxa"/>
            </w:tcMar>
            <w:vAlign w:val="bottom"/>
            <w:hideMark/>
          </w:tcPr>
          <w:p w14:paraId="5CD96280"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1,651</w:t>
            </w:r>
          </w:p>
        </w:tc>
        <w:tc>
          <w:tcPr>
            <w:tcW w:w="851" w:type="dxa"/>
            <w:tcBorders>
              <w:top w:val="nil"/>
              <w:left w:val="nil"/>
              <w:bottom w:val="nil"/>
              <w:right w:val="nil"/>
            </w:tcBorders>
            <w:shd w:val="clear" w:color="auto" w:fill="auto"/>
            <w:tcMar>
              <w:left w:w="28" w:type="dxa"/>
              <w:right w:w="28" w:type="dxa"/>
            </w:tcMar>
            <w:vAlign w:val="bottom"/>
            <w:hideMark/>
          </w:tcPr>
          <w:p w14:paraId="1AA4BCCB" w14:textId="77777777" w:rsidR="0084445A" w:rsidRPr="00833465" w:rsidRDefault="0084445A" w:rsidP="006661FC">
            <w:pPr>
              <w:pStyle w:val="a0"/>
              <w:widowControl w:val="0"/>
              <w:rPr>
                <w:rFonts w:asciiTheme="minorHAnsi" w:hAnsiTheme="minorHAnsi" w:cstheme="minorHAnsi"/>
                <w:b/>
                <w:bCs/>
                <w:szCs w:val="20"/>
              </w:rPr>
            </w:pPr>
            <w:r w:rsidRPr="00833465">
              <w:rPr>
                <w:rFonts w:asciiTheme="minorHAnsi" w:hAnsiTheme="minorHAnsi" w:cstheme="minorHAnsi"/>
                <w:b/>
                <w:szCs w:val="20"/>
              </w:rPr>
              <w:t>1,651</w:t>
            </w:r>
          </w:p>
        </w:tc>
        <w:tc>
          <w:tcPr>
            <w:tcW w:w="851" w:type="dxa"/>
            <w:tcBorders>
              <w:top w:val="nil"/>
              <w:left w:val="nil"/>
              <w:bottom w:val="nil"/>
              <w:right w:val="nil"/>
            </w:tcBorders>
            <w:shd w:val="clear" w:color="auto" w:fill="auto"/>
            <w:tcMar>
              <w:left w:w="28" w:type="dxa"/>
              <w:right w:w="28" w:type="dxa"/>
            </w:tcMar>
            <w:vAlign w:val="bottom"/>
            <w:hideMark/>
          </w:tcPr>
          <w:p w14:paraId="3CEB67A0"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642</w:t>
            </w:r>
          </w:p>
        </w:tc>
        <w:tc>
          <w:tcPr>
            <w:tcW w:w="838" w:type="dxa"/>
            <w:tcBorders>
              <w:top w:val="nil"/>
              <w:left w:val="nil"/>
              <w:bottom w:val="nil"/>
              <w:right w:val="nil"/>
            </w:tcBorders>
            <w:shd w:val="clear" w:color="auto" w:fill="auto"/>
            <w:tcMar>
              <w:left w:w="28" w:type="dxa"/>
              <w:right w:w="28" w:type="dxa"/>
            </w:tcMar>
            <w:vAlign w:val="bottom"/>
            <w:hideMark/>
          </w:tcPr>
          <w:p w14:paraId="2DF34197"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642</w:t>
            </w:r>
          </w:p>
        </w:tc>
        <w:tc>
          <w:tcPr>
            <w:tcW w:w="862" w:type="dxa"/>
            <w:tcBorders>
              <w:top w:val="nil"/>
              <w:left w:val="nil"/>
              <w:bottom w:val="nil"/>
              <w:right w:val="nil"/>
            </w:tcBorders>
            <w:shd w:val="clear" w:color="auto" w:fill="auto"/>
            <w:tcMar>
              <w:left w:w="28" w:type="dxa"/>
              <w:right w:w="28" w:type="dxa"/>
            </w:tcMar>
            <w:vAlign w:val="bottom"/>
            <w:hideMark/>
          </w:tcPr>
          <w:p w14:paraId="6827F6E0"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103</w:t>
            </w:r>
          </w:p>
        </w:tc>
        <w:tc>
          <w:tcPr>
            <w:tcW w:w="836" w:type="dxa"/>
            <w:tcBorders>
              <w:top w:val="nil"/>
              <w:left w:val="nil"/>
              <w:bottom w:val="nil"/>
              <w:right w:val="nil"/>
            </w:tcBorders>
            <w:shd w:val="clear" w:color="auto" w:fill="auto"/>
            <w:tcMar>
              <w:left w:w="28" w:type="dxa"/>
              <w:right w:w="28" w:type="dxa"/>
            </w:tcMar>
            <w:vAlign w:val="bottom"/>
            <w:hideMark/>
          </w:tcPr>
          <w:p w14:paraId="6036D1FB" w14:textId="77777777" w:rsidR="0084445A" w:rsidRPr="00833465" w:rsidRDefault="0084445A" w:rsidP="006661FC">
            <w:pPr>
              <w:pStyle w:val="a0"/>
              <w:widowControl w:val="0"/>
              <w:rPr>
                <w:rFonts w:asciiTheme="minorHAnsi" w:hAnsiTheme="minorHAnsi" w:cstheme="minorHAnsi"/>
                <w:b/>
                <w:bCs/>
                <w:szCs w:val="20"/>
              </w:rPr>
            </w:pPr>
            <w:r w:rsidRPr="00833465">
              <w:rPr>
                <w:rFonts w:asciiTheme="minorHAnsi" w:hAnsiTheme="minorHAnsi" w:cstheme="minorHAnsi"/>
                <w:b/>
                <w:szCs w:val="20"/>
              </w:rPr>
              <w:t>103</w:t>
            </w:r>
          </w:p>
        </w:tc>
        <w:tc>
          <w:tcPr>
            <w:tcW w:w="865" w:type="dxa"/>
            <w:tcBorders>
              <w:top w:val="nil"/>
              <w:left w:val="nil"/>
              <w:bottom w:val="nil"/>
              <w:right w:val="nil"/>
            </w:tcBorders>
            <w:shd w:val="clear" w:color="auto" w:fill="auto"/>
            <w:tcMar>
              <w:left w:w="28" w:type="dxa"/>
              <w:right w:w="28" w:type="dxa"/>
            </w:tcMar>
            <w:vAlign w:val="bottom"/>
            <w:hideMark/>
          </w:tcPr>
          <w:p w14:paraId="32226586"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240</w:t>
            </w:r>
          </w:p>
        </w:tc>
        <w:tc>
          <w:tcPr>
            <w:tcW w:w="850" w:type="dxa"/>
            <w:tcBorders>
              <w:top w:val="nil"/>
              <w:left w:val="nil"/>
              <w:bottom w:val="nil"/>
              <w:right w:val="nil"/>
            </w:tcBorders>
            <w:shd w:val="clear" w:color="auto" w:fill="auto"/>
            <w:tcMar>
              <w:left w:w="28" w:type="dxa"/>
              <w:right w:w="28" w:type="dxa"/>
            </w:tcMar>
            <w:vAlign w:val="bottom"/>
            <w:hideMark/>
          </w:tcPr>
          <w:p w14:paraId="6C9D8943"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240</w:t>
            </w:r>
          </w:p>
        </w:tc>
        <w:tc>
          <w:tcPr>
            <w:tcW w:w="851" w:type="dxa"/>
            <w:tcBorders>
              <w:top w:val="nil"/>
              <w:left w:val="nil"/>
              <w:bottom w:val="nil"/>
              <w:right w:val="nil"/>
            </w:tcBorders>
            <w:shd w:val="clear" w:color="auto" w:fill="auto"/>
            <w:noWrap/>
            <w:tcMar>
              <w:left w:w="28" w:type="dxa"/>
              <w:right w:w="28" w:type="dxa"/>
            </w:tcMar>
            <w:vAlign w:val="bottom"/>
            <w:hideMark/>
          </w:tcPr>
          <w:p w14:paraId="72A7C965"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2,623</w:t>
            </w:r>
          </w:p>
        </w:tc>
        <w:tc>
          <w:tcPr>
            <w:tcW w:w="850" w:type="dxa"/>
            <w:tcBorders>
              <w:top w:val="nil"/>
              <w:left w:val="nil"/>
              <w:bottom w:val="nil"/>
              <w:right w:val="nil"/>
            </w:tcBorders>
            <w:shd w:val="clear" w:color="auto" w:fill="auto"/>
            <w:tcMar>
              <w:left w:w="28" w:type="dxa"/>
              <w:right w:w="28" w:type="dxa"/>
            </w:tcMar>
            <w:vAlign w:val="bottom"/>
            <w:hideMark/>
          </w:tcPr>
          <w:p w14:paraId="29E623D9"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2,636</w:t>
            </w:r>
          </w:p>
        </w:tc>
      </w:tr>
      <w:tr w:rsidR="0084445A" w:rsidRPr="00833465" w14:paraId="0FB4FBA8"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center"/>
            <w:hideMark/>
          </w:tcPr>
          <w:p w14:paraId="21017A74" w14:textId="77777777" w:rsidR="0084445A" w:rsidRPr="00833465" w:rsidRDefault="0084445A" w:rsidP="006661FC">
            <w:pPr>
              <w:pStyle w:val="a"/>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Придобити</w:t>
            </w:r>
          </w:p>
        </w:tc>
        <w:tc>
          <w:tcPr>
            <w:tcW w:w="856" w:type="dxa"/>
            <w:tcBorders>
              <w:top w:val="nil"/>
              <w:left w:val="nil"/>
              <w:bottom w:val="nil"/>
              <w:right w:val="nil"/>
            </w:tcBorders>
            <w:shd w:val="clear" w:color="auto" w:fill="auto"/>
            <w:tcMar>
              <w:left w:w="28" w:type="dxa"/>
              <w:right w:w="28" w:type="dxa"/>
            </w:tcMar>
            <w:vAlign w:val="bottom"/>
            <w:hideMark/>
          </w:tcPr>
          <w:p w14:paraId="50C36A03"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51" w:type="dxa"/>
            <w:tcBorders>
              <w:top w:val="nil"/>
              <w:left w:val="nil"/>
              <w:bottom w:val="nil"/>
              <w:right w:val="nil"/>
            </w:tcBorders>
            <w:shd w:val="clear" w:color="auto" w:fill="auto"/>
            <w:tcMar>
              <w:left w:w="28" w:type="dxa"/>
              <w:right w:w="28" w:type="dxa"/>
            </w:tcMar>
            <w:vAlign w:val="bottom"/>
            <w:hideMark/>
          </w:tcPr>
          <w:p w14:paraId="73C6E5EE"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w:t>
            </w:r>
          </w:p>
        </w:tc>
        <w:tc>
          <w:tcPr>
            <w:tcW w:w="851" w:type="dxa"/>
            <w:tcBorders>
              <w:top w:val="nil"/>
              <w:left w:val="nil"/>
              <w:bottom w:val="nil"/>
              <w:right w:val="nil"/>
            </w:tcBorders>
            <w:shd w:val="clear" w:color="auto" w:fill="auto"/>
            <w:tcMar>
              <w:left w:w="28" w:type="dxa"/>
              <w:right w:w="28" w:type="dxa"/>
            </w:tcMar>
            <w:vAlign w:val="bottom"/>
            <w:hideMark/>
          </w:tcPr>
          <w:p w14:paraId="306FCA6E" w14:textId="77777777" w:rsidR="0084445A" w:rsidRPr="00833465" w:rsidRDefault="0084445A" w:rsidP="006661FC">
            <w:pPr>
              <w:pStyle w:val="a0"/>
              <w:widowControl w:val="0"/>
              <w:rPr>
                <w:rFonts w:asciiTheme="minorHAnsi" w:hAnsiTheme="minorHAnsi" w:cstheme="minorHAnsi"/>
                <w:szCs w:val="20"/>
                <w:lang w:val="bg-BG"/>
              </w:rPr>
            </w:pPr>
            <w:r w:rsidRPr="00833465">
              <w:rPr>
                <w:rFonts w:asciiTheme="minorHAnsi" w:hAnsiTheme="minorHAnsi" w:cstheme="minorHAnsi"/>
                <w:szCs w:val="20"/>
                <w:lang w:val="bg-BG"/>
              </w:rPr>
              <w:t>44</w:t>
            </w:r>
          </w:p>
        </w:tc>
        <w:tc>
          <w:tcPr>
            <w:tcW w:w="838" w:type="dxa"/>
            <w:tcBorders>
              <w:top w:val="nil"/>
              <w:left w:val="nil"/>
              <w:bottom w:val="nil"/>
              <w:right w:val="nil"/>
            </w:tcBorders>
            <w:shd w:val="clear" w:color="auto" w:fill="auto"/>
            <w:tcMar>
              <w:left w:w="28" w:type="dxa"/>
              <w:right w:w="28" w:type="dxa"/>
            </w:tcMar>
            <w:vAlign w:val="bottom"/>
            <w:hideMark/>
          </w:tcPr>
          <w:p w14:paraId="4BB5B840"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6</w:t>
            </w:r>
          </w:p>
        </w:tc>
        <w:tc>
          <w:tcPr>
            <w:tcW w:w="862" w:type="dxa"/>
            <w:tcBorders>
              <w:top w:val="nil"/>
              <w:left w:val="nil"/>
              <w:bottom w:val="nil"/>
              <w:right w:val="nil"/>
            </w:tcBorders>
            <w:shd w:val="clear" w:color="auto" w:fill="auto"/>
            <w:tcMar>
              <w:left w:w="28" w:type="dxa"/>
              <w:right w:w="28" w:type="dxa"/>
            </w:tcMar>
            <w:vAlign w:val="bottom"/>
            <w:hideMark/>
          </w:tcPr>
          <w:p w14:paraId="156A445F"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36" w:type="dxa"/>
            <w:tcBorders>
              <w:top w:val="nil"/>
              <w:left w:val="nil"/>
              <w:bottom w:val="nil"/>
              <w:right w:val="nil"/>
            </w:tcBorders>
            <w:shd w:val="clear" w:color="auto" w:fill="auto"/>
            <w:tcMar>
              <w:left w:w="28" w:type="dxa"/>
              <w:right w:w="28" w:type="dxa"/>
            </w:tcMar>
            <w:vAlign w:val="bottom"/>
            <w:hideMark/>
          </w:tcPr>
          <w:p w14:paraId="28CDB12D"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w:t>
            </w:r>
          </w:p>
        </w:tc>
        <w:tc>
          <w:tcPr>
            <w:tcW w:w="865" w:type="dxa"/>
            <w:tcBorders>
              <w:top w:val="nil"/>
              <w:left w:val="nil"/>
              <w:bottom w:val="nil"/>
              <w:right w:val="nil"/>
            </w:tcBorders>
            <w:shd w:val="clear" w:color="auto" w:fill="auto"/>
            <w:tcMar>
              <w:left w:w="28" w:type="dxa"/>
              <w:right w:w="28" w:type="dxa"/>
            </w:tcMar>
            <w:vAlign w:val="bottom"/>
            <w:hideMark/>
          </w:tcPr>
          <w:p w14:paraId="7612DBD1"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50" w:type="dxa"/>
            <w:tcBorders>
              <w:top w:val="nil"/>
              <w:left w:val="nil"/>
              <w:bottom w:val="nil"/>
              <w:right w:val="nil"/>
            </w:tcBorders>
            <w:shd w:val="clear" w:color="auto" w:fill="auto"/>
            <w:tcMar>
              <w:left w:w="28" w:type="dxa"/>
              <w:right w:w="28" w:type="dxa"/>
            </w:tcMar>
            <w:vAlign w:val="bottom"/>
            <w:hideMark/>
          </w:tcPr>
          <w:p w14:paraId="4C87E446"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51" w:type="dxa"/>
            <w:tcBorders>
              <w:top w:val="nil"/>
              <w:left w:val="nil"/>
              <w:bottom w:val="nil"/>
              <w:right w:val="nil"/>
            </w:tcBorders>
            <w:shd w:val="clear" w:color="auto" w:fill="auto"/>
            <w:noWrap/>
            <w:tcMar>
              <w:left w:w="28" w:type="dxa"/>
              <w:right w:w="28" w:type="dxa"/>
            </w:tcMar>
            <w:vAlign w:val="bottom"/>
            <w:hideMark/>
          </w:tcPr>
          <w:p w14:paraId="144D3B4E" w14:textId="77777777" w:rsidR="0084445A" w:rsidRPr="00833465" w:rsidRDefault="0084445A" w:rsidP="006661FC">
            <w:pPr>
              <w:pStyle w:val="a0"/>
              <w:widowControl w:val="0"/>
              <w:rPr>
                <w:rFonts w:asciiTheme="minorHAnsi" w:hAnsiTheme="minorHAnsi" w:cstheme="minorHAnsi"/>
                <w:szCs w:val="20"/>
                <w:lang w:val="bg-BG"/>
              </w:rPr>
            </w:pPr>
            <w:r w:rsidRPr="00833465">
              <w:rPr>
                <w:rFonts w:asciiTheme="minorHAnsi" w:hAnsiTheme="minorHAnsi" w:cstheme="minorHAnsi"/>
                <w:szCs w:val="20"/>
                <w:lang w:val="bg-BG"/>
              </w:rPr>
              <w:t>44</w:t>
            </w:r>
          </w:p>
        </w:tc>
        <w:tc>
          <w:tcPr>
            <w:tcW w:w="850" w:type="dxa"/>
            <w:tcBorders>
              <w:top w:val="nil"/>
              <w:left w:val="nil"/>
              <w:bottom w:val="nil"/>
              <w:right w:val="nil"/>
            </w:tcBorders>
            <w:shd w:val="clear" w:color="auto" w:fill="auto"/>
            <w:tcMar>
              <w:left w:w="28" w:type="dxa"/>
              <w:right w:w="28" w:type="dxa"/>
            </w:tcMar>
            <w:vAlign w:val="bottom"/>
            <w:hideMark/>
          </w:tcPr>
          <w:p w14:paraId="71E8EC0F"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6</w:t>
            </w:r>
          </w:p>
        </w:tc>
      </w:tr>
      <w:tr w:rsidR="0084445A" w:rsidRPr="00833465" w14:paraId="623948DF"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center"/>
            <w:hideMark/>
          </w:tcPr>
          <w:p w14:paraId="2D27076B" w14:textId="77777777" w:rsidR="0084445A" w:rsidRPr="00833465" w:rsidRDefault="0084445A" w:rsidP="006661FC">
            <w:pPr>
              <w:pStyle w:val="a"/>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Отписани</w:t>
            </w:r>
          </w:p>
        </w:tc>
        <w:tc>
          <w:tcPr>
            <w:tcW w:w="856" w:type="dxa"/>
            <w:tcBorders>
              <w:top w:val="nil"/>
              <w:left w:val="nil"/>
              <w:bottom w:val="nil"/>
              <w:right w:val="nil"/>
            </w:tcBorders>
            <w:shd w:val="clear" w:color="auto" w:fill="auto"/>
            <w:tcMar>
              <w:left w:w="28" w:type="dxa"/>
              <w:right w:w="28" w:type="dxa"/>
            </w:tcMar>
            <w:vAlign w:val="bottom"/>
            <w:hideMark/>
          </w:tcPr>
          <w:p w14:paraId="4D544DDD"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51" w:type="dxa"/>
            <w:tcBorders>
              <w:top w:val="nil"/>
              <w:left w:val="nil"/>
              <w:bottom w:val="nil"/>
              <w:right w:val="nil"/>
            </w:tcBorders>
            <w:shd w:val="clear" w:color="auto" w:fill="auto"/>
            <w:tcMar>
              <w:left w:w="28" w:type="dxa"/>
              <w:right w:w="28" w:type="dxa"/>
            </w:tcMar>
            <w:vAlign w:val="bottom"/>
            <w:hideMark/>
          </w:tcPr>
          <w:p w14:paraId="363C07C1"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51" w:type="dxa"/>
            <w:tcBorders>
              <w:top w:val="nil"/>
              <w:left w:val="nil"/>
              <w:bottom w:val="nil"/>
              <w:right w:val="nil"/>
            </w:tcBorders>
            <w:shd w:val="clear" w:color="auto" w:fill="auto"/>
            <w:tcMar>
              <w:left w:w="28" w:type="dxa"/>
              <w:right w:w="28" w:type="dxa"/>
            </w:tcMar>
            <w:vAlign w:val="bottom"/>
            <w:hideMark/>
          </w:tcPr>
          <w:p w14:paraId="3802433E"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38" w:type="dxa"/>
            <w:tcBorders>
              <w:top w:val="nil"/>
              <w:left w:val="nil"/>
              <w:bottom w:val="nil"/>
              <w:right w:val="nil"/>
            </w:tcBorders>
            <w:shd w:val="clear" w:color="auto" w:fill="auto"/>
            <w:tcMar>
              <w:left w:w="28" w:type="dxa"/>
              <w:right w:w="28" w:type="dxa"/>
            </w:tcMar>
            <w:vAlign w:val="bottom"/>
            <w:hideMark/>
          </w:tcPr>
          <w:p w14:paraId="49DA69FB"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(19)</w:t>
            </w:r>
          </w:p>
        </w:tc>
        <w:tc>
          <w:tcPr>
            <w:tcW w:w="862" w:type="dxa"/>
            <w:tcBorders>
              <w:top w:val="nil"/>
              <w:left w:val="nil"/>
              <w:bottom w:val="nil"/>
              <w:right w:val="nil"/>
            </w:tcBorders>
            <w:shd w:val="clear" w:color="auto" w:fill="auto"/>
            <w:tcMar>
              <w:left w:w="28" w:type="dxa"/>
              <w:right w:w="28" w:type="dxa"/>
            </w:tcMar>
            <w:vAlign w:val="bottom"/>
            <w:hideMark/>
          </w:tcPr>
          <w:p w14:paraId="5B208E76"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36" w:type="dxa"/>
            <w:tcBorders>
              <w:top w:val="nil"/>
              <w:left w:val="nil"/>
              <w:bottom w:val="nil"/>
              <w:right w:val="nil"/>
            </w:tcBorders>
            <w:shd w:val="clear" w:color="auto" w:fill="auto"/>
            <w:tcMar>
              <w:left w:w="28" w:type="dxa"/>
              <w:right w:w="28" w:type="dxa"/>
            </w:tcMar>
            <w:vAlign w:val="bottom"/>
            <w:hideMark/>
          </w:tcPr>
          <w:p w14:paraId="0B061B43"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w:t>
            </w:r>
          </w:p>
        </w:tc>
        <w:tc>
          <w:tcPr>
            <w:tcW w:w="865" w:type="dxa"/>
            <w:tcBorders>
              <w:top w:val="nil"/>
              <w:left w:val="nil"/>
              <w:bottom w:val="nil"/>
              <w:right w:val="nil"/>
            </w:tcBorders>
            <w:shd w:val="clear" w:color="auto" w:fill="auto"/>
            <w:tcMar>
              <w:left w:w="28" w:type="dxa"/>
              <w:right w:w="28" w:type="dxa"/>
            </w:tcMar>
            <w:vAlign w:val="bottom"/>
            <w:hideMark/>
          </w:tcPr>
          <w:p w14:paraId="04509D61"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50" w:type="dxa"/>
            <w:tcBorders>
              <w:top w:val="nil"/>
              <w:left w:val="nil"/>
              <w:bottom w:val="nil"/>
              <w:right w:val="nil"/>
            </w:tcBorders>
            <w:shd w:val="clear" w:color="auto" w:fill="auto"/>
            <w:tcMar>
              <w:left w:w="28" w:type="dxa"/>
              <w:right w:w="28" w:type="dxa"/>
            </w:tcMar>
            <w:vAlign w:val="bottom"/>
            <w:hideMark/>
          </w:tcPr>
          <w:p w14:paraId="23B24305"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w:t>
            </w:r>
          </w:p>
        </w:tc>
        <w:tc>
          <w:tcPr>
            <w:tcW w:w="851" w:type="dxa"/>
            <w:tcBorders>
              <w:top w:val="nil"/>
              <w:left w:val="nil"/>
              <w:bottom w:val="nil"/>
              <w:right w:val="nil"/>
            </w:tcBorders>
            <w:shd w:val="clear" w:color="auto" w:fill="auto"/>
            <w:noWrap/>
            <w:tcMar>
              <w:left w:w="28" w:type="dxa"/>
              <w:right w:w="28" w:type="dxa"/>
            </w:tcMar>
            <w:vAlign w:val="bottom"/>
            <w:hideMark/>
          </w:tcPr>
          <w:p w14:paraId="08C1D3D0"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50" w:type="dxa"/>
            <w:tcBorders>
              <w:top w:val="nil"/>
              <w:left w:val="nil"/>
              <w:bottom w:val="nil"/>
              <w:right w:val="nil"/>
            </w:tcBorders>
            <w:shd w:val="clear" w:color="auto" w:fill="auto"/>
            <w:tcMar>
              <w:left w:w="28" w:type="dxa"/>
              <w:right w:w="28" w:type="dxa"/>
            </w:tcMar>
            <w:vAlign w:val="bottom"/>
            <w:hideMark/>
          </w:tcPr>
          <w:p w14:paraId="0EE7807F"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(19)</w:t>
            </w:r>
          </w:p>
        </w:tc>
      </w:tr>
      <w:tr w:rsidR="0084445A" w:rsidRPr="00833465" w14:paraId="197FCB27"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center"/>
            <w:hideMark/>
          </w:tcPr>
          <w:p w14:paraId="4AAD90D1" w14:textId="53A44BA1" w:rsidR="0084445A" w:rsidRPr="00833465" w:rsidRDefault="0084445A" w:rsidP="006661FC">
            <w:pPr>
              <w:pStyle w:val="a"/>
              <w:rPr>
                <w:rFonts w:asciiTheme="minorHAnsi" w:hAnsiTheme="minorHAnsi" w:cstheme="minorHAnsi"/>
                <w:b/>
                <w:color w:val="auto"/>
                <w:sz w:val="18"/>
                <w:szCs w:val="18"/>
                <w:lang w:val="bg-BG"/>
              </w:rPr>
            </w:pPr>
            <w:r w:rsidRPr="00833465">
              <w:rPr>
                <w:rFonts w:asciiTheme="minorHAnsi" w:hAnsiTheme="minorHAnsi" w:cstheme="minorHAnsi"/>
                <w:b/>
                <w:color w:val="auto"/>
                <w:sz w:val="18"/>
                <w:szCs w:val="18"/>
                <w:lang w:val="bg-BG"/>
              </w:rPr>
              <w:t>Салдо на</w:t>
            </w:r>
            <w:r w:rsidR="00FD518A" w:rsidRPr="00833465">
              <w:rPr>
                <w:rFonts w:asciiTheme="minorHAnsi" w:hAnsiTheme="minorHAnsi" w:cstheme="minorHAnsi"/>
                <w:b/>
                <w:color w:val="auto"/>
                <w:sz w:val="18"/>
                <w:szCs w:val="18"/>
                <w:lang w:val="bg-BG"/>
              </w:rPr>
              <w:t xml:space="preserve"> </w:t>
            </w:r>
            <w:r w:rsidRPr="00833465">
              <w:rPr>
                <w:rFonts w:asciiTheme="minorHAnsi" w:hAnsiTheme="minorHAnsi" w:cstheme="minorHAnsi"/>
                <w:b/>
                <w:color w:val="auto"/>
                <w:sz w:val="18"/>
                <w:szCs w:val="18"/>
                <w:lang w:val="bg-BG"/>
              </w:rPr>
              <w:t>31 декември</w:t>
            </w:r>
          </w:p>
        </w:tc>
        <w:tc>
          <w:tcPr>
            <w:tcW w:w="856"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7F997ACA"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1,651</w:t>
            </w:r>
          </w:p>
        </w:tc>
        <w:tc>
          <w:tcPr>
            <w:tcW w:w="851"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3E08818F" w14:textId="77777777" w:rsidR="0084445A" w:rsidRPr="00833465" w:rsidRDefault="0084445A" w:rsidP="006661FC">
            <w:pPr>
              <w:pStyle w:val="a0"/>
              <w:widowControl w:val="0"/>
              <w:rPr>
                <w:rFonts w:asciiTheme="minorHAnsi" w:hAnsiTheme="minorHAnsi" w:cstheme="minorHAnsi"/>
                <w:b/>
                <w:bCs/>
                <w:szCs w:val="20"/>
              </w:rPr>
            </w:pPr>
            <w:r w:rsidRPr="00833465">
              <w:rPr>
                <w:rFonts w:asciiTheme="minorHAnsi" w:hAnsiTheme="minorHAnsi" w:cstheme="minorHAnsi"/>
                <w:b/>
                <w:szCs w:val="20"/>
              </w:rPr>
              <w:t>1,651</w:t>
            </w:r>
          </w:p>
        </w:tc>
        <w:tc>
          <w:tcPr>
            <w:tcW w:w="851"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675F0D42" w14:textId="77777777" w:rsidR="0084445A" w:rsidRPr="00833465" w:rsidRDefault="0084445A" w:rsidP="006661FC">
            <w:pPr>
              <w:pStyle w:val="a0"/>
              <w:widowControl w:val="0"/>
              <w:rPr>
                <w:rFonts w:asciiTheme="minorHAnsi" w:hAnsiTheme="minorHAnsi" w:cstheme="minorHAnsi"/>
                <w:b/>
                <w:szCs w:val="20"/>
                <w:lang w:val="bg-BG"/>
              </w:rPr>
            </w:pPr>
            <w:r w:rsidRPr="00833465">
              <w:rPr>
                <w:rFonts w:asciiTheme="minorHAnsi" w:hAnsiTheme="minorHAnsi" w:cstheme="minorHAnsi"/>
                <w:b/>
                <w:szCs w:val="20"/>
                <w:lang w:val="bg-BG"/>
              </w:rPr>
              <w:t>673</w:t>
            </w:r>
          </w:p>
        </w:tc>
        <w:tc>
          <w:tcPr>
            <w:tcW w:w="838"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448C93AA"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642</w:t>
            </w:r>
          </w:p>
        </w:tc>
        <w:tc>
          <w:tcPr>
            <w:tcW w:w="862"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6009AFCE"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103</w:t>
            </w:r>
          </w:p>
        </w:tc>
        <w:tc>
          <w:tcPr>
            <w:tcW w:w="836"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6EAA63E0" w14:textId="77777777" w:rsidR="0084445A" w:rsidRPr="00833465" w:rsidRDefault="0084445A" w:rsidP="006661FC">
            <w:pPr>
              <w:pStyle w:val="a0"/>
              <w:widowControl w:val="0"/>
              <w:rPr>
                <w:rFonts w:asciiTheme="minorHAnsi" w:hAnsiTheme="minorHAnsi" w:cstheme="minorHAnsi"/>
                <w:b/>
                <w:bCs/>
                <w:szCs w:val="20"/>
              </w:rPr>
            </w:pPr>
            <w:r w:rsidRPr="00833465">
              <w:rPr>
                <w:rFonts w:asciiTheme="minorHAnsi" w:hAnsiTheme="minorHAnsi" w:cstheme="minorHAnsi"/>
                <w:b/>
                <w:szCs w:val="20"/>
              </w:rPr>
              <w:t>103</w:t>
            </w:r>
          </w:p>
        </w:tc>
        <w:tc>
          <w:tcPr>
            <w:tcW w:w="865"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19C673C0"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240</w:t>
            </w:r>
          </w:p>
        </w:tc>
        <w:tc>
          <w:tcPr>
            <w:tcW w:w="850"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6D534B76" w14:textId="77777777" w:rsidR="0084445A" w:rsidRPr="00833465" w:rsidRDefault="0084445A" w:rsidP="006661FC">
            <w:pPr>
              <w:pStyle w:val="a0"/>
              <w:widowControl w:val="0"/>
              <w:rPr>
                <w:rFonts w:asciiTheme="minorHAnsi" w:hAnsiTheme="minorHAnsi" w:cstheme="minorHAnsi"/>
                <w:b/>
                <w:bCs/>
                <w:szCs w:val="20"/>
              </w:rPr>
            </w:pPr>
            <w:r w:rsidRPr="00833465">
              <w:rPr>
                <w:rFonts w:asciiTheme="minorHAnsi" w:hAnsiTheme="minorHAnsi" w:cstheme="minorHAnsi"/>
                <w:b/>
                <w:szCs w:val="20"/>
              </w:rPr>
              <w:t>240</w:t>
            </w:r>
          </w:p>
        </w:tc>
        <w:tc>
          <w:tcPr>
            <w:tcW w:w="851" w:type="dxa"/>
            <w:tcBorders>
              <w:top w:val="single" w:sz="8" w:space="0" w:color="auto"/>
              <w:left w:val="nil"/>
              <w:bottom w:val="single" w:sz="8" w:space="0" w:color="auto"/>
              <w:right w:val="nil"/>
            </w:tcBorders>
            <w:shd w:val="clear" w:color="auto" w:fill="auto"/>
            <w:noWrap/>
            <w:tcMar>
              <w:left w:w="28" w:type="dxa"/>
              <w:right w:w="28" w:type="dxa"/>
            </w:tcMar>
            <w:vAlign w:val="bottom"/>
            <w:hideMark/>
          </w:tcPr>
          <w:p w14:paraId="2F82EF58" w14:textId="77777777" w:rsidR="0084445A" w:rsidRPr="00833465" w:rsidRDefault="0084445A" w:rsidP="006661FC">
            <w:pPr>
              <w:pStyle w:val="a0"/>
              <w:widowControl w:val="0"/>
              <w:rPr>
                <w:rFonts w:asciiTheme="minorHAnsi" w:hAnsiTheme="minorHAnsi" w:cstheme="minorHAnsi"/>
                <w:b/>
                <w:szCs w:val="20"/>
                <w:lang w:val="bg-BG"/>
              </w:rPr>
            </w:pPr>
            <w:r w:rsidRPr="00833465">
              <w:rPr>
                <w:rFonts w:asciiTheme="minorHAnsi" w:hAnsiTheme="minorHAnsi" w:cstheme="minorHAnsi"/>
                <w:b/>
                <w:szCs w:val="20"/>
                <w:lang w:val="bg-BG"/>
              </w:rPr>
              <w:t>2,667</w:t>
            </w:r>
          </w:p>
        </w:tc>
        <w:tc>
          <w:tcPr>
            <w:tcW w:w="850"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4D24D803"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2,623</w:t>
            </w:r>
          </w:p>
        </w:tc>
      </w:tr>
      <w:tr w:rsidR="0084445A" w:rsidRPr="00833465" w14:paraId="171539E2" w14:textId="77777777" w:rsidTr="006661FC">
        <w:trPr>
          <w:trHeight w:val="170"/>
          <w:jc w:val="center"/>
        </w:trPr>
        <w:tc>
          <w:tcPr>
            <w:tcW w:w="2127" w:type="dxa"/>
            <w:tcBorders>
              <w:top w:val="nil"/>
              <w:left w:val="nil"/>
              <w:bottom w:val="nil"/>
              <w:right w:val="nil"/>
            </w:tcBorders>
            <w:shd w:val="clear" w:color="auto" w:fill="auto"/>
            <w:noWrap/>
            <w:tcMar>
              <w:left w:w="28" w:type="dxa"/>
              <w:right w:w="28" w:type="dxa"/>
            </w:tcMar>
            <w:vAlign w:val="center"/>
            <w:hideMark/>
          </w:tcPr>
          <w:p w14:paraId="56A14566" w14:textId="77777777" w:rsidR="0084445A" w:rsidRPr="00833465" w:rsidRDefault="0084445A" w:rsidP="006661FC">
            <w:pPr>
              <w:pStyle w:val="a"/>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Натрупана амортизация</w:t>
            </w:r>
          </w:p>
        </w:tc>
        <w:tc>
          <w:tcPr>
            <w:tcW w:w="856" w:type="dxa"/>
            <w:tcBorders>
              <w:top w:val="nil"/>
              <w:left w:val="nil"/>
              <w:bottom w:val="nil"/>
              <w:right w:val="nil"/>
            </w:tcBorders>
            <w:shd w:val="clear" w:color="auto" w:fill="auto"/>
            <w:noWrap/>
            <w:tcMar>
              <w:left w:w="28" w:type="dxa"/>
              <w:right w:w="28" w:type="dxa"/>
            </w:tcMar>
            <w:vAlign w:val="bottom"/>
            <w:hideMark/>
          </w:tcPr>
          <w:p w14:paraId="03F036AC" w14:textId="77777777" w:rsidR="0084445A" w:rsidRPr="00833465" w:rsidRDefault="0084445A" w:rsidP="006661FC">
            <w:pPr>
              <w:pStyle w:val="a0"/>
              <w:rPr>
                <w:rFonts w:asciiTheme="minorHAnsi" w:hAnsiTheme="minorHAnsi" w:cstheme="minorHAnsi"/>
                <w:szCs w:val="20"/>
              </w:rPr>
            </w:pPr>
          </w:p>
        </w:tc>
        <w:tc>
          <w:tcPr>
            <w:tcW w:w="851" w:type="dxa"/>
            <w:tcBorders>
              <w:top w:val="nil"/>
              <w:left w:val="nil"/>
              <w:bottom w:val="nil"/>
              <w:right w:val="nil"/>
            </w:tcBorders>
            <w:shd w:val="clear" w:color="auto" w:fill="auto"/>
            <w:noWrap/>
            <w:tcMar>
              <w:left w:w="28" w:type="dxa"/>
              <w:right w:w="28" w:type="dxa"/>
            </w:tcMar>
            <w:vAlign w:val="bottom"/>
            <w:hideMark/>
          </w:tcPr>
          <w:p w14:paraId="316E0514" w14:textId="77777777" w:rsidR="0084445A" w:rsidRPr="00833465" w:rsidRDefault="0084445A" w:rsidP="006661FC">
            <w:pPr>
              <w:pStyle w:val="a0"/>
              <w:rPr>
                <w:rFonts w:asciiTheme="minorHAnsi" w:hAnsiTheme="minorHAnsi" w:cstheme="minorHAnsi"/>
                <w:bCs/>
                <w:szCs w:val="20"/>
              </w:rPr>
            </w:pPr>
          </w:p>
        </w:tc>
        <w:tc>
          <w:tcPr>
            <w:tcW w:w="851" w:type="dxa"/>
            <w:tcBorders>
              <w:top w:val="nil"/>
              <w:left w:val="nil"/>
              <w:bottom w:val="nil"/>
              <w:right w:val="nil"/>
            </w:tcBorders>
            <w:shd w:val="clear" w:color="auto" w:fill="auto"/>
            <w:noWrap/>
            <w:tcMar>
              <w:left w:w="28" w:type="dxa"/>
              <w:right w:w="28" w:type="dxa"/>
            </w:tcMar>
            <w:vAlign w:val="bottom"/>
            <w:hideMark/>
          </w:tcPr>
          <w:p w14:paraId="64C5AAA1" w14:textId="77777777" w:rsidR="0084445A" w:rsidRPr="00833465" w:rsidRDefault="0084445A" w:rsidP="006661FC">
            <w:pPr>
              <w:pStyle w:val="a0"/>
              <w:rPr>
                <w:rFonts w:asciiTheme="minorHAnsi" w:hAnsiTheme="minorHAnsi" w:cstheme="minorHAnsi"/>
                <w:szCs w:val="20"/>
              </w:rPr>
            </w:pPr>
          </w:p>
        </w:tc>
        <w:tc>
          <w:tcPr>
            <w:tcW w:w="838" w:type="dxa"/>
            <w:tcBorders>
              <w:top w:val="nil"/>
              <w:left w:val="nil"/>
              <w:bottom w:val="nil"/>
              <w:right w:val="nil"/>
            </w:tcBorders>
            <w:shd w:val="clear" w:color="auto" w:fill="auto"/>
            <w:noWrap/>
            <w:tcMar>
              <w:left w:w="28" w:type="dxa"/>
              <w:right w:w="28" w:type="dxa"/>
            </w:tcMar>
            <w:vAlign w:val="bottom"/>
            <w:hideMark/>
          </w:tcPr>
          <w:p w14:paraId="0E2FBE94" w14:textId="77777777" w:rsidR="0084445A" w:rsidRPr="00833465" w:rsidRDefault="0084445A" w:rsidP="006661FC">
            <w:pPr>
              <w:pStyle w:val="a0"/>
              <w:rPr>
                <w:rFonts w:asciiTheme="minorHAnsi" w:hAnsiTheme="minorHAnsi" w:cstheme="minorHAnsi"/>
                <w:bCs/>
                <w:szCs w:val="20"/>
              </w:rPr>
            </w:pPr>
          </w:p>
        </w:tc>
        <w:tc>
          <w:tcPr>
            <w:tcW w:w="862" w:type="dxa"/>
            <w:tcBorders>
              <w:top w:val="nil"/>
              <w:left w:val="nil"/>
              <w:bottom w:val="nil"/>
              <w:right w:val="nil"/>
            </w:tcBorders>
            <w:shd w:val="clear" w:color="auto" w:fill="auto"/>
            <w:noWrap/>
            <w:tcMar>
              <w:left w:w="28" w:type="dxa"/>
              <w:right w:w="28" w:type="dxa"/>
            </w:tcMar>
            <w:vAlign w:val="bottom"/>
            <w:hideMark/>
          </w:tcPr>
          <w:p w14:paraId="58AEF04E" w14:textId="77777777" w:rsidR="0084445A" w:rsidRPr="00833465" w:rsidRDefault="0084445A" w:rsidP="006661FC">
            <w:pPr>
              <w:pStyle w:val="a0"/>
              <w:rPr>
                <w:rFonts w:asciiTheme="minorHAnsi" w:hAnsiTheme="minorHAnsi" w:cstheme="minorHAnsi"/>
                <w:szCs w:val="20"/>
              </w:rPr>
            </w:pPr>
          </w:p>
        </w:tc>
        <w:tc>
          <w:tcPr>
            <w:tcW w:w="836" w:type="dxa"/>
            <w:tcBorders>
              <w:top w:val="nil"/>
              <w:left w:val="nil"/>
              <w:bottom w:val="nil"/>
              <w:right w:val="nil"/>
            </w:tcBorders>
            <w:shd w:val="clear" w:color="auto" w:fill="auto"/>
            <w:noWrap/>
            <w:tcMar>
              <w:left w:w="28" w:type="dxa"/>
              <w:right w:w="28" w:type="dxa"/>
            </w:tcMar>
            <w:vAlign w:val="bottom"/>
            <w:hideMark/>
          </w:tcPr>
          <w:p w14:paraId="4A45D78C" w14:textId="77777777" w:rsidR="0084445A" w:rsidRPr="00833465" w:rsidRDefault="0084445A" w:rsidP="006661FC">
            <w:pPr>
              <w:pStyle w:val="a0"/>
              <w:rPr>
                <w:rFonts w:asciiTheme="minorHAnsi" w:hAnsiTheme="minorHAnsi" w:cstheme="minorHAnsi"/>
                <w:bCs/>
                <w:szCs w:val="20"/>
              </w:rPr>
            </w:pPr>
          </w:p>
        </w:tc>
        <w:tc>
          <w:tcPr>
            <w:tcW w:w="865" w:type="dxa"/>
            <w:tcBorders>
              <w:top w:val="nil"/>
              <w:left w:val="nil"/>
              <w:bottom w:val="nil"/>
              <w:right w:val="nil"/>
            </w:tcBorders>
            <w:shd w:val="clear" w:color="auto" w:fill="auto"/>
            <w:noWrap/>
            <w:tcMar>
              <w:left w:w="28" w:type="dxa"/>
              <w:right w:w="28" w:type="dxa"/>
            </w:tcMar>
            <w:vAlign w:val="bottom"/>
            <w:hideMark/>
          </w:tcPr>
          <w:p w14:paraId="746AEF52" w14:textId="77777777" w:rsidR="0084445A" w:rsidRPr="00833465" w:rsidRDefault="0084445A" w:rsidP="006661FC">
            <w:pPr>
              <w:pStyle w:val="a0"/>
              <w:rPr>
                <w:rFonts w:asciiTheme="minorHAnsi" w:hAnsiTheme="minorHAnsi" w:cstheme="minorHAnsi"/>
                <w:szCs w:val="20"/>
              </w:rPr>
            </w:pPr>
          </w:p>
        </w:tc>
        <w:tc>
          <w:tcPr>
            <w:tcW w:w="850" w:type="dxa"/>
            <w:tcBorders>
              <w:top w:val="nil"/>
              <w:left w:val="nil"/>
              <w:bottom w:val="nil"/>
              <w:right w:val="nil"/>
            </w:tcBorders>
            <w:shd w:val="clear" w:color="auto" w:fill="auto"/>
            <w:noWrap/>
            <w:tcMar>
              <w:left w:w="28" w:type="dxa"/>
              <w:right w:w="28" w:type="dxa"/>
            </w:tcMar>
            <w:vAlign w:val="bottom"/>
            <w:hideMark/>
          </w:tcPr>
          <w:p w14:paraId="456C1859" w14:textId="77777777" w:rsidR="0084445A" w:rsidRPr="00833465" w:rsidRDefault="0084445A" w:rsidP="006661FC">
            <w:pPr>
              <w:pStyle w:val="a0"/>
              <w:rPr>
                <w:rFonts w:asciiTheme="minorHAnsi" w:hAnsiTheme="minorHAnsi" w:cstheme="minorHAnsi"/>
                <w:bCs/>
                <w:szCs w:val="20"/>
              </w:rPr>
            </w:pPr>
          </w:p>
        </w:tc>
        <w:tc>
          <w:tcPr>
            <w:tcW w:w="851" w:type="dxa"/>
            <w:tcBorders>
              <w:top w:val="nil"/>
              <w:left w:val="nil"/>
              <w:bottom w:val="nil"/>
              <w:right w:val="nil"/>
            </w:tcBorders>
            <w:shd w:val="clear" w:color="auto" w:fill="auto"/>
            <w:noWrap/>
            <w:tcMar>
              <w:left w:w="28" w:type="dxa"/>
              <w:right w:w="28" w:type="dxa"/>
            </w:tcMar>
            <w:vAlign w:val="bottom"/>
            <w:hideMark/>
          </w:tcPr>
          <w:p w14:paraId="5EEED609" w14:textId="77777777" w:rsidR="0084445A" w:rsidRPr="00833465" w:rsidRDefault="0084445A" w:rsidP="006661FC">
            <w:pPr>
              <w:pStyle w:val="a0"/>
              <w:rPr>
                <w:rFonts w:asciiTheme="minorHAnsi" w:hAnsiTheme="minorHAnsi" w:cstheme="minorHAnsi"/>
                <w:szCs w:val="20"/>
              </w:rPr>
            </w:pPr>
          </w:p>
        </w:tc>
        <w:tc>
          <w:tcPr>
            <w:tcW w:w="850" w:type="dxa"/>
            <w:tcBorders>
              <w:top w:val="nil"/>
              <w:left w:val="nil"/>
              <w:bottom w:val="nil"/>
              <w:right w:val="nil"/>
            </w:tcBorders>
            <w:shd w:val="clear" w:color="auto" w:fill="auto"/>
            <w:noWrap/>
            <w:tcMar>
              <w:left w:w="28" w:type="dxa"/>
              <w:right w:w="28" w:type="dxa"/>
            </w:tcMar>
            <w:vAlign w:val="bottom"/>
            <w:hideMark/>
          </w:tcPr>
          <w:p w14:paraId="0B9610F5" w14:textId="77777777" w:rsidR="0084445A" w:rsidRPr="00833465" w:rsidRDefault="0084445A" w:rsidP="006661FC">
            <w:pPr>
              <w:pStyle w:val="a0"/>
              <w:rPr>
                <w:rFonts w:asciiTheme="minorHAnsi" w:hAnsiTheme="minorHAnsi" w:cstheme="minorHAnsi"/>
                <w:bCs/>
                <w:szCs w:val="20"/>
              </w:rPr>
            </w:pPr>
          </w:p>
        </w:tc>
      </w:tr>
      <w:tr w:rsidR="0084445A" w:rsidRPr="00833465" w14:paraId="6242D3FE"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center"/>
            <w:hideMark/>
          </w:tcPr>
          <w:p w14:paraId="245A5364" w14:textId="77777777" w:rsidR="0084445A" w:rsidRPr="00833465" w:rsidRDefault="0084445A" w:rsidP="006661FC">
            <w:pPr>
              <w:pStyle w:val="a"/>
              <w:rPr>
                <w:rFonts w:asciiTheme="minorHAnsi" w:hAnsiTheme="minorHAnsi" w:cstheme="minorHAnsi"/>
                <w:b/>
                <w:color w:val="auto"/>
                <w:sz w:val="18"/>
                <w:szCs w:val="18"/>
                <w:lang w:val="bg-BG"/>
              </w:rPr>
            </w:pPr>
            <w:r w:rsidRPr="00833465">
              <w:rPr>
                <w:rFonts w:asciiTheme="minorHAnsi" w:hAnsiTheme="minorHAnsi" w:cstheme="minorHAnsi"/>
                <w:b/>
                <w:color w:val="auto"/>
                <w:sz w:val="18"/>
                <w:szCs w:val="18"/>
                <w:lang w:val="bg-BG"/>
              </w:rPr>
              <w:t>Салдо на 1 януари</w:t>
            </w:r>
          </w:p>
        </w:tc>
        <w:tc>
          <w:tcPr>
            <w:tcW w:w="856" w:type="dxa"/>
            <w:tcBorders>
              <w:top w:val="nil"/>
              <w:left w:val="nil"/>
              <w:bottom w:val="nil"/>
              <w:right w:val="nil"/>
            </w:tcBorders>
            <w:shd w:val="clear" w:color="auto" w:fill="auto"/>
            <w:tcMar>
              <w:left w:w="28" w:type="dxa"/>
              <w:right w:w="28" w:type="dxa"/>
            </w:tcMar>
            <w:vAlign w:val="bottom"/>
            <w:hideMark/>
          </w:tcPr>
          <w:p w14:paraId="383DF753"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415</w:t>
            </w:r>
          </w:p>
        </w:tc>
        <w:tc>
          <w:tcPr>
            <w:tcW w:w="851" w:type="dxa"/>
            <w:tcBorders>
              <w:top w:val="nil"/>
              <w:left w:val="nil"/>
              <w:bottom w:val="nil"/>
              <w:right w:val="nil"/>
            </w:tcBorders>
            <w:shd w:val="clear" w:color="auto" w:fill="auto"/>
            <w:tcMar>
              <w:left w:w="28" w:type="dxa"/>
              <w:right w:w="28" w:type="dxa"/>
            </w:tcMar>
            <w:vAlign w:val="bottom"/>
            <w:hideMark/>
          </w:tcPr>
          <w:p w14:paraId="3C45F662"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382</w:t>
            </w:r>
          </w:p>
        </w:tc>
        <w:tc>
          <w:tcPr>
            <w:tcW w:w="851" w:type="dxa"/>
            <w:tcBorders>
              <w:top w:val="nil"/>
              <w:left w:val="nil"/>
              <w:bottom w:val="nil"/>
              <w:right w:val="nil"/>
            </w:tcBorders>
            <w:shd w:val="clear" w:color="auto" w:fill="auto"/>
            <w:tcMar>
              <w:left w:w="28" w:type="dxa"/>
              <w:right w:w="28" w:type="dxa"/>
            </w:tcMar>
            <w:vAlign w:val="bottom"/>
            <w:hideMark/>
          </w:tcPr>
          <w:p w14:paraId="6309CF29"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569</w:t>
            </w:r>
          </w:p>
        </w:tc>
        <w:tc>
          <w:tcPr>
            <w:tcW w:w="838" w:type="dxa"/>
            <w:tcBorders>
              <w:top w:val="nil"/>
              <w:left w:val="nil"/>
              <w:bottom w:val="nil"/>
              <w:right w:val="nil"/>
            </w:tcBorders>
            <w:shd w:val="clear" w:color="auto" w:fill="auto"/>
            <w:tcMar>
              <w:left w:w="28" w:type="dxa"/>
              <w:right w:w="28" w:type="dxa"/>
            </w:tcMar>
            <w:vAlign w:val="bottom"/>
            <w:hideMark/>
          </w:tcPr>
          <w:p w14:paraId="0A5D55A1"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556</w:t>
            </w:r>
          </w:p>
        </w:tc>
        <w:tc>
          <w:tcPr>
            <w:tcW w:w="862" w:type="dxa"/>
            <w:tcBorders>
              <w:top w:val="nil"/>
              <w:left w:val="nil"/>
              <w:bottom w:val="nil"/>
              <w:right w:val="nil"/>
            </w:tcBorders>
            <w:shd w:val="clear" w:color="auto" w:fill="auto"/>
            <w:tcMar>
              <w:left w:w="28" w:type="dxa"/>
              <w:right w:w="28" w:type="dxa"/>
            </w:tcMar>
            <w:vAlign w:val="bottom"/>
            <w:hideMark/>
          </w:tcPr>
          <w:p w14:paraId="39AAAD06"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103</w:t>
            </w:r>
          </w:p>
        </w:tc>
        <w:tc>
          <w:tcPr>
            <w:tcW w:w="836" w:type="dxa"/>
            <w:tcBorders>
              <w:top w:val="nil"/>
              <w:left w:val="nil"/>
              <w:bottom w:val="nil"/>
              <w:right w:val="nil"/>
            </w:tcBorders>
            <w:shd w:val="clear" w:color="auto" w:fill="auto"/>
            <w:tcMar>
              <w:left w:w="28" w:type="dxa"/>
              <w:right w:w="28" w:type="dxa"/>
            </w:tcMar>
            <w:vAlign w:val="bottom"/>
            <w:hideMark/>
          </w:tcPr>
          <w:p w14:paraId="63BC871C"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93</w:t>
            </w:r>
          </w:p>
        </w:tc>
        <w:tc>
          <w:tcPr>
            <w:tcW w:w="865" w:type="dxa"/>
            <w:tcBorders>
              <w:top w:val="nil"/>
              <w:left w:val="nil"/>
              <w:bottom w:val="nil"/>
              <w:right w:val="nil"/>
            </w:tcBorders>
            <w:shd w:val="clear" w:color="auto" w:fill="auto"/>
            <w:tcMar>
              <w:left w:w="28" w:type="dxa"/>
              <w:right w:w="28" w:type="dxa"/>
            </w:tcMar>
            <w:vAlign w:val="bottom"/>
            <w:hideMark/>
          </w:tcPr>
          <w:p w14:paraId="52982565"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237</w:t>
            </w:r>
          </w:p>
        </w:tc>
        <w:tc>
          <w:tcPr>
            <w:tcW w:w="850" w:type="dxa"/>
            <w:tcBorders>
              <w:top w:val="nil"/>
              <w:left w:val="nil"/>
              <w:bottom w:val="nil"/>
              <w:right w:val="nil"/>
            </w:tcBorders>
            <w:shd w:val="clear" w:color="auto" w:fill="auto"/>
            <w:tcMar>
              <w:left w:w="28" w:type="dxa"/>
              <w:right w:w="28" w:type="dxa"/>
            </w:tcMar>
            <w:vAlign w:val="bottom"/>
            <w:hideMark/>
          </w:tcPr>
          <w:p w14:paraId="31DF86EF"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236</w:t>
            </w:r>
          </w:p>
        </w:tc>
        <w:tc>
          <w:tcPr>
            <w:tcW w:w="851" w:type="dxa"/>
            <w:tcBorders>
              <w:top w:val="nil"/>
              <w:left w:val="nil"/>
              <w:bottom w:val="nil"/>
              <w:right w:val="nil"/>
            </w:tcBorders>
            <w:shd w:val="clear" w:color="auto" w:fill="auto"/>
            <w:noWrap/>
            <w:tcMar>
              <w:left w:w="28" w:type="dxa"/>
              <w:right w:w="28" w:type="dxa"/>
            </w:tcMar>
            <w:vAlign w:val="bottom"/>
            <w:hideMark/>
          </w:tcPr>
          <w:p w14:paraId="6748403C"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1,324</w:t>
            </w:r>
          </w:p>
        </w:tc>
        <w:tc>
          <w:tcPr>
            <w:tcW w:w="850" w:type="dxa"/>
            <w:tcBorders>
              <w:top w:val="nil"/>
              <w:left w:val="nil"/>
              <w:bottom w:val="nil"/>
              <w:right w:val="nil"/>
            </w:tcBorders>
            <w:shd w:val="clear" w:color="auto" w:fill="auto"/>
            <w:tcMar>
              <w:left w:w="28" w:type="dxa"/>
              <w:right w:w="28" w:type="dxa"/>
            </w:tcMar>
            <w:vAlign w:val="bottom"/>
            <w:hideMark/>
          </w:tcPr>
          <w:p w14:paraId="59D52D97"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1,267</w:t>
            </w:r>
          </w:p>
        </w:tc>
      </w:tr>
      <w:tr w:rsidR="0084445A" w:rsidRPr="00833465" w14:paraId="73646DFB"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center"/>
            <w:hideMark/>
          </w:tcPr>
          <w:p w14:paraId="38CBA4D2" w14:textId="77777777" w:rsidR="0084445A" w:rsidRPr="00833465" w:rsidRDefault="0084445A" w:rsidP="006661FC">
            <w:pPr>
              <w:pStyle w:val="a"/>
              <w:rPr>
                <w:rFonts w:asciiTheme="minorHAnsi" w:hAnsiTheme="minorHAnsi" w:cstheme="minorHAnsi"/>
                <w:color w:val="auto"/>
                <w:sz w:val="18"/>
                <w:szCs w:val="18"/>
              </w:rPr>
            </w:pPr>
            <w:r w:rsidRPr="00833465">
              <w:rPr>
                <w:rFonts w:asciiTheme="minorHAnsi" w:hAnsiTheme="minorHAnsi" w:cstheme="minorHAnsi"/>
                <w:color w:val="auto"/>
                <w:sz w:val="18"/>
                <w:szCs w:val="18"/>
                <w:lang w:val="bg-BG"/>
              </w:rPr>
              <w:t>Начислена амортизация за периода</w:t>
            </w:r>
          </w:p>
        </w:tc>
        <w:tc>
          <w:tcPr>
            <w:tcW w:w="856" w:type="dxa"/>
            <w:tcBorders>
              <w:top w:val="nil"/>
              <w:left w:val="nil"/>
              <w:bottom w:val="nil"/>
              <w:right w:val="nil"/>
            </w:tcBorders>
            <w:shd w:val="clear" w:color="auto" w:fill="auto"/>
            <w:tcMar>
              <w:left w:w="28" w:type="dxa"/>
              <w:right w:w="28" w:type="dxa"/>
            </w:tcMar>
            <w:vAlign w:val="bottom"/>
            <w:hideMark/>
          </w:tcPr>
          <w:p w14:paraId="777ED531" w14:textId="77777777" w:rsidR="0084445A" w:rsidRPr="00833465" w:rsidRDefault="0084445A" w:rsidP="006661FC">
            <w:pPr>
              <w:pStyle w:val="a0"/>
              <w:widowControl w:val="0"/>
              <w:rPr>
                <w:rFonts w:asciiTheme="minorHAnsi" w:hAnsiTheme="minorHAnsi" w:cstheme="minorHAnsi"/>
                <w:szCs w:val="20"/>
                <w:lang w:val="bg-BG"/>
              </w:rPr>
            </w:pPr>
            <w:r w:rsidRPr="00833465">
              <w:rPr>
                <w:rFonts w:asciiTheme="minorHAnsi" w:hAnsiTheme="minorHAnsi" w:cstheme="minorHAnsi"/>
                <w:szCs w:val="20"/>
                <w:lang w:val="bg-BG"/>
              </w:rPr>
              <w:t>32</w:t>
            </w:r>
          </w:p>
        </w:tc>
        <w:tc>
          <w:tcPr>
            <w:tcW w:w="851" w:type="dxa"/>
            <w:tcBorders>
              <w:top w:val="nil"/>
              <w:left w:val="nil"/>
              <w:bottom w:val="nil"/>
              <w:right w:val="nil"/>
            </w:tcBorders>
            <w:shd w:val="clear" w:color="auto" w:fill="auto"/>
            <w:tcMar>
              <w:left w:w="28" w:type="dxa"/>
              <w:right w:w="28" w:type="dxa"/>
            </w:tcMar>
            <w:vAlign w:val="bottom"/>
            <w:hideMark/>
          </w:tcPr>
          <w:p w14:paraId="57C5AEE3"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33</w:t>
            </w:r>
          </w:p>
        </w:tc>
        <w:tc>
          <w:tcPr>
            <w:tcW w:w="851" w:type="dxa"/>
            <w:tcBorders>
              <w:top w:val="nil"/>
              <w:left w:val="nil"/>
              <w:bottom w:val="nil"/>
              <w:right w:val="nil"/>
            </w:tcBorders>
            <w:shd w:val="clear" w:color="auto" w:fill="auto"/>
            <w:tcMar>
              <w:left w:w="28" w:type="dxa"/>
              <w:right w:w="28" w:type="dxa"/>
            </w:tcMar>
            <w:vAlign w:val="bottom"/>
            <w:hideMark/>
          </w:tcPr>
          <w:p w14:paraId="55D31E7E" w14:textId="77777777" w:rsidR="0084445A" w:rsidRPr="00833465" w:rsidRDefault="0084445A" w:rsidP="006661FC">
            <w:pPr>
              <w:pStyle w:val="a0"/>
              <w:widowControl w:val="0"/>
              <w:rPr>
                <w:rFonts w:asciiTheme="minorHAnsi" w:hAnsiTheme="minorHAnsi" w:cstheme="minorHAnsi"/>
                <w:szCs w:val="20"/>
                <w:lang w:val="bg-BG"/>
              </w:rPr>
            </w:pPr>
            <w:r w:rsidRPr="00833465">
              <w:rPr>
                <w:rFonts w:asciiTheme="minorHAnsi" w:hAnsiTheme="minorHAnsi" w:cstheme="minorHAnsi"/>
                <w:szCs w:val="20"/>
                <w:lang w:val="bg-BG"/>
              </w:rPr>
              <w:t>31</w:t>
            </w:r>
          </w:p>
        </w:tc>
        <w:tc>
          <w:tcPr>
            <w:tcW w:w="838" w:type="dxa"/>
            <w:tcBorders>
              <w:top w:val="nil"/>
              <w:left w:val="nil"/>
              <w:bottom w:val="nil"/>
              <w:right w:val="nil"/>
            </w:tcBorders>
            <w:shd w:val="clear" w:color="auto" w:fill="auto"/>
            <w:tcMar>
              <w:left w:w="28" w:type="dxa"/>
              <w:right w:w="28" w:type="dxa"/>
            </w:tcMar>
            <w:vAlign w:val="bottom"/>
            <w:hideMark/>
          </w:tcPr>
          <w:p w14:paraId="1F45B46C"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32</w:t>
            </w:r>
          </w:p>
        </w:tc>
        <w:tc>
          <w:tcPr>
            <w:tcW w:w="862" w:type="dxa"/>
            <w:tcBorders>
              <w:top w:val="nil"/>
              <w:left w:val="nil"/>
              <w:bottom w:val="nil"/>
              <w:right w:val="nil"/>
            </w:tcBorders>
            <w:shd w:val="clear" w:color="auto" w:fill="auto"/>
            <w:tcMar>
              <w:left w:w="28" w:type="dxa"/>
              <w:right w:w="28" w:type="dxa"/>
            </w:tcMar>
            <w:vAlign w:val="bottom"/>
            <w:hideMark/>
          </w:tcPr>
          <w:p w14:paraId="5027553F"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36" w:type="dxa"/>
            <w:tcBorders>
              <w:top w:val="nil"/>
              <w:left w:val="nil"/>
              <w:bottom w:val="nil"/>
              <w:right w:val="nil"/>
            </w:tcBorders>
            <w:shd w:val="clear" w:color="auto" w:fill="auto"/>
            <w:tcMar>
              <w:left w:w="28" w:type="dxa"/>
              <w:right w:w="28" w:type="dxa"/>
            </w:tcMar>
            <w:vAlign w:val="bottom"/>
            <w:hideMark/>
          </w:tcPr>
          <w:p w14:paraId="0FFE2CB4"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10</w:t>
            </w:r>
          </w:p>
        </w:tc>
        <w:tc>
          <w:tcPr>
            <w:tcW w:w="865" w:type="dxa"/>
            <w:tcBorders>
              <w:top w:val="nil"/>
              <w:left w:val="nil"/>
              <w:bottom w:val="nil"/>
              <w:right w:val="nil"/>
            </w:tcBorders>
            <w:shd w:val="clear" w:color="auto" w:fill="auto"/>
            <w:tcMar>
              <w:left w:w="28" w:type="dxa"/>
              <w:right w:w="28" w:type="dxa"/>
            </w:tcMar>
            <w:vAlign w:val="bottom"/>
            <w:hideMark/>
          </w:tcPr>
          <w:p w14:paraId="2505AE90"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50" w:type="dxa"/>
            <w:tcBorders>
              <w:top w:val="nil"/>
              <w:left w:val="nil"/>
              <w:bottom w:val="nil"/>
              <w:right w:val="nil"/>
            </w:tcBorders>
            <w:shd w:val="clear" w:color="auto" w:fill="auto"/>
            <w:tcMar>
              <w:left w:w="28" w:type="dxa"/>
              <w:right w:w="28" w:type="dxa"/>
            </w:tcMar>
            <w:vAlign w:val="bottom"/>
            <w:hideMark/>
          </w:tcPr>
          <w:p w14:paraId="6606947D"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1</w:t>
            </w:r>
          </w:p>
        </w:tc>
        <w:tc>
          <w:tcPr>
            <w:tcW w:w="851" w:type="dxa"/>
            <w:tcBorders>
              <w:top w:val="nil"/>
              <w:left w:val="nil"/>
              <w:bottom w:val="nil"/>
              <w:right w:val="nil"/>
            </w:tcBorders>
            <w:shd w:val="clear" w:color="auto" w:fill="auto"/>
            <w:noWrap/>
            <w:tcMar>
              <w:left w:w="28" w:type="dxa"/>
              <w:right w:w="28" w:type="dxa"/>
            </w:tcMar>
            <w:vAlign w:val="bottom"/>
            <w:hideMark/>
          </w:tcPr>
          <w:p w14:paraId="257B78DF" w14:textId="77777777" w:rsidR="0084445A" w:rsidRPr="00833465" w:rsidRDefault="0084445A" w:rsidP="006661FC">
            <w:pPr>
              <w:pStyle w:val="a0"/>
              <w:widowControl w:val="0"/>
              <w:rPr>
                <w:rFonts w:asciiTheme="minorHAnsi" w:hAnsiTheme="minorHAnsi" w:cstheme="minorHAnsi"/>
                <w:szCs w:val="20"/>
                <w:lang w:val="bg-BG"/>
              </w:rPr>
            </w:pPr>
            <w:r w:rsidRPr="00833465">
              <w:rPr>
                <w:rFonts w:asciiTheme="minorHAnsi" w:hAnsiTheme="minorHAnsi" w:cstheme="minorHAnsi"/>
                <w:szCs w:val="20"/>
                <w:lang w:val="bg-BG"/>
              </w:rPr>
              <w:t>63</w:t>
            </w:r>
          </w:p>
        </w:tc>
        <w:tc>
          <w:tcPr>
            <w:tcW w:w="850" w:type="dxa"/>
            <w:tcBorders>
              <w:top w:val="nil"/>
              <w:left w:val="nil"/>
              <w:bottom w:val="nil"/>
              <w:right w:val="nil"/>
            </w:tcBorders>
            <w:shd w:val="clear" w:color="auto" w:fill="auto"/>
            <w:tcMar>
              <w:left w:w="28" w:type="dxa"/>
              <w:right w:w="28" w:type="dxa"/>
            </w:tcMar>
            <w:vAlign w:val="bottom"/>
            <w:hideMark/>
          </w:tcPr>
          <w:p w14:paraId="0CD8C75A"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76</w:t>
            </w:r>
          </w:p>
        </w:tc>
      </w:tr>
      <w:tr w:rsidR="0084445A" w:rsidRPr="00833465" w14:paraId="076B96F1"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center"/>
            <w:hideMark/>
          </w:tcPr>
          <w:p w14:paraId="6EDC2F6A" w14:textId="77777777" w:rsidR="0084445A" w:rsidRPr="00833465" w:rsidRDefault="0084445A" w:rsidP="006661FC">
            <w:pPr>
              <w:pStyle w:val="a"/>
              <w:rPr>
                <w:rFonts w:asciiTheme="minorHAnsi" w:hAnsiTheme="minorHAnsi" w:cstheme="minorHAnsi"/>
                <w:color w:val="auto"/>
                <w:sz w:val="18"/>
                <w:szCs w:val="18"/>
                <w:lang w:val="bg-BG"/>
              </w:rPr>
            </w:pPr>
            <w:r w:rsidRPr="00833465">
              <w:rPr>
                <w:rFonts w:asciiTheme="minorHAnsi" w:hAnsiTheme="minorHAnsi" w:cstheme="minorHAnsi"/>
                <w:color w:val="auto"/>
                <w:sz w:val="18"/>
                <w:szCs w:val="18"/>
                <w:lang w:val="bg-BG"/>
              </w:rPr>
              <w:t>Отписана</w:t>
            </w:r>
          </w:p>
        </w:tc>
        <w:tc>
          <w:tcPr>
            <w:tcW w:w="856" w:type="dxa"/>
            <w:tcBorders>
              <w:top w:val="nil"/>
              <w:left w:val="nil"/>
              <w:bottom w:val="nil"/>
              <w:right w:val="nil"/>
            </w:tcBorders>
            <w:shd w:val="clear" w:color="auto" w:fill="auto"/>
            <w:tcMar>
              <w:left w:w="28" w:type="dxa"/>
              <w:right w:w="28" w:type="dxa"/>
            </w:tcMar>
            <w:vAlign w:val="bottom"/>
            <w:hideMark/>
          </w:tcPr>
          <w:p w14:paraId="1013F1D1"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51" w:type="dxa"/>
            <w:tcBorders>
              <w:top w:val="nil"/>
              <w:left w:val="nil"/>
              <w:bottom w:val="nil"/>
              <w:right w:val="nil"/>
            </w:tcBorders>
            <w:shd w:val="clear" w:color="auto" w:fill="auto"/>
            <w:tcMar>
              <w:left w:w="28" w:type="dxa"/>
              <w:right w:w="28" w:type="dxa"/>
            </w:tcMar>
            <w:vAlign w:val="bottom"/>
            <w:hideMark/>
          </w:tcPr>
          <w:p w14:paraId="68309F96" w14:textId="77777777" w:rsidR="0084445A" w:rsidRPr="00833465" w:rsidRDefault="0084445A" w:rsidP="006661FC">
            <w:pPr>
              <w:pStyle w:val="a0"/>
              <w:rPr>
                <w:rFonts w:asciiTheme="minorHAnsi" w:hAnsiTheme="minorHAnsi" w:cstheme="minorHAnsi"/>
                <w:bCs/>
                <w:szCs w:val="20"/>
              </w:rPr>
            </w:pPr>
          </w:p>
        </w:tc>
        <w:tc>
          <w:tcPr>
            <w:tcW w:w="851" w:type="dxa"/>
            <w:tcBorders>
              <w:top w:val="nil"/>
              <w:left w:val="nil"/>
              <w:bottom w:val="nil"/>
              <w:right w:val="nil"/>
            </w:tcBorders>
            <w:shd w:val="clear" w:color="auto" w:fill="auto"/>
            <w:tcMar>
              <w:left w:w="28" w:type="dxa"/>
              <w:right w:w="28" w:type="dxa"/>
            </w:tcMar>
            <w:vAlign w:val="bottom"/>
            <w:hideMark/>
          </w:tcPr>
          <w:p w14:paraId="2C673454"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38" w:type="dxa"/>
            <w:tcBorders>
              <w:top w:val="nil"/>
              <w:left w:val="nil"/>
              <w:bottom w:val="nil"/>
              <w:right w:val="nil"/>
            </w:tcBorders>
            <w:shd w:val="clear" w:color="auto" w:fill="auto"/>
            <w:tcMar>
              <w:left w:w="28" w:type="dxa"/>
              <w:right w:w="28" w:type="dxa"/>
            </w:tcMar>
            <w:vAlign w:val="bottom"/>
            <w:hideMark/>
          </w:tcPr>
          <w:p w14:paraId="0E4F5781"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(19)</w:t>
            </w:r>
          </w:p>
        </w:tc>
        <w:tc>
          <w:tcPr>
            <w:tcW w:w="862" w:type="dxa"/>
            <w:tcBorders>
              <w:top w:val="nil"/>
              <w:left w:val="nil"/>
              <w:bottom w:val="nil"/>
              <w:right w:val="nil"/>
            </w:tcBorders>
            <w:shd w:val="clear" w:color="auto" w:fill="auto"/>
            <w:tcMar>
              <w:left w:w="28" w:type="dxa"/>
              <w:right w:w="28" w:type="dxa"/>
            </w:tcMar>
            <w:vAlign w:val="bottom"/>
            <w:hideMark/>
          </w:tcPr>
          <w:p w14:paraId="14DCB34D"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36" w:type="dxa"/>
            <w:tcBorders>
              <w:top w:val="nil"/>
              <w:left w:val="nil"/>
              <w:bottom w:val="nil"/>
              <w:right w:val="nil"/>
            </w:tcBorders>
            <w:shd w:val="clear" w:color="auto" w:fill="auto"/>
            <w:tcMar>
              <w:left w:w="28" w:type="dxa"/>
              <w:right w:w="28" w:type="dxa"/>
            </w:tcMar>
            <w:vAlign w:val="bottom"/>
            <w:hideMark/>
          </w:tcPr>
          <w:p w14:paraId="71D756BA"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w:t>
            </w:r>
          </w:p>
        </w:tc>
        <w:tc>
          <w:tcPr>
            <w:tcW w:w="865" w:type="dxa"/>
            <w:tcBorders>
              <w:top w:val="nil"/>
              <w:left w:val="nil"/>
              <w:bottom w:val="nil"/>
              <w:right w:val="nil"/>
            </w:tcBorders>
            <w:shd w:val="clear" w:color="auto" w:fill="auto"/>
            <w:tcMar>
              <w:left w:w="28" w:type="dxa"/>
              <w:right w:w="28" w:type="dxa"/>
            </w:tcMar>
            <w:vAlign w:val="bottom"/>
            <w:hideMark/>
          </w:tcPr>
          <w:p w14:paraId="6D2721E4"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50" w:type="dxa"/>
            <w:tcBorders>
              <w:top w:val="nil"/>
              <w:left w:val="nil"/>
              <w:bottom w:val="nil"/>
              <w:right w:val="nil"/>
            </w:tcBorders>
            <w:shd w:val="clear" w:color="auto" w:fill="auto"/>
            <w:tcMar>
              <w:left w:w="28" w:type="dxa"/>
              <w:right w:w="28" w:type="dxa"/>
            </w:tcMar>
            <w:vAlign w:val="bottom"/>
            <w:hideMark/>
          </w:tcPr>
          <w:p w14:paraId="114C1FA4"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w:t>
            </w:r>
          </w:p>
        </w:tc>
        <w:tc>
          <w:tcPr>
            <w:tcW w:w="851" w:type="dxa"/>
            <w:tcBorders>
              <w:top w:val="nil"/>
              <w:left w:val="nil"/>
              <w:bottom w:val="nil"/>
              <w:right w:val="nil"/>
            </w:tcBorders>
            <w:shd w:val="clear" w:color="auto" w:fill="auto"/>
            <w:noWrap/>
            <w:tcMar>
              <w:left w:w="28" w:type="dxa"/>
              <w:right w:w="28" w:type="dxa"/>
            </w:tcMar>
            <w:vAlign w:val="bottom"/>
            <w:hideMark/>
          </w:tcPr>
          <w:p w14:paraId="30669B24" w14:textId="77777777" w:rsidR="0084445A" w:rsidRPr="00833465" w:rsidRDefault="0084445A" w:rsidP="006661FC">
            <w:pPr>
              <w:pStyle w:val="a0"/>
              <w:rPr>
                <w:rFonts w:asciiTheme="minorHAnsi" w:hAnsiTheme="minorHAnsi" w:cstheme="minorHAnsi"/>
                <w:szCs w:val="20"/>
              </w:rPr>
            </w:pPr>
            <w:r w:rsidRPr="00833465">
              <w:rPr>
                <w:rFonts w:asciiTheme="minorHAnsi" w:hAnsiTheme="minorHAnsi" w:cstheme="minorHAnsi"/>
                <w:szCs w:val="20"/>
              </w:rPr>
              <w:t>-</w:t>
            </w:r>
          </w:p>
        </w:tc>
        <w:tc>
          <w:tcPr>
            <w:tcW w:w="850" w:type="dxa"/>
            <w:tcBorders>
              <w:top w:val="nil"/>
              <w:left w:val="nil"/>
              <w:bottom w:val="nil"/>
              <w:right w:val="nil"/>
            </w:tcBorders>
            <w:shd w:val="clear" w:color="auto" w:fill="auto"/>
            <w:tcMar>
              <w:left w:w="28" w:type="dxa"/>
              <w:right w:w="28" w:type="dxa"/>
            </w:tcMar>
            <w:vAlign w:val="bottom"/>
            <w:hideMark/>
          </w:tcPr>
          <w:p w14:paraId="6B5A6F45" w14:textId="77777777" w:rsidR="0084445A" w:rsidRPr="00833465" w:rsidRDefault="0084445A" w:rsidP="006661FC">
            <w:pPr>
              <w:pStyle w:val="a0"/>
              <w:rPr>
                <w:rFonts w:asciiTheme="minorHAnsi" w:hAnsiTheme="minorHAnsi" w:cstheme="minorHAnsi"/>
                <w:bCs/>
                <w:szCs w:val="20"/>
              </w:rPr>
            </w:pPr>
            <w:r w:rsidRPr="00833465">
              <w:rPr>
                <w:rFonts w:asciiTheme="minorHAnsi" w:hAnsiTheme="minorHAnsi" w:cstheme="minorHAnsi"/>
                <w:szCs w:val="20"/>
              </w:rPr>
              <w:t>(19)</w:t>
            </w:r>
          </w:p>
        </w:tc>
      </w:tr>
      <w:tr w:rsidR="0084445A" w:rsidRPr="00833465" w14:paraId="1F5FC24F"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center"/>
            <w:hideMark/>
          </w:tcPr>
          <w:p w14:paraId="458A4C2E" w14:textId="5FBD4BCD" w:rsidR="0084445A" w:rsidRPr="00833465" w:rsidRDefault="0084445A" w:rsidP="006661FC">
            <w:pPr>
              <w:pStyle w:val="a"/>
              <w:rPr>
                <w:rFonts w:asciiTheme="minorHAnsi" w:hAnsiTheme="minorHAnsi" w:cstheme="minorHAnsi"/>
                <w:b/>
                <w:bCs/>
                <w:color w:val="auto"/>
                <w:sz w:val="18"/>
                <w:szCs w:val="18"/>
                <w:lang w:val="bg-BG"/>
              </w:rPr>
            </w:pPr>
            <w:r w:rsidRPr="00833465">
              <w:rPr>
                <w:rFonts w:asciiTheme="minorHAnsi" w:hAnsiTheme="minorHAnsi" w:cstheme="minorHAnsi"/>
                <w:b/>
                <w:color w:val="auto"/>
                <w:sz w:val="18"/>
                <w:szCs w:val="18"/>
                <w:lang w:val="bg-BG"/>
              </w:rPr>
              <w:t>Салдо на</w:t>
            </w:r>
            <w:r w:rsidR="00FD518A" w:rsidRPr="00833465">
              <w:rPr>
                <w:rFonts w:asciiTheme="minorHAnsi" w:hAnsiTheme="minorHAnsi" w:cstheme="minorHAnsi"/>
                <w:b/>
                <w:color w:val="auto"/>
                <w:sz w:val="18"/>
                <w:szCs w:val="18"/>
                <w:lang w:val="bg-BG"/>
              </w:rPr>
              <w:t xml:space="preserve"> </w:t>
            </w:r>
            <w:r w:rsidRPr="00833465">
              <w:rPr>
                <w:rFonts w:asciiTheme="minorHAnsi" w:hAnsiTheme="minorHAnsi" w:cstheme="minorHAnsi"/>
                <w:b/>
                <w:color w:val="auto"/>
                <w:sz w:val="18"/>
                <w:szCs w:val="18"/>
                <w:lang w:val="bg-BG"/>
              </w:rPr>
              <w:t>31 декември</w:t>
            </w:r>
          </w:p>
        </w:tc>
        <w:tc>
          <w:tcPr>
            <w:tcW w:w="856"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65995621" w14:textId="77777777" w:rsidR="0084445A" w:rsidRPr="00833465" w:rsidRDefault="0084445A" w:rsidP="006661FC">
            <w:pPr>
              <w:pStyle w:val="a0"/>
              <w:widowControl w:val="0"/>
              <w:rPr>
                <w:rFonts w:asciiTheme="minorHAnsi" w:hAnsiTheme="minorHAnsi" w:cstheme="minorHAnsi"/>
                <w:b/>
                <w:szCs w:val="20"/>
                <w:lang w:val="bg-BG"/>
              </w:rPr>
            </w:pPr>
            <w:r w:rsidRPr="00833465">
              <w:rPr>
                <w:rFonts w:asciiTheme="minorHAnsi" w:hAnsiTheme="minorHAnsi" w:cstheme="minorHAnsi"/>
                <w:b/>
                <w:szCs w:val="20"/>
                <w:lang w:val="bg-BG"/>
              </w:rPr>
              <w:t>447</w:t>
            </w:r>
          </w:p>
        </w:tc>
        <w:tc>
          <w:tcPr>
            <w:tcW w:w="851"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468A0C86" w14:textId="77777777" w:rsidR="0084445A" w:rsidRPr="00833465" w:rsidRDefault="0084445A" w:rsidP="006661FC">
            <w:pPr>
              <w:pStyle w:val="a0"/>
              <w:widowControl w:val="0"/>
              <w:rPr>
                <w:rFonts w:asciiTheme="minorHAnsi" w:hAnsiTheme="minorHAnsi" w:cstheme="minorHAnsi"/>
                <w:b/>
                <w:bCs/>
                <w:szCs w:val="20"/>
              </w:rPr>
            </w:pPr>
            <w:r w:rsidRPr="00833465">
              <w:rPr>
                <w:rFonts w:asciiTheme="minorHAnsi" w:hAnsiTheme="minorHAnsi" w:cstheme="minorHAnsi"/>
                <w:b/>
                <w:szCs w:val="20"/>
              </w:rPr>
              <w:t>415</w:t>
            </w:r>
          </w:p>
        </w:tc>
        <w:tc>
          <w:tcPr>
            <w:tcW w:w="851"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390F5708" w14:textId="77777777" w:rsidR="0084445A" w:rsidRPr="00833465" w:rsidRDefault="0084445A" w:rsidP="006661FC">
            <w:pPr>
              <w:pStyle w:val="a0"/>
              <w:widowControl w:val="0"/>
              <w:rPr>
                <w:rFonts w:asciiTheme="minorHAnsi" w:hAnsiTheme="minorHAnsi" w:cstheme="minorHAnsi"/>
                <w:b/>
                <w:szCs w:val="20"/>
                <w:lang w:val="bg-BG"/>
              </w:rPr>
            </w:pPr>
            <w:r w:rsidRPr="00833465">
              <w:rPr>
                <w:rFonts w:asciiTheme="minorHAnsi" w:hAnsiTheme="minorHAnsi" w:cstheme="minorHAnsi"/>
                <w:b/>
                <w:szCs w:val="20"/>
                <w:lang w:val="bg-BG"/>
              </w:rPr>
              <w:t>600</w:t>
            </w:r>
          </w:p>
        </w:tc>
        <w:tc>
          <w:tcPr>
            <w:tcW w:w="838"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1C8AAC65"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569</w:t>
            </w:r>
          </w:p>
        </w:tc>
        <w:tc>
          <w:tcPr>
            <w:tcW w:w="862"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0F04540B"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103</w:t>
            </w:r>
          </w:p>
        </w:tc>
        <w:tc>
          <w:tcPr>
            <w:tcW w:w="836"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3418EA10"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103</w:t>
            </w:r>
          </w:p>
        </w:tc>
        <w:tc>
          <w:tcPr>
            <w:tcW w:w="865"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3AD826E7"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237</w:t>
            </w:r>
          </w:p>
        </w:tc>
        <w:tc>
          <w:tcPr>
            <w:tcW w:w="850"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11594383" w14:textId="77777777" w:rsidR="0084445A" w:rsidRPr="00833465" w:rsidRDefault="0084445A" w:rsidP="006661FC">
            <w:pPr>
              <w:pStyle w:val="a0"/>
              <w:widowControl w:val="0"/>
              <w:rPr>
                <w:rFonts w:asciiTheme="minorHAnsi" w:hAnsiTheme="minorHAnsi" w:cstheme="minorHAnsi"/>
                <w:b/>
                <w:bCs/>
                <w:szCs w:val="20"/>
              </w:rPr>
            </w:pPr>
            <w:r w:rsidRPr="00833465">
              <w:rPr>
                <w:rFonts w:asciiTheme="minorHAnsi" w:hAnsiTheme="minorHAnsi" w:cstheme="minorHAnsi"/>
                <w:b/>
                <w:szCs w:val="20"/>
              </w:rPr>
              <w:t>237</w:t>
            </w:r>
          </w:p>
        </w:tc>
        <w:tc>
          <w:tcPr>
            <w:tcW w:w="851" w:type="dxa"/>
            <w:tcBorders>
              <w:top w:val="single" w:sz="8" w:space="0" w:color="auto"/>
              <w:left w:val="nil"/>
              <w:bottom w:val="single" w:sz="8" w:space="0" w:color="auto"/>
              <w:right w:val="nil"/>
            </w:tcBorders>
            <w:shd w:val="clear" w:color="auto" w:fill="auto"/>
            <w:noWrap/>
            <w:tcMar>
              <w:left w:w="28" w:type="dxa"/>
              <w:right w:w="28" w:type="dxa"/>
            </w:tcMar>
            <w:vAlign w:val="bottom"/>
            <w:hideMark/>
          </w:tcPr>
          <w:p w14:paraId="287FB908" w14:textId="77777777" w:rsidR="0084445A" w:rsidRPr="00833465" w:rsidRDefault="0084445A" w:rsidP="006661FC">
            <w:pPr>
              <w:pStyle w:val="a0"/>
              <w:widowControl w:val="0"/>
              <w:rPr>
                <w:rFonts w:asciiTheme="minorHAnsi" w:hAnsiTheme="minorHAnsi" w:cstheme="minorHAnsi"/>
                <w:b/>
                <w:szCs w:val="20"/>
                <w:lang w:val="bg-BG"/>
              </w:rPr>
            </w:pPr>
            <w:r w:rsidRPr="00833465">
              <w:rPr>
                <w:rFonts w:asciiTheme="minorHAnsi" w:hAnsiTheme="minorHAnsi" w:cstheme="minorHAnsi"/>
                <w:b/>
                <w:szCs w:val="20"/>
                <w:lang w:val="bg-BG"/>
              </w:rPr>
              <w:t>1,387</w:t>
            </w:r>
          </w:p>
        </w:tc>
        <w:tc>
          <w:tcPr>
            <w:tcW w:w="850" w:type="dxa"/>
            <w:tcBorders>
              <w:top w:val="single" w:sz="8" w:space="0" w:color="auto"/>
              <w:left w:val="nil"/>
              <w:bottom w:val="single" w:sz="8" w:space="0" w:color="auto"/>
              <w:right w:val="nil"/>
            </w:tcBorders>
            <w:shd w:val="clear" w:color="auto" w:fill="auto"/>
            <w:tcMar>
              <w:left w:w="28" w:type="dxa"/>
              <w:right w:w="28" w:type="dxa"/>
            </w:tcMar>
            <w:vAlign w:val="bottom"/>
            <w:hideMark/>
          </w:tcPr>
          <w:p w14:paraId="46EA2379"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1,324</w:t>
            </w:r>
          </w:p>
        </w:tc>
      </w:tr>
      <w:tr w:rsidR="0084445A" w:rsidRPr="00833465" w14:paraId="396B19D4"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center"/>
            <w:hideMark/>
          </w:tcPr>
          <w:p w14:paraId="37AE1303" w14:textId="77777777" w:rsidR="0084445A" w:rsidRPr="00833465" w:rsidRDefault="0084445A" w:rsidP="006661FC">
            <w:pPr>
              <w:pStyle w:val="a"/>
              <w:rPr>
                <w:rFonts w:asciiTheme="minorHAnsi" w:hAnsiTheme="minorHAnsi" w:cstheme="minorHAnsi"/>
                <w:b/>
                <w:bCs/>
                <w:color w:val="auto"/>
                <w:sz w:val="18"/>
                <w:szCs w:val="18"/>
                <w:lang w:val="bg-BG"/>
              </w:rPr>
            </w:pPr>
            <w:r w:rsidRPr="00833465">
              <w:rPr>
                <w:rFonts w:asciiTheme="minorHAnsi" w:hAnsiTheme="minorHAnsi" w:cstheme="minorHAnsi"/>
                <w:b/>
                <w:color w:val="auto"/>
                <w:sz w:val="18"/>
                <w:szCs w:val="18"/>
                <w:lang w:val="bg-BG"/>
              </w:rPr>
              <w:t>Балансова стойност на 31 декември</w:t>
            </w:r>
          </w:p>
        </w:tc>
        <w:tc>
          <w:tcPr>
            <w:tcW w:w="856" w:type="dxa"/>
            <w:tcBorders>
              <w:top w:val="nil"/>
              <w:left w:val="nil"/>
              <w:bottom w:val="nil"/>
              <w:right w:val="nil"/>
            </w:tcBorders>
            <w:shd w:val="clear" w:color="auto" w:fill="auto"/>
            <w:tcMar>
              <w:left w:w="28" w:type="dxa"/>
              <w:right w:w="28" w:type="dxa"/>
            </w:tcMar>
            <w:vAlign w:val="bottom"/>
            <w:hideMark/>
          </w:tcPr>
          <w:p w14:paraId="2C1C2A6A" w14:textId="77777777" w:rsidR="0084445A" w:rsidRPr="00833465" w:rsidRDefault="0084445A" w:rsidP="006661FC">
            <w:pPr>
              <w:pStyle w:val="a0"/>
              <w:widowControl w:val="0"/>
              <w:rPr>
                <w:rFonts w:asciiTheme="minorHAnsi" w:hAnsiTheme="minorHAnsi" w:cstheme="minorHAnsi"/>
                <w:b/>
                <w:szCs w:val="20"/>
                <w:lang w:val="bg-BG"/>
              </w:rPr>
            </w:pPr>
            <w:r w:rsidRPr="00833465">
              <w:rPr>
                <w:rFonts w:asciiTheme="minorHAnsi" w:hAnsiTheme="minorHAnsi" w:cstheme="minorHAnsi"/>
                <w:b/>
                <w:szCs w:val="20"/>
                <w:lang w:val="bg-BG"/>
              </w:rPr>
              <w:t>1,204</w:t>
            </w:r>
          </w:p>
        </w:tc>
        <w:tc>
          <w:tcPr>
            <w:tcW w:w="851" w:type="dxa"/>
            <w:tcBorders>
              <w:top w:val="nil"/>
              <w:left w:val="nil"/>
              <w:bottom w:val="nil"/>
              <w:right w:val="nil"/>
            </w:tcBorders>
            <w:shd w:val="clear" w:color="auto" w:fill="auto"/>
            <w:tcMar>
              <w:left w:w="28" w:type="dxa"/>
              <w:right w:w="28" w:type="dxa"/>
            </w:tcMar>
            <w:vAlign w:val="bottom"/>
            <w:hideMark/>
          </w:tcPr>
          <w:p w14:paraId="4F93F38E" w14:textId="77777777" w:rsidR="0084445A" w:rsidRPr="00833465" w:rsidRDefault="0084445A" w:rsidP="006661FC">
            <w:pPr>
              <w:pStyle w:val="a0"/>
              <w:widowControl w:val="0"/>
              <w:rPr>
                <w:rFonts w:asciiTheme="minorHAnsi" w:hAnsiTheme="minorHAnsi" w:cstheme="minorHAnsi"/>
                <w:b/>
                <w:bCs/>
                <w:szCs w:val="20"/>
              </w:rPr>
            </w:pPr>
            <w:r w:rsidRPr="00833465">
              <w:rPr>
                <w:rFonts w:asciiTheme="minorHAnsi" w:hAnsiTheme="minorHAnsi" w:cstheme="minorHAnsi"/>
                <w:b/>
                <w:szCs w:val="20"/>
              </w:rPr>
              <w:t>1,236</w:t>
            </w:r>
          </w:p>
        </w:tc>
        <w:tc>
          <w:tcPr>
            <w:tcW w:w="851" w:type="dxa"/>
            <w:tcBorders>
              <w:top w:val="nil"/>
              <w:left w:val="nil"/>
              <w:bottom w:val="nil"/>
              <w:right w:val="nil"/>
            </w:tcBorders>
            <w:shd w:val="clear" w:color="auto" w:fill="auto"/>
            <w:tcMar>
              <w:left w:w="28" w:type="dxa"/>
              <w:right w:w="28" w:type="dxa"/>
            </w:tcMar>
            <w:vAlign w:val="bottom"/>
            <w:hideMark/>
          </w:tcPr>
          <w:p w14:paraId="79F380A0" w14:textId="77777777" w:rsidR="0084445A" w:rsidRPr="00833465" w:rsidRDefault="0084445A" w:rsidP="006661FC">
            <w:pPr>
              <w:pStyle w:val="a0"/>
              <w:widowControl w:val="0"/>
              <w:rPr>
                <w:rFonts w:asciiTheme="minorHAnsi" w:hAnsiTheme="minorHAnsi" w:cstheme="minorHAnsi"/>
                <w:b/>
                <w:szCs w:val="20"/>
                <w:lang w:val="bg-BG"/>
              </w:rPr>
            </w:pPr>
            <w:r w:rsidRPr="00833465">
              <w:rPr>
                <w:rFonts w:asciiTheme="minorHAnsi" w:hAnsiTheme="minorHAnsi" w:cstheme="minorHAnsi"/>
                <w:b/>
                <w:szCs w:val="20"/>
                <w:lang w:val="bg-BG"/>
              </w:rPr>
              <w:t>73</w:t>
            </w:r>
          </w:p>
        </w:tc>
        <w:tc>
          <w:tcPr>
            <w:tcW w:w="838" w:type="dxa"/>
            <w:tcBorders>
              <w:top w:val="nil"/>
              <w:left w:val="nil"/>
              <w:bottom w:val="nil"/>
              <w:right w:val="nil"/>
            </w:tcBorders>
            <w:shd w:val="clear" w:color="auto" w:fill="auto"/>
            <w:tcMar>
              <w:left w:w="28" w:type="dxa"/>
              <w:right w:w="28" w:type="dxa"/>
            </w:tcMar>
            <w:vAlign w:val="bottom"/>
            <w:hideMark/>
          </w:tcPr>
          <w:p w14:paraId="0D9A6580"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60</w:t>
            </w:r>
          </w:p>
        </w:tc>
        <w:tc>
          <w:tcPr>
            <w:tcW w:w="862" w:type="dxa"/>
            <w:tcBorders>
              <w:top w:val="nil"/>
              <w:left w:val="nil"/>
              <w:bottom w:val="nil"/>
              <w:right w:val="nil"/>
            </w:tcBorders>
            <w:shd w:val="clear" w:color="auto" w:fill="auto"/>
            <w:tcMar>
              <w:left w:w="28" w:type="dxa"/>
              <w:right w:w="28" w:type="dxa"/>
            </w:tcMar>
            <w:vAlign w:val="bottom"/>
            <w:hideMark/>
          </w:tcPr>
          <w:p w14:paraId="77349E36"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w:t>
            </w:r>
          </w:p>
        </w:tc>
        <w:tc>
          <w:tcPr>
            <w:tcW w:w="836" w:type="dxa"/>
            <w:tcBorders>
              <w:top w:val="nil"/>
              <w:left w:val="nil"/>
              <w:bottom w:val="nil"/>
              <w:right w:val="nil"/>
            </w:tcBorders>
            <w:shd w:val="clear" w:color="auto" w:fill="auto"/>
            <w:tcMar>
              <w:left w:w="28" w:type="dxa"/>
              <w:right w:w="28" w:type="dxa"/>
            </w:tcMar>
            <w:vAlign w:val="bottom"/>
            <w:hideMark/>
          </w:tcPr>
          <w:p w14:paraId="38A67F18"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w:t>
            </w:r>
          </w:p>
        </w:tc>
        <w:tc>
          <w:tcPr>
            <w:tcW w:w="865" w:type="dxa"/>
            <w:tcBorders>
              <w:top w:val="nil"/>
              <w:left w:val="nil"/>
              <w:bottom w:val="nil"/>
              <w:right w:val="nil"/>
            </w:tcBorders>
            <w:shd w:val="clear" w:color="auto" w:fill="auto"/>
            <w:tcMar>
              <w:left w:w="28" w:type="dxa"/>
              <w:right w:w="28" w:type="dxa"/>
            </w:tcMar>
            <w:vAlign w:val="bottom"/>
            <w:hideMark/>
          </w:tcPr>
          <w:p w14:paraId="666690C3"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3</w:t>
            </w:r>
          </w:p>
        </w:tc>
        <w:tc>
          <w:tcPr>
            <w:tcW w:w="850" w:type="dxa"/>
            <w:tcBorders>
              <w:top w:val="nil"/>
              <w:left w:val="nil"/>
              <w:bottom w:val="nil"/>
              <w:right w:val="nil"/>
            </w:tcBorders>
            <w:shd w:val="clear" w:color="auto" w:fill="auto"/>
            <w:tcMar>
              <w:left w:w="28" w:type="dxa"/>
              <w:right w:w="28" w:type="dxa"/>
            </w:tcMar>
            <w:vAlign w:val="bottom"/>
            <w:hideMark/>
          </w:tcPr>
          <w:p w14:paraId="07CC68E7" w14:textId="77777777" w:rsidR="0084445A" w:rsidRPr="00833465" w:rsidRDefault="0084445A" w:rsidP="006661FC">
            <w:pPr>
              <w:pStyle w:val="a0"/>
              <w:widowControl w:val="0"/>
              <w:rPr>
                <w:rFonts w:asciiTheme="minorHAnsi" w:hAnsiTheme="minorHAnsi" w:cstheme="minorHAnsi"/>
                <w:b/>
                <w:bCs/>
                <w:szCs w:val="20"/>
              </w:rPr>
            </w:pPr>
            <w:r w:rsidRPr="00833465">
              <w:rPr>
                <w:rFonts w:asciiTheme="minorHAnsi" w:hAnsiTheme="minorHAnsi" w:cstheme="minorHAnsi"/>
                <w:b/>
                <w:szCs w:val="20"/>
              </w:rPr>
              <w:t>3</w:t>
            </w:r>
          </w:p>
        </w:tc>
        <w:tc>
          <w:tcPr>
            <w:tcW w:w="851" w:type="dxa"/>
            <w:tcBorders>
              <w:top w:val="nil"/>
              <w:left w:val="nil"/>
              <w:bottom w:val="nil"/>
              <w:right w:val="nil"/>
            </w:tcBorders>
            <w:shd w:val="clear" w:color="auto" w:fill="auto"/>
            <w:noWrap/>
            <w:tcMar>
              <w:left w:w="28" w:type="dxa"/>
              <w:right w:w="28" w:type="dxa"/>
            </w:tcMar>
            <w:vAlign w:val="bottom"/>
            <w:hideMark/>
          </w:tcPr>
          <w:p w14:paraId="47E11426" w14:textId="77777777" w:rsidR="0084445A" w:rsidRPr="00833465" w:rsidRDefault="0084445A" w:rsidP="006661FC">
            <w:pPr>
              <w:pStyle w:val="a0"/>
              <w:widowControl w:val="0"/>
              <w:rPr>
                <w:rFonts w:asciiTheme="minorHAnsi" w:hAnsiTheme="minorHAnsi" w:cstheme="minorHAnsi"/>
                <w:b/>
                <w:szCs w:val="20"/>
                <w:lang w:val="bg-BG"/>
              </w:rPr>
            </w:pPr>
            <w:r w:rsidRPr="00833465">
              <w:rPr>
                <w:rFonts w:asciiTheme="minorHAnsi" w:hAnsiTheme="minorHAnsi" w:cstheme="minorHAnsi"/>
                <w:b/>
                <w:szCs w:val="20"/>
                <w:lang w:val="bg-BG"/>
              </w:rPr>
              <w:t>1,280</w:t>
            </w:r>
          </w:p>
        </w:tc>
        <w:tc>
          <w:tcPr>
            <w:tcW w:w="850" w:type="dxa"/>
            <w:tcBorders>
              <w:top w:val="nil"/>
              <w:left w:val="nil"/>
              <w:bottom w:val="nil"/>
              <w:right w:val="nil"/>
            </w:tcBorders>
            <w:shd w:val="clear" w:color="auto" w:fill="auto"/>
            <w:tcMar>
              <w:left w:w="28" w:type="dxa"/>
              <w:right w:w="28" w:type="dxa"/>
            </w:tcMar>
            <w:vAlign w:val="bottom"/>
            <w:hideMark/>
          </w:tcPr>
          <w:p w14:paraId="20CED26B" w14:textId="77777777" w:rsidR="0084445A" w:rsidRPr="00833465" w:rsidRDefault="0084445A" w:rsidP="006661FC">
            <w:pPr>
              <w:pStyle w:val="a0"/>
              <w:widowControl w:val="0"/>
              <w:rPr>
                <w:rFonts w:asciiTheme="minorHAnsi" w:hAnsiTheme="minorHAnsi" w:cstheme="minorHAnsi"/>
                <w:b/>
                <w:bCs/>
                <w:szCs w:val="20"/>
              </w:rPr>
            </w:pPr>
            <w:r w:rsidRPr="00833465">
              <w:rPr>
                <w:rFonts w:asciiTheme="minorHAnsi" w:hAnsiTheme="minorHAnsi" w:cstheme="minorHAnsi"/>
                <w:b/>
                <w:szCs w:val="20"/>
              </w:rPr>
              <w:t xml:space="preserve">1,299 </w:t>
            </w:r>
          </w:p>
        </w:tc>
      </w:tr>
      <w:tr w:rsidR="0084445A" w:rsidRPr="00833465" w14:paraId="23375C3A" w14:textId="77777777" w:rsidTr="006661FC">
        <w:trPr>
          <w:trHeight w:val="170"/>
          <w:jc w:val="center"/>
        </w:trPr>
        <w:tc>
          <w:tcPr>
            <w:tcW w:w="2127" w:type="dxa"/>
            <w:tcBorders>
              <w:top w:val="nil"/>
              <w:left w:val="nil"/>
              <w:bottom w:val="nil"/>
              <w:right w:val="nil"/>
            </w:tcBorders>
            <w:shd w:val="clear" w:color="auto" w:fill="auto"/>
            <w:tcMar>
              <w:left w:w="28" w:type="dxa"/>
              <w:right w:w="28" w:type="dxa"/>
            </w:tcMar>
            <w:vAlign w:val="center"/>
            <w:hideMark/>
          </w:tcPr>
          <w:p w14:paraId="5CCAB461" w14:textId="53529354" w:rsidR="0084445A" w:rsidRPr="00833465" w:rsidRDefault="0084445A" w:rsidP="006661FC">
            <w:pPr>
              <w:pStyle w:val="a"/>
              <w:rPr>
                <w:rFonts w:asciiTheme="minorHAnsi" w:hAnsiTheme="minorHAnsi" w:cstheme="minorHAnsi"/>
                <w:b/>
                <w:color w:val="auto"/>
                <w:sz w:val="18"/>
                <w:szCs w:val="18"/>
                <w:lang w:val="bg-BG"/>
              </w:rPr>
            </w:pPr>
            <w:r w:rsidRPr="00833465">
              <w:rPr>
                <w:rFonts w:asciiTheme="minorHAnsi" w:hAnsiTheme="minorHAnsi" w:cstheme="minorHAnsi"/>
                <w:b/>
                <w:color w:val="auto"/>
                <w:sz w:val="18"/>
                <w:szCs w:val="18"/>
                <w:lang w:val="bg-BG"/>
              </w:rPr>
              <w:t>Балансова стойност</w:t>
            </w:r>
            <w:r w:rsidR="00FD518A" w:rsidRPr="00833465">
              <w:rPr>
                <w:rFonts w:asciiTheme="minorHAnsi" w:hAnsiTheme="minorHAnsi" w:cstheme="minorHAnsi"/>
                <w:b/>
                <w:color w:val="auto"/>
                <w:sz w:val="18"/>
                <w:szCs w:val="18"/>
                <w:lang w:val="bg-BG"/>
              </w:rPr>
              <w:t xml:space="preserve"> </w:t>
            </w:r>
            <w:r w:rsidRPr="00833465">
              <w:rPr>
                <w:rFonts w:asciiTheme="minorHAnsi" w:hAnsiTheme="minorHAnsi" w:cstheme="minorHAnsi"/>
                <w:b/>
                <w:color w:val="auto"/>
                <w:sz w:val="18"/>
                <w:szCs w:val="18"/>
                <w:lang w:val="bg-BG"/>
              </w:rPr>
              <w:t>на 1 януари</w:t>
            </w:r>
          </w:p>
        </w:tc>
        <w:tc>
          <w:tcPr>
            <w:tcW w:w="856" w:type="dxa"/>
            <w:tcBorders>
              <w:top w:val="nil"/>
              <w:left w:val="nil"/>
              <w:bottom w:val="double" w:sz="6" w:space="0" w:color="auto"/>
              <w:right w:val="nil"/>
            </w:tcBorders>
            <w:shd w:val="clear" w:color="auto" w:fill="auto"/>
            <w:tcMar>
              <w:left w:w="28" w:type="dxa"/>
              <w:right w:w="28" w:type="dxa"/>
            </w:tcMar>
            <w:vAlign w:val="bottom"/>
            <w:hideMark/>
          </w:tcPr>
          <w:p w14:paraId="6776C953"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1,236</w:t>
            </w:r>
          </w:p>
        </w:tc>
        <w:tc>
          <w:tcPr>
            <w:tcW w:w="851" w:type="dxa"/>
            <w:tcBorders>
              <w:top w:val="nil"/>
              <w:left w:val="nil"/>
              <w:bottom w:val="double" w:sz="6" w:space="0" w:color="auto"/>
              <w:right w:val="nil"/>
            </w:tcBorders>
            <w:shd w:val="clear" w:color="auto" w:fill="auto"/>
            <w:tcMar>
              <w:left w:w="28" w:type="dxa"/>
              <w:right w:w="28" w:type="dxa"/>
            </w:tcMar>
            <w:vAlign w:val="bottom"/>
            <w:hideMark/>
          </w:tcPr>
          <w:p w14:paraId="5316580F" w14:textId="77777777" w:rsidR="0084445A" w:rsidRPr="00833465" w:rsidRDefault="0084445A" w:rsidP="006661FC">
            <w:pPr>
              <w:pStyle w:val="a0"/>
              <w:widowControl w:val="0"/>
              <w:rPr>
                <w:rFonts w:asciiTheme="minorHAnsi" w:hAnsiTheme="minorHAnsi" w:cstheme="minorHAnsi"/>
                <w:b/>
                <w:bCs/>
                <w:szCs w:val="20"/>
              </w:rPr>
            </w:pPr>
            <w:r w:rsidRPr="00833465">
              <w:rPr>
                <w:rFonts w:asciiTheme="minorHAnsi" w:hAnsiTheme="minorHAnsi" w:cstheme="minorHAnsi"/>
                <w:b/>
                <w:szCs w:val="20"/>
              </w:rPr>
              <w:t>1,269</w:t>
            </w:r>
          </w:p>
        </w:tc>
        <w:tc>
          <w:tcPr>
            <w:tcW w:w="851" w:type="dxa"/>
            <w:tcBorders>
              <w:top w:val="nil"/>
              <w:left w:val="nil"/>
              <w:bottom w:val="double" w:sz="6" w:space="0" w:color="auto"/>
              <w:right w:val="nil"/>
            </w:tcBorders>
            <w:shd w:val="clear" w:color="auto" w:fill="auto"/>
            <w:tcMar>
              <w:left w:w="28" w:type="dxa"/>
              <w:right w:w="28" w:type="dxa"/>
            </w:tcMar>
            <w:vAlign w:val="bottom"/>
            <w:hideMark/>
          </w:tcPr>
          <w:p w14:paraId="1B3D084D"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60</w:t>
            </w:r>
          </w:p>
        </w:tc>
        <w:tc>
          <w:tcPr>
            <w:tcW w:w="838" w:type="dxa"/>
            <w:tcBorders>
              <w:top w:val="nil"/>
              <w:left w:val="nil"/>
              <w:bottom w:val="double" w:sz="6" w:space="0" w:color="auto"/>
              <w:right w:val="nil"/>
            </w:tcBorders>
            <w:shd w:val="clear" w:color="auto" w:fill="auto"/>
            <w:tcMar>
              <w:left w:w="28" w:type="dxa"/>
              <w:right w:w="28" w:type="dxa"/>
            </w:tcMar>
            <w:vAlign w:val="bottom"/>
            <w:hideMark/>
          </w:tcPr>
          <w:p w14:paraId="0F742514"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86</w:t>
            </w:r>
          </w:p>
        </w:tc>
        <w:tc>
          <w:tcPr>
            <w:tcW w:w="862" w:type="dxa"/>
            <w:tcBorders>
              <w:top w:val="nil"/>
              <w:left w:val="nil"/>
              <w:bottom w:val="double" w:sz="6" w:space="0" w:color="auto"/>
              <w:right w:val="nil"/>
            </w:tcBorders>
            <w:shd w:val="clear" w:color="auto" w:fill="auto"/>
            <w:tcMar>
              <w:left w:w="28" w:type="dxa"/>
              <w:right w:w="28" w:type="dxa"/>
            </w:tcMar>
            <w:vAlign w:val="bottom"/>
            <w:hideMark/>
          </w:tcPr>
          <w:p w14:paraId="75BF1F18"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w:t>
            </w:r>
          </w:p>
        </w:tc>
        <w:tc>
          <w:tcPr>
            <w:tcW w:w="836" w:type="dxa"/>
            <w:tcBorders>
              <w:top w:val="nil"/>
              <w:left w:val="nil"/>
              <w:bottom w:val="double" w:sz="6" w:space="0" w:color="auto"/>
              <w:right w:val="nil"/>
            </w:tcBorders>
            <w:shd w:val="clear" w:color="auto" w:fill="auto"/>
            <w:tcMar>
              <w:left w:w="28" w:type="dxa"/>
              <w:right w:w="28" w:type="dxa"/>
            </w:tcMar>
            <w:vAlign w:val="bottom"/>
            <w:hideMark/>
          </w:tcPr>
          <w:p w14:paraId="4018C9B7"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10</w:t>
            </w:r>
          </w:p>
        </w:tc>
        <w:tc>
          <w:tcPr>
            <w:tcW w:w="865" w:type="dxa"/>
            <w:tcBorders>
              <w:top w:val="nil"/>
              <w:left w:val="nil"/>
              <w:bottom w:val="double" w:sz="6" w:space="0" w:color="auto"/>
              <w:right w:val="nil"/>
            </w:tcBorders>
            <w:shd w:val="clear" w:color="auto" w:fill="auto"/>
            <w:tcMar>
              <w:left w:w="28" w:type="dxa"/>
              <w:right w:w="28" w:type="dxa"/>
            </w:tcMar>
            <w:vAlign w:val="bottom"/>
            <w:hideMark/>
          </w:tcPr>
          <w:p w14:paraId="11FF3DD6"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3</w:t>
            </w:r>
          </w:p>
        </w:tc>
        <w:tc>
          <w:tcPr>
            <w:tcW w:w="850" w:type="dxa"/>
            <w:tcBorders>
              <w:top w:val="nil"/>
              <w:left w:val="nil"/>
              <w:bottom w:val="double" w:sz="6" w:space="0" w:color="auto"/>
              <w:right w:val="nil"/>
            </w:tcBorders>
            <w:shd w:val="clear" w:color="auto" w:fill="auto"/>
            <w:tcMar>
              <w:left w:w="28" w:type="dxa"/>
              <w:right w:w="28" w:type="dxa"/>
            </w:tcMar>
            <w:vAlign w:val="bottom"/>
            <w:hideMark/>
          </w:tcPr>
          <w:p w14:paraId="07F3F1BE"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4</w:t>
            </w:r>
          </w:p>
        </w:tc>
        <w:tc>
          <w:tcPr>
            <w:tcW w:w="851" w:type="dxa"/>
            <w:tcBorders>
              <w:top w:val="nil"/>
              <w:left w:val="nil"/>
              <w:bottom w:val="double" w:sz="6" w:space="0" w:color="auto"/>
              <w:right w:val="nil"/>
            </w:tcBorders>
            <w:shd w:val="clear" w:color="auto" w:fill="auto"/>
            <w:noWrap/>
            <w:tcMar>
              <w:left w:w="28" w:type="dxa"/>
              <w:right w:w="28" w:type="dxa"/>
            </w:tcMar>
            <w:vAlign w:val="bottom"/>
            <w:hideMark/>
          </w:tcPr>
          <w:p w14:paraId="348DC5F0"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1,299</w:t>
            </w:r>
          </w:p>
        </w:tc>
        <w:tc>
          <w:tcPr>
            <w:tcW w:w="850" w:type="dxa"/>
            <w:tcBorders>
              <w:top w:val="nil"/>
              <w:left w:val="nil"/>
              <w:bottom w:val="double" w:sz="6" w:space="0" w:color="auto"/>
              <w:right w:val="nil"/>
            </w:tcBorders>
            <w:shd w:val="clear" w:color="auto" w:fill="auto"/>
            <w:tcMar>
              <w:left w:w="28" w:type="dxa"/>
              <w:right w:w="28" w:type="dxa"/>
            </w:tcMar>
            <w:vAlign w:val="bottom"/>
            <w:hideMark/>
          </w:tcPr>
          <w:p w14:paraId="3DEF5FB4" w14:textId="77777777" w:rsidR="0084445A" w:rsidRPr="00833465" w:rsidRDefault="0084445A" w:rsidP="006661FC">
            <w:pPr>
              <w:pStyle w:val="a0"/>
              <w:widowControl w:val="0"/>
              <w:rPr>
                <w:rFonts w:asciiTheme="minorHAnsi" w:hAnsiTheme="minorHAnsi" w:cstheme="minorHAnsi"/>
                <w:b/>
                <w:szCs w:val="20"/>
              </w:rPr>
            </w:pPr>
            <w:r w:rsidRPr="00833465">
              <w:rPr>
                <w:rFonts w:asciiTheme="minorHAnsi" w:hAnsiTheme="minorHAnsi" w:cstheme="minorHAnsi"/>
                <w:b/>
                <w:szCs w:val="20"/>
              </w:rPr>
              <w:t>1,369</w:t>
            </w:r>
          </w:p>
        </w:tc>
      </w:tr>
    </w:tbl>
    <w:p w14:paraId="1DD9DCC3" w14:textId="77777777" w:rsidR="0084445A" w:rsidRPr="00741D80" w:rsidRDefault="0084445A" w:rsidP="0084445A">
      <w:pPr>
        <w:spacing w:after="0"/>
        <w:rPr>
          <w:rFonts w:cstheme="minorHAnsi"/>
        </w:rPr>
      </w:pPr>
    </w:p>
    <w:p w14:paraId="201A12FA" w14:textId="26B2F30C" w:rsidR="0084445A" w:rsidRPr="00741D80" w:rsidRDefault="0084445A" w:rsidP="00FC654F">
      <w:pPr>
        <w:jc w:val="both"/>
        <w:rPr>
          <w:rFonts w:cstheme="minorHAnsi"/>
        </w:rPr>
      </w:pPr>
      <w:r w:rsidRPr="00741D80">
        <w:rPr>
          <w:rFonts w:cstheme="minorHAnsi"/>
        </w:rPr>
        <w:t>Отчетната стойност на напълно амортизираните машини и оборудване, представени в междинния съкратен отчет за финансовото състояние, ползвани в дейността на дружеството към 31.12</w:t>
      </w:r>
      <w:r w:rsidRPr="00741D80">
        <w:rPr>
          <w:rFonts w:cstheme="minorHAnsi"/>
          <w:lang w:val="en-US"/>
        </w:rPr>
        <w:t>.</w:t>
      </w:r>
      <w:r w:rsidRPr="00741D80">
        <w:rPr>
          <w:rFonts w:cstheme="minorHAnsi"/>
        </w:rPr>
        <w:t xml:space="preserve">2018 г. е 932 </w:t>
      </w:r>
      <w:proofErr w:type="spellStart"/>
      <w:r w:rsidRPr="00741D80">
        <w:rPr>
          <w:rFonts w:cstheme="minorHAnsi"/>
        </w:rPr>
        <w:t>х.лв</w:t>
      </w:r>
      <w:proofErr w:type="spellEnd"/>
      <w:r w:rsidRPr="00741D80">
        <w:rPr>
          <w:rFonts w:cstheme="minorHAnsi"/>
        </w:rPr>
        <w:t xml:space="preserve">. (31.12.2017 г.: 927 </w:t>
      </w:r>
      <w:proofErr w:type="spellStart"/>
      <w:r w:rsidRPr="00741D80">
        <w:rPr>
          <w:rFonts w:cstheme="minorHAnsi"/>
        </w:rPr>
        <w:t>х.лв</w:t>
      </w:r>
      <w:proofErr w:type="spellEnd"/>
      <w:r w:rsidRPr="00741D80">
        <w:rPr>
          <w:rFonts w:cstheme="minorHAnsi"/>
        </w:rPr>
        <w:t xml:space="preserve">.). Отчетната стойност на отписаните, напълно амортизирани дълготрайни материални активи с протокол за брак към 31.12.2017 г. е 19 </w:t>
      </w:r>
      <w:proofErr w:type="spellStart"/>
      <w:r w:rsidRPr="00741D80">
        <w:rPr>
          <w:rFonts w:cstheme="minorHAnsi"/>
        </w:rPr>
        <w:t>х.лв</w:t>
      </w:r>
      <w:proofErr w:type="spellEnd"/>
      <w:r w:rsidRPr="00741D80">
        <w:rPr>
          <w:rFonts w:cstheme="minorHAnsi"/>
        </w:rPr>
        <w:t xml:space="preserve">. </w:t>
      </w:r>
    </w:p>
    <w:p w14:paraId="2356BF63" w14:textId="77777777" w:rsidR="0084445A" w:rsidRPr="00741D80" w:rsidRDefault="0084445A" w:rsidP="00833465">
      <w:pPr>
        <w:pStyle w:val="Mainnumbers"/>
      </w:pPr>
      <w:bookmarkStart w:id="51" w:name="_Toc418084380"/>
      <w:bookmarkStart w:id="52" w:name="_Toc536452020"/>
      <w:r w:rsidRPr="00741D80">
        <w:t>НЕМАТЕРИАЛНИ АКТИВИ</w:t>
      </w:r>
      <w:bookmarkEnd w:id="51"/>
      <w:bookmarkEnd w:id="52"/>
    </w:p>
    <w:tbl>
      <w:tblPr>
        <w:tblW w:w="5000" w:type="pct"/>
        <w:jc w:val="center"/>
        <w:tblLook w:val="04A0" w:firstRow="1" w:lastRow="0" w:firstColumn="1" w:lastColumn="0" w:noHBand="0" w:noVBand="1"/>
      </w:tblPr>
      <w:tblGrid>
        <w:gridCol w:w="6925"/>
        <w:gridCol w:w="1290"/>
        <w:gridCol w:w="1423"/>
      </w:tblGrid>
      <w:tr w:rsidR="0084445A" w:rsidRPr="00741D80" w14:paraId="567C7F18"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tcPr>
          <w:p w14:paraId="51F90624" w14:textId="77777777" w:rsidR="0084445A" w:rsidRPr="00741D80" w:rsidRDefault="0084445A" w:rsidP="006661FC">
            <w:pPr>
              <w:pStyle w:val="a"/>
              <w:rPr>
                <w:rFonts w:asciiTheme="minorHAnsi" w:hAnsiTheme="minorHAnsi" w:cstheme="minorHAnsi"/>
                <w:color w:val="auto"/>
                <w:szCs w:val="20"/>
                <w:lang w:val="bg-BG"/>
              </w:rPr>
            </w:pPr>
          </w:p>
        </w:tc>
        <w:tc>
          <w:tcPr>
            <w:tcW w:w="1407" w:type="pct"/>
            <w:gridSpan w:val="2"/>
            <w:tcBorders>
              <w:top w:val="nil"/>
              <w:left w:val="nil"/>
              <w:bottom w:val="nil"/>
              <w:right w:val="nil"/>
            </w:tcBorders>
            <w:shd w:val="clear" w:color="auto" w:fill="auto"/>
            <w:tcMar>
              <w:left w:w="57" w:type="dxa"/>
              <w:right w:w="57" w:type="dxa"/>
            </w:tcMar>
            <w:vAlign w:val="bottom"/>
          </w:tcPr>
          <w:p w14:paraId="596D705D" w14:textId="77777777" w:rsidR="0084445A" w:rsidRPr="00741D80" w:rsidRDefault="0084445A" w:rsidP="006661FC">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Програмни продукти</w:t>
            </w:r>
          </w:p>
        </w:tc>
      </w:tr>
      <w:tr w:rsidR="0084445A" w:rsidRPr="00741D80" w14:paraId="38C06FE0"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hideMark/>
          </w:tcPr>
          <w:p w14:paraId="0124975C" w14:textId="77777777" w:rsidR="0084445A" w:rsidRPr="00741D80" w:rsidRDefault="0084445A" w:rsidP="006661FC">
            <w:pPr>
              <w:pStyle w:val="a"/>
              <w:jc w:val="center"/>
              <w:rPr>
                <w:rFonts w:asciiTheme="minorHAnsi" w:hAnsiTheme="minorHAnsi" w:cstheme="minorHAnsi"/>
                <w:color w:val="auto"/>
                <w:szCs w:val="20"/>
                <w:lang w:val="bg-BG"/>
              </w:rPr>
            </w:pPr>
          </w:p>
        </w:tc>
        <w:tc>
          <w:tcPr>
            <w:tcW w:w="669" w:type="pct"/>
            <w:tcBorders>
              <w:top w:val="nil"/>
              <w:left w:val="nil"/>
              <w:bottom w:val="nil"/>
              <w:right w:val="nil"/>
            </w:tcBorders>
            <w:shd w:val="clear" w:color="auto" w:fill="auto"/>
            <w:tcMar>
              <w:left w:w="57" w:type="dxa"/>
              <w:right w:w="57" w:type="dxa"/>
            </w:tcMar>
            <w:vAlign w:val="bottom"/>
            <w:hideMark/>
          </w:tcPr>
          <w:p w14:paraId="73CF5D84" w14:textId="77777777" w:rsidR="0084445A" w:rsidRPr="00741D80" w:rsidRDefault="0084445A" w:rsidP="006661FC">
            <w:pPr>
              <w:pStyle w:val="a1"/>
              <w:widowControl w:val="0"/>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738" w:type="pct"/>
            <w:tcBorders>
              <w:top w:val="nil"/>
              <w:left w:val="nil"/>
              <w:bottom w:val="nil"/>
              <w:right w:val="nil"/>
            </w:tcBorders>
            <w:shd w:val="clear" w:color="auto" w:fill="auto"/>
            <w:tcMar>
              <w:left w:w="57" w:type="dxa"/>
              <w:right w:w="57" w:type="dxa"/>
            </w:tcMar>
            <w:vAlign w:val="bottom"/>
            <w:hideMark/>
          </w:tcPr>
          <w:p w14:paraId="75437A86" w14:textId="77777777" w:rsidR="0084445A" w:rsidRPr="00741D80" w:rsidRDefault="0084445A" w:rsidP="006661FC">
            <w:pPr>
              <w:pStyle w:val="a1"/>
              <w:widowControl w:val="0"/>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7ABE7FAF"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hideMark/>
          </w:tcPr>
          <w:p w14:paraId="4990AE54" w14:textId="77777777" w:rsidR="0084445A" w:rsidRPr="00741D80" w:rsidRDefault="0084445A" w:rsidP="006661FC">
            <w:pPr>
              <w:pStyle w:val="a"/>
              <w:jc w:val="center"/>
              <w:rPr>
                <w:rFonts w:asciiTheme="minorHAnsi" w:hAnsiTheme="minorHAnsi" w:cstheme="minorHAnsi"/>
                <w:color w:val="auto"/>
                <w:szCs w:val="20"/>
                <w:lang w:val="bg-BG"/>
              </w:rPr>
            </w:pPr>
          </w:p>
        </w:tc>
        <w:tc>
          <w:tcPr>
            <w:tcW w:w="669" w:type="pct"/>
            <w:tcBorders>
              <w:top w:val="nil"/>
              <w:left w:val="nil"/>
              <w:bottom w:val="nil"/>
              <w:right w:val="nil"/>
            </w:tcBorders>
            <w:shd w:val="clear" w:color="auto" w:fill="auto"/>
            <w:noWrap/>
            <w:tcMar>
              <w:left w:w="57" w:type="dxa"/>
              <w:right w:w="57" w:type="dxa"/>
            </w:tcMar>
            <w:hideMark/>
          </w:tcPr>
          <w:p w14:paraId="4E7CB112" w14:textId="77777777" w:rsidR="0084445A" w:rsidRPr="00741D80" w:rsidRDefault="0084445A" w:rsidP="006661FC">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738" w:type="pct"/>
            <w:tcBorders>
              <w:top w:val="nil"/>
              <w:left w:val="nil"/>
              <w:bottom w:val="nil"/>
              <w:right w:val="nil"/>
            </w:tcBorders>
            <w:shd w:val="clear" w:color="auto" w:fill="auto"/>
            <w:noWrap/>
            <w:tcMar>
              <w:left w:w="57" w:type="dxa"/>
              <w:right w:w="57" w:type="dxa"/>
            </w:tcMar>
            <w:hideMark/>
          </w:tcPr>
          <w:p w14:paraId="20A1D03D" w14:textId="77777777" w:rsidR="0084445A" w:rsidRPr="00741D80" w:rsidRDefault="0084445A" w:rsidP="006661FC">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3D50D6FB"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hideMark/>
          </w:tcPr>
          <w:p w14:paraId="7935605F" w14:textId="77777777" w:rsidR="0084445A" w:rsidRPr="00741D80" w:rsidRDefault="0084445A" w:rsidP="006661FC">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Отчетна стойност</w:t>
            </w:r>
          </w:p>
        </w:tc>
        <w:tc>
          <w:tcPr>
            <w:tcW w:w="669" w:type="pct"/>
            <w:tcBorders>
              <w:top w:val="nil"/>
              <w:left w:val="nil"/>
              <w:bottom w:val="nil"/>
              <w:right w:val="nil"/>
            </w:tcBorders>
            <w:shd w:val="clear" w:color="auto" w:fill="auto"/>
            <w:tcMar>
              <w:left w:w="57" w:type="dxa"/>
              <w:right w:w="57" w:type="dxa"/>
            </w:tcMar>
            <w:vAlign w:val="bottom"/>
            <w:hideMark/>
          </w:tcPr>
          <w:p w14:paraId="0FBF09D6" w14:textId="77777777" w:rsidR="0084445A" w:rsidRPr="00741D80" w:rsidRDefault="0084445A" w:rsidP="006661FC">
            <w:pPr>
              <w:pStyle w:val="a0"/>
              <w:rPr>
                <w:rFonts w:asciiTheme="minorHAnsi" w:hAnsiTheme="minorHAnsi" w:cstheme="minorHAnsi"/>
                <w:color w:val="auto"/>
                <w:szCs w:val="20"/>
                <w:lang w:val="bg-BG"/>
              </w:rPr>
            </w:pPr>
          </w:p>
        </w:tc>
        <w:tc>
          <w:tcPr>
            <w:tcW w:w="738" w:type="pct"/>
            <w:tcBorders>
              <w:top w:val="nil"/>
              <w:left w:val="nil"/>
              <w:bottom w:val="nil"/>
              <w:right w:val="nil"/>
            </w:tcBorders>
            <w:shd w:val="clear" w:color="auto" w:fill="auto"/>
            <w:tcMar>
              <w:left w:w="57" w:type="dxa"/>
              <w:right w:w="57" w:type="dxa"/>
            </w:tcMar>
            <w:vAlign w:val="bottom"/>
            <w:hideMark/>
          </w:tcPr>
          <w:p w14:paraId="2EE90AD2" w14:textId="77777777" w:rsidR="0084445A" w:rsidRPr="00741D80" w:rsidRDefault="0084445A" w:rsidP="006661FC">
            <w:pPr>
              <w:pStyle w:val="a0"/>
              <w:rPr>
                <w:rFonts w:asciiTheme="minorHAnsi" w:hAnsiTheme="minorHAnsi" w:cstheme="minorHAnsi"/>
                <w:color w:val="auto"/>
                <w:szCs w:val="20"/>
                <w:lang w:val="bg-BG"/>
              </w:rPr>
            </w:pPr>
          </w:p>
        </w:tc>
      </w:tr>
      <w:tr w:rsidR="0084445A" w:rsidRPr="00741D80" w14:paraId="5BDDA22C"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hideMark/>
          </w:tcPr>
          <w:p w14:paraId="615439F7" w14:textId="77777777" w:rsidR="0084445A" w:rsidRPr="00741D80" w:rsidRDefault="0084445A" w:rsidP="006661FC">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Салдо на 1 януари</w:t>
            </w:r>
          </w:p>
        </w:tc>
        <w:tc>
          <w:tcPr>
            <w:tcW w:w="669" w:type="pct"/>
            <w:tcBorders>
              <w:top w:val="nil"/>
              <w:left w:val="nil"/>
              <w:bottom w:val="nil"/>
              <w:right w:val="nil"/>
            </w:tcBorders>
            <w:shd w:val="clear" w:color="auto" w:fill="auto"/>
            <w:tcMar>
              <w:left w:w="57" w:type="dxa"/>
              <w:right w:w="57" w:type="dxa"/>
            </w:tcMar>
            <w:vAlign w:val="bottom"/>
            <w:hideMark/>
          </w:tcPr>
          <w:p w14:paraId="7740B050"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 xml:space="preserve"> 741 </w:t>
            </w:r>
          </w:p>
        </w:tc>
        <w:tc>
          <w:tcPr>
            <w:tcW w:w="738" w:type="pct"/>
            <w:tcBorders>
              <w:top w:val="nil"/>
              <w:left w:val="nil"/>
              <w:bottom w:val="nil"/>
              <w:right w:val="nil"/>
            </w:tcBorders>
            <w:shd w:val="clear" w:color="auto" w:fill="auto"/>
            <w:tcMar>
              <w:left w:w="57" w:type="dxa"/>
              <w:right w:w="57" w:type="dxa"/>
            </w:tcMar>
            <w:vAlign w:val="bottom"/>
            <w:hideMark/>
          </w:tcPr>
          <w:p w14:paraId="07B8E95F"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 xml:space="preserve">741 </w:t>
            </w:r>
          </w:p>
        </w:tc>
      </w:tr>
      <w:tr w:rsidR="0084445A" w:rsidRPr="00741D80" w14:paraId="2BE0CD32"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hideMark/>
          </w:tcPr>
          <w:p w14:paraId="60A368D2" w14:textId="77777777" w:rsidR="0084445A" w:rsidRPr="00741D80" w:rsidRDefault="0084445A" w:rsidP="006661FC">
            <w:pPr>
              <w:pStyle w:val="a"/>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Придобити</w:t>
            </w:r>
          </w:p>
        </w:tc>
        <w:tc>
          <w:tcPr>
            <w:tcW w:w="669" w:type="pct"/>
            <w:tcBorders>
              <w:top w:val="nil"/>
              <w:left w:val="nil"/>
              <w:bottom w:val="nil"/>
              <w:right w:val="nil"/>
            </w:tcBorders>
            <w:shd w:val="clear" w:color="auto" w:fill="auto"/>
            <w:tcMar>
              <w:left w:w="57" w:type="dxa"/>
              <w:right w:w="57" w:type="dxa"/>
            </w:tcMar>
            <w:vAlign w:val="bottom"/>
            <w:hideMark/>
          </w:tcPr>
          <w:p w14:paraId="77F91D46" w14:textId="77777777" w:rsidR="0084445A" w:rsidRPr="00741D80" w:rsidRDefault="0084445A" w:rsidP="006661FC">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12</w:t>
            </w:r>
          </w:p>
        </w:tc>
        <w:tc>
          <w:tcPr>
            <w:tcW w:w="738" w:type="pct"/>
            <w:tcBorders>
              <w:top w:val="nil"/>
              <w:left w:val="nil"/>
              <w:bottom w:val="nil"/>
              <w:right w:val="nil"/>
            </w:tcBorders>
            <w:shd w:val="clear" w:color="auto" w:fill="auto"/>
            <w:tcMar>
              <w:left w:w="57" w:type="dxa"/>
              <w:right w:w="57" w:type="dxa"/>
            </w:tcMar>
            <w:vAlign w:val="bottom"/>
            <w:hideMark/>
          </w:tcPr>
          <w:p w14:paraId="2AE4F03B" w14:textId="77777777" w:rsidR="0084445A" w:rsidRPr="00741D80" w:rsidRDefault="0084445A" w:rsidP="006661FC">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r>
      <w:tr w:rsidR="0084445A" w:rsidRPr="00741D80" w14:paraId="58EDEBF4"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hideMark/>
          </w:tcPr>
          <w:p w14:paraId="6A2CAEC2" w14:textId="77777777" w:rsidR="0084445A" w:rsidRPr="00741D80" w:rsidRDefault="0084445A" w:rsidP="006661FC">
            <w:pPr>
              <w:pStyle w:val="a"/>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Отписани</w:t>
            </w:r>
          </w:p>
        </w:tc>
        <w:tc>
          <w:tcPr>
            <w:tcW w:w="669" w:type="pct"/>
            <w:tcBorders>
              <w:top w:val="nil"/>
              <w:left w:val="nil"/>
              <w:bottom w:val="nil"/>
              <w:right w:val="nil"/>
            </w:tcBorders>
            <w:shd w:val="clear" w:color="auto" w:fill="auto"/>
            <w:tcMar>
              <w:left w:w="57" w:type="dxa"/>
              <w:right w:w="57" w:type="dxa"/>
            </w:tcMar>
            <w:vAlign w:val="bottom"/>
            <w:hideMark/>
          </w:tcPr>
          <w:p w14:paraId="4F394023"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w:t>
            </w:r>
          </w:p>
        </w:tc>
        <w:tc>
          <w:tcPr>
            <w:tcW w:w="738" w:type="pct"/>
            <w:tcBorders>
              <w:top w:val="nil"/>
              <w:left w:val="nil"/>
              <w:bottom w:val="nil"/>
              <w:right w:val="nil"/>
            </w:tcBorders>
            <w:shd w:val="clear" w:color="auto" w:fill="auto"/>
            <w:tcMar>
              <w:left w:w="57" w:type="dxa"/>
              <w:right w:w="57" w:type="dxa"/>
            </w:tcMar>
            <w:vAlign w:val="bottom"/>
            <w:hideMark/>
          </w:tcPr>
          <w:p w14:paraId="625E5BA0"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w:t>
            </w:r>
          </w:p>
        </w:tc>
      </w:tr>
      <w:tr w:rsidR="0084445A" w:rsidRPr="00741D80" w14:paraId="0EA0EFA2"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hideMark/>
          </w:tcPr>
          <w:p w14:paraId="3A81DFE2" w14:textId="77777777" w:rsidR="0084445A" w:rsidRPr="00741D80" w:rsidRDefault="0084445A" w:rsidP="006661FC">
            <w:pPr>
              <w:pStyle w:val="a"/>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Салдо на 31 декември</w:t>
            </w:r>
          </w:p>
        </w:tc>
        <w:tc>
          <w:tcPr>
            <w:tcW w:w="669"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2376BEB0"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 xml:space="preserve">753 </w:t>
            </w:r>
          </w:p>
        </w:tc>
        <w:tc>
          <w:tcPr>
            <w:tcW w:w="738"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1D7E3AC2"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741</w:t>
            </w:r>
          </w:p>
        </w:tc>
      </w:tr>
      <w:tr w:rsidR="0084445A" w:rsidRPr="00741D80" w14:paraId="4F91A181"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hideMark/>
          </w:tcPr>
          <w:p w14:paraId="4F15D472" w14:textId="77777777" w:rsidR="0084445A" w:rsidRPr="00741D80" w:rsidRDefault="0084445A" w:rsidP="006661FC">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Натрупана амортизация</w:t>
            </w:r>
          </w:p>
        </w:tc>
        <w:tc>
          <w:tcPr>
            <w:tcW w:w="669" w:type="pct"/>
            <w:tcBorders>
              <w:top w:val="nil"/>
              <w:left w:val="nil"/>
              <w:bottom w:val="nil"/>
              <w:right w:val="nil"/>
            </w:tcBorders>
            <w:shd w:val="clear" w:color="auto" w:fill="auto"/>
            <w:tcMar>
              <w:left w:w="57" w:type="dxa"/>
              <w:right w:w="57" w:type="dxa"/>
            </w:tcMar>
            <w:vAlign w:val="bottom"/>
            <w:hideMark/>
          </w:tcPr>
          <w:p w14:paraId="1383F4E8" w14:textId="77777777" w:rsidR="0084445A" w:rsidRPr="00741D80" w:rsidRDefault="0084445A" w:rsidP="006661FC">
            <w:pPr>
              <w:pStyle w:val="a0"/>
              <w:widowControl w:val="0"/>
              <w:rPr>
                <w:rFonts w:asciiTheme="minorHAnsi" w:hAnsiTheme="minorHAnsi" w:cstheme="minorHAnsi"/>
                <w:color w:val="auto"/>
                <w:szCs w:val="20"/>
                <w:lang w:val="bg-BG"/>
              </w:rPr>
            </w:pPr>
          </w:p>
        </w:tc>
        <w:tc>
          <w:tcPr>
            <w:tcW w:w="738" w:type="pct"/>
            <w:tcBorders>
              <w:top w:val="nil"/>
              <w:left w:val="nil"/>
              <w:bottom w:val="nil"/>
              <w:right w:val="nil"/>
            </w:tcBorders>
            <w:shd w:val="clear" w:color="auto" w:fill="auto"/>
            <w:tcMar>
              <w:left w:w="57" w:type="dxa"/>
              <w:right w:w="57" w:type="dxa"/>
            </w:tcMar>
            <w:vAlign w:val="bottom"/>
            <w:hideMark/>
          </w:tcPr>
          <w:p w14:paraId="48571371" w14:textId="77777777" w:rsidR="0084445A" w:rsidRPr="00741D80" w:rsidRDefault="0084445A" w:rsidP="006661FC">
            <w:pPr>
              <w:pStyle w:val="a0"/>
              <w:widowControl w:val="0"/>
              <w:rPr>
                <w:rFonts w:asciiTheme="minorHAnsi" w:hAnsiTheme="minorHAnsi" w:cstheme="minorHAnsi"/>
                <w:color w:val="auto"/>
                <w:szCs w:val="20"/>
                <w:lang w:val="bg-BG"/>
              </w:rPr>
            </w:pPr>
          </w:p>
        </w:tc>
      </w:tr>
      <w:tr w:rsidR="0084445A" w:rsidRPr="00741D80" w14:paraId="09E81CFF"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hideMark/>
          </w:tcPr>
          <w:p w14:paraId="20EDA855" w14:textId="77777777" w:rsidR="0084445A" w:rsidRPr="00741D80" w:rsidRDefault="0084445A" w:rsidP="006661FC">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Салдо на 1 януари</w:t>
            </w:r>
          </w:p>
        </w:tc>
        <w:tc>
          <w:tcPr>
            <w:tcW w:w="669" w:type="pct"/>
            <w:tcBorders>
              <w:top w:val="nil"/>
              <w:left w:val="nil"/>
              <w:bottom w:val="nil"/>
              <w:right w:val="nil"/>
            </w:tcBorders>
            <w:shd w:val="clear" w:color="auto" w:fill="auto"/>
            <w:tcMar>
              <w:left w:w="57" w:type="dxa"/>
              <w:right w:w="57" w:type="dxa"/>
            </w:tcMar>
            <w:vAlign w:val="bottom"/>
            <w:hideMark/>
          </w:tcPr>
          <w:p w14:paraId="585F8FE2"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722</w:t>
            </w:r>
          </w:p>
        </w:tc>
        <w:tc>
          <w:tcPr>
            <w:tcW w:w="738" w:type="pct"/>
            <w:tcBorders>
              <w:top w:val="nil"/>
              <w:left w:val="nil"/>
              <w:bottom w:val="nil"/>
              <w:right w:val="nil"/>
            </w:tcBorders>
            <w:shd w:val="clear" w:color="auto" w:fill="auto"/>
            <w:tcMar>
              <w:left w:w="57" w:type="dxa"/>
              <w:right w:w="57" w:type="dxa"/>
            </w:tcMar>
            <w:vAlign w:val="bottom"/>
            <w:hideMark/>
          </w:tcPr>
          <w:p w14:paraId="651FA41F"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 xml:space="preserve">701 </w:t>
            </w:r>
          </w:p>
        </w:tc>
      </w:tr>
      <w:tr w:rsidR="0084445A" w:rsidRPr="00741D80" w14:paraId="61AA69A1"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hideMark/>
          </w:tcPr>
          <w:p w14:paraId="28AD0D0C" w14:textId="77777777" w:rsidR="0084445A" w:rsidRPr="00741D80" w:rsidRDefault="0084445A" w:rsidP="006661FC">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Начислена амортизация за периода</w:t>
            </w:r>
          </w:p>
        </w:tc>
        <w:tc>
          <w:tcPr>
            <w:tcW w:w="669" w:type="pct"/>
            <w:tcBorders>
              <w:top w:val="nil"/>
              <w:left w:val="nil"/>
              <w:bottom w:val="nil"/>
              <w:right w:val="nil"/>
            </w:tcBorders>
            <w:shd w:val="clear" w:color="auto" w:fill="auto"/>
            <w:tcMar>
              <w:left w:w="57" w:type="dxa"/>
              <w:right w:w="57" w:type="dxa"/>
            </w:tcMar>
            <w:vAlign w:val="bottom"/>
            <w:hideMark/>
          </w:tcPr>
          <w:p w14:paraId="11DA57DC" w14:textId="77777777" w:rsidR="0084445A" w:rsidRPr="00741D80" w:rsidRDefault="0084445A" w:rsidP="006661FC">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13 </w:t>
            </w:r>
          </w:p>
        </w:tc>
        <w:tc>
          <w:tcPr>
            <w:tcW w:w="738" w:type="pct"/>
            <w:tcBorders>
              <w:top w:val="nil"/>
              <w:left w:val="nil"/>
              <w:bottom w:val="nil"/>
              <w:right w:val="nil"/>
            </w:tcBorders>
            <w:shd w:val="clear" w:color="auto" w:fill="auto"/>
            <w:tcMar>
              <w:left w:w="57" w:type="dxa"/>
              <w:right w:w="57" w:type="dxa"/>
            </w:tcMar>
            <w:vAlign w:val="bottom"/>
            <w:hideMark/>
          </w:tcPr>
          <w:p w14:paraId="006945E1" w14:textId="77777777" w:rsidR="0084445A" w:rsidRPr="00741D80" w:rsidRDefault="0084445A" w:rsidP="006661FC">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21 </w:t>
            </w:r>
          </w:p>
        </w:tc>
      </w:tr>
      <w:tr w:rsidR="0084445A" w:rsidRPr="00741D80" w14:paraId="07DCA01A"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vAlign w:val="bottom"/>
            <w:hideMark/>
          </w:tcPr>
          <w:p w14:paraId="61A33BBA" w14:textId="77777777" w:rsidR="0084445A" w:rsidRPr="00741D80" w:rsidRDefault="0084445A" w:rsidP="006661FC">
            <w:pPr>
              <w:pStyle w:val="a"/>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Салдо на 31 декември</w:t>
            </w:r>
          </w:p>
        </w:tc>
        <w:tc>
          <w:tcPr>
            <w:tcW w:w="669"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4E37288F"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735</w:t>
            </w:r>
          </w:p>
        </w:tc>
        <w:tc>
          <w:tcPr>
            <w:tcW w:w="738"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351BD58F"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722</w:t>
            </w:r>
          </w:p>
        </w:tc>
      </w:tr>
      <w:tr w:rsidR="0084445A" w:rsidRPr="00741D80" w14:paraId="40C1CACF"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hideMark/>
          </w:tcPr>
          <w:p w14:paraId="35F6AE0F" w14:textId="77777777" w:rsidR="0084445A" w:rsidRPr="00741D80" w:rsidRDefault="0084445A" w:rsidP="006661FC">
            <w:pPr>
              <w:pStyle w:val="a"/>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Балансова стойност на 31 декември</w:t>
            </w:r>
          </w:p>
        </w:tc>
        <w:tc>
          <w:tcPr>
            <w:tcW w:w="669" w:type="pct"/>
            <w:tcBorders>
              <w:top w:val="nil"/>
              <w:left w:val="nil"/>
              <w:bottom w:val="double" w:sz="6" w:space="0" w:color="auto"/>
              <w:right w:val="nil"/>
            </w:tcBorders>
            <w:shd w:val="clear" w:color="auto" w:fill="auto"/>
            <w:tcMar>
              <w:left w:w="57" w:type="dxa"/>
              <w:right w:w="57" w:type="dxa"/>
            </w:tcMar>
            <w:vAlign w:val="bottom"/>
            <w:hideMark/>
          </w:tcPr>
          <w:p w14:paraId="53803A28"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18</w:t>
            </w:r>
          </w:p>
        </w:tc>
        <w:tc>
          <w:tcPr>
            <w:tcW w:w="738" w:type="pct"/>
            <w:tcBorders>
              <w:top w:val="nil"/>
              <w:left w:val="nil"/>
              <w:bottom w:val="double" w:sz="6" w:space="0" w:color="auto"/>
              <w:right w:val="nil"/>
            </w:tcBorders>
            <w:shd w:val="clear" w:color="auto" w:fill="auto"/>
            <w:tcMar>
              <w:left w:w="57" w:type="dxa"/>
              <w:right w:w="57" w:type="dxa"/>
            </w:tcMar>
            <w:vAlign w:val="bottom"/>
            <w:hideMark/>
          </w:tcPr>
          <w:p w14:paraId="79440005"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19</w:t>
            </w:r>
          </w:p>
        </w:tc>
      </w:tr>
      <w:tr w:rsidR="0084445A" w:rsidRPr="00741D80" w14:paraId="2BA98B1F" w14:textId="77777777" w:rsidTr="00E836AA">
        <w:trPr>
          <w:trHeight w:val="170"/>
          <w:jc w:val="center"/>
        </w:trPr>
        <w:tc>
          <w:tcPr>
            <w:tcW w:w="3593" w:type="pct"/>
            <w:tcBorders>
              <w:top w:val="nil"/>
              <w:left w:val="nil"/>
              <w:bottom w:val="nil"/>
              <w:right w:val="nil"/>
            </w:tcBorders>
            <w:shd w:val="clear" w:color="auto" w:fill="auto"/>
            <w:tcMar>
              <w:left w:w="57" w:type="dxa"/>
              <w:right w:w="57" w:type="dxa"/>
            </w:tcMar>
            <w:hideMark/>
          </w:tcPr>
          <w:p w14:paraId="658E3EF0" w14:textId="77777777" w:rsidR="0084445A" w:rsidRPr="00741D80" w:rsidRDefault="0084445A" w:rsidP="006661FC">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Балансова стойност на 1 януари</w:t>
            </w:r>
          </w:p>
        </w:tc>
        <w:tc>
          <w:tcPr>
            <w:tcW w:w="669" w:type="pct"/>
            <w:tcBorders>
              <w:top w:val="nil"/>
              <w:left w:val="nil"/>
              <w:bottom w:val="double" w:sz="6" w:space="0" w:color="auto"/>
              <w:right w:val="nil"/>
            </w:tcBorders>
            <w:shd w:val="clear" w:color="auto" w:fill="auto"/>
            <w:tcMar>
              <w:left w:w="57" w:type="dxa"/>
              <w:right w:w="57" w:type="dxa"/>
            </w:tcMar>
            <w:vAlign w:val="bottom"/>
            <w:hideMark/>
          </w:tcPr>
          <w:p w14:paraId="1D1171EE"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19</w:t>
            </w:r>
          </w:p>
        </w:tc>
        <w:tc>
          <w:tcPr>
            <w:tcW w:w="738" w:type="pct"/>
            <w:tcBorders>
              <w:top w:val="nil"/>
              <w:left w:val="nil"/>
              <w:bottom w:val="double" w:sz="6" w:space="0" w:color="auto"/>
              <w:right w:val="nil"/>
            </w:tcBorders>
            <w:shd w:val="clear" w:color="auto" w:fill="auto"/>
            <w:tcMar>
              <w:left w:w="57" w:type="dxa"/>
              <w:right w:w="57" w:type="dxa"/>
            </w:tcMar>
            <w:vAlign w:val="bottom"/>
            <w:hideMark/>
          </w:tcPr>
          <w:p w14:paraId="414C6AC9"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46</w:t>
            </w:r>
          </w:p>
        </w:tc>
      </w:tr>
    </w:tbl>
    <w:p w14:paraId="224ADF88" w14:textId="3A22EA6D" w:rsidR="0084445A" w:rsidRPr="00741D80" w:rsidRDefault="0084445A" w:rsidP="006D3E70">
      <w:pPr>
        <w:jc w:val="both"/>
        <w:rPr>
          <w:rFonts w:cstheme="minorHAnsi"/>
        </w:rPr>
      </w:pPr>
      <w:r w:rsidRPr="00741D80">
        <w:rPr>
          <w:rFonts w:cstheme="minorHAnsi"/>
        </w:rPr>
        <w:lastRenderedPageBreak/>
        <w:t xml:space="preserve">Отчетната стойност на напълно амортизираните нематериални активи, ползвани в дейността на дружеството към 31.12.2018 г. е 728 </w:t>
      </w:r>
      <w:proofErr w:type="spellStart"/>
      <w:r w:rsidRPr="00741D80">
        <w:rPr>
          <w:rFonts w:cstheme="minorHAnsi"/>
        </w:rPr>
        <w:t>х.лв</w:t>
      </w:r>
      <w:proofErr w:type="spellEnd"/>
      <w:r w:rsidRPr="00741D80">
        <w:rPr>
          <w:rFonts w:cstheme="minorHAnsi"/>
        </w:rPr>
        <w:t xml:space="preserve">. (31.12.2017 г.: 660 </w:t>
      </w:r>
      <w:proofErr w:type="spellStart"/>
      <w:r w:rsidRPr="00741D80">
        <w:rPr>
          <w:rFonts w:cstheme="minorHAnsi"/>
        </w:rPr>
        <w:t>х.лв</w:t>
      </w:r>
      <w:proofErr w:type="spellEnd"/>
      <w:r w:rsidRPr="00741D80">
        <w:rPr>
          <w:rFonts w:cstheme="minorHAnsi"/>
        </w:rPr>
        <w:t>.).</w:t>
      </w:r>
    </w:p>
    <w:p w14:paraId="2D6E31E2" w14:textId="77777777" w:rsidR="0084445A" w:rsidRPr="00741D80" w:rsidRDefault="0084445A" w:rsidP="00833465">
      <w:pPr>
        <w:pStyle w:val="Mainnumbers"/>
      </w:pPr>
      <w:bookmarkStart w:id="53" w:name="_Toc418084381"/>
      <w:bookmarkStart w:id="54" w:name="_Toc536452021"/>
      <w:r w:rsidRPr="00741D80">
        <w:t>ИНВЕСТИЦИИ В ДЪЩЕРНИ ДРУЖЕСТВА</w:t>
      </w:r>
      <w:bookmarkEnd w:id="53"/>
      <w:bookmarkEnd w:id="54"/>
      <w:r w:rsidRPr="00741D80">
        <w:t xml:space="preserve"> </w:t>
      </w:r>
    </w:p>
    <w:p w14:paraId="777C7DE5" w14:textId="77777777" w:rsidR="0084445A" w:rsidRPr="00741D80" w:rsidRDefault="0084445A" w:rsidP="006661FC">
      <w:pPr>
        <w:jc w:val="both"/>
        <w:rPr>
          <w:rFonts w:cstheme="minorHAnsi"/>
        </w:rPr>
      </w:pPr>
      <w:r w:rsidRPr="00741D80">
        <w:rPr>
          <w:rFonts w:cstheme="minorHAnsi"/>
        </w:rPr>
        <w:t xml:space="preserve">Борсата е едноличен собственик на капитала на Сервиз Финансови Пазари ЕООД, регистрирано </w:t>
      </w:r>
      <w:r w:rsidRPr="006D3E70">
        <w:rPr>
          <w:rFonts w:cstheme="minorHAnsi"/>
        </w:rPr>
        <w:t>съгласно решение № 2 на СГС от 6 март 2007 г. Към 31.12.2018 г. стойността на инвестицията в</w:t>
      </w:r>
      <w:r w:rsidRPr="00741D80">
        <w:rPr>
          <w:rFonts w:cstheme="minorHAnsi"/>
        </w:rPr>
        <w:t xml:space="preserve"> дъщерното дружество е 40 </w:t>
      </w:r>
      <w:proofErr w:type="spellStart"/>
      <w:r w:rsidRPr="00741D80">
        <w:rPr>
          <w:rFonts w:cstheme="minorHAnsi"/>
        </w:rPr>
        <w:t>х.лв</w:t>
      </w:r>
      <w:proofErr w:type="spellEnd"/>
      <w:r w:rsidRPr="00741D80">
        <w:rPr>
          <w:rFonts w:cstheme="minorHAnsi"/>
        </w:rPr>
        <w:t xml:space="preserve">. (31.12.2017 г.: 40 </w:t>
      </w:r>
      <w:proofErr w:type="spellStart"/>
      <w:r w:rsidRPr="00741D80">
        <w:rPr>
          <w:rFonts w:cstheme="minorHAnsi"/>
        </w:rPr>
        <w:t>х.лв</w:t>
      </w:r>
      <w:proofErr w:type="spellEnd"/>
      <w:r w:rsidRPr="00741D80">
        <w:rPr>
          <w:rFonts w:cstheme="minorHAnsi"/>
        </w:rPr>
        <w:t>.), оценена по историческа цена на придобиване (себестойност).</w:t>
      </w:r>
    </w:p>
    <w:p w14:paraId="7DF6AF60" w14:textId="76A8DA71" w:rsidR="0084445A" w:rsidRPr="00741D80" w:rsidRDefault="0084445A" w:rsidP="0084445A">
      <w:pPr>
        <w:rPr>
          <w:rFonts w:cstheme="minorHAnsi"/>
        </w:rPr>
      </w:pPr>
      <w:r w:rsidRPr="00741D80">
        <w:rPr>
          <w:rFonts w:cstheme="minorHAnsi"/>
        </w:rPr>
        <w:t xml:space="preserve">Към 31.12.2018 г. стойността на участието на Борсата в дъщерното дружество, оценено по метода на собствения капитал е </w:t>
      </w:r>
      <w:r w:rsidR="006D3E70">
        <w:rPr>
          <w:rFonts w:cstheme="minorHAnsi"/>
          <w:lang w:val="en-US"/>
        </w:rPr>
        <w:t>7</w:t>
      </w:r>
      <w:r w:rsidRPr="00741D80">
        <w:rPr>
          <w:rFonts w:cstheme="minorHAnsi"/>
        </w:rPr>
        <w:t xml:space="preserve"> </w:t>
      </w:r>
      <w:proofErr w:type="spellStart"/>
      <w:r w:rsidRPr="00741D80">
        <w:rPr>
          <w:rFonts w:cstheme="minorHAnsi"/>
        </w:rPr>
        <w:t>х.лв</w:t>
      </w:r>
      <w:proofErr w:type="spellEnd"/>
      <w:r w:rsidRPr="00741D80">
        <w:rPr>
          <w:rFonts w:cstheme="minorHAnsi"/>
        </w:rPr>
        <w:t xml:space="preserve">. (31.12.2017 г.: 44 </w:t>
      </w:r>
      <w:proofErr w:type="spellStart"/>
      <w:r w:rsidRPr="00741D80">
        <w:rPr>
          <w:rFonts w:cstheme="minorHAnsi"/>
        </w:rPr>
        <w:t>х.лв</w:t>
      </w:r>
      <w:proofErr w:type="spellEnd"/>
      <w:r w:rsidRPr="00741D80">
        <w:rPr>
          <w:rFonts w:cstheme="minorHAnsi"/>
        </w:rPr>
        <w:t>.), както следва:</w:t>
      </w:r>
    </w:p>
    <w:tbl>
      <w:tblPr>
        <w:tblW w:w="5000" w:type="pct"/>
        <w:jc w:val="center"/>
        <w:tblLook w:val="04A0" w:firstRow="1" w:lastRow="0" w:firstColumn="1" w:lastColumn="0" w:noHBand="0" w:noVBand="1"/>
      </w:tblPr>
      <w:tblGrid>
        <w:gridCol w:w="6562"/>
        <w:gridCol w:w="1538"/>
        <w:gridCol w:w="1538"/>
      </w:tblGrid>
      <w:tr w:rsidR="0084445A" w:rsidRPr="00741D80" w14:paraId="52CEBCAC" w14:textId="77777777" w:rsidTr="00AE7CF9">
        <w:trPr>
          <w:trHeight w:val="170"/>
          <w:jc w:val="center"/>
        </w:trPr>
        <w:tc>
          <w:tcPr>
            <w:tcW w:w="3404" w:type="pct"/>
            <w:tcBorders>
              <w:top w:val="nil"/>
              <w:left w:val="nil"/>
              <w:bottom w:val="nil"/>
              <w:right w:val="nil"/>
            </w:tcBorders>
            <w:shd w:val="clear" w:color="auto" w:fill="auto"/>
            <w:noWrap/>
            <w:vAlign w:val="bottom"/>
            <w:hideMark/>
          </w:tcPr>
          <w:p w14:paraId="7BB2F95F" w14:textId="77777777" w:rsidR="0084445A" w:rsidRPr="00741D80" w:rsidRDefault="0084445A" w:rsidP="006661FC">
            <w:pPr>
              <w:pStyle w:val="a"/>
              <w:rPr>
                <w:rFonts w:asciiTheme="minorHAnsi" w:hAnsiTheme="minorHAnsi" w:cstheme="minorHAnsi"/>
                <w:color w:val="auto"/>
                <w:szCs w:val="20"/>
                <w:lang w:val="bg-BG"/>
              </w:rPr>
            </w:pPr>
          </w:p>
        </w:tc>
        <w:tc>
          <w:tcPr>
            <w:tcW w:w="798" w:type="pct"/>
            <w:tcBorders>
              <w:top w:val="nil"/>
              <w:left w:val="nil"/>
              <w:bottom w:val="nil"/>
              <w:right w:val="nil"/>
            </w:tcBorders>
            <w:shd w:val="clear" w:color="auto" w:fill="auto"/>
            <w:noWrap/>
            <w:hideMark/>
          </w:tcPr>
          <w:p w14:paraId="1C15A953" w14:textId="77777777" w:rsidR="0084445A" w:rsidRPr="00741D80" w:rsidRDefault="0084445A" w:rsidP="006661FC">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798" w:type="pct"/>
            <w:tcBorders>
              <w:top w:val="nil"/>
              <w:left w:val="nil"/>
              <w:bottom w:val="nil"/>
              <w:right w:val="nil"/>
            </w:tcBorders>
            <w:shd w:val="clear" w:color="auto" w:fill="auto"/>
            <w:noWrap/>
            <w:hideMark/>
          </w:tcPr>
          <w:p w14:paraId="060D99B7" w14:textId="77777777" w:rsidR="0084445A" w:rsidRPr="00741D80" w:rsidRDefault="0084445A" w:rsidP="006661FC">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21BB44BA" w14:textId="77777777" w:rsidTr="00AE7CF9">
        <w:trPr>
          <w:trHeight w:val="170"/>
          <w:jc w:val="center"/>
        </w:trPr>
        <w:tc>
          <w:tcPr>
            <w:tcW w:w="3404" w:type="pct"/>
            <w:tcBorders>
              <w:top w:val="nil"/>
              <w:left w:val="nil"/>
              <w:bottom w:val="nil"/>
              <w:right w:val="nil"/>
            </w:tcBorders>
            <w:shd w:val="clear" w:color="auto" w:fill="auto"/>
            <w:noWrap/>
            <w:vAlign w:val="bottom"/>
          </w:tcPr>
          <w:p w14:paraId="6028FF5B" w14:textId="77777777" w:rsidR="0084445A" w:rsidRPr="00741D80" w:rsidRDefault="0084445A" w:rsidP="006661FC">
            <w:pPr>
              <w:pStyle w:val="a"/>
              <w:rPr>
                <w:rFonts w:asciiTheme="minorHAnsi" w:hAnsiTheme="minorHAnsi" w:cstheme="minorHAnsi"/>
                <w:color w:val="auto"/>
                <w:szCs w:val="20"/>
                <w:lang w:val="bg-BG"/>
              </w:rPr>
            </w:pPr>
          </w:p>
        </w:tc>
        <w:tc>
          <w:tcPr>
            <w:tcW w:w="798" w:type="pct"/>
            <w:tcBorders>
              <w:top w:val="nil"/>
              <w:left w:val="nil"/>
              <w:bottom w:val="nil"/>
              <w:right w:val="nil"/>
            </w:tcBorders>
            <w:shd w:val="clear" w:color="auto" w:fill="auto"/>
            <w:noWrap/>
          </w:tcPr>
          <w:p w14:paraId="1FD91CFA" w14:textId="77777777" w:rsidR="0084445A" w:rsidRPr="00741D80" w:rsidRDefault="0084445A" w:rsidP="006661FC">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798" w:type="pct"/>
            <w:tcBorders>
              <w:top w:val="nil"/>
              <w:left w:val="nil"/>
              <w:bottom w:val="nil"/>
              <w:right w:val="nil"/>
            </w:tcBorders>
            <w:shd w:val="clear" w:color="auto" w:fill="auto"/>
            <w:noWrap/>
          </w:tcPr>
          <w:p w14:paraId="67397145" w14:textId="77777777" w:rsidR="0084445A" w:rsidRPr="00741D80" w:rsidRDefault="0084445A" w:rsidP="006661FC">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4C46BFC2" w14:textId="77777777" w:rsidTr="00AE7CF9">
        <w:trPr>
          <w:trHeight w:val="170"/>
          <w:jc w:val="center"/>
        </w:trPr>
        <w:tc>
          <w:tcPr>
            <w:tcW w:w="3404" w:type="pct"/>
            <w:tcBorders>
              <w:top w:val="nil"/>
              <w:left w:val="nil"/>
              <w:bottom w:val="nil"/>
              <w:right w:val="nil"/>
            </w:tcBorders>
            <w:shd w:val="clear" w:color="auto" w:fill="auto"/>
            <w:noWrap/>
            <w:vAlign w:val="bottom"/>
            <w:hideMark/>
          </w:tcPr>
          <w:p w14:paraId="28485330" w14:textId="77777777" w:rsidR="0084445A" w:rsidRPr="00741D80" w:rsidRDefault="0084445A" w:rsidP="006661FC">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Салдо на 1 януари</w:t>
            </w:r>
          </w:p>
        </w:tc>
        <w:tc>
          <w:tcPr>
            <w:tcW w:w="798" w:type="pct"/>
            <w:tcBorders>
              <w:top w:val="nil"/>
              <w:left w:val="nil"/>
              <w:bottom w:val="single" w:sz="4" w:space="0" w:color="auto"/>
              <w:right w:val="nil"/>
            </w:tcBorders>
            <w:shd w:val="clear" w:color="auto" w:fill="auto"/>
            <w:noWrap/>
            <w:vAlign w:val="bottom"/>
            <w:hideMark/>
          </w:tcPr>
          <w:p w14:paraId="79AC1414" w14:textId="77777777" w:rsidR="0084445A" w:rsidRPr="00741D80" w:rsidRDefault="0084445A" w:rsidP="006661FC">
            <w:pPr>
              <w:pStyle w:val="a0"/>
              <w:widowControl w:val="0"/>
              <w:ind w:firstLine="709"/>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44</w:t>
            </w:r>
          </w:p>
        </w:tc>
        <w:tc>
          <w:tcPr>
            <w:tcW w:w="798" w:type="pct"/>
            <w:tcBorders>
              <w:top w:val="nil"/>
              <w:left w:val="nil"/>
              <w:bottom w:val="single" w:sz="4" w:space="0" w:color="auto"/>
              <w:right w:val="nil"/>
            </w:tcBorders>
            <w:shd w:val="clear" w:color="auto" w:fill="auto"/>
            <w:noWrap/>
            <w:vAlign w:val="bottom"/>
            <w:hideMark/>
          </w:tcPr>
          <w:p w14:paraId="598B3395" w14:textId="77777777" w:rsidR="0084445A" w:rsidRPr="00741D80" w:rsidRDefault="0084445A" w:rsidP="006661FC">
            <w:pPr>
              <w:pStyle w:val="a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35</w:t>
            </w:r>
          </w:p>
        </w:tc>
      </w:tr>
      <w:tr w:rsidR="0084445A" w:rsidRPr="00741D80" w14:paraId="6E56FA4D" w14:textId="77777777" w:rsidTr="00AE7CF9">
        <w:trPr>
          <w:trHeight w:val="170"/>
          <w:jc w:val="center"/>
        </w:trPr>
        <w:tc>
          <w:tcPr>
            <w:tcW w:w="3404" w:type="pct"/>
            <w:tcBorders>
              <w:top w:val="nil"/>
              <w:left w:val="nil"/>
              <w:bottom w:val="nil"/>
              <w:right w:val="nil"/>
            </w:tcBorders>
            <w:shd w:val="clear" w:color="auto" w:fill="auto"/>
            <w:noWrap/>
            <w:vAlign w:val="bottom"/>
            <w:hideMark/>
          </w:tcPr>
          <w:p w14:paraId="51374D24" w14:textId="26AB0833" w:rsidR="0084445A" w:rsidRPr="00741D80" w:rsidRDefault="0084445A" w:rsidP="006661FC">
            <w:pPr>
              <w:pStyle w:val="a"/>
              <w:rPr>
                <w:rFonts w:asciiTheme="minorHAnsi" w:hAnsiTheme="minorHAnsi" w:cstheme="minorHAnsi"/>
                <w:bCs/>
                <w:color w:val="auto"/>
                <w:szCs w:val="20"/>
                <w:lang w:val="bg-BG"/>
              </w:rPr>
            </w:pPr>
            <w:r w:rsidRPr="00741D80">
              <w:rPr>
                <w:rFonts w:asciiTheme="minorHAnsi" w:hAnsiTheme="minorHAnsi" w:cstheme="minorHAnsi"/>
                <w:color w:val="auto"/>
                <w:szCs w:val="20"/>
                <w:lang w:val="bg-BG"/>
              </w:rPr>
              <w:t>Дял в</w:t>
            </w:r>
            <w:r w:rsidR="006D3E70">
              <w:rPr>
                <w:rFonts w:asciiTheme="minorHAnsi" w:hAnsiTheme="minorHAnsi" w:cstheme="minorHAnsi"/>
                <w:color w:val="auto"/>
                <w:szCs w:val="20"/>
              </w:rPr>
              <w:t xml:space="preserve"> </w:t>
            </w:r>
            <w:r w:rsidRPr="00741D80">
              <w:rPr>
                <w:rFonts w:asciiTheme="minorHAnsi" w:hAnsiTheme="minorHAnsi" w:cstheme="minorHAnsi"/>
                <w:color w:val="auto"/>
                <w:szCs w:val="20"/>
                <w:lang w:val="bg-BG"/>
              </w:rPr>
              <w:t xml:space="preserve">загубата / печалбата </w:t>
            </w:r>
          </w:p>
        </w:tc>
        <w:tc>
          <w:tcPr>
            <w:tcW w:w="798" w:type="pct"/>
            <w:tcBorders>
              <w:top w:val="nil"/>
              <w:left w:val="nil"/>
              <w:bottom w:val="single" w:sz="4" w:space="0" w:color="auto"/>
              <w:right w:val="nil"/>
            </w:tcBorders>
            <w:shd w:val="clear" w:color="auto" w:fill="auto"/>
            <w:noWrap/>
            <w:vAlign w:val="bottom"/>
            <w:hideMark/>
          </w:tcPr>
          <w:p w14:paraId="51974BD9" w14:textId="10982DB1" w:rsidR="0084445A" w:rsidRPr="00741D80" w:rsidRDefault="0084445A" w:rsidP="006661FC">
            <w:pPr>
              <w:pStyle w:val="a0"/>
              <w:widowControl w:val="0"/>
              <w:rPr>
                <w:rFonts w:asciiTheme="minorHAnsi" w:hAnsiTheme="minorHAnsi" w:cstheme="minorHAnsi"/>
                <w:color w:val="auto"/>
                <w:szCs w:val="20"/>
              </w:rPr>
            </w:pPr>
            <w:r w:rsidRPr="00741D80">
              <w:rPr>
                <w:rFonts w:asciiTheme="minorHAnsi" w:hAnsiTheme="minorHAnsi" w:cstheme="minorHAnsi"/>
                <w:color w:val="auto"/>
                <w:szCs w:val="20"/>
              </w:rPr>
              <w:t>(</w:t>
            </w:r>
            <w:r w:rsidRPr="00741D80">
              <w:rPr>
                <w:rFonts w:asciiTheme="minorHAnsi" w:hAnsiTheme="minorHAnsi" w:cstheme="minorHAnsi"/>
                <w:color w:val="auto"/>
                <w:szCs w:val="20"/>
                <w:lang w:val="bg-BG"/>
              </w:rPr>
              <w:t>3</w:t>
            </w:r>
            <w:r w:rsidR="006D3E70">
              <w:rPr>
                <w:rFonts w:asciiTheme="minorHAnsi" w:hAnsiTheme="minorHAnsi" w:cstheme="minorHAnsi"/>
                <w:color w:val="auto"/>
                <w:szCs w:val="20"/>
              </w:rPr>
              <w:t>7</w:t>
            </w:r>
            <w:r w:rsidRPr="00741D80">
              <w:rPr>
                <w:rFonts w:asciiTheme="minorHAnsi" w:hAnsiTheme="minorHAnsi" w:cstheme="minorHAnsi"/>
                <w:color w:val="auto"/>
                <w:szCs w:val="20"/>
              </w:rPr>
              <w:t>)</w:t>
            </w:r>
          </w:p>
        </w:tc>
        <w:tc>
          <w:tcPr>
            <w:tcW w:w="798" w:type="pct"/>
            <w:tcBorders>
              <w:top w:val="nil"/>
              <w:left w:val="nil"/>
              <w:bottom w:val="single" w:sz="4" w:space="0" w:color="auto"/>
              <w:right w:val="nil"/>
            </w:tcBorders>
            <w:shd w:val="clear" w:color="auto" w:fill="auto"/>
            <w:noWrap/>
            <w:vAlign w:val="bottom"/>
            <w:hideMark/>
          </w:tcPr>
          <w:p w14:paraId="3445A1A5" w14:textId="77777777" w:rsidR="0084445A" w:rsidRPr="00741D80" w:rsidRDefault="0084445A" w:rsidP="006661FC">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9</w:t>
            </w:r>
          </w:p>
        </w:tc>
      </w:tr>
      <w:tr w:rsidR="0084445A" w:rsidRPr="00741D80" w14:paraId="1239EB37" w14:textId="77777777" w:rsidTr="00AE7CF9">
        <w:trPr>
          <w:trHeight w:val="170"/>
          <w:jc w:val="center"/>
        </w:trPr>
        <w:tc>
          <w:tcPr>
            <w:tcW w:w="3404" w:type="pct"/>
            <w:tcBorders>
              <w:top w:val="nil"/>
              <w:left w:val="nil"/>
              <w:bottom w:val="nil"/>
              <w:right w:val="nil"/>
            </w:tcBorders>
            <w:shd w:val="clear" w:color="auto" w:fill="auto"/>
            <w:noWrap/>
            <w:vAlign w:val="bottom"/>
            <w:hideMark/>
          </w:tcPr>
          <w:p w14:paraId="19CD4121" w14:textId="49600F36" w:rsidR="0084445A" w:rsidRPr="00741D80" w:rsidRDefault="0084445A" w:rsidP="006661FC">
            <w:pPr>
              <w:pStyle w:val="a"/>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Салдо към</w:t>
            </w:r>
            <w:r w:rsidR="00FD518A">
              <w:rPr>
                <w:rFonts w:asciiTheme="minorHAnsi" w:hAnsiTheme="minorHAnsi" w:cstheme="minorHAnsi"/>
                <w:b/>
                <w:color w:val="auto"/>
                <w:szCs w:val="20"/>
              </w:rPr>
              <w:t xml:space="preserve"> </w:t>
            </w:r>
            <w:r w:rsidRPr="00741D80">
              <w:rPr>
                <w:rFonts w:asciiTheme="minorHAnsi" w:hAnsiTheme="minorHAnsi" w:cstheme="minorHAnsi"/>
                <w:b/>
                <w:color w:val="auto"/>
                <w:szCs w:val="20"/>
                <w:lang w:val="bg-BG"/>
              </w:rPr>
              <w:t>31 декември</w:t>
            </w:r>
          </w:p>
        </w:tc>
        <w:tc>
          <w:tcPr>
            <w:tcW w:w="798" w:type="pct"/>
            <w:tcBorders>
              <w:top w:val="nil"/>
              <w:left w:val="nil"/>
              <w:bottom w:val="double" w:sz="6" w:space="0" w:color="auto"/>
              <w:right w:val="nil"/>
            </w:tcBorders>
            <w:shd w:val="clear" w:color="auto" w:fill="auto"/>
            <w:noWrap/>
            <w:vAlign w:val="bottom"/>
            <w:hideMark/>
          </w:tcPr>
          <w:p w14:paraId="72484ADA" w14:textId="40D953D7" w:rsidR="0084445A" w:rsidRPr="006D3E70" w:rsidRDefault="006D3E70" w:rsidP="006661FC">
            <w:pPr>
              <w:pStyle w:val="a0"/>
              <w:widowControl w:val="0"/>
              <w:rPr>
                <w:rFonts w:asciiTheme="minorHAnsi" w:hAnsiTheme="minorHAnsi" w:cstheme="minorHAnsi"/>
                <w:b/>
                <w:color w:val="auto"/>
                <w:szCs w:val="20"/>
              </w:rPr>
            </w:pPr>
            <w:r>
              <w:rPr>
                <w:rFonts w:asciiTheme="minorHAnsi" w:hAnsiTheme="minorHAnsi" w:cstheme="minorHAnsi"/>
                <w:b/>
                <w:color w:val="auto"/>
                <w:szCs w:val="20"/>
              </w:rPr>
              <w:t>7</w:t>
            </w:r>
          </w:p>
        </w:tc>
        <w:tc>
          <w:tcPr>
            <w:tcW w:w="798" w:type="pct"/>
            <w:tcBorders>
              <w:top w:val="nil"/>
              <w:left w:val="nil"/>
              <w:bottom w:val="double" w:sz="6" w:space="0" w:color="auto"/>
              <w:right w:val="nil"/>
            </w:tcBorders>
            <w:shd w:val="clear" w:color="auto" w:fill="auto"/>
            <w:noWrap/>
            <w:vAlign w:val="bottom"/>
            <w:hideMark/>
          </w:tcPr>
          <w:p w14:paraId="5A6C926B" w14:textId="77777777" w:rsidR="0084445A" w:rsidRPr="006D3E70" w:rsidRDefault="0084445A" w:rsidP="006D3E70">
            <w:pPr>
              <w:pStyle w:val="a0"/>
              <w:widowControl w:val="0"/>
              <w:rPr>
                <w:rFonts w:asciiTheme="minorHAnsi" w:hAnsiTheme="minorHAnsi" w:cstheme="minorHAnsi"/>
                <w:b/>
                <w:color w:val="auto"/>
                <w:szCs w:val="20"/>
              </w:rPr>
            </w:pPr>
            <w:r w:rsidRPr="006D3E70">
              <w:rPr>
                <w:rFonts w:asciiTheme="minorHAnsi" w:hAnsiTheme="minorHAnsi" w:cstheme="minorHAnsi"/>
                <w:b/>
                <w:color w:val="auto"/>
                <w:szCs w:val="20"/>
              </w:rPr>
              <w:t>44</w:t>
            </w:r>
          </w:p>
        </w:tc>
      </w:tr>
    </w:tbl>
    <w:p w14:paraId="755B7FF5" w14:textId="77777777" w:rsidR="0084445A" w:rsidRPr="00741D80" w:rsidRDefault="0084445A" w:rsidP="006661FC">
      <w:pPr>
        <w:spacing w:before="240"/>
        <w:jc w:val="both"/>
        <w:rPr>
          <w:rFonts w:cstheme="minorHAnsi"/>
        </w:rPr>
      </w:pPr>
      <w:r w:rsidRPr="00741D80">
        <w:rPr>
          <w:rFonts w:cstheme="minorHAnsi"/>
        </w:rPr>
        <w:t xml:space="preserve">На 05.02.2018 г. Българска фондова борса АД придоби 100% от капитала на Българска независима енергийна борса ЕАД от Български енергиен холдинг ЕАД - едноличен собственик на капитала на БНЕБ. Стойността на инвестицията е в размер на 5 244 </w:t>
      </w:r>
      <w:proofErr w:type="spellStart"/>
      <w:r w:rsidRPr="00741D80">
        <w:rPr>
          <w:rFonts w:cstheme="minorHAnsi"/>
        </w:rPr>
        <w:t>х.лв</w:t>
      </w:r>
      <w:proofErr w:type="spellEnd"/>
      <w:r w:rsidRPr="00741D80">
        <w:rPr>
          <w:rFonts w:cstheme="minorHAnsi"/>
        </w:rPr>
        <w:t xml:space="preserve">., като 61 </w:t>
      </w:r>
      <w:proofErr w:type="spellStart"/>
      <w:r w:rsidRPr="00741D80">
        <w:rPr>
          <w:rFonts w:cstheme="minorHAnsi"/>
        </w:rPr>
        <w:t>х.лв</w:t>
      </w:r>
      <w:proofErr w:type="spellEnd"/>
      <w:r w:rsidRPr="00741D80">
        <w:rPr>
          <w:rFonts w:cstheme="minorHAnsi"/>
        </w:rPr>
        <w:t>. представляват преки разходи, свързани с придобиването на инвестицията. Обстоятелството е вписано в Търговския регистър на 15.02.2018 г.</w:t>
      </w:r>
    </w:p>
    <w:p w14:paraId="5248C719" w14:textId="77777777" w:rsidR="0084445A" w:rsidRPr="00741D80" w:rsidRDefault="0084445A" w:rsidP="00AE6004">
      <w:pPr>
        <w:jc w:val="both"/>
        <w:rPr>
          <w:rFonts w:cstheme="minorHAnsi"/>
        </w:rPr>
      </w:pPr>
      <w:r w:rsidRPr="006D3E70">
        <w:rPr>
          <w:rFonts w:cstheme="minorHAnsi"/>
        </w:rPr>
        <w:t xml:space="preserve">Към 31.12.2018 г. стойността на участието на Борсата в дъщерното дружество, оценено по метода на собствения капитал е </w:t>
      </w:r>
      <w:r w:rsidRPr="006D3E70">
        <w:rPr>
          <w:rFonts w:cstheme="minorHAnsi"/>
          <w:lang w:val="en-US"/>
        </w:rPr>
        <w:t>8,453</w:t>
      </w:r>
      <w:r w:rsidRPr="006D3E70">
        <w:rPr>
          <w:rFonts w:cstheme="minorHAnsi"/>
        </w:rPr>
        <w:t xml:space="preserve"> </w:t>
      </w:r>
      <w:proofErr w:type="spellStart"/>
      <w:r w:rsidRPr="006D3E70">
        <w:rPr>
          <w:rFonts w:cstheme="minorHAnsi"/>
        </w:rPr>
        <w:t>х.лв</w:t>
      </w:r>
      <w:proofErr w:type="spellEnd"/>
      <w:r w:rsidRPr="006D3E70">
        <w:rPr>
          <w:rFonts w:cstheme="minorHAnsi"/>
        </w:rPr>
        <w:t xml:space="preserve">. (31.12.2017 г.: 61 </w:t>
      </w:r>
      <w:proofErr w:type="spellStart"/>
      <w:r w:rsidRPr="006D3E70">
        <w:rPr>
          <w:rFonts w:cstheme="minorHAnsi"/>
        </w:rPr>
        <w:t>х.лв</w:t>
      </w:r>
      <w:proofErr w:type="spellEnd"/>
      <w:r w:rsidRPr="006D3E70">
        <w:rPr>
          <w:rFonts w:cstheme="minorHAnsi"/>
        </w:rPr>
        <w:t>.), както следва:</w:t>
      </w:r>
    </w:p>
    <w:tbl>
      <w:tblPr>
        <w:tblW w:w="5000" w:type="pct"/>
        <w:jc w:val="center"/>
        <w:tblLook w:val="04A0" w:firstRow="1" w:lastRow="0" w:firstColumn="1" w:lastColumn="0" w:noHBand="0" w:noVBand="1"/>
      </w:tblPr>
      <w:tblGrid>
        <w:gridCol w:w="6562"/>
        <w:gridCol w:w="1538"/>
        <w:gridCol w:w="1538"/>
      </w:tblGrid>
      <w:tr w:rsidR="0084445A" w:rsidRPr="00741D80" w14:paraId="5C833FDF" w14:textId="77777777" w:rsidTr="00AE7CF9">
        <w:trPr>
          <w:trHeight w:val="170"/>
          <w:jc w:val="center"/>
        </w:trPr>
        <w:tc>
          <w:tcPr>
            <w:tcW w:w="3404" w:type="pct"/>
            <w:tcBorders>
              <w:top w:val="nil"/>
              <w:left w:val="nil"/>
              <w:bottom w:val="nil"/>
              <w:right w:val="nil"/>
            </w:tcBorders>
            <w:shd w:val="clear" w:color="auto" w:fill="auto"/>
            <w:noWrap/>
            <w:vAlign w:val="bottom"/>
            <w:hideMark/>
          </w:tcPr>
          <w:p w14:paraId="4D0AF5E7" w14:textId="77777777" w:rsidR="0084445A" w:rsidRPr="00741D80" w:rsidRDefault="0084445A" w:rsidP="006661FC">
            <w:pPr>
              <w:pStyle w:val="a"/>
              <w:widowControl w:val="0"/>
              <w:rPr>
                <w:rFonts w:asciiTheme="minorHAnsi" w:hAnsiTheme="minorHAnsi" w:cstheme="minorHAnsi"/>
                <w:color w:val="auto"/>
                <w:szCs w:val="20"/>
                <w:lang w:val="bg-BG"/>
              </w:rPr>
            </w:pPr>
          </w:p>
        </w:tc>
        <w:tc>
          <w:tcPr>
            <w:tcW w:w="798" w:type="pct"/>
            <w:tcBorders>
              <w:top w:val="nil"/>
              <w:left w:val="nil"/>
              <w:bottom w:val="nil"/>
              <w:right w:val="nil"/>
            </w:tcBorders>
            <w:shd w:val="clear" w:color="auto" w:fill="auto"/>
            <w:noWrap/>
            <w:hideMark/>
          </w:tcPr>
          <w:p w14:paraId="3888875E" w14:textId="77777777" w:rsidR="0084445A" w:rsidRPr="00741D80" w:rsidRDefault="0084445A" w:rsidP="006661FC">
            <w:pPr>
              <w:pStyle w:val="a1"/>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798" w:type="pct"/>
            <w:tcBorders>
              <w:top w:val="nil"/>
              <w:left w:val="nil"/>
              <w:bottom w:val="nil"/>
              <w:right w:val="nil"/>
            </w:tcBorders>
            <w:shd w:val="clear" w:color="auto" w:fill="auto"/>
            <w:noWrap/>
            <w:hideMark/>
          </w:tcPr>
          <w:p w14:paraId="68BE02ED" w14:textId="77777777" w:rsidR="0084445A" w:rsidRPr="00741D80" w:rsidRDefault="0084445A" w:rsidP="006661FC">
            <w:pPr>
              <w:pStyle w:val="a1"/>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28DCD150" w14:textId="77777777" w:rsidTr="00AE7CF9">
        <w:trPr>
          <w:trHeight w:val="170"/>
          <w:jc w:val="center"/>
        </w:trPr>
        <w:tc>
          <w:tcPr>
            <w:tcW w:w="3404" w:type="pct"/>
            <w:tcBorders>
              <w:top w:val="nil"/>
              <w:left w:val="nil"/>
              <w:bottom w:val="nil"/>
              <w:right w:val="nil"/>
            </w:tcBorders>
            <w:shd w:val="clear" w:color="auto" w:fill="auto"/>
            <w:noWrap/>
            <w:vAlign w:val="bottom"/>
          </w:tcPr>
          <w:p w14:paraId="32363EEE" w14:textId="77777777" w:rsidR="0084445A" w:rsidRPr="00741D80" w:rsidRDefault="0084445A" w:rsidP="006661FC">
            <w:pPr>
              <w:pStyle w:val="a"/>
              <w:widowControl w:val="0"/>
              <w:rPr>
                <w:rFonts w:asciiTheme="minorHAnsi" w:hAnsiTheme="minorHAnsi" w:cstheme="minorHAnsi"/>
                <w:color w:val="auto"/>
                <w:szCs w:val="20"/>
                <w:lang w:val="bg-BG"/>
              </w:rPr>
            </w:pPr>
          </w:p>
        </w:tc>
        <w:tc>
          <w:tcPr>
            <w:tcW w:w="798" w:type="pct"/>
            <w:tcBorders>
              <w:top w:val="nil"/>
              <w:left w:val="nil"/>
              <w:bottom w:val="nil"/>
              <w:right w:val="nil"/>
            </w:tcBorders>
            <w:shd w:val="clear" w:color="auto" w:fill="auto"/>
            <w:noWrap/>
          </w:tcPr>
          <w:p w14:paraId="66190008" w14:textId="77777777" w:rsidR="0084445A" w:rsidRPr="00741D80" w:rsidRDefault="0084445A" w:rsidP="006661FC">
            <w:pPr>
              <w:pStyle w:val="a1"/>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798" w:type="pct"/>
            <w:tcBorders>
              <w:top w:val="nil"/>
              <w:left w:val="nil"/>
              <w:bottom w:val="nil"/>
              <w:right w:val="nil"/>
            </w:tcBorders>
            <w:shd w:val="clear" w:color="auto" w:fill="auto"/>
            <w:noWrap/>
          </w:tcPr>
          <w:p w14:paraId="68232F5C" w14:textId="77777777" w:rsidR="0084445A" w:rsidRPr="00741D80" w:rsidRDefault="0084445A" w:rsidP="006661FC">
            <w:pPr>
              <w:pStyle w:val="a1"/>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5489C49B" w14:textId="77777777" w:rsidTr="00AE7CF9">
        <w:trPr>
          <w:trHeight w:val="170"/>
          <w:jc w:val="center"/>
        </w:trPr>
        <w:tc>
          <w:tcPr>
            <w:tcW w:w="3404" w:type="pct"/>
            <w:tcBorders>
              <w:top w:val="nil"/>
              <w:left w:val="nil"/>
              <w:bottom w:val="nil"/>
              <w:right w:val="nil"/>
            </w:tcBorders>
            <w:shd w:val="clear" w:color="auto" w:fill="auto"/>
            <w:noWrap/>
            <w:vAlign w:val="bottom"/>
            <w:hideMark/>
          </w:tcPr>
          <w:p w14:paraId="3A56AB53" w14:textId="77777777" w:rsidR="0084445A" w:rsidRPr="00741D80" w:rsidRDefault="0084445A" w:rsidP="006661FC">
            <w:pPr>
              <w:pStyle w:val="a"/>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Салдо на 1 януари</w:t>
            </w:r>
          </w:p>
        </w:tc>
        <w:tc>
          <w:tcPr>
            <w:tcW w:w="798" w:type="pct"/>
            <w:tcBorders>
              <w:top w:val="nil"/>
              <w:left w:val="nil"/>
              <w:bottom w:val="single" w:sz="4" w:space="0" w:color="auto"/>
              <w:right w:val="nil"/>
            </w:tcBorders>
            <w:shd w:val="clear" w:color="auto" w:fill="auto"/>
            <w:noWrap/>
            <w:vAlign w:val="bottom"/>
            <w:hideMark/>
          </w:tcPr>
          <w:p w14:paraId="29F77103" w14:textId="77777777" w:rsidR="0084445A" w:rsidRPr="00741D80" w:rsidRDefault="0084445A" w:rsidP="006661FC">
            <w:pPr>
              <w:pStyle w:val="a0"/>
              <w:widowControl w:val="0"/>
              <w:ind w:firstLine="709"/>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61</w:t>
            </w:r>
          </w:p>
        </w:tc>
        <w:tc>
          <w:tcPr>
            <w:tcW w:w="798" w:type="pct"/>
            <w:tcBorders>
              <w:top w:val="nil"/>
              <w:left w:val="nil"/>
              <w:bottom w:val="single" w:sz="4" w:space="0" w:color="auto"/>
              <w:right w:val="nil"/>
            </w:tcBorders>
            <w:shd w:val="clear" w:color="auto" w:fill="auto"/>
            <w:noWrap/>
            <w:vAlign w:val="bottom"/>
            <w:hideMark/>
          </w:tcPr>
          <w:p w14:paraId="14B73C1C" w14:textId="77777777" w:rsidR="0084445A" w:rsidRPr="00741D80" w:rsidRDefault="0084445A" w:rsidP="006661FC">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w:t>
            </w:r>
          </w:p>
        </w:tc>
      </w:tr>
      <w:tr w:rsidR="0084445A" w:rsidRPr="00741D80" w14:paraId="2FECF994" w14:textId="77777777" w:rsidTr="00AE7CF9">
        <w:trPr>
          <w:trHeight w:val="170"/>
          <w:jc w:val="center"/>
        </w:trPr>
        <w:tc>
          <w:tcPr>
            <w:tcW w:w="3404" w:type="pct"/>
            <w:tcBorders>
              <w:top w:val="nil"/>
              <w:left w:val="nil"/>
              <w:bottom w:val="nil"/>
              <w:right w:val="nil"/>
            </w:tcBorders>
            <w:shd w:val="clear" w:color="auto" w:fill="auto"/>
            <w:noWrap/>
            <w:vAlign w:val="bottom"/>
            <w:hideMark/>
          </w:tcPr>
          <w:p w14:paraId="44483E42" w14:textId="77777777" w:rsidR="0084445A" w:rsidRPr="00741D80" w:rsidRDefault="0084445A" w:rsidP="006661FC">
            <w:pPr>
              <w:pStyle w:val="a"/>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Инвестиция в дъщерно дружество БНЕБ ЕАД</w:t>
            </w:r>
          </w:p>
        </w:tc>
        <w:tc>
          <w:tcPr>
            <w:tcW w:w="798" w:type="pct"/>
            <w:tcBorders>
              <w:top w:val="nil"/>
              <w:left w:val="nil"/>
              <w:bottom w:val="single" w:sz="4" w:space="0" w:color="auto"/>
              <w:right w:val="nil"/>
            </w:tcBorders>
            <w:shd w:val="clear" w:color="auto" w:fill="auto"/>
            <w:noWrap/>
            <w:vAlign w:val="bottom"/>
            <w:hideMark/>
          </w:tcPr>
          <w:p w14:paraId="22893C8D" w14:textId="77777777" w:rsidR="0084445A" w:rsidRPr="00741D80" w:rsidRDefault="0084445A" w:rsidP="006661FC">
            <w:pPr>
              <w:pStyle w:val="a0"/>
              <w:widowControl w:val="0"/>
              <w:rPr>
                <w:rFonts w:asciiTheme="minorHAnsi" w:hAnsiTheme="minorHAnsi" w:cstheme="minorHAnsi"/>
                <w:color w:val="auto"/>
                <w:szCs w:val="20"/>
              </w:rPr>
            </w:pPr>
            <w:r w:rsidRPr="00741D80">
              <w:rPr>
                <w:rFonts w:asciiTheme="minorHAnsi" w:hAnsiTheme="minorHAnsi" w:cstheme="minorHAnsi"/>
                <w:color w:val="auto"/>
                <w:szCs w:val="20"/>
              </w:rPr>
              <w:t>5,183</w:t>
            </w:r>
          </w:p>
        </w:tc>
        <w:tc>
          <w:tcPr>
            <w:tcW w:w="798" w:type="pct"/>
            <w:tcBorders>
              <w:top w:val="nil"/>
              <w:left w:val="nil"/>
              <w:bottom w:val="single" w:sz="4" w:space="0" w:color="auto"/>
              <w:right w:val="nil"/>
            </w:tcBorders>
            <w:shd w:val="clear" w:color="auto" w:fill="auto"/>
            <w:noWrap/>
            <w:vAlign w:val="bottom"/>
            <w:hideMark/>
          </w:tcPr>
          <w:p w14:paraId="05E4A725" w14:textId="77777777" w:rsidR="0084445A" w:rsidRPr="00741D80" w:rsidRDefault="0084445A" w:rsidP="006661FC">
            <w:pPr>
              <w:pStyle w:val="a0"/>
              <w:widowControl w:val="0"/>
              <w:rPr>
                <w:rFonts w:asciiTheme="minorHAnsi" w:hAnsiTheme="minorHAnsi" w:cstheme="minorHAnsi"/>
                <w:color w:val="auto"/>
                <w:szCs w:val="20"/>
              </w:rPr>
            </w:pPr>
            <w:r w:rsidRPr="00741D80">
              <w:rPr>
                <w:rFonts w:asciiTheme="minorHAnsi" w:hAnsiTheme="minorHAnsi" w:cstheme="minorHAnsi"/>
                <w:color w:val="auto"/>
                <w:szCs w:val="20"/>
                <w:lang w:val="bg-BG"/>
              </w:rPr>
              <w:t>61</w:t>
            </w:r>
          </w:p>
        </w:tc>
      </w:tr>
      <w:tr w:rsidR="0084445A" w:rsidRPr="00741D80" w14:paraId="370CA8AD" w14:textId="77777777" w:rsidTr="00AE7CF9">
        <w:trPr>
          <w:trHeight w:val="170"/>
          <w:jc w:val="center"/>
        </w:trPr>
        <w:tc>
          <w:tcPr>
            <w:tcW w:w="3404" w:type="pct"/>
            <w:tcBorders>
              <w:top w:val="nil"/>
              <w:left w:val="nil"/>
              <w:bottom w:val="nil"/>
              <w:right w:val="nil"/>
            </w:tcBorders>
            <w:shd w:val="clear" w:color="auto" w:fill="auto"/>
            <w:noWrap/>
            <w:vAlign w:val="bottom"/>
            <w:hideMark/>
          </w:tcPr>
          <w:p w14:paraId="312F7304" w14:textId="77777777" w:rsidR="0084445A" w:rsidRPr="006D3E70" w:rsidRDefault="0084445A" w:rsidP="006661FC">
            <w:pPr>
              <w:pStyle w:val="a"/>
              <w:widowControl w:val="0"/>
              <w:rPr>
                <w:rFonts w:asciiTheme="minorHAnsi" w:hAnsiTheme="minorHAnsi" w:cstheme="minorHAnsi"/>
                <w:bCs/>
                <w:color w:val="auto"/>
                <w:szCs w:val="20"/>
                <w:lang w:val="bg-BG"/>
              </w:rPr>
            </w:pPr>
            <w:r w:rsidRPr="006D3E70">
              <w:rPr>
                <w:rFonts w:asciiTheme="minorHAnsi" w:hAnsiTheme="minorHAnsi" w:cstheme="minorHAnsi"/>
                <w:color w:val="auto"/>
                <w:szCs w:val="20"/>
                <w:lang w:val="bg-BG"/>
              </w:rPr>
              <w:t xml:space="preserve">Дял в печалбата </w:t>
            </w:r>
          </w:p>
        </w:tc>
        <w:tc>
          <w:tcPr>
            <w:tcW w:w="798" w:type="pct"/>
            <w:tcBorders>
              <w:top w:val="nil"/>
              <w:left w:val="nil"/>
              <w:bottom w:val="single" w:sz="4" w:space="0" w:color="auto"/>
              <w:right w:val="nil"/>
            </w:tcBorders>
            <w:shd w:val="clear" w:color="auto" w:fill="auto"/>
            <w:noWrap/>
            <w:vAlign w:val="bottom"/>
            <w:hideMark/>
          </w:tcPr>
          <w:p w14:paraId="045C288A" w14:textId="77777777" w:rsidR="0084445A" w:rsidRPr="006D3E70" w:rsidRDefault="0084445A" w:rsidP="006661FC">
            <w:pPr>
              <w:pStyle w:val="a0"/>
              <w:widowControl w:val="0"/>
              <w:rPr>
                <w:rFonts w:asciiTheme="minorHAnsi" w:hAnsiTheme="minorHAnsi" w:cstheme="minorHAnsi"/>
                <w:color w:val="auto"/>
                <w:szCs w:val="20"/>
              </w:rPr>
            </w:pPr>
            <w:r w:rsidRPr="006D3E70">
              <w:rPr>
                <w:rFonts w:asciiTheme="minorHAnsi" w:hAnsiTheme="minorHAnsi" w:cstheme="minorHAnsi"/>
                <w:color w:val="auto"/>
                <w:szCs w:val="20"/>
              </w:rPr>
              <w:t>3,209</w:t>
            </w:r>
          </w:p>
        </w:tc>
        <w:tc>
          <w:tcPr>
            <w:tcW w:w="798" w:type="pct"/>
            <w:tcBorders>
              <w:top w:val="nil"/>
              <w:left w:val="nil"/>
              <w:bottom w:val="single" w:sz="4" w:space="0" w:color="auto"/>
              <w:right w:val="nil"/>
            </w:tcBorders>
            <w:shd w:val="clear" w:color="auto" w:fill="auto"/>
            <w:noWrap/>
            <w:vAlign w:val="bottom"/>
            <w:hideMark/>
          </w:tcPr>
          <w:p w14:paraId="5E8BDF91" w14:textId="77777777" w:rsidR="0084445A" w:rsidRPr="00741D80" w:rsidRDefault="0084445A" w:rsidP="006661FC">
            <w:pPr>
              <w:pStyle w:val="a0"/>
              <w:widowControl w:val="0"/>
              <w:rPr>
                <w:rFonts w:asciiTheme="minorHAnsi" w:hAnsiTheme="minorHAnsi" w:cstheme="minorHAnsi"/>
                <w:color w:val="auto"/>
                <w:szCs w:val="20"/>
                <w:lang w:val="bg-BG"/>
              </w:rPr>
            </w:pPr>
            <w:r w:rsidRPr="006D3E70">
              <w:rPr>
                <w:rFonts w:asciiTheme="minorHAnsi" w:hAnsiTheme="minorHAnsi" w:cstheme="minorHAnsi"/>
                <w:color w:val="auto"/>
                <w:szCs w:val="20"/>
                <w:lang w:val="bg-BG"/>
              </w:rPr>
              <w:t>-</w:t>
            </w:r>
          </w:p>
        </w:tc>
      </w:tr>
      <w:tr w:rsidR="0084445A" w:rsidRPr="00741D80" w14:paraId="22F884B5" w14:textId="77777777" w:rsidTr="00AE7CF9">
        <w:trPr>
          <w:trHeight w:val="170"/>
          <w:jc w:val="center"/>
        </w:trPr>
        <w:tc>
          <w:tcPr>
            <w:tcW w:w="3404" w:type="pct"/>
            <w:tcBorders>
              <w:top w:val="nil"/>
              <w:left w:val="nil"/>
              <w:bottom w:val="nil"/>
              <w:right w:val="nil"/>
            </w:tcBorders>
            <w:shd w:val="clear" w:color="auto" w:fill="auto"/>
            <w:noWrap/>
            <w:vAlign w:val="bottom"/>
            <w:hideMark/>
          </w:tcPr>
          <w:p w14:paraId="7BAFB702" w14:textId="4934C930" w:rsidR="0084445A" w:rsidRPr="00741D80" w:rsidRDefault="0084445A" w:rsidP="006661FC">
            <w:pPr>
              <w:pStyle w:val="a"/>
              <w:widowControl w:val="0"/>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Салдо към</w:t>
            </w:r>
            <w:r w:rsidR="00FD518A">
              <w:rPr>
                <w:rFonts w:asciiTheme="minorHAnsi" w:hAnsiTheme="minorHAnsi" w:cstheme="minorHAnsi"/>
                <w:b/>
                <w:color w:val="auto"/>
                <w:szCs w:val="20"/>
              </w:rPr>
              <w:t xml:space="preserve"> </w:t>
            </w:r>
            <w:r w:rsidRPr="00741D80">
              <w:rPr>
                <w:rFonts w:asciiTheme="minorHAnsi" w:hAnsiTheme="minorHAnsi" w:cstheme="minorHAnsi"/>
                <w:b/>
                <w:color w:val="auto"/>
                <w:szCs w:val="20"/>
                <w:lang w:val="bg-BG"/>
              </w:rPr>
              <w:t>31 декември</w:t>
            </w:r>
          </w:p>
        </w:tc>
        <w:tc>
          <w:tcPr>
            <w:tcW w:w="798" w:type="pct"/>
            <w:tcBorders>
              <w:top w:val="nil"/>
              <w:left w:val="nil"/>
              <w:bottom w:val="double" w:sz="6" w:space="0" w:color="auto"/>
              <w:right w:val="nil"/>
            </w:tcBorders>
            <w:shd w:val="clear" w:color="auto" w:fill="auto"/>
            <w:noWrap/>
            <w:vAlign w:val="bottom"/>
            <w:hideMark/>
          </w:tcPr>
          <w:p w14:paraId="1F0CB07B" w14:textId="77777777" w:rsidR="0084445A" w:rsidRPr="00741D80" w:rsidRDefault="0084445A" w:rsidP="006661FC">
            <w:pPr>
              <w:pStyle w:val="a0"/>
              <w:widowControl w:val="0"/>
              <w:rPr>
                <w:rFonts w:asciiTheme="minorHAnsi" w:hAnsiTheme="minorHAnsi" w:cstheme="minorHAnsi"/>
                <w:b/>
                <w:color w:val="auto"/>
                <w:szCs w:val="20"/>
              </w:rPr>
            </w:pPr>
            <w:r w:rsidRPr="00741D80">
              <w:rPr>
                <w:rFonts w:asciiTheme="minorHAnsi" w:hAnsiTheme="minorHAnsi" w:cstheme="minorHAnsi"/>
                <w:b/>
                <w:color w:val="auto"/>
                <w:szCs w:val="20"/>
              </w:rPr>
              <w:t>8,453</w:t>
            </w:r>
          </w:p>
        </w:tc>
        <w:tc>
          <w:tcPr>
            <w:tcW w:w="798" w:type="pct"/>
            <w:tcBorders>
              <w:top w:val="nil"/>
              <w:left w:val="nil"/>
              <w:bottom w:val="double" w:sz="6" w:space="0" w:color="auto"/>
              <w:right w:val="nil"/>
            </w:tcBorders>
            <w:shd w:val="clear" w:color="auto" w:fill="auto"/>
            <w:noWrap/>
            <w:vAlign w:val="bottom"/>
            <w:hideMark/>
          </w:tcPr>
          <w:p w14:paraId="44DB0FC3" w14:textId="77777777" w:rsidR="0084445A" w:rsidRPr="00741D80" w:rsidRDefault="0084445A" w:rsidP="006661FC">
            <w:pPr>
              <w:pStyle w:val="a0"/>
              <w:ind w:left="36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61</w:t>
            </w:r>
          </w:p>
        </w:tc>
      </w:tr>
    </w:tbl>
    <w:p w14:paraId="3307D791" w14:textId="77777777" w:rsidR="0084445A" w:rsidRPr="00741D80" w:rsidRDefault="0084445A" w:rsidP="00833465">
      <w:pPr>
        <w:pStyle w:val="Mainnumbers"/>
      </w:pPr>
      <w:bookmarkStart w:id="55" w:name="_Toc418084382"/>
      <w:bookmarkStart w:id="56" w:name="_Toc536452022"/>
      <w:r w:rsidRPr="00741D80">
        <w:t>ИНВЕСТИЦИИ В СЪВМЕСТНИ ДРУЖЕСТВА</w:t>
      </w:r>
      <w:bookmarkEnd w:id="55"/>
      <w:bookmarkEnd w:id="56"/>
      <w:r w:rsidRPr="00741D80">
        <w:t xml:space="preserve"> </w:t>
      </w:r>
    </w:p>
    <w:p w14:paraId="4EE597E9" w14:textId="77777777" w:rsidR="0084445A" w:rsidRPr="00741D80" w:rsidRDefault="0084445A" w:rsidP="00365108">
      <w:pPr>
        <w:jc w:val="both"/>
        <w:rPr>
          <w:rFonts w:cstheme="minorHAnsi"/>
        </w:rPr>
      </w:pPr>
      <w:r w:rsidRPr="00741D80">
        <w:rPr>
          <w:rFonts w:cstheme="minorHAnsi"/>
        </w:rPr>
        <w:t xml:space="preserve">На 15.04.2014 г. по силата на сключено съвместно споразумение между Българска фондова борса АД, Македонска Борса за ценни книжа АД, Скопие и Загребска Борса АД е учредено съвместно дружество СЕЕ Линк ДОО, Скопие със седалище ул. Орце Николов 75, Скопие, Македония. </w:t>
      </w:r>
    </w:p>
    <w:p w14:paraId="5901B55D" w14:textId="77777777" w:rsidR="0084445A" w:rsidRPr="00741D80" w:rsidRDefault="0084445A" w:rsidP="00365108">
      <w:pPr>
        <w:jc w:val="both"/>
        <w:rPr>
          <w:rFonts w:cstheme="minorHAnsi"/>
        </w:rPr>
      </w:pPr>
      <w:r w:rsidRPr="00741D80">
        <w:rPr>
          <w:rFonts w:cstheme="minorHAnsi"/>
        </w:rPr>
        <w:t xml:space="preserve">Към 31.12.2018 г. стойността на инвестицията в съвместното дружество е 53 </w:t>
      </w:r>
      <w:proofErr w:type="spellStart"/>
      <w:r w:rsidRPr="00741D80">
        <w:rPr>
          <w:rFonts w:cstheme="minorHAnsi"/>
        </w:rPr>
        <w:t>х.лв</w:t>
      </w:r>
      <w:proofErr w:type="spellEnd"/>
      <w:r w:rsidRPr="00741D80">
        <w:rPr>
          <w:rFonts w:cstheme="minorHAnsi"/>
        </w:rPr>
        <w:t xml:space="preserve">. (31.12.2017 г.: 53 </w:t>
      </w:r>
      <w:proofErr w:type="spellStart"/>
      <w:r w:rsidRPr="00741D80">
        <w:rPr>
          <w:rFonts w:cstheme="minorHAnsi"/>
        </w:rPr>
        <w:t>х.лв</w:t>
      </w:r>
      <w:proofErr w:type="spellEnd"/>
      <w:r w:rsidRPr="00741D80">
        <w:rPr>
          <w:rFonts w:cstheme="minorHAnsi"/>
        </w:rPr>
        <w:t>.), оценена по историческа цена на придобиване (себестойност).</w:t>
      </w:r>
    </w:p>
    <w:p w14:paraId="1CAE194F" w14:textId="77777777" w:rsidR="0084445A" w:rsidRPr="00741D80" w:rsidRDefault="0084445A" w:rsidP="00365108">
      <w:pPr>
        <w:jc w:val="both"/>
        <w:rPr>
          <w:rFonts w:cstheme="minorHAnsi"/>
        </w:rPr>
      </w:pPr>
      <w:r w:rsidRPr="00130F78">
        <w:rPr>
          <w:rFonts w:cstheme="minorHAnsi"/>
        </w:rPr>
        <w:t xml:space="preserve">Към 31.12.2018 г. стойността на участието на Борсата в съвместното дружество е оценена по метода на собствения капитал и участието е: 16 </w:t>
      </w:r>
      <w:proofErr w:type="spellStart"/>
      <w:r w:rsidRPr="00130F78">
        <w:rPr>
          <w:rFonts w:cstheme="minorHAnsi"/>
        </w:rPr>
        <w:t>х.лв</w:t>
      </w:r>
      <w:proofErr w:type="spellEnd"/>
      <w:r w:rsidRPr="00130F78">
        <w:rPr>
          <w:rFonts w:cstheme="minorHAnsi"/>
        </w:rPr>
        <w:t xml:space="preserve">. (към 31.12.2017 г.: 31 </w:t>
      </w:r>
      <w:proofErr w:type="spellStart"/>
      <w:r w:rsidRPr="00130F78">
        <w:rPr>
          <w:rFonts w:cstheme="minorHAnsi"/>
        </w:rPr>
        <w:t>х.лв</w:t>
      </w:r>
      <w:proofErr w:type="spellEnd"/>
      <w:r w:rsidRPr="00130F78">
        <w:rPr>
          <w:rFonts w:cstheme="minorHAnsi"/>
        </w:rPr>
        <w:t>.).</w:t>
      </w:r>
    </w:p>
    <w:tbl>
      <w:tblPr>
        <w:tblW w:w="5000" w:type="pct"/>
        <w:jc w:val="center"/>
        <w:tblLook w:val="04A0" w:firstRow="1" w:lastRow="0" w:firstColumn="1" w:lastColumn="0" w:noHBand="0" w:noVBand="1"/>
      </w:tblPr>
      <w:tblGrid>
        <w:gridCol w:w="6488"/>
        <w:gridCol w:w="1704"/>
        <w:gridCol w:w="1446"/>
      </w:tblGrid>
      <w:tr w:rsidR="0084445A" w:rsidRPr="00741D80" w14:paraId="3DA78875" w14:textId="77777777" w:rsidTr="00AE7CF9">
        <w:trPr>
          <w:trHeight w:val="170"/>
          <w:jc w:val="center"/>
        </w:trPr>
        <w:tc>
          <w:tcPr>
            <w:tcW w:w="3366" w:type="pct"/>
            <w:tcBorders>
              <w:top w:val="nil"/>
              <w:left w:val="nil"/>
              <w:bottom w:val="nil"/>
              <w:right w:val="nil"/>
            </w:tcBorders>
            <w:shd w:val="clear" w:color="auto" w:fill="auto"/>
            <w:noWrap/>
            <w:vAlign w:val="bottom"/>
            <w:hideMark/>
          </w:tcPr>
          <w:p w14:paraId="5E0DB43A" w14:textId="77777777" w:rsidR="0084445A" w:rsidRPr="00741D80" w:rsidRDefault="0084445A" w:rsidP="00AB28AF">
            <w:pPr>
              <w:pStyle w:val="a1"/>
              <w:rPr>
                <w:rFonts w:asciiTheme="minorHAnsi" w:hAnsiTheme="minorHAnsi" w:cstheme="minorHAnsi"/>
                <w:color w:val="auto"/>
                <w:szCs w:val="20"/>
                <w:lang w:val="bg-BG"/>
              </w:rPr>
            </w:pPr>
          </w:p>
        </w:tc>
        <w:tc>
          <w:tcPr>
            <w:tcW w:w="884" w:type="pct"/>
            <w:tcBorders>
              <w:top w:val="nil"/>
              <w:left w:val="nil"/>
              <w:bottom w:val="nil"/>
              <w:right w:val="nil"/>
            </w:tcBorders>
            <w:shd w:val="clear" w:color="auto" w:fill="auto"/>
            <w:vAlign w:val="bottom"/>
            <w:hideMark/>
          </w:tcPr>
          <w:p w14:paraId="4EC80EAE" w14:textId="77777777" w:rsidR="0084445A" w:rsidRPr="00741D80" w:rsidRDefault="0084445A" w:rsidP="00AB28AF">
            <w:pPr>
              <w:pStyle w:val="a1"/>
              <w:widowControl w:val="0"/>
              <w:rPr>
                <w:rFonts w:asciiTheme="minorHAnsi" w:hAnsiTheme="minorHAnsi" w:cstheme="minorHAnsi"/>
                <w:color w:val="auto"/>
                <w:szCs w:val="20"/>
              </w:rPr>
            </w:pPr>
            <w:r w:rsidRPr="00741D80">
              <w:rPr>
                <w:rFonts w:asciiTheme="minorHAnsi" w:hAnsiTheme="minorHAnsi" w:cstheme="minorHAnsi"/>
                <w:color w:val="auto"/>
                <w:szCs w:val="20"/>
                <w:lang w:val="bg-BG"/>
              </w:rPr>
              <w:t>31.12.201</w:t>
            </w:r>
            <w:r w:rsidRPr="00741D80">
              <w:rPr>
                <w:rFonts w:asciiTheme="minorHAnsi" w:hAnsiTheme="minorHAnsi" w:cstheme="minorHAnsi"/>
                <w:color w:val="auto"/>
                <w:szCs w:val="20"/>
              </w:rPr>
              <w:t>8</w:t>
            </w:r>
          </w:p>
        </w:tc>
        <w:tc>
          <w:tcPr>
            <w:tcW w:w="750" w:type="pct"/>
            <w:tcBorders>
              <w:top w:val="nil"/>
              <w:left w:val="nil"/>
              <w:bottom w:val="nil"/>
              <w:right w:val="nil"/>
            </w:tcBorders>
            <w:shd w:val="clear" w:color="auto" w:fill="auto"/>
            <w:vAlign w:val="bottom"/>
            <w:hideMark/>
          </w:tcPr>
          <w:p w14:paraId="6BE7FB7B"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rPr>
              <w:t>31.12.</w:t>
            </w:r>
            <w:r w:rsidRPr="00741D80">
              <w:rPr>
                <w:rFonts w:asciiTheme="minorHAnsi" w:hAnsiTheme="minorHAnsi" w:cstheme="minorHAnsi"/>
                <w:color w:val="auto"/>
                <w:szCs w:val="20"/>
                <w:lang w:val="bg-BG"/>
              </w:rPr>
              <w:t>2017</w:t>
            </w:r>
          </w:p>
        </w:tc>
      </w:tr>
      <w:tr w:rsidR="0084445A" w:rsidRPr="00741D80" w14:paraId="782E3EB0" w14:textId="77777777" w:rsidTr="00AE7CF9">
        <w:trPr>
          <w:trHeight w:val="170"/>
          <w:jc w:val="center"/>
        </w:trPr>
        <w:tc>
          <w:tcPr>
            <w:tcW w:w="3366" w:type="pct"/>
            <w:tcBorders>
              <w:top w:val="nil"/>
              <w:left w:val="nil"/>
              <w:bottom w:val="nil"/>
              <w:right w:val="nil"/>
            </w:tcBorders>
            <w:shd w:val="clear" w:color="auto" w:fill="auto"/>
            <w:noWrap/>
            <w:vAlign w:val="bottom"/>
            <w:hideMark/>
          </w:tcPr>
          <w:p w14:paraId="5F2AC432" w14:textId="77777777" w:rsidR="0084445A" w:rsidRPr="00741D80" w:rsidRDefault="0084445A" w:rsidP="00AB28AF">
            <w:pPr>
              <w:pStyle w:val="a1"/>
              <w:rPr>
                <w:rFonts w:asciiTheme="minorHAnsi" w:hAnsiTheme="minorHAnsi" w:cstheme="minorHAnsi"/>
                <w:color w:val="auto"/>
                <w:szCs w:val="20"/>
                <w:lang w:val="bg-BG"/>
              </w:rPr>
            </w:pPr>
          </w:p>
        </w:tc>
        <w:tc>
          <w:tcPr>
            <w:tcW w:w="884" w:type="pct"/>
            <w:tcBorders>
              <w:top w:val="nil"/>
              <w:left w:val="nil"/>
              <w:bottom w:val="nil"/>
              <w:right w:val="nil"/>
            </w:tcBorders>
            <w:shd w:val="clear" w:color="auto" w:fill="auto"/>
            <w:noWrap/>
            <w:hideMark/>
          </w:tcPr>
          <w:p w14:paraId="06B5AE40"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750" w:type="pct"/>
            <w:tcBorders>
              <w:top w:val="nil"/>
              <w:left w:val="nil"/>
              <w:bottom w:val="nil"/>
              <w:right w:val="nil"/>
            </w:tcBorders>
            <w:shd w:val="clear" w:color="auto" w:fill="auto"/>
            <w:noWrap/>
            <w:hideMark/>
          </w:tcPr>
          <w:p w14:paraId="02EA78F0"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544F875D" w14:textId="77777777" w:rsidTr="00AE7CF9">
        <w:trPr>
          <w:trHeight w:val="170"/>
          <w:jc w:val="center"/>
        </w:trPr>
        <w:tc>
          <w:tcPr>
            <w:tcW w:w="3366" w:type="pct"/>
            <w:tcBorders>
              <w:top w:val="nil"/>
              <w:left w:val="nil"/>
              <w:bottom w:val="nil"/>
              <w:right w:val="nil"/>
            </w:tcBorders>
            <w:shd w:val="clear" w:color="auto" w:fill="auto"/>
            <w:noWrap/>
            <w:vAlign w:val="bottom"/>
            <w:hideMark/>
          </w:tcPr>
          <w:p w14:paraId="2127EC4A" w14:textId="77777777" w:rsidR="0084445A" w:rsidRPr="00741D80" w:rsidRDefault="0084445A" w:rsidP="00AB28AF">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Салдо на 1 януари</w:t>
            </w:r>
          </w:p>
        </w:tc>
        <w:tc>
          <w:tcPr>
            <w:tcW w:w="884" w:type="pct"/>
            <w:tcBorders>
              <w:top w:val="nil"/>
              <w:left w:val="nil"/>
              <w:bottom w:val="single" w:sz="4" w:space="0" w:color="auto"/>
              <w:right w:val="nil"/>
            </w:tcBorders>
            <w:shd w:val="clear" w:color="auto" w:fill="auto"/>
            <w:noWrap/>
            <w:vAlign w:val="bottom"/>
            <w:hideMark/>
          </w:tcPr>
          <w:p w14:paraId="13A09127" w14:textId="77777777" w:rsidR="0084445A" w:rsidRPr="00741D80" w:rsidRDefault="0084445A" w:rsidP="00AB28AF">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31</w:t>
            </w:r>
          </w:p>
        </w:tc>
        <w:tc>
          <w:tcPr>
            <w:tcW w:w="750" w:type="pct"/>
            <w:tcBorders>
              <w:top w:val="nil"/>
              <w:left w:val="nil"/>
              <w:bottom w:val="single" w:sz="4" w:space="0" w:color="auto"/>
              <w:right w:val="nil"/>
            </w:tcBorders>
            <w:shd w:val="clear" w:color="auto" w:fill="auto"/>
            <w:noWrap/>
            <w:vAlign w:val="bottom"/>
            <w:hideMark/>
          </w:tcPr>
          <w:p w14:paraId="11ED3679" w14:textId="77777777" w:rsidR="0084445A" w:rsidRPr="00741D80" w:rsidRDefault="0084445A" w:rsidP="00AB28AF">
            <w:pPr>
              <w:pStyle w:val="a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45</w:t>
            </w:r>
          </w:p>
        </w:tc>
      </w:tr>
      <w:tr w:rsidR="0084445A" w:rsidRPr="00741D80" w14:paraId="5D22FD78" w14:textId="77777777" w:rsidTr="00AE7CF9">
        <w:trPr>
          <w:trHeight w:val="170"/>
          <w:jc w:val="center"/>
        </w:trPr>
        <w:tc>
          <w:tcPr>
            <w:tcW w:w="3366" w:type="pct"/>
            <w:tcBorders>
              <w:top w:val="nil"/>
              <w:left w:val="nil"/>
              <w:bottom w:val="nil"/>
              <w:right w:val="nil"/>
            </w:tcBorders>
            <w:shd w:val="clear" w:color="auto" w:fill="auto"/>
            <w:noWrap/>
            <w:vAlign w:val="bottom"/>
            <w:hideMark/>
          </w:tcPr>
          <w:p w14:paraId="0A08D899" w14:textId="77777777" w:rsidR="0084445A" w:rsidRPr="00130F78" w:rsidRDefault="0084445A" w:rsidP="00AB28AF">
            <w:pPr>
              <w:pStyle w:val="a"/>
              <w:rPr>
                <w:rFonts w:asciiTheme="minorHAnsi" w:hAnsiTheme="minorHAnsi" w:cstheme="minorHAnsi"/>
                <w:color w:val="auto"/>
                <w:szCs w:val="20"/>
                <w:lang w:val="bg-BG"/>
              </w:rPr>
            </w:pPr>
            <w:r w:rsidRPr="00130F78">
              <w:rPr>
                <w:rFonts w:asciiTheme="minorHAnsi" w:hAnsiTheme="minorHAnsi" w:cstheme="minorHAnsi"/>
                <w:color w:val="auto"/>
                <w:szCs w:val="20"/>
                <w:lang w:val="bg-BG"/>
              </w:rPr>
              <w:t>Дял в загубата за годината</w:t>
            </w:r>
          </w:p>
        </w:tc>
        <w:tc>
          <w:tcPr>
            <w:tcW w:w="884" w:type="pct"/>
            <w:tcBorders>
              <w:top w:val="nil"/>
              <w:left w:val="nil"/>
              <w:right w:val="nil"/>
            </w:tcBorders>
            <w:shd w:val="clear" w:color="auto" w:fill="auto"/>
            <w:noWrap/>
            <w:vAlign w:val="bottom"/>
            <w:hideMark/>
          </w:tcPr>
          <w:p w14:paraId="106A28F2" w14:textId="77777777" w:rsidR="0084445A" w:rsidRPr="00130F78" w:rsidRDefault="0084445A" w:rsidP="00AB28AF">
            <w:pPr>
              <w:pStyle w:val="a0"/>
              <w:rPr>
                <w:rFonts w:asciiTheme="minorHAnsi" w:hAnsiTheme="minorHAnsi" w:cstheme="minorHAnsi"/>
                <w:color w:val="auto"/>
                <w:szCs w:val="20"/>
                <w:lang w:val="bg-BG"/>
              </w:rPr>
            </w:pPr>
            <w:r w:rsidRPr="00130F78">
              <w:rPr>
                <w:rFonts w:asciiTheme="minorHAnsi" w:hAnsiTheme="minorHAnsi" w:cstheme="minorHAnsi"/>
                <w:color w:val="auto"/>
                <w:szCs w:val="20"/>
              </w:rPr>
              <w:t>(</w:t>
            </w:r>
            <w:r w:rsidRPr="00130F78">
              <w:rPr>
                <w:rFonts w:asciiTheme="minorHAnsi" w:hAnsiTheme="minorHAnsi" w:cstheme="minorHAnsi"/>
                <w:color w:val="auto"/>
                <w:szCs w:val="20"/>
                <w:lang w:val="bg-BG"/>
              </w:rPr>
              <w:t>15</w:t>
            </w:r>
            <w:r w:rsidRPr="00130F78">
              <w:rPr>
                <w:rFonts w:asciiTheme="minorHAnsi" w:hAnsiTheme="minorHAnsi" w:cstheme="minorHAnsi"/>
                <w:color w:val="auto"/>
                <w:szCs w:val="20"/>
              </w:rPr>
              <w:t>)</w:t>
            </w:r>
          </w:p>
        </w:tc>
        <w:tc>
          <w:tcPr>
            <w:tcW w:w="750" w:type="pct"/>
            <w:tcBorders>
              <w:top w:val="nil"/>
              <w:left w:val="nil"/>
              <w:right w:val="nil"/>
            </w:tcBorders>
            <w:shd w:val="clear" w:color="auto" w:fill="auto"/>
            <w:noWrap/>
            <w:vAlign w:val="bottom"/>
            <w:hideMark/>
          </w:tcPr>
          <w:p w14:paraId="53B18AB4" w14:textId="77777777" w:rsidR="0084445A" w:rsidRPr="00741D80" w:rsidRDefault="0084445A" w:rsidP="00AB28AF">
            <w:pPr>
              <w:pStyle w:val="a0"/>
              <w:rPr>
                <w:rFonts w:asciiTheme="minorHAnsi" w:hAnsiTheme="minorHAnsi" w:cstheme="minorHAnsi"/>
                <w:bCs/>
                <w:color w:val="auto"/>
                <w:szCs w:val="20"/>
                <w:lang w:val="bg-BG"/>
              </w:rPr>
            </w:pPr>
            <w:r w:rsidRPr="00130F78">
              <w:rPr>
                <w:rFonts w:asciiTheme="minorHAnsi" w:hAnsiTheme="minorHAnsi" w:cstheme="minorHAnsi"/>
                <w:color w:val="auto"/>
                <w:szCs w:val="20"/>
                <w:lang w:val="bg-BG"/>
              </w:rPr>
              <w:t>(14)</w:t>
            </w:r>
          </w:p>
        </w:tc>
      </w:tr>
      <w:tr w:rsidR="0084445A" w:rsidRPr="00741D80" w14:paraId="6085CB74" w14:textId="77777777" w:rsidTr="00AE7CF9">
        <w:trPr>
          <w:trHeight w:val="170"/>
          <w:jc w:val="center"/>
        </w:trPr>
        <w:tc>
          <w:tcPr>
            <w:tcW w:w="3366" w:type="pct"/>
            <w:tcBorders>
              <w:top w:val="nil"/>
              <w:left w:val="nil"/>
              <w:bottom w:val="nil"/>
              <w:right w:val="nil"/>
            </w:tcBorders>
            <w:shd w:val="clear" w:color="auto" w:fill="auto"/>
            <w:noWrap/>
            <w:vAlign w:val="bottom"/>
            <w:hideMark/>
          </w:tcPr>
          <w:p w14:paraId="2262DBE2" w14:textId="77777777" w:rsidR="0084445A" w:rsidRPr="00741D80" w:rsidRDefault="0084445A" w:rsidP="00AB28AF">
            <w:pPr>
              <w:pStyle w:val="a"/>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Салдо към</w:t>
            </w:r>
            <w:r w:rsidRPr="00741D80">
              <w:rPr>
                <w:rFonts w:asciiTheme="minorHAnsi" w:hAnsiTheme="minorHAnsi" w:cstheme="minorHAnsi"/>
                <w:b/>
                <w:color w:val="auto"/>
                <w:szCs w:val="20"/>
              </w:rPr>
              <w:t xml:space="preserve"> </w:t>
            </w:r>
            <w:r w:rsidRPr="00741D80">
              <w:rPr>
                <w:rFonts w:asciiTheme="minorHAnsi" w:hAnsiTheme="minorHAnsi" w:cstheme="minorHAnsi"/>
                <w:b/>
                <w:color w:val="auto"/>
                <w:szCs w:val="20"/>
                <w:lang w:val="bg-BG"/>
              </w:rPr>
              <w:t>31 декември</w:t>
            </w:r>
          </w:p>
        </w:tc>
        <w:tc>
          <w:tcPr>
            <w:tcW w:w="884" w:type="pct"/>
            <w:tcBorders>
              <w:top w:val="single" w:sz="4" w:space="0" w:color="auto"/>
              <w:left w:val="nil"/>
              <w:bottom w:val="double" w:sz="6" w:space="0" w:color="auto"/>
              <w:right w:val="nil"/>
            </w:tcBorders>
            <w:shd w:val="clear" w:color="auto" w:fill="auto"/>
            <w:noWrap/>
            <w:vAlign w:val="bottom"/>
            <w:hideMark/>
          </w:tcPr>
          <w:p w14:paraId="459A272C" w14:textId="77777777" w:rsidR="0084445A" w:rsidRPr="00741D80" w:rsidRDefault="0084445A" w:rsidP="00AB28AF">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16</w:t>
            </w:r>
          </w:p>
        </w:tc>
        <w:tc>
          <w:tcPr>
            <w:tcW w:w="750" w:type="pct"/>
            <w:tcBorders>
              <w:top w:val="single" w:sz="4" w:space="0" w:color="auto"/>
              <w:left w:val="nil"/>
              <w:bottom w:val="double" w:sz="6" w:space="0" w:color="auto"/>
              <w:right w:val="nil"/>
            </w:tcBorders>
            <w:shd w:val="clear" w:color="auto" w:fill="auto"/>
            <w:noWrap/>
            <w:vAlign w:val="bottom"/>
            <w:hideMark/>
          </w:tcPr>
          <w:p w14:paraId="45DD940F" w14:textId="77777777" w:rsidR="0084445A" w:rsidRPr="00741D80" w:rsidRDefault="0084445A" w:rsidP="00AB28AF">
            <w:pPr>
              <w:pStyle w:val="a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31</w:t>
            </w:r>
          </w:p>
        </w:tc>
      </w:tr>
    </w:tbl>
    <w:p w14:paraId="1A4C01C0" w14:textId="77777777" w:rsidR="00AB28AF" w:rsidRDefault="00AB28AF">
      <w:bookmarkStart w:id="57" w:name="_Hlk536147114"/>
      <w:r>
        <w:br w:type="page"/>
      </w:r>
    </w:p>
    <w:p w14:paraId="07DB1057" w14:textId="565F33E0" w:rsidR="0084445A" w:rsidRPr="00AB28AF" w:rsidRDefault="0084445A" w:rsidP="00833465">
      <w:pPr>
        <w:pStyle w:val="Mainnumbers"/>
      </w:pPr>
      <w:bookmarkStart w:id="58" w:name="_Toc536452023"/>
      <w:r w:rsidRPr="00AB28AF">
        <w:lastRenderedPageBreak/>
        <w:t>ДЪЛГОВИ ИНВЕСТИЦИИ, ОЦЕНЯВАНИ ПО АМОРТИЗИРАНА СТОЙНОСТ</w:t>
      </w:r>
      <w:bookmarkEnd w:id="58"/>
      <w:r w:rsidR="00FD518A" w:rsidRPr="00AB28AF">
        <w:t xml:space="preserve"> </w:t>
      </w:r>
    </w:p>
    <w:bookmarkEnd w:id="57"/>
    <w:p w14:paraId="7A0E7BFF" w14:textId="77777777" w:rsidR="0084445A" w:rsidRPr="00741D80" w:rsidRDefault="0084445A" w:rsidP="00365108">
      <w:pPr>
        <w:jc w:val="both"/>
        <w:rPr>
          <w:rFonts w:cstheme="minorHAnsi"/>
        </w:rPr>
      </w:pPr>
      <w:r w:rsidRPr="00741D80">
        <w:rPr>
          <w:rFonts w:cstheme="minorHAnsi"/>
        </w:rPr>
        <w:t>Към 31.12.2018 г. дружеството не притежава активи, държани до падеж. Във връзка с договора за придобиване на 100% от капитала на Българска независима енергийна борса ЕАД (БНЕБ), между Българска фондова борса АД и Български енергиен холдинг ЕАД - едноличен собственик на капитала на БНЕБ, притежаваните държавни ценни книжа – евро облигации, държани до падеж, бяха продадени на 31.01.2018 г.</w:t>
      </w:r>
    </w:p>
    <w:p w14:paraId="18B7CDCA" w14:textId="77777777" w:rsidR="0084445A" w:rsidRPr="00741D80" w:rsidRDefault="0084445A" w:rsidP="0084445A">
      <w:pPr>
        <w:pStyle w:val="a3"/>
        <w:spacing w:line="276" w:lineRule="auto"/>
        <w:rPr>
          <w:rFonts w:asciiTheme="minorHAnsi" w:hAnsiTheme="minorHAnsi" w:cstheme="minorHAnsi"/>
          <w:szCs w:val="20"/>
        </w:rPr>
      </w:pPr>
      <w:r w:rsidRPr="00741D80">
        <w:rPr>
          <w:rFonts w:asciiTheme="minorHAnsi" w:hAnsiTheme="minorHAnsi" w:cstheme="minorHAnsi"/>
          <w:szCs w:val="20"/>
        </w:rPr>
        <w:t>31.12.2017 г.</w:t>
      </w:r>
    </w:p>
    <w:tbl>
      <w:tblPr>
        <w:tblW w:w="9811" w:type="dxa"/>
        <w:jc w:val="center"/>
        <w:tblCellMar>
          <w:left w:w="6" w:type="dxa"/>
          <w:right w:w="6" w:type="dxa"/>
        </w:tblCellMar>
        <w:tblLook w:val="04A0" w:firstRow="1" w:lastRow="0" w:firstColumn="1" w:lastColumn="0" w:noHBand="0" w:noVBand="1"/>
      </w:tblPr>
      <w:tblGrid>
        <w:gridCol w:w="1276"/>
        <w:gridCol w:w="1220"/>
        <w:gridCol w:w="1103"/>
        <w:gridCol w:w="937"/>
        <w:gridCol w:w="1258"/>
        <w:gridCol w:w="1271"/>
        <w:gridCol w:w="1446"/>
        <w:gridCol w:w="1300"/>
      </w:tblGrid>
      <w:tr w:rsidR="0084445A" w:rsidRPr="00741D80" w14:paraId="1362E08E" w14:textId="77777777" w:rsidTr="00AE7CF9">
        <w:trPr>
          <w:trHeight w:val="450"/>
          <w:jc w:val="center"/>
        </w:trPr>
        <w:tc>
          <w:tcPr>
            <w:tcW w:w="1276" w:type="dxa"/>
            <w:tcBorders>
              <w:top w:val="nil"/>
              <w:left w:val="nil"/>
              <w:bottom w:val="nil"/>
              <w:right w:val="nil"/>
            </w:tcBorders>
            <w:shd w:val="clear" w:color="auto" w:fill="auto"/>
            <w:hideMark/>
          </w:tcPr>
          <w:p w14:paraId="5E5E8470"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Емисия</w:t>
            </w:r>
          </w:p>
        </w:tc>
        <w:tc>
          <w:tcPr>
            <w:tcW w:w="1220" w:type="dxa"/>
            <w:tcBorders>
              <w:top w:val="nil"/>
              <w:left w:val="nil"/>
              <w:bottom w:val="nil"/>
              <w:right w:val="nil"/>
            </w:tcBorders>
            <w:shd w:val="clear" w:color="auto" w:fill="auto"/>
            <w:hideMark/>
          </w:tcPr>
          <w:p w14:paraId="6B0BB685"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Дата на издаване</w:t>
            </w:r>
          </w:p>
        </w:tc>
        <w:tc>
          <w:tcPr>
            <w:tcW w:w="1103" w:type="dxa"/>
            <w:tcBorders>
              <w:top w:val="nil"/>
              <w:left w:val="nil"/>
              <w:bottom w:val="nil"/>
              <w:right w:val="nil"/>
            </w:tcBorders>
            <w:shd w:val="clear" w:color="auto" w:fill="auto"/>
            <w:hideMark/>
          </w:tcPr>
          <w:p w14:paraId="3B65F37E"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Падеж</w:t>
            </w:r>
          </w:p>
        </w:tc>
        <w:tc>
          <w:tcPr>
            <w:tcW w:w="937" w:type="dxa"/>
            <w:tcBorders>
              <w:top w:val="nil"/>
              <w:left w:val="nil"/>
              <w:bottom w:val="nil"/>
              <w:right w:val="nil"/>
            </w:tcBorders>
            <w:shd w:val="clear" w:color="auto" w:fill="auto"/>
            <w:hideMark/>
          </w:tcPr>
          <w:p w14:paraId="513B0742"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Лихва по купон</w:t>
            </w:r>
          </w:p>
        </w:tc>
        <w:tc>
          <w:tcPr>
            <w:tcW w:w="1258" w:type="dxa"/>
            <w:tcBorders>
              <w:top w:val="nil"/>
              <w:left w:val="nil"/>
              <w:bottom w:val="nil"/>
              <w:right w:val="nil"/>
            </w:tcBorders>
            <w:shd w:val="clear" w:color="auto" w:fill="auto"/>
            <w:hideMark/>
          </w:tcPr>
          <w:p w14:paraId="60924AB0"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Номинал на главница</w:t>
            </w:r>
          </w:p>
        </w:tc>
        <w:tc>
          <w:tcPr>
            <w:tcW w:w="1271" w:type="dxa"/>
            <w:tcBorders>
              <w:top w:val="nil"/>
              <w:left w:val="nil"/>
              <w:bottom w:val="nil"/>
              <w:right w:val="nil"/>
            </w:tcBorders>
            <w:shd w:val="clear" w:color="auto" w:fill="auto"/>
            <w:hideMark/>
          </w:tcPr>
          <w:p w14:paraId="6748285D"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Балансова стойност</w:t>
            </w:r>
          </w:p>
        </w:tc>
        <w:tc>
          <w:tcPr>
            <w:tcW w:w="1446" w:type="dxa"/>
            <w:tcBorders>
              <w:top w:val="nil"/>
              <w:left w:val="nil"/>
              <w:bottom w:val="nil"/>
              <w:right w:val="nil"/>
            </w:tcBorders>
            <w:shd w:val="clear" w:color="auto" w:fill="auto"/>
            <w:hideMark/>
          </w:tcPr>
          <w:p w14:paraId="56415D3D"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Балансова стойност</w:t>
            </w:r>
          </w:p>
        </w:tc>
        <w:tc>
          <w:tcPr>
            <w:tcW w:w="1300" w:type="dxa"/>
            <w:tcBorders>
              <w:top w:val="nil"/>
              <w:left w:val="nil"/>
              <w:bottom w:val="nil"/>
              <w:right w:val="nil"/>
            </w:tcBorders>
            <w:shd w:val="clear" w:color="auto" w:fill="auto"/>
            <w:hideMark/>
          </w:tcPr>
          <w:p w14:paraId="24A2C4C1"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Справедлива стойност</w:t>
            </w:r>
          </w:p>
        </w:tc>
      </w:tr>
      <w:tr w:rsidR="0084445A" w:rsidRPr="00741D80" w14:paraId="49292D87" w14:textId="77777777" w:rsidTr="00AE7CF9">
        <w:trPr>
          <w:trHeight w:val="170"/>
          <w:jc w:val="center"/>
        </w:trPr>
        <w:tc>
          <w:tcPr>
            <w:tcW w:w="1276" w:type="dxa"/>
            <w:tcBorders>
              <w:top w:val="nil"/>
              <w:left w:val="nil"/>
              <w:bottom w:val="nil"/>
              <w:right w:val="nil"/>
            </w:tcBorders>
            <w:shd w:val="clear" w:color="auto" w:fill="auto"/>
            <w:hideMark/>
          </w:tcPr>
          <w:p w14:paraId="35F82F3D" w14:textId="77777777" w:rsidR="0084445A" w:rsidRPr="00741D80" w:rsidRDefault="0084445A" w:rsidP="00AB28AF">
            <w:pPr>
              <w:pStyle w:val="a"/>
              <w:jc w:val="center"/>
              <w:rPr>
                <w:rFonts w:asciiTheme="minorHAnsi" w:hAnsiTheme="minorHAnsi" w:cstheme="minorHAnsi"/>
                <w:color w:val="auto"/>
                <w:szCs w:val="20"/>
                <w:lang w:val="bg-BG"/>
              </w:rPr>
            </w:pPr>
          </w:p>
        </w:tc>
        <w:tc>
          <w:tcPr>
            <w:tcW w:w="1220" w:type="dxa"/>
            <w:tcBorders>
              <w:top w:val="nil"/>
              <w:left w:val="nil"/>
              <w:bottom w:val="nil"/>
              <w:right w:val="nil"/>
            </w:tcBorders>
            <w:shd w:val="clear" w:color="auto" w:fill="auto"/>
            <w:hideMark/>
          </w:tcPr>
          <w:p w14:paraId="0D390FCE" w14:textId="77777777" w:rsidR="0084445A" w:rsidRPr="00741D80" w:rsidRDefault="0084445A" w:rsidP="00AB28AF">
            <w:pPr>
              <w:pStyle w:val="a"/>
              <w:jc w:val="center"/>
              <w:rPr>
                <w:rFonts w:asciiTheme="minorHAnsi" w:hAnsiTheme="minorHAnsi" w:cstheme="minorHAnsi"/>
                <w:color w:val="auto"/>
                <w:szCs w:val="20"/>
                <w:lang w:val="bg-BG"/>
              </w:rPr>
            </w:pPr>
          </w:p>
        </w:tc>
        <w:tc>
          <w:tcPr>
            <w:tcW w:w="1103" w:type="dxa"/>
            <w:tcBorders>
              <w:top w:val="nil"/>
              <w:left w:val="nil"/>
              <w:bottom w:val="nil"/>
              <w:right w:val="nil"/>
            </w:tcBorders>
            <w:shd w:val="clear" w:color="auto" w:fill="auto"/>
            <w:hideMark/>
          </w:tcPr>
          <w:p w14:paraId="612000BD" w14:textId="77777777" w:rsidR="0084445A" w:rsidRPr="00741D80" w:rsidRDefault="0084445A" w:rsidP="00AB28AF">
            <w:pPr>
              <w:pStyle w:val="a"/>
              <w:jc w:val="center"/>
              <w:rPr>
                <w:rFonts w:asciiTheme="minorHAnsi" w:hAnsiTheme="minorHAnsi" w:cstheme="minorHAnsi"/>
                <w:color w:val="auto"/>
                <w:szCs w:val="20"/>
                <w:lang w:val="bg-BG"/>
              </w:rPr>
            </w:pPr>
          </w:p>
        </w:tc>
        <w:tc>
          <w:tcPr>
            <w:tcW w:w="937" w:type="dxa"/>
            <w:tcBorders>
              <w:top w:val="nil"/>
              <w:left w:val="nil"/>
              <w:bottom w:val="nil"/>
              <w:right w:val="nil"/>
            </w:tcBorders>
            <w:shd w:val="clear" w:color="auto" w:fill="auto"/>
            <w:hideMark/>
          </w:tcPr>
          <w:p w14:paraId="23C947A0" w14:textId="77777777" w:rsidR="0084445A" w:rsidRPr="00741D80" w:rsidRDefault="0084445A" w:rsidP="00AB28AF">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w:t>
            </w:r>
          </w:p>
        </w:tc>
        <w:tc>
          <w:tcPr>
            <w:tcW w:w="1258" w:type="dxa"/>
            <w:tcBorders>
              <w:top w:val="nil"/>
              <w:left w:val="nil"/>
              <w:bottom w:val="nil"/>
              <w:right w:val="nil"/>
            </w:tcBorders>
            <w:shd w:val="clear" w:color="auto" w:fill="auto"/>
            <w:hideMark/>
          </w:tcPr>
          <w:p w14:paraId="7BCD8D5A" w14:textId="77777777" w:rsidR="0084445A" w:rsidRPr="00741D80" w:rsidRDefault="0084445A" w:rsidP="00AB28AF">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EUR ‘000</w:t>
            </w:r>
          </w:p>
        </w:tc>
        <w:tc>
          <w:tcPr>
            <w:tcW w:w="1271" w:type="dxa"/>
            <w:tcBorders>
              <w:top w:val="nil"/>
              <w:left w:val="nil"/>
              <w:bottom w:val="nil"/>
              <w:right w:val="nil"/>
            </w:tcBorders>
            <w:shd w:val="clear" w:color="auto" w:fill="auto"/>
            <w:hideMark/>
          </w:tcPr>
          <w:p w14:paraId="17B4B9CC" w14:textId="77777777" w:rsidR="0084445A" w:rsidRPr="00741D80" w:rsidRDefault="0084445A" w:rsidP="00AB28AF">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EUR ‘000</w:t>
            </w:r>
          </w:p>
        </w:tc>
        <w:tc>
          <w:tcPr>
            <w:tcW w:w="1446" w:type="dxa"/>
            <w:tcBorders>
              <w:top w:val="nil"/>
              <w:left w:val="nil"/>
              <w:right w:val="nil"/>
            </w:tcBorders>
            <w:shd w:val="clear" w:color="auto" w:fill="auto"/>
            <w:hideMark/>
          </w:tcPr>
          <w:p w14:paraId="0B488394" w14:textId="77777777" w:rsidR="0084445A" w:rsidRPr="00741D80" w:rsidRDefault="0084445A" w:rsidP="00AB28AF">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BGN’000</w:t>
            </w:r>
          </w:p>
        </w:tc>
        <w:tc>
          <w:tcPr>
            <w:tcW w:w="1300" w:type="dxa"/>
            <w:tcBorders>
              <w:top w:val="nil"/>
              <w:left w:val="nil"/>
              <w:bottom w:val="nil"/>
              <w:right w:val="nil"/>
            </w:tcBorders>
            <w:shd w:val="clear" w:color="auto" w:fill="auto"/>
            <w:hideMark/>
          </w:tcPr>
          <w:p w14:paraId="77EC8EA4" w14:textId="77777777" w:rsidR="0084445A" w:rsidRPr="00741D80" w:rsidRDefault="0084445A" w:rsidP="00AB28AF">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BGN’000</w:t>
            </w:r>
          </w:p>
        </w:tc>
      </w:tr>
      <w:tr w:rsidR="0084445A" w:rsidRPr="00741D80" w14:paraId="1AE950E7" w14:textId="77777777" w:rsidTr="00AE7CF9">
        <w:trPr>
          <w:trHeight w:val="170"/>
          <w:jc w:val="center"/>
        </w:trPr>
        <w:tc>
          <w:tcPr>
            <w:tcW w:w="1276" w:type="dxa"/>
            <w:tcBorders>
              <w:top w:val="nil"/>
              <w:left w:val="nil"/>
              <w:bottom w:val="nil"/>
              <w:right w:val="nil"/>
            </w:tcBorders>
            <w:shd w:val="clear" w:color="auto" w:fill="auto"/>
            <w:hideMark/>
          </w:tcPr>
          <w:p w14:paraId="4BC468F0" w14:textId="77777777" w:rsidR="0084445A" w:rsidRPr="00741D80" w:rsidRDefault="0084445A" w:rsidP="00AB28AF">
            <w:pPr>
              <w:pStyle w:val="a"/>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XS1083844503</w:t>
            </w:r>
          </w:p>
        </w:tc>
        <w:tc>
          <w:tcPr>
            <w:tcW w:w="1220" w:type="dxa"/>
            <w:tcBorders>
              <w:top w:val="nil"/>
              <w:left w:val="nil"/>
              <w:bottom w:val="nil"/>
              <w:right w:val="nil"/>
            </w:tcBorders>
            <w:shd w:val="clear" w:color="auto" w:fill="auto"/>
            <w:hideMark/>
          </w:tcPr>
          <w:p w14:paraId="48FA914F"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03.07.2014</w:t>
            </w:r>
          </w:p>
        </w:tc>
        <w:tc>
          <w:tcPr>
            <w:tcW w:w="1103" w:type="dxa"/>
            <w:tcBorders>
              <w:top w:val="nil"/>
              <w:left w:val="nil"/>
              <w:bottom w:val="nil"/>
              <w:right w:val="nil"/>
            </w:tcBorders>
            <w:shd w:val="clear" w:color="auto" w:fill="auto"/>
            <w:hideMark/>
          </w:tcPr>
          <w:p w14:paraId="4FA56089"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03.09.2024</w:t>
            </w:r>
          </w:p>
        </w:tc>
        <w:tc>
          <w:tcPr>
            <w:tcW w:w="937" w:type="dxa"/>
            <w:tcBorders>
              <w:top w:val="nil"/>
              <w:left w:val="nil"/>
              <w:bottom w:val="nil"/>
              <w:right w:val="nil"/>
            </w:tcBorders>
            <w:shd w:val="clear" w:color="auto" w:fill="auto"/>
            <w:hideMark/>
          </w:tcPr>
          <w:p w14:paraId="167543A2"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2.95%</w:t>
            </w:r>
          </w:p>
        </w:tc>
        <w:tc>
          <w:tcPr>
            <w:tcW w:w="1258" w:type="dxa"/>
            <w:tcBorders>
              <w:top w:val="nil"/>
              <w:left w:val="nil"/>
              <w:bottom w:val="nil"/>
              <w:right w:val="nil"/>
            </w:tcBorders>
            <w:shd w:val="clear" w:color="auto" w:fill="auto"/>
            <w:hideMark/>
          </w:tcPr>
          <w:p w14:paraId="2BB06BDA"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1,535</w:t>
            </w:r>
          </w:p>
        </w:tc>
        <w:tc>
          <w:tcPr>
            <w:tcW w:w="1271" w:type="dxa"/>
            <w:tcBorders>
              <w:top w:val="nil"/>
              <w:left w:val="nil"/>
              <w:bottom w:val="nil"/>
              <w:right w:val="nil"/>
            </w:tcBorders>
            <w:shd w:val="clear" w:color="auto" w:fill="auto"/>
            <w:hideMark/>
          </w:tcPr>
          <w:p w14:paraId="2A266768" w14:textId="77777777" w:rsidR="0084445A" w:rsidRPr="00741D80" w:rsidRDefault="0084445A" w:rsidP="00AB28AF">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1,534</w:t>
            </w:r>
          </w:p>
        </w:tc>
        <w:tc>
          <w:tcPr>
            <w:tcW w:w="1446" w:type="dxa"/>
            <w:tcBorders>
              <w:top w:val="nil"/>
              <w:left w:val="nil"/>
              <w:right w:val="nil"/>
            </w:tcBorders>
            <w:shd w:val="clear" w:color="auto" w:fill="auto"/>
            <w:hideMark/>
          </w:tcPr>
          <w:p w14:paraId="1E59D920" w14:textId="77777777" w:rsidR="0084445A" w:rsidRPr="00741D80" w:rsidRDefault="0084445A" w:rsidP="00AB28AF">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2,999</w:t>
            </w:r>
          </w:p>
        </w:tc>
        <w:tc>
          <w:tcPr>
            <w:tcW w:w="1300" w:type="dxa"/>
            <w:tcBorders>
              <w:top w:val="nil"/>
              <w:left w:val="nil"/>
              <w:right w:val="nil"/>
            </w:tcBorders>
            <w:shd w:val="clear" w:color="auto" w:fill="auto"/>
            <w:hideMark/>
          </w:tcPr>
          <w:p w14:paraId="77EB5A04" w14:textId="77777777" w:rsidR="0084445A" w:rsidRPr="00741D80" w:rsidRDefault="0084445A" w:rsidP="00AB28AF">
            <w:pPr>
              <w:pStyle w:val="a0"/>
              <w:widowControl w:val="0"/>
              <w:rPr>
                <w:rFonts w:asciiTheme="minorHAnsi" w:hAnsiTheme="minorHAnsi" w:cstheme="minorHAnsi"/>
                <w:color w:val="auto"/>
                <w:szCs w:val="20"/>
              </w:rPr>
            </w:pPr>
            <w:r w:rsidRPr="00741D80">
              <w:rPr>
                <w:rFonts w:asciiTheme="minorHAnsi" w:hAnsiTheme="minorHAnsi" w:cstheme="minorHAnsi"/>
                <w:color w:val="auto"/>
                <w:szCs w:val="20"/>
              </w:rPr>
              <w:t>3</w:t>
            </w:r>
            <w:r w:rsidRPr="00741D80">
              <w:rPr>
                <w:rFonts w:asciiTheme="minorHAnsi" w:hAnsiTheme="minorHAnsi" w:cstheme="minorHAnsi"/>
                <w:color w:val="auto"/>
                <w:szCs w:val="20"/>
                <w:lang w:val="bg-BG"/>
              </w:rPr>
              <w:t>,</w:t>
            </w:r>
            <w:r w:rsidRPr="00741D80">
              <w:rPr>
                <w:rFonts w:asciiTheme="minorHAnsi" w:hAnsiTheme="minorHAnsi" w:cstheme="minorHAnsi"/>
                <w:color w:val="auto"/>
                <w:szCs w:val="20"/>
              </w:rPr>
              <w:t>454</w:t>
            </w:r>
          </w:p>
        </w:tc>
      </w:tr>
      <w:tr w:rsidR="0084445A" w:rsidRPr="00741D80" w14:paraId="27154D15" w14:textId="77777777" w:rsidTr="00AE7CF9">
        <w:trPr>
          <w:trHeight w:val="170"/>
          <w:jc w:val="center"/>
        </w:trPr>
        <w:tc>
          <w:tcPr>
            <w:tcW w:w="1276" w:type="dxa"/>
            <w:tcBorders>
              <w:top w:val="nil"/>
              <w:left w:val="nil"/>
              <w:bottom w:val="nil"/>
              <w:right w:val="nil"/>
            </w:tcBorders>
            <w:shd w:val="clear" w:color="auto" w:fill="auto"/>
            <w:hideMark/>
          </w:tcPr>
          <w:p w14:paraId="03D174BB" w14:textId="77777777" w:rsidR="0084445A" w:rsidRPr="00741D80" w:rsidRDefault="0084445A" w:rsidP="00AB28AF">
            <w:pPr>
              <w:pStyle w:val="a"/>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XS1208855889</w:t>
            </w:r>
          </w:p>
        </w:tc>
        <w:tc>
          <w:tcPr>
            <w:tcW w:w="1220" w:type="dxa"/>
            <w:tcBorders>
              <w:top w:val="nil"/>
              <w:left w:val="nil"/>
              <w:bottom w:val="nil"/>
              <w:right w:val="nil"/>
            </w:tcBorders>
            <w:shd w:val="clear" w:color="auto" w:fill="auto"/>
            <w:hideMark/>
          </w:tcPr>
          <w:p w14:paraId="1577D000"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26.03.2015</w:t>
            </w:r>
          </w:p>
        </w:tc>
        <w:tc>
          <w:tcPr>
            <w:tcW w:w="1103" w:type="dxa"/>
            <w:tcBorders>
              <w:top w:val="nil"/>
              <w:left w:val="nil"/>
              <w:bottom w:val="nil"/>
              <w:right w:val="nil"/>
            </w:tcBorders>
            <w:shd w:val="clear" w:color="auto" w:fill="auto"/>
            <w:hideMark/>
          </w:tcPr>
          <w:p w14:paraId="30734DF8"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26.03.2027</w:t>
            </w:r>
          </w:p>
        </w:tc>
        <w:tc>
          <w:tcPr>
            <w:tcW w:w="937" w:type="dxa"/>
            <w:tcBorders>
              <w:top w:val="nil"/>
              <w:left w:val="nil"/>
              <w:bottom w:val="nil"/>
              <w:right w:val="nil"/>
            </w:tcBorders>
            <w:shd w:val="clear" w:color="auto" w:fill="auto"/>
            <w:hideMark/>
          </w:tcPr>
          <w:p w14:paraId="5282DEE3"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2.63%</w:t>
            </w:r>
          </w:p>
        </w:tc>
        <w:tc>
          <w:tcPr>
            <w:tcW w:w="1258" w:type="dxa"/>
            <w:tcBorders>
              <w:top w:val="nil"/>
              <w:left w:val="nil"/>
              <w:bottom w:val="nil"/>
              <w:right w:val="nil"/>
            </w:tcBorders>
            <w:shd w:val="clear" w:color="auto" w:fill="auto"/>
            <w:hideMark/>
          </w:tcPr>
          <w:p w14:paraId="01AD825C"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520</w:t>
            </w:r>
          </w:p>
        </w:tc>
        <w:tc>
          <w:tcPr>
            <w:tcW w:w="1271" w:type="dxa"/>
            <w:tcBorders>
              <w:top w:val="nil"/>
              <w:left w:val="nil"/>
              <w:bottom w:val="nil"/>
              <w:right w:val="nil"/>
            </w:tcBorders>
            <w:shd w:val="clear" w:color="auto" w:fill="auto"/>
            <w:hideMark/>
          </w:tcPr>
          <w:p w14:paraId="786EB95E" w14:textId="77777777" w:rsidR="0084445A" w:rsidRPr="00741D80" w:rsidRDefault="0084445A" w:rsidP="00AB28AF">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521</w:t>
            </w:r>
          </w:p>
        </w:tc>
        <w:tc>
          <w:tcPr>
            <w:tcW w:w="1446" w:type="dxa"/>
            <w:tcBorders>
              <w:top w:val="nil"/>
              <w:left w:val="nil"/>
              <w:bottom w:val="single" w:sz="4" w:space="0" w:color="auto"/>
              <w:right w:val="nil"/>
            </w:tcBorders>
            <w:shd w:val="clear" w:color="auto" w:fill="auto"/>
            <w:hideMark/>
          </w:tcPr>
          <w:p w14:paraId="4ACA42F6" w14:textId="77777777" w:rsidR="0084445A" w:rsidRPr="00741D80" w:rsidRDefault="0084445A" w:rsidP="00AB28AF">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1,019</w:t>
            </w:r>
          </w:p>
        </w:tc>
        <w:tc>
          <w:tcPr>
            <w:tcW w:w="1300" w:type="dxa"/>
            <w:tcBorders>
              <w:top w:val="nil"/>
              <w:left w:val="nil"/>
              <w:bottom w:val="single" w:sz="4" w:space="0" w:color="auto"/>
              <w:right w:val="nil"/>
            </w:tcBorders>
            <w:shd w:val="clear" w:color="auto" w:fill="auto"/>
            <w:hideMark/>
          </w:tcPr>
          <w:p w14:paraId="4C77B2DB" w14:textId="77777777" w:rsidR="0084445A" w:rsidRPr="00741D80" w:rsidRDefault="0084445A" w:rsidP="00AB28AF">
            <w:pPr>
              <w:pStyle w:val="a0"/>
              <w:widowControl w:val="0"/>
              <w:ind w:firstLine="709"/>
              <w:rPr>
                <w:rFonts w:asciiTheme="minorHAnsi" w:hAnsiTheme="minorHAnsi" w:cstheme="minorHAnsi"/>
                <w:color w:val="auto"/>
                <w:szCs w:val="20"/>
              </w:rPr>
            </w:pPr>
            <w:r w:rsidRPr="00741D80">
              <w:rPr>
                <w:rFonts w:asciiTheme="minorHAnsi" w:hAnsiTheme="minorHAnsi" w:cstheme="minorHAnsi"/>
                <w:color w:val="auto"/>
                <w:szCs w:val="20"/>
              </w:rPr>
              <w:t>1</w:t>
            </w:r>
            <w:r w:rsidRPr="00741D80">
              <w:rPr>
                <w:rFonts w:asciiTheme="minorHAnsi" w:hAnsiTheme="minorHAnsi" w:cstheme="minorHAnsi"/>
                <w:color w:val="auto"/>
                <w:szCs w:val="20"/>
                <w:lang w:val="bg-BG"/>
              </w:rPr>
              <w:t>,</w:t>
            </w:r>
            <w:r w:rsidRPr="00741D80">
              <w:rPr>
                <w:rFonts w:asciiTheme="minorHAnsi" w:hAnsiTheme="minorHAnsi" w:cstheme="minorHAnsi"/>
                <w:color w:val="auto"/>
                <w:szCs w:val="20"/>
              </w:rPr>
              <w:t>152</w:t>
            </w:r>
          </w:p>
        </w:tc>
      </w:tr>
      <w:tr w:rsidR="0084445A" w:rsidRPr="00741D80" w14:paraId="003D8626" w14:textId="77777777" w:rsidTr="00AE7CF9">
        <w:trPr>
          <w:trHeight w:val="170"/>
          <w:jc w:val="center"/>
        </w:trPr>
        <w:tc>
          <w:tcPr>
            <w:tcW w:w="1276" w:type="dxa"/>
            <w:tcBorders>
              <w:top w:val="nil"/>
              <w:left w:val="nil"/>
              <w:bottom w:val="nil"/>
              <w:right w:val="nil"/>
            </w:tcBorders>
            <w:shd w:val="clear" w:color="auto" w:fill="auto"/>
            <w:hideMark/>
          </w:tcPr>
          <w:p w14:paraId="773AEA14" w14:textId="77777777" w:rsidR="0084445A" w:rsidRPr="00741D80" w:rsidRDefault="0084445A" w:rsidP="00AB28AF">
            <w:pPr>
              <w:pStyle w:val="a"/>
              <w:jc w:val="center"/>
              <w:rPr>
                <w:rFonts w:asciiTheme="minorHAnsi" w:hAnsiTheme="minorHAnsi" w:cstheme="minorHAnsi"/>
                <w:color w:val="auto"/>
                <w:szCs w:val="20"/>
                <w:lang w:val="bg-BG"/>
              </w:rPr>
            </w:pPr>
          </w:p>
        </w:tc>
        <w:tc>
          <w:tcPr>
            <w:tcW w:w="1220" w:type="dxa"/>
            <w:tcBorders>
              <w:top w:val="nil"/>
              <w:left w:val="nil"/>
              <w:bottom w:val="nil"/>
              <w:right w:val="nil"/>
            </w:tcBorders>
            <w:shd w:val="clear" w:color="auto" w:fill="auto"/>
            <w:hideMark/>
          </w:tcPr>
          <w:p w14:paraId="2A32FE19" w14:textId="77777777" w:rsidR="0084445A" w:rsidRPr="00741D80" w:rsidRDefault="0084445A" w:rsidP="00AB28AF">
            <w:pPr>
              <w:pStyle w:val="a0"/>
              <w:jc w:val="center"/>
              <w:rPr>
                <w:rFonts w:asciiTheme="minorHAnsi" w:hAnsiTheme="minorHAnsi" w:cstheme="minorHAnsi"/>
                <w:color w:val="auto"/>
                <w:szCs w:val="20"/>
                <w:lang w:val="bg-BG"/>
              </w:rPr>
            </w:pPr>
          </w:p>
        </w:tc>
        <w:tc>
          <w:tcPr>
            <w:tcW w:w="1103" w:type="dxa"/>
            <w:tcBorders>
              <w:top w:val="nil"/>
              <w:left w:val="nil"/>
              <w:bottom w:val="nil"/>
              <w:right w:val="nil"/>
            </w:tcBorders>
            <w:shd w:val="clear" w:color="auto" w:fill="auto"/>
            <w:hideMark/>
          </w:tcPr>
          <w:p w14:paraId="014AD03D" w14:textId="77777777" w:rsidR="0084445A" w:rsidRPr="00741D80" w:rsidRDefault="0084445A" w:rsidP="00AB28AF">
            <w:pPr>
              <w:pStyle w:val="a0"/>
              <w:jc w:val="center"/>
              <w:rPr>
                <w:rFonts w:asciiTheme="minorHAnsi" w:hAnsiTheme="minorHAnsi" w:cstheme="minorHAnsi"/>
                <w:color w:val="auto"/>
                <w:szCs w:val="20"/>
                <w:lang w:val="bg-BG"/>
              </w:rPr>
            </w:pPr>
          </w:p>
        </w:tc>
        <w:tc>
          <w:tcPr>
            <w:tcW w:w="937" w:type="dxa"/>
            <w:tcBorders>
              <w:top w:val="nil"/>
              <w:left w:val="nil"/>
              <w:bottom w:val="nil"/>
              <w:right w:val="nil"/>
            </w:tcBorders>
            <w:shd w:val="clear" w:color="auto" w:fill="auto"/>
            <w:hideMark/>
          </w:tcPr>
          <w:p w14:paraId="2E236EC1" w14:textId="77777777" w:rsidR="0084445A" w:rsidRPr="00741D80" w:rsidRDefault="0084445A" w:rsidP="00AB28AF">
            <w:pPr>
              <w:pStyle w:val="a0"/>
              <w:jc w:val="center"/>
              <w:rPr>
                <w:rFonts w:asciiTheme="minorHAnsi" w:hAnsiTheme="minorHAnsi" w:cstheme="minorHAnsi"/>
                <w:color w:val="auto"/>
                <w:szCs w:val="20"/>
                <w:lang w:val="bg-BG"/>
              </w:rPr>
            </w:pPr>
          </w:p>
        </w:tc>
        <w:tc>
          <w:tcPr>
            <w:tcW w:w="1258" w:type="dxa"/>
            <w:tcBorders>
              <w:top w:val="nil"/>
              <w:left w:val="nil"/>
              <w:bottom w:val="nil"/>
              <w:right w:val="nil"/>
            </w:tcBorders>
            <w:shd w:val="clear" w:color="auto" w:fill="auto"/>
            <w:hideMark/>
          </w:tcPr>
          <w:p w14:paraId="205CBD9B" w14:textId="77777777" w:rsidR="0084445A" w:rsidRPr="00741D80" w:rsidRDefault="0084445A" w:rsidP="00AB28AF">
            <w:pPr>
              <w:pStyle w:val="a0"/>
              <w:jc w:val="center"/>
              <w:rPr>
                <w:rFonts w:asciiTheme="minorHAnsi" w:hAnsiTheme="minorHAnsi" w:cstheme="minorHAnsi"/>
                <w:color w:val="auto"/>
                <w:szCs w:val="20"/>
                <w:lang w:val="bg-BG"/>
              </w:rPr>
            </w:pPr>
          </w:p>
        </w:tc>
        <w:tc>
          <w:tcPr>
            <w:tcW w:w="1271" w:type="dxa"/>
            <w:tcBorders>
              <w:top w:val="nil"/>
              <w:left w:val="nil"/>
              <w:bottom w:val="nil"/>
              <w:right w:val="nil"/>
            </w:tcBorders>
            <w:shd w:val="clear" w:color="auto" w:fill="auto"/>
            <w:hideMark/>
          </w:tcPr>
          <w:p w14:paraId="20E299F9" w14:textId="77777777" w:rsidR="0084445A" w:rsidRPr="00741D80" w:rsidRDefault="0084445A" w:rsidP="00AB28AF">
            <w:pPr>
              <w:pStyle w:val="a0"/>
              <w:widowControl w:val="0"/>
              <w:jc w:val="center"/>
              <w:rPr>
                <w:rFonts w:asciiTheme="minorHAnsi" w:hAnsiTheme="minorHAnsi" w:cstheme="minorHAnsi"/>
                <w:color w:val="auto"/>
                <w:szCs w:val="20"/>
                <w:lang w:val="bg-BG"/>
              </w:rPr>
            </w:pPr>
          </w:p>
        </w:tc>
        <w:tc>
          <w:tcPr>
            <w:tcW w:w="1446" w:type="dxa"/>
            <w:tcBorders>
              <w:top w:val="single" w:sz="4" w:space="0" w:color="auto"/>
              <w:left w:val="nil"/>
              <w:bottom w:val="single" w:sz="4" w:space="0" w:color="auto"/>
              <w:right w:val="nil"/>
            </w:tcBorders>
            <w:shd w:val="clear" w:color="auto" w:fill="auto"/>
            <w:hideMark/>
          </w:tcPr>
          <w:p w14:paraId="30399932" w14:textId="77777777" w:rsidR="0084445A" w:rsidRPr="00741D80" w:rsidRDefault="0084445A" w:rsidP="00AB28AF">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4,018</w:t>
            </w:r>
          </w:p>
        </w:tc>
        <w:tc>
          <w:tcPr>
            <w:tcW w:w="1300" w:type="dxa"/>
            <w:tcBorders>
              <w:top w:val="single" w:sz="4" w:space="0" w:color="auto"/>
              <w:left w:val="nil"/>
              <w:bottom w:val="single" w:sz="4" w:space="0" w:color="auto"/>
              <w:right w:val="nil"/>
            </w:tcBorders>
            <w:shd w:val="clear" w:color="auto" w:fill="auto"/>
            <w:hideMark/>
          </w:tcPr>
          <w:p w14:paraId="2CB6EA0B" w14:textId="77777777" w:rsidR="0084445A" w:rsidRPr="00741D80" w:rsidRDefault="0084445A" w:rsidP="00AB28AF">
            <w:pPr>
              <w:pStyle w:val="a0"/>
              <w:widowControl w:val="0"/>
              <w:ind w:firstLine="709"/>
              <w:rPr>
                <w:rFonts w:asciiTheme="minorHAnsi" w:hAnsiTheme="minorHAnsi" w:cstheme="minorHAnsi"/>
                <w:b/>
                <w:color w:val="auto"/>
                <w:szCs w:val="20"/>
              </w:rPr>
            </w:pPr>
            <w:r w:rsidRPr="00741D80">
              <w:rPr>
                <w:rFonts w:asciiTheme="minorHAnsi" w:hAnsiTheme="minorHAnsi" w:cstheme="minorHAnsi"/>
                <w:b/>
                <w:color w:val="auto"/>
                <w:szCs w:val="20"/>
              </w:rPr>
              <w:t>4</w:t>
            </w:r>
            <w:r w:rsidRPr="00741D80">
              <w:rPr>
                <w:rFonts w:asciiTheme="minorHAnsi" w:hAnsiTheme="minorHAnsi" w:cstheme="minorHAnsi"/>
                <w:b/>
                <w:color w:val="auto"/>
                <w:szCs w:val="20"/>
                <w:lang w:val="bg-BG"/>
              </w:rPr>
              <w:t>,</w:t>
            </w:r>
            <w:r w:rsidRPr="00741D80">
              <w:rPr>
                <w:rFonts w:asciiTheme="minorHAnsi" w:hAnsiTheme="minorHAnsi" w:cstheme="minorHAnsi"/>
                <w:b/>
                <w:color w:val="auto"/>
                <w:szCs w:val="20"/>
              </w:rPr>
              <w:t>606</w:t>
            </w:r>
          </w:p>
        </w:tc>
      </w:tr>
    </w:tbl>
    <w:p w14:paraId="535008FA" w14:textId="22BEB3FC" w:rsidR="0084445A" w:rsidRPr="00741D80" w:rsidRDefault="0084445A" w:rsidP="00365108">
      <w:pPr>
        <w:spacing w:before="240"/>
        <w:jc w:val="both"/>
        <w:rPr>
          <w:rFonts w:cstheme="minorHAnsi"/>
        </w:rPr>
      </w:pPr>
      <w:r w:rsidRPr="00741D80">
        <w:rPr>
          <w:rFonts w:cstheme="minorHAnsi"/>
        </w:rPr>
        <w:t xml:space="preserve">Към 31.12.2017 г. инвестициите в държавни ценни книжа, държани до падеж, са представени по </w:t>
      </w:r>
      <w:proofErr w:type="spellStart"/>
      <w:r w:rsidRPr="00741D80">
        <w:rPr>
          <w:rFonts w:cstheme="minorHAnsi"/>
        </w:rPr>
        <w:t>амортизируема</w:t>
      </w:r>
      <w:proofErr w:type="spellEnd"/>
      <w:r w:rsidRPr="00741D80">
        <w:rPr>
          <w:rFonts w:cstheme="minorHAnsi"/>
        </w:rPr>
        <w:t xml:space="preserve"> стойност. Годишните ефективни лихвени проценти по закупените облигациите са в диапазон 2,73% - 3,31%.</w:t>
      </w:r>
    </w:p>
    <w:p w14:paraId="4075449D" w14:textId="77777777" w:rsidR="0084445A" w:rsidRPr="00741D80" w:rsidRDefault="0084445A" w:rsidP="00365108">
      <w:pPr>
        <w:jc w:val="both"/>
        <w:rPr>
          <w:rFonts w:cstheme="minorHAnsi"/>
        </w:rPr>
      </w:pPr>
      <w:r w:rsidRPr="00741D80">
        <w:rPr>
          <w:rFonts w:cstheme="minorHAnsi"/>
        </w:rPr>
        <w:t>Купонните лихвени плащания по облигациите, са дължими веднъж годишно на 3 септември за емисия XS1083844503 и на 26 март за емисия XS1208855889 закупена на 19.05.2015 г.</w:t>
      </w:r>
    </w:p>
    <w:p w14:paraId="6DD606C9" w14:textId="77777777" w:rsidR="0084445A" w:rsidRPr="00741D80" w:rsidRDefault="0084445A" w:rsidP="00365108">
      <w:pPr>
        <w:jc w:val="both"/>
        <w:rPr>
          <w:rFonts w:cstheme="minorHAnsi"/>
        </w:rPr>
      </w:pPr>
      <w:r w:rsidRPr="00741D80">
        <w:rPr>
          <w:rFonts w:cstheme="minorHAnsi"/>
        </w:rPr>
        <w:t>Справедливата стойност на облигациите е оценена на база Ниво 1 и представлява текущата пазарна стойност на притежаваната емисия към 31.12.2017 г. по данни от международните дългови пазари.</w:t>
      </w:r>
    </w:p>
    <w:p w14:paraId="46CF3F5C" w14:textId="20E84A23" w:rsidR="0084445A" w:rsidRPr="00AB28AF" w:rsidRDefault="0084445A" w:rsidP="00833465">
      <w:pPr>
        <w:pStyle w:val="Mainnumbers"/>
      </w:pPr>
      <w:bookmarkStart w:id="59" w:name="_Toc536452024"/>
      <w:r w:rsidRPr="00AB28AF">
        <w:t>ФИНАНСОВИ АКТИВИ, ОЦЕНЯВАНИ ПО СПРАВЕДЛИВА СТОЙНОСТ</w:t>
      </w:r>
      <w:bookmarkEnd w:id="59"/>
    </w:p>
    <w:tbl>
      <w:tblPr>
        <w:tblW w:w="5000" w:type="pct"/>
        <w:jc w:val="center"/>
        <w:tblCellMar>
          <w:left w:w="6" w:type="dxa"/>
          <w:right w:w="6" w:type="dxa"/>
        </w:tblCellMar>
        <w:tblLook w:val="04A0" w:firstRow="1" w:lastRow="0" w:firstColumn="1" w:lastColumn="0" w:noHBand="0" w:noVBand="1"/>
      </w:tblPr>
      <w:tblGrid>
        <w:gridCol w:w="7121"/>
        <w:gridCol w:w="1301"/>
        <w:gridCol w:w="1216"/>
      </w:tblGrid>
      <w:tr w:rsidR="00D549EB" w:rsidRPr="00AB28AF" w14:paraId="0840069C" w14:textId="77777777" w:rsidTr="003C3D95">
        <w:trPr>
          <w:trHeight w:val="170"/>
          <w:jc w:val="center"/>
        </w:trPr>
        <w:tc>
          <w:tcPr>
            <w:tcW w:w="3694" w:type="pct"/>
            <w:tcBorders>
              <w:top w:val="nil"/>
              <w:left w:val="nil"/>
              <w:bottom w:val="nil"/>
              <w:right w:val="nil"/>
            </w:tcBorders>
            <w:shd w:val="clear" w:color="auto" w:fill="auto"/>
            <w:tcMar>
              <w:left w:w="28" w:type="dxa"/>
              <w:right w:w="28" w:type="dxa"/>
            </w:tcMar>
            <w:vAlign w:val="bottom"/>
            <w:hideMark/>
          </w:tcPr>
          <w:p w14:paraId="2ADBB02C" w14:textId="77777777" w:rsidR="00D549EB" w:rsidRPr="00AB28AF" w:rsidRDefault="00D549EB" w:rsidP="00AB28AF">
            <w:pPr>
              <w:spacing w:after="0" w:line="240" w:lineRule="auto"/>
              <w:rPr>
                <w:rFonts w:cstheme="minorHAnsi"/>
              </w:rPr>
            </w:pPr>
          </w:p>
        </w:tc>
        <w:tc>
          <w:tcPr>
            <w:tcW w:w="675" w:type="pct"/>
            <w:tcBorders>
              <w:top w:val="nil"/>
              <w:left w:val="nil"/>
              <w:bottom w:val="nil"/>
              <w:right w:val="nil"/>
            </w:tcBorders>
            <w:shd w:val="clear" w:color="auto" w:fill="auto"/>
            <w:tcMar>
              <w:left w:w="28" w:type="dxa"/>
              <w:right w:w="28" w:type="dxa"/>
            </w:tcMar>
            <w:hideMark/>
          </w:tcPr>
          <w:p w14:paraId="49026485" w14:textId="77777777" w:rsidR="00D549EB" w:rsidRPr="00AB28AF" w:rsidRDefault="00D549EB" w:rsidP="00AB28AF">
            <w:pPr>
              <w:pStyle w:val="a1"/>
              <w:widowControl w:val="0"/>
              <w:jc w:val="right"/>
              <w:rPr>
                <w:rFonts w:asciiTheme="minorHAnsi" w:hAnsiTheme="minorHAnsi" w:cstheme="minorHAnsi"/>
                <w:color w:val="auto"/>
                <w:sz w:val="22"/>
                <w:szCs w:val="22"/>
                <w:lang w:val="bg-BG"/>
              </w:rPr>
            </w:pPr>
            <w:r w:rsidRPr="00AB28AF">
              <w:rPr>
                <w:rFonts w:asciiTheme="minorHAnsi" w:hAnsiTheme="minorHAnsi" w:cstheme="minorHAnsi"/>
                <w:color w:val="auto"/>
                <w:sz w:val="22"/>
                <w:szCs w:val="22"/>
                <w:lang w:val="bg-BG"/>
              </w:rPr>
              <w:t>31.12.2018</w:t>
            </w:r>
          </w:p>
        </w:tc>
        <w:tc>
          <w:tcPr>
            <w:tcW w:w="631" w:type="pct"/>
            <w:tcBorders>
              <w:top w:val="nil"/>
              <w:left w:val="nil"/>
              <w:bottom w:val="nil"/>
              <w:right w:val="nil"/>
            </w:tcBorders>
            <w:shd w:val="clear" w:color="auto" w:fill="auto"/>
            <w:tcMar>
              <w:left w:w="28" w:type="dxa"/>
              <w:right w:w="28" w:type="dxa"/>
            </w:tcMar>
            <w:hideMark/>
          </w:tcPr>
          <w:p w14:paraId="7BD728AA" w14:textId="77777777" w:rsidR="00D549EB" w:rsidRPr="00AB28AF" w:rsidRDefault="00D549EB" w:rsidP="00AB28AF">
            <w:pPr>
              <w:pStyle w:val="a1"/>
              <w:jc w:val="right"/>
              <w:rPr>
                <w:rFonts w:asciiTheme="minorHAnsi" w:hAnsiTheme="minorHAnsi" w:cstheme="minorHAnsi"/>
                <w:color w:val="auto"/>
                <w:sz w:val="22"/>
                <w:szCs w:val="22"/>
                <w:lang w:val="bg-BG"/>
              </w:rPr>
            </w:pPr>
            <w:r w:rsidRPr="00AB28AF">
              <w:rPr>
                <w:rFonts w:asciiTheme="minorHAnsi" w:hAnsiTheme="minorHAnsi" w:cstheme="minorHAnsi"/>
                <w:color w:val="auto"/>
                <w:sz w:val="22"/>
                <w:szCs w:val="22"/>
                <w:lang w:val="bg-BG"/>
              </w:rPr>
              <w:t>31.12.2017</w:t>
            </w:r>
          </w:p>
        </w:tc>
      </w:tr>
      <w:tr w:rsidR="00D549EB" w:rsidRPr="00AB28AF" w14:paraId="05605B9E" w14:textId="77777777" w:rsidTr="003C3D95">
        <w:trPr>
          <w:trHeight w:val="170"/>
          <w:jc w:val="center"/>
        </w:trPr>
        <w:tc>
          <w:tcPr>
            <w:tcW w:w="3694" w:type="pct"/>
            <w:tcBorders>
              <w:top w:val="nil"/>
              <w:left w:val="nil"/>
              <w:bottom w:val="nil"/>
              <w:right w:val="nil"/>
            </w:tcBorders>
            <w:shd w:val="clear" w:color="auto" w:fill="auto"/>
            <w:tcMar>
              <w:left w:w="28" w:type="dxa"/>
              <w:right w:w="28" w:type="dxa"/>
            </w:tcMar>
            <w:vAlign w:val="bottom"/>
            <w:hideMark/>
          </w:tcPr>
          <w:p w14:paraId="1B4A4419" w14:textId="77777777" w:rsidR="00D549EB" w:rsidRPr="00AB28AF" w:rsidRDefault="00D549EB" w:rsidP="00AB28AF">
            <w:pPr>
              <w:spacing w:after="0" w:line="240" w:lineRule="auto"/>
              <w:rPr>
                <w:rFonts w:cstheme="minorHAnsi"/>
              </w:rPr>
            </w:pPr>
          </w:p>
        </w:tc>
        <w:tc>
          <w:tcPr>
            <w:tcW w:w="675" w:type="pct"/>
            <w:tcBorders>
              <w:top w:val="nil"/>
              <w:left w:val="nil"/>
              <w:bottom w:val="nil"/>
              <w:right w:val="nil"/>
            </w:tcBorders>
            <w:shd w:val="clear" w:color="auto" w:fill="auto"/>
            <w:noWrap/>
            <w:tcMar>
              <w:left w:w="28" w:type="dxa"/>
              <w:right w:w="28" w:type="dxa"/>
            </w:tcMar>
            <w:hideMark/>
          </w:tcPr>
          <w:p w14:paraId="0B233A1E" w14:textId="77777777" w:rsidR="00D549EB" w:rsidRPr="00AB28AF" w:rsidRDefault="00D549EB" w:rsidP="00AB28AF">
            <w:pPr>
              <w:pStyle w:val="a1"/>
              <w:jc w:val="right"/>
              <w:rPr>
                <w:rFonts w:asciiTheme="minorHAnsi" w:hAnsiTheme="minorHAnsi" w:cstheme="minorHAnsi"/>
                <w:color w:val="auto"/>
                <w:sz w:val="22"/>
                <w:szCs w:val="22"/>
                <w:lang w:val="bg-BG"/>
              </w:rPr>
            </w:pPr>
            <w:r w:rsidRPr="00AB28AF">
              <w:rPr>
                <w:rFonts w:asciiTheme="minorHAnsi" w:hAnsiTheme="minorHAnsi" w:cstheme="minorHAnsi"/>
                <w:color w:val="auto"/>
                <w:sz w:val="22"/>
                <w:szCs w:val="22"/>
                <w:lang w:val="bg-BG"/>
              </w:rPr>
              <w:t>BGN'000</w:t>
            </w:r>
          </w:p>
        </w:tc>
        <w:tc>
          <w:tcPr>
            <w:tcW w:w="631" w:type="pct"/>
            <w:tcBorders>
              <w:top w:val="nil"/>
              <w:left w:val="nil"/>
              <w:bottom w:val="nil"/>
              <w:right w:val="nil"/>
            </w:tcBorders>
            <w:shd w:val="clear" w:color="auto" w:fill="auto"/>
            <w:noWrap/>
            <w:tcMar>
              <w:left w:w="28" w:type="dxa"/>
              <w:right w:w="28" w:type="dxa"/>
            </w:tcMar>
            <w:hideMark/>
          </w:tcPr>
          <w:p w14:paraId="61794BDE" w14:textId="77777777" w:rsidR="00D549EB" w:rsidRPr="00AB28AF" w:rsidRDefault="00D549EB" w:rsidP="00AB28AF">
            <w:pPr>
              <w:pStyle w:val="a1"/>
              <w:jc w:val="right"/>
              <w:rPr>
                <w:rFonts w:asciiTheme="minorHAnsi" w:hAnsiTheme="minorHAnsi" w:cstheme="minorHAnsi"/>
                <w:color w:val="auto"/>
                <w:sz w:val="22"/>
                <w:szCs w:val="22"/>
                <w:lang w:val="bg-BG"/>
              </w:rPr>
            </w:pPr>
            <w:r w:rsidRPr="00AB28AF">
              <w:rPr>
                <w:rFonts w:asciiTheme="minorHAnsi" w:hAnsiTheme="minorHAnsi" w:cstheme="minorHAnsi"/>
                <w:color w:val="auto"/>
                <w:sz w:val="22"/>
                <w:szCs w:val="22"/>
                <w:lang w:val="bg-BG"/>
              </w:rPr>
              <w:t>BGN'000</w:t>
            </w:r>
          </w:p>
        </w:tc>
      </w:tr>
      <w:tr w:rsidR="00D549EB" w:rsidRPr="00AB28AF" w14:paraId="4A08E486" w14:textId="77777777" w:rsidTr="003C3D95">
        <w:trPr>
          <w:trHeight w:val="170"/>
          <w:jc w:val="center"/>
        </w:trPr>
        <w:tc>
          <w:tcPr>
            <w:tcW w:w="3694" w:type="pct"/>
            <w:tcBorders>
              <w:top w:val="nil"/>
              <w:left w:val="nil"/>
              <w:bottom w:val="nil"/>
              <w:right w:val="nil"/>
            </w:tcBorders>
            <w:shd w:val="clear" w:color="auto" w:fill="auto"/>
            <w:tcMar>
              <w:left w:w="28" w:type="dxa"/>
              <w:right w:w="28" w:type="dxa"/>
            </w:tcMar>
            <w:vAlign w:val="bottom"/>
            <w:hideMark/>
          </w:tcPr>
          <w:p w14:paraId="5CA77950" w14:textId="77777777" w:rsidR="00D549EB" w:rsidRPr="00AB28AF" w:rsidRDefault="00D549EB" w:rsidP="00AB28AF">
            <w:pPr>
              <w:pStyle w:val="a"/>
              <w:rPr>
                <w:rFonts w:asciiTheme="minorHAnsi" w:hAnsiTheme="minorHAnsi" w:cstheme="minorHAnsi"/>
                <w:color w:val="auto"/>
                <w:sz w:val="22"/>
                <w:szCs w:val="22"/>
                <w:lang w:val="bg-BG"/>
              </w:rPr>
            </w:pPr>
            <w:r w:rsidRPr="00AB28AF">
              <w:rPr>
                <w:rFonts w:asciiTheme="minorHAnsi" w:hAnsiTheme="minorHAnsi" w:cstheme="minorHAnsi"/>
                <w:color w:val="auto"/>
                <w:sz w:val="22"/>
                <w:szCs w:val="22"/>
                <w:lang w:val="bg-BG"/>
              </w:rPr>
              <w:t>Инвестиции в дългови ценни книжа</w:t>
            </w:r>
          </w:p>
        </w:tc>
        <w:tc>
          <w:tcPr>
            <w:tcW w:w="675" w:type="pct"/>
            <w:tcBorders>
              <w:top w:val="nil"/>
              <w:left w:val="nil"/>
              <w:bottom w:val="nil"/>
              <w:right w:val="nil"/>
            </w:tcBorders>
            <w:shd w:val="clear" w:color="auto" w:fill="auto"/>
            <w:noWrap/>
            <w:tcMar>
              <w:left w:w="28" w:type="dxa"/>
              <w:right w:w="28" w:type="dxa"/>
            </w:tcMar>
            <w:vAlign w:val="bottom"/>
            <w:hideMark/>
          </w:tcPr>
          <w:p w14:paraId="1FE5E5C1" w14:textId="77777777" w:rsidR="00D549EB" w:rsidRPr="00AB28AF" w:rsidRDefault="00D549EB" w:rsidP="00AB28AF">
            <w:pPr>
              <w:pStyle w:val="a0"/>
              <w:widowControl w:val="0"/>
              <w:rPr>
                <w:rFonts w:asciiTheme="minorHAnsi" w:hAnsiTheme="minorHAnsi" w:cstheme="minorHAnsi"/>
                <w:color w:val="auto"/>
                <w:sz w:val="22"/>
                <w:szCs w:val="22"/>
                <w:lang w:val="bg-BG"/>
              </w:rPr>
            </w:pPr>
            <w:r w:rsidRPr="00AB28AF">
              <w:rPr>
                <w:rFonts w:asciiTheme="minorHAnsi" w:hAnsiTheme="minorHAnsi" w:cstheme="minorHAnsi"/>
                <w:color w:val="auto"/>
                <w:sz w:val="22"/>
                <w:szCs w:val="22"/>
                <w:lang w:val="bg-BG"/>
              </w:rPr>
              <w:t>1,972</w:t>
            </w:r>
          </w:p>
        </w:tc>
        <w:tc>
          <w:tcPr>
            <w:tcW w:w="631" w:type="pct"/>
            <w:tcBorders>
              <w:top w:val="nil"/>
              <w:left w:val="nil"/>
              <w:bottom w:val="nil"/>
              <w:right w:val="nil"/>
            </w:tcBorders>
            <w:shd w:val="clear" w:color="auto" w:fill="auto"/>
            <w:noWrap/>
            <w:tcMar>
              <w:left w:w="28" w:type="dxa"/>
              <w:right w:w="28" w:type="dxa"/>
            </w:tcMar>
            <w:vAlign w:val="bottom"/>
            <w:hideMark/>
          </w:tcPr>
          <w:p w14:paraId="51ABE1F9" w14:textId="77777777" w:rsidR="00D549EB" w:rsidRPr="00AB28AF" w:rsidRDefault="00D549EB" w:rsidP="00AB28AF">
            <w:pPr>
              <w:pStyle w:val="a0"/>
              <w:rPr>
                <w:rFonts w:asciiTheme="minorHAnsi" w:hAnsiTheme="minorHAnsi" w:cstheme="minorHAnsi"/>
                <w:color w:val="auto"/>
                <w:sz w:val="22"/>
                <w:szCs w:val="22"/>
                <w:lang w:val="bg-BG"/>
              </w:rPr>
            </w:pPr>
            <w:r w:rsidRPr="00AB28AF">
              <w:rPr>
                <w:rFonts w:asciiTheme="minorHAnsi" w:hAnsiTheme="minorHAnsi" w:cstheme="minorHAnsi"/>
                <w:color w:val="auto"/>
                <w:sz w:val="22"/>
                <w:szCs w:val="22"/>
                <w:lang w:val="bg-BG"/>
              </w:rPr>
              <w:t>2,035</w:t>
            </w:r>
          </w:p>
        </w:tc>
      </w:tr>
      <w:tr w:rsidR="00D549EB" w:rsidRPr="00AB28AF" w14:paraId="60E99717" w14:textId="77777777" w:rsidTr="003C3D95">
        <w:trPr>
          <w:trHeight w:val="170"/>
          <w:jc w:val="center"/>
        </w:trPr>
        <w:tc>
          <w:tcPr>
            <w:tcW w:w="3694" w:type="pct"/>
            <w:tcBorders>
              <w:top w:val="nil"/>
              <w:left w:val="nil"/>
              <w:bottom w:val="nil"/>
              <w:right w:val="nil"/>
            </w:tcBorders>
            <w:shd w:val="clear" w:color="auto" w:fill="auto"/>
            <w:tcMar>
              <w:left w:w="28" w:type="dxa"/>
              <w:right w:w="28" w:type="dxa"/>
            </w:tcMar>
            <w:vAlign w:val="bottom"/>
            <w:hideMark/>
          </w:tcPr>
          <w:p w14:paraId="5233C511" w14:textId="77777777" w:rsidR="00D549EB" w:rsidRPr="00AB28AF" w:rsidRDefault="00D549EB" w:rsidP="00AB28AF">
            <w:pPr>
              <w:pStyle w:val="a"/>
              <w:rPr>
                <w:rFonts w:asciiTheme="minorHAnsi" w:hAnsiTheme="minorHAnsi" w:cstheme="minorHAnsi"/>
                <w:color w:val="auto"/>
                <w:sz w:val="22"/>
                <w:szCs w:val="22"/>
                <w:lang w:val="bg-BG"/>
              </w:rPr>
            </w:pPr>
            <w:r w:rsidRPr="00AB28AF">
              <w:rPr>
                <w:rFonts w:asciiTheme="minorHAnsi" w:hAnsiTheme="minorHAnsi" w:cstheme="minorHAnsi"/>
                <w:color w:val="auto"/>
                <w:sz w:val="22"/>
                <w:szCs w:val="22"/>
                <w:lang w:val="bg-BG"/>
              </w:rPr>
              <w:t>Инвестиции в акции и дялове в капитала на други дружества и предприятия (малцинствено участие)</w:t>
            </w:r>
          </w:p>
        </w:tc>
        <w:tc>
          <w:tcPr>
            <w:tcW w:w="675" w:type="pct"/>
            <w:tcBorders>
              <w:top w:val="nil"/>
              <w:left w:val="nil"/>
              <w:bottom w:val="nil"/>
              <w:right w:val="nil"/>
            </w:tcBorders>
            <w:shd w:val="clear" w:color="auto" w:fill="auto"/>
            <w:tcMar>
              <w:left w:w="28" w:type="dxa"/>
              <w:right w:w="28" w:type="dxa"/>
            </w:tcMar>
            <w:vAlign w:val="bottom"/>
            <w:hideMark/>
          </w:tcPr>
          <w:p w14:paraId="271BF598" w14:textId="77777777" w:rsidR="00D549EB" w:rsidRPr="00AB28AF" w:rsidRDefault="00D549EB" w:rsidP="00AB28AF">
            <w:pPr>
              <w:pStyle w:val="a0"/>
              <w:widowControl w:val="0"/>
              <w:rPr>
                <w:rFonts w:asciiTheme="minorHAnsi" w:hAnsiTheme="minorHAnsi" w:cstheme="minorHAnsi"/>
                <w:color w:val="auto"/>
                <w:sz w:val="22"/>
                <w:szCs w:val="22"/>
                <w:lang w:val="bg-BG"/>
              </w:rPr>
            </w:pPr>
            <w:r w:rsidRPr="00AB28AF">
              <w:rPr>
                <w:rFonts w:asciiTheme="minorHAnsi" w:hAnsiTheme="minorHAnsi" w:cstheme="minorHAnsi"/>
                <w:color w:val="auto"/>
                <w:sz w:val="22"/>
                <w:szCs w:val="22"/>
                <w:lang w:val="bg-BG"/>
              </w:rPr>
              <w:t>328</w:t>
            </w:r>
          </w:p>
        </w:tc>
        <w:tc>
          <w:tcPr>
            <w:tcW w:w="631" w:type="pct"/>
            <w:tcBorders>
              <w:top w:val="nil"/>
              <w:left w:val="nil"/>
              <w:bottom w:val="nil"/>
              <w:right w:val="nil"/>
            </w:tcBorders>
            <w:shd w:val="clear" w:color="auto" w:fill="auto"/>
            <w:tcMar>
              <w:left w:w="28" w:type="dxa"/>
              <w:right w:w="28" w:type="dxa"/>
            </w:tcMar>
            <w:vAlign w:val="bottom"/>
            <w:hideMark/>
          </w:tcPr>
          <w:p w14:paraId="76A98894" w14:textId="77777777" w:rsidR="00D549EB" w:rsidRPr="00AB28AF" w:rsidRDefault="00D549EB" w:rsidP="00AB28AF">
            <w:pPr>
              <w:pStyle w:val="a0"/>
              <w:rPr>
                <w:rFonts w:asciiTheme="minorHAnsi" w:hAnsiTheme="minorHAnsi" w:cstheme="minorHAnsi"/>
                <w:color w:val="auto"/>
                <w:sz w:val="22"/>
                <w:szCs w:val="22"/>
                <w:lang w:val="bg-BG"/>
              </w:rPr>
            </w:pPr>
            <w:r w:rsidRPr="00AB28AF">
              <w:rPr>
                <w:rFonts w:asciiTheme="minorHAnsi" w:hAnsiTheme="minorHAnsi" w:cstheme="minorHAnsi"/>
                <w:color w:val="auto"/>
                <w:sz w:val="22"/>
                <w:szCs w:val="22"/>
                <w:lang w:val="bg-BG"/>
              </w:rPr>
              <w:t>328</w:t>
            </w:r>
          </w:p>
        </w:tc>
      </w:tr>
      <w:tr w:rsidR="00D549EB" w:rsidRPr="00AB28AF" w14:paraId="1F6984DA" w14:textId="77777777" w:rsidTr="003C3D95">
        <w:trPr>
          <w:trHeight w:val="170"/>
          <w:jc w:val="center"/>
        </w:trPr>
        <w:tc>
          <w:tcPr>
            <w:tcW w:w="3694" w:type="pct"/>
            <w:tcBorders>
              <w:top w:val="nil"/>
              <w:left w:val="nil"/>
              <w:bottom w:val="nil"/>
              <w:right w:val="nil"/>
            </w:tcBorders>
            <w:shd w:val="clear" w:color="auto" w:fill="auto"/>
            <w:tcMar>
              <w:left w:w="28" w:type="dxa"/>
              <w:right w:w="28" w:type="dxa"/>
            </w:tcMar>
            <w:vAlign w:val="bottom"/>
            <w:hideMark/>
          </w:tcPr>
          <w:p w14:paraId="7C563AF9" w14:textId="77777777" w:rsidR="00D549EB" w:rsidRPr="00AB28AF" w:rsidRDefault="00D549EB" w:rsidP="00AB28AF">
            <w:pPr>
              <w:pStyle w:val="a"/>
              <w:rPr>
                <w:rFonts w:asciiTheme="minorHAnsi" w:hAnsiTheme="minorHAnsi" w:cstheme="minorHAnsi"/>
                <w:b/>
                <w:color w:val="auto"/>
                <w:sz w:val="22"/>
                <w:szCs w:val="22"/>
                <w:lang w:val="bg-BG"/>
              </w:rPr>
            </w:pPr>
            <w:r w:rsidRPr="00AB28AF">
              <w:rPr>
                <w:rFonts w:asciiTheme="minorHAnsi" w:hAnsiTheme="minorHAnsi" w:cstheme="minorHAnsi"/>
                <w:b/>
                <w:color w:val="auto"/>
                <w:sz w:val="22"/>
                <w:szCs w:val="22"/>
                <w:lang w:val="bg-BG"/>
              </w:rPr>
              <w:t>Общо</w:t>
            </w:r>
          </w:p>
        </w:tc>
        <w:tc>
          <w:tcPr>
            <w:tcW w:w="675" w:type="pct"/>
            <w:tcBorders>
              <w:top w:val="single" w:sz="4" w:space="0" w:color="auto"/>
              <w:left w:val="nil"/>
              <w:bottom w:val="double" w:sz="6" w:space="0" w:color="auto"/>
              <w:right w:val="nil"/>
            </w:tcBorders>
            <w:shd w:val="clear" w:color="auto" w:fill="auto"/>
            <w:tcMar>
              <w:left w:w="28" w:type="dxa"/>
              <w:right w:w="28" w:type="dxa"/>
            </w:tcMar>
            <w:vAlign w:val="bottom"/>
            <w:hideMark/>
          </w:tcPr>
          <w:p w14:paraId="132158B2" w14:textId="77777777" w:rsidR="00D549EB" w:rsidRPr="00AB28AF" w:rsidRDefault="00D549EB" w:rsidP="00AB28AF">
            <w:pPr>
              <w:pStyle w:val="a0"/>
              <w:widowControl w:val="0"/>
              <w:rPr>
                <w:rFonts w:asciiTheme="minorHAnsi" w:hAnsiTheme="minorHAnsi" w:cstheme="minorHAnsi"/>
                <w:b/>
                <w:color w:val="auto"/>
                <w:sz w:val="22"/>
                <w:szCs w:val="22"/>
                <w:lang w:val="bg-BG"/>
              </w:rPr>
            </w:pPr>
            <w:r w:rsidRPr="00AB28AF">
              <w:rPr>
                <w:rFonts w:asciiTheme="minorHAnsi" w:hAnsiTheme="minorHAnsi" w:cstheme="minorHAnsi"/>
                <w:b/>
                <w:bCs/>
                <w:color w:val="auto"/>
                <w:sz w:val="22"/>
                <w:szCs w:val="22"/>
                <w:lang w:val="bg-BG"/>
              </w:rPr>
              <w:t>2,300</w:t>
            </w:r>
            <w:r w:rsidRPr="00AB28AF">
              <w:rPr>
                <w:rFonts w:asciiTheme="minorHAnsi" w:hAnsiTheme="minorHAnsi" w:cstheme="minorHAnsi"/>
                <w:b/>
                <w:color w:val="auto"/>
                <w:sz w:val="22"/>
                <w:szCs w:val="22"/>
                <w:lang w:val="bg-BG"/>
              </w:rPr>
              <w:t xml:space="preserve"> </w:t>
            </w:r>
          </w:p>
        </w:tc>
        <w:tc>
          <w:tcPr>
            <w:tcW w:w="631" w:type="pct"/>
            <w:tcBorders>
              <w:top w:val="single" w:sz="4" w:space="0" w:color="auto"/>
              <w:left w:val="nil"/>
              <w:bottom w:val="double" w:sz="6" w:space="0" w:color="auto"/>
              <w:right w:val="nil"/>
            </w:tcBorders>
            <w:shd w:val="clear" w:color="auto" w:fill="auto"/>
            <w:tcMar>
              <w:left w:w="28" w:type="dxa"/>
              <w:right w:w="28" w:type="dxa"/>
            </w:tcMar>
            <w:vAlign w:val="bottom"/>
            <w:hideMark/>
          </w:tcPr>
          <w:p w14:paraId="0154706C" w14:textId="77777777" w:rsidR="00D549EB" w:rsidRPr="00AB28AF" w:rsidRDefault="00D549EB" w:rsidP="00AB28AF">
            <w:pPr>
              <w:pStyle w:val="a0"/>
              <w:rPr>
                <w:rFonts w:asciiTheme="minorHAnsi" w:hAnsiTheme="minorHAnsi" w:cstheme="minorHAnsi"/>
                <w:b/>
                <w:color w:val="auto"/>
                <w:sz w:val="22"/>
                <w:szCs w:val="22"/>
                <w:lang w:val="bg-BG"/>
              </w:rPr>
            </w:pPr>
            <w:r w:rsidRPr="00AB28AF">
              <w:rPr>
                <w:rFonts w:asciiTheme="minorHAnsi" w:hAnsiTheme="minorHAnsi" w:cstheme="minorHAnsi"/>
                <w:b/>
                <w:color w:val="auto"/>
                <w:sz w:val="22"/>
                <w:szCs w:val="22"/>
                <w:lang w:val="bg-BG"/>
              </w:rPr>
              <w:t>2,363</w:t>
            </w:r>
          </w:p>
        </w:tc>
      </w:tr>
    </w:tbl>
    <w:p w14:paraId="17BE8D75" w14:textId="1550C22F" w:rsidR="0084445A" w:rsidRPr="00CC5D05" w:rsidRDefault="0084445A" w:rsidP="005B5648">
      <w:pPr>
        <w:pStyle w:val="SubNumbers"/>
        <w:outlineLvl w:val="9"/>
      </w:pPr>
      <w:r w:rsidRPr="00CC5D05">
        <w:t>Дългови инструменти, оценявани по справедлива стойност през друг всеобхватен доход (с прекласификация в печалбата или загубата)</w:t>
      </w:r>
    </w:p>
    <w:p w14:paraId="04457D9A" w14:textId="544AE131" w:rsidR="0084445A" w:rsidRPr="00741D80" w:rsidRDefault="0084445A" w:rsidP="0084445A">
      <w:pPr>
        <w:rPr>
          <w:rFonts w:cstheme="minorHAnsi"/>
        </w:rPr>
      </w:pPr>
      <w:r w:rsidRPr="00741D80">
        <w:rPr>
          <w:rFonts w:cstheme="minorHAnsi"/>
        </w:rPr>
        <w:t>Към 31.12.2018 г. балансовата стойност на финансовите активи, оценявани по справедлива стойност включва:</w:t>
      </w:r>
    </w:p>
    <w:tbl>
      <w:tblPr>
        <w:tblW w:w="5177" w:type="pct"/>
        <w:jc w:val="center"/>
        <w:tblCellMar>
          <w:left w:w="70" w:type="dxa"/>
          <w:right w:w="70" w:type="dxa"/>
        </w:tblCellMar>
        <w:tblLook w:val="04A0" w:firstRow="1" w:lastRow="0" w:firstColumn="1" w:lastColumn="0" w:noHBand="0" w:noVBand="1"/>
      </w:tblPr>
      <w:tblGrid>
        <w:gridCol w:w="8080"/>
        <w:gridCol w:w="964"/>
        <w:gridCol w:w="935"/>
      </w:tblGrid>
      <w:tr w:rsidR="0084445A" w:rsidRPr="00741D80" w14:paraId="171BA39F" w14:textId="77777777" w:rsidTr="00AB28AF">
        <w:trPr>
          <w:trHeight w:val="170"/>
          <w:jc w:val="center"/>
        </w:trPr>
        <w:tc>
          <w:tcPr>
            <w:tcW w:w="4049" w:type="pct"/>
            <w:tcBorders>
              <w:top w:val="nil"/>
              <w:left w:val="nil"/>
              <w:bottom w:val="nil"/>
              <w:right w:val="nil"/>
            </w:tcBorders>
            <w:shd w:val="clear" w:color="auto" w:fill="auto"/>
            <w:noWrap/>
            <w:vAlign w:val="bottom"/>
            <w:hideMark/>
          </w:tcPr>
          <w:p w14:paraId="2FA14660" w14:textId="77777777" w:rsidR="0084445A" w:rsidRPr="00741D80" w:rsidRDefault="0084445A" w:rsidP="00AB28AF">
            <w:pPr>
              <w:spacing w:after="0" w:line="240" w:lineRule="auto"/>
              <w:rPr>
                <w:rFonts w:cstheme="minorHAnsi"/>
              </w:rPr>
            </w:pPr>
          </w:p>
        </w:tc>
        <w:tc>
          <w:tcPr>
            <w:tcW w:w="483" w:type="pct"/>
            <w:tcBorders>
              <w:top w:val="nil"/>
              <w:left w:val="nil"/>
              <w:bottom w:val="nil"/>
              <w:right w:val="nil"/>
            </w:tcBorders>
            <w:shd w:val="clear" w:color="auto" w:fill="auto"/>
            <w:noWrap/>
            <w:vAlign w:val="bottom"/>
            <w:hideMark/>
          </w:tcPr>
          <w:p w14:paraId="5915A3D2" w14:textId="77777777" w:rsidR="0084445A" w:rsidRPr="00741D80" w:rsidRDefault="0084445A" w:rsidP="00AB28AF">
            <w:pPr>
              <w:spacing w:after="0" w:line="240" w:lineRule="auto"/>
              <w:jc w:val="right"/>
              <w:rPr>
                <w:rFonts w:cstheme="minorHAnsi"/>
                <w:b/>
                <w:lang w:val="en-US"/>
              </w:rPr>
            </w:pPr>
            <w:r w:rsidRPr="00741D80">
              <w:rPr>
                <w:rFonts w:cstheme="minorHAnsi"/>
                <w:b/>
              </w:rPr>
              <w:t>2018</w:t>
            </w:r>
          </w:p>
        </w:tc>
        <w:tc>
          <w:tcPr>
            <w:tcW w:w="468" w:type="pct"/>
            <w:tcBorders>
              <w:top w:val="nil"/>
              <w:left w:val="nil"/>
              <w:bottom w:val="nil"/>
              <w:right w:val="nil"/>
            </w:tcBorders>
            <w:shd w:val="clear" w:color="auto" w:fill="auto"/>
            <w:noWrap/>
            <w:vAlign w:val="bottom"/>
            <w:hideMark/>
          </w:tcPr>
          <w:p w14:paraId="2E3A8C0D" w14:textId="77777777" w:rsidR="0084445A" w:rsidRPr="00741D80" w:rsidRDefault="0084445A" w:rsidP="00AB28AF">
            <w:pPr>
              <w:spacing w:after="0" w:line="240" w:lineRule="auto"/>
              <w:jc w:val="right"/>
              <w:rPr>
                <w:rFonts w:cstheme="minorHAnsi"/>
                <w:b/>
              </w:rPr>
            </w:pPr>
            <w:r w:rsidRPr="00741D80">
              <w:rPr>
                <w:rFonts w:cstheme="minorHAnsi"/>
                <w:b/>
              </w:rPr>
              <w:t>2017</w:t>
            </w:r>
          </w:p>
        </w:tc>
      </w:tr>
      <w:tr w:rsidR="0084445A" w:rsidRPr="00741D80" w14:paraId="434355E8" w14:textId="77777777" w:rsidTr="00AB28AF">
        <w:trPr>
          <w:trHeight w:val="170"/>
          <w:jc w:val="center"/>
        </w:trPr>
        <w:tc>
          <w:tcPr>
            <w:tcW w:w="4049" w:type="pct"/>
            <w:tcBorders>
              <w:top w:val="nil"/>
              <w:left w:val="nil"/>
              <w:bottom w:val="nil"/>
              <w:right w:val="nil"/>
            </w:tcBorders>
            <w:shd w:val="clear" w:color="auto" w:fill="auto"/>
            <w:noWrap/>
            <w:vAlign w:val="bottom"/>
            <w:hideMark/>
          </w:tcPr>
          <w:p w14:paraId="1A60B686" w14:textId="77777777" w:rsidR="0084445A" w:rsidRPr="00741D80" w:rsidRDefault="0084445A" w:rsidP="00AB28AF">
            <w:pPr>
              <w:spacing w:after="0" w:line="240" w:lineRule="auto"/>
              <w:rPr>
                <w:rFonts w:cstheme="minorHAnsi"/>
              </w:rPr>
            </w:pPr>
          </w:p>
        </w:tc>
        <w:tc>
          <w:tcPr>
            <w:tcW w:w="483" w:type="pct"/>
            <w:tcBorders>
              <w:top w:val="nil"/>
              <w:left w:val="nil"/>
              <w:bottom w:val="nil"/>
              <w:right w:val="nil"/>
            </w:tcBorders>
            <w:shd w:val="clear" w:color="auto" w:fill="auto"/>
            <w:noWrap/>
            <w:vAlign w:val="bottom"/>
            <w:hideMark/>
          </w:tcPr>
          <w:p w14:paraId="0B46E928" w14:textId="77777777" w:rsidR="0084445A" w:rsidRPr="00741D80" w:rsidRDefault="0084445A" w:rsidP="00AB28AF">
            <w:pPr>
              <w:spacing w:after="0" w:line="240" w:lineRule="auto"/>
              <w:jc w:val="right"/>
              <w:rPr>
                <w:rFonts w:cstheme="minorHAnsi"/>
                <w:b/>
              </w:rPr>
            </w:pPr>
            <w:r w:rsidRPr="00741D80">
              <w:rPr>
                <w:rFonts w:cstheme="minorHAnsi"/>
                <w:b/>
              </w:rPr>
              <w:t>BGN'000</w:t>
            </w:r>
          </w:p>
        </w:tc>
        <w:tc>
          <w:tcPr>
            <w:tcW w:w="468" w:type="pct"/>
            <w:tcBorders>
              <w:top w:val="nil"/>
              <w:left w:val="nil"/>
              <w:bottom w:val="nil"/>
              <w:right w:val="nil"/>
            </w:tcBorders>
            <w:shd w:val="clear" w:color="auto" w:fill="auto"/>
            <w:noWrap/>
            <w:vAlign w:val="bottom"/>
            <w:hideMark/>
          </w:tcPr>
          <w:p w14:paraId="3A6B5908" w14:textId="77777777" w:rsidR="0084445A" w:rsidRPr="00741D80" w:rsidRDefault="0084445A" w:rsidP="00AB28AF">
            <w:pPr>
              <w:spacing w:after="0" w:line="240" w:lineRule="auto"/>
              <w:jc w:val="right"/>
              <w:rPr>
                <w:rFonts w:cstheme="minorHAnsi"/>
                <w:b/>
              </w:rPr>
            </w:pPr>
            <w:r w:rsidRPr="00741D80">
              <w:rPr>
                <w:rFonts w:cstheme="minorHAnsi"/>
                <w:b/>
              </w:rPr>
              <w:t>BGN'000</w:t>
            </w:r>
          </w:p>
        </w:tc>
      </w:tr>
      <w:tr w:rsidR="0084445A" w:rsidRPr="00741D80" w14:paraId="0EC6087C" w14:textId="77777777" w:rsidTr="00AB28AF">
        <w:trPr>
          <w:trHeight w:val="170"/>
          <w:jc w:val="center"/>
        </w:trPr>
        <w:tc>
          <w:tcPr>
            <w:tcW w:w="4049" w:type="pct"/>
            <w:tcBorders>
              <w:top w:val="nil"/>
              <w:left w:val="nil"/>
              <w:bottom w:val="nil"/>
              <w:right w:val="nil"/>
            </w:tcBorders>
            <w:shd w:val="clear" w:color="auto" w:fill="auto"/>
            <w:vAlign w:val="bottom"/>
            <w:hideMark/>
          </w:tcPr>
          <w:p w14:paraId="0943827F" w14:textId="77777777" w:rsidR="0084445A" w:rsidRPr="00741D80" w:rsidRDefault="0084445A" w:rsidP="00AB28AF">
            <w:pPr>
              <w:spacing w:after="0" w:line="240" w:lineRule="auto"/>
              <w:rPr>
                <w:rFonts w:cstheme="minorHAnsi"/>
              </w:rPr>
            </w:pPr>
            <w:r w:rsidRPr="00741D80">
              <w:rPr>
                <w:rFonts w:cstheme="minorHAnsi"/>
              </w:rPr>
              <w:t xml:space="preserve">Дългови инструменти, оценявани по справедлива стойност през друг всеобхватен доход </w:t>
            </w:r>
          </w:p>
        </w:tc>
        <w:tc>
          <w:tcPr>
            <w:tcW w:w="483" w:type="pct"/>
            <w:tcBorders>
              <w:top w:val="nil"/>
              <w:left w:val="nil"/>
              <w:bottom w:val="nil"/>
              <w:right w:val="nil"/>
            </w:tcBorders>
            <w:shd w:val="clear" w:color="auto" w:fill="auto"/>
            <w:noWrap/>
            <w:vAlign w:val="bottom"/>
            <w:hideMark/>
          </w:tcPr>
          <w:p w14:paraId="7DF1F41C" w14:textId="77777777" w:rsidR="0084445A" w:rsidRPr="00741D80" w:rsidRDefault="0084445A" w:rsidP="00AB28AF">
            <w:pPr>
              <w:spacing w:after="0" w:line="240" w:lineRule="auto"/>
              <w:jc w:val="right"/>
              <w:rPr>
                <w:rFonts w:cstheme="minorHAnsi"/>
              </w:rPr>
            </w:pPr>
          </w:p>
        </w:tc>
        <w:tc>
          <w:tcPr>
            <w:tcW w:w="468" w:type="pct"/>
            <w:tcBorders>
              <w:top w:val="nil"/>
              <w:left w:val="nil"/>
              <w:bottom w:val="nil"/>
              <w:right w:val="nil"/>
            </w:tcBorders>
            <w:shd w:val="clear" w:color="auto" w:fill="auto"/>
            <w:noWrap/>
            <w:vAlign w:val="bottom"/>
            <w:hideMark/>
          </w:tcPr>
          <w:p w14:paraId="462EDC4B" w14:textId="77777777" w:rsidR="0084445A" w:rsidRPr="00741D80" w:rsidRDefault="0084445A" w:rsidP="00AB28AF">
            <w:pPr>
              <w:spacing w:after="0" w:line="240" w:lineRule="auto"/>
              <w:jc w:val="right"/>
              <w:rPr>
                <w:rFonts w:cstheme="minorHAnsi"/>
              </w:rPr>
            </w:pPr>
          </w:p>
        </w:tc>
      </w:tr>
      <w:tr w:rsidR="0084445A" w:rsidRPr="00C4020C" w14:paraId="3637403A" w14:textId="77777777" w:rsidTr="00AB28AF">
        <w:trPr>
          <w:trHeight w:val="170"/>
          <w:jc w:val="center"/>
        </w:trPr>
        <w:tc>
          <w:tcPr>
            <w:tcW w:w="4049" w:type="pct"/>
            <w:tcBorders>
              <w:top w:val="nil"/>
              <w:left w:val="nil"/>
              <w:bottom w:val="nil"/>
              <w:right w:val="nil"/>
            </w:tcBorders>
            <w:shd w:val="clear" w:color="auto" w:fill="auto"/>
            <w:noWrap/>
            <w:vAlign w:val="bottom"/>
            <w:hideMark/>
          </w:tcPr>
          <w:p w14:paraId="5E402B5A" w14:textId="77777777" w:rsidR="0084445A" w:rsidRPr="00C4020C" w:rsidRDefault="0084445A" w:rsidP="00AB28AF">
            <w:pPr>
              <w:spacing w:after="0" w:line="240" w:lineRule="auto"/>
              <w:rPr>
                <w:rFonts w:cstheme="minorHAnsi"/>
              </w:rPr>
            </w:pPr>
            <w:r w:rsidRPr="00C4020C">
              <w:rPr>
                <w:rFonts w:cstheme="minorHAnsi"/>
              </w:rPr>
              <w:t>Инвестиции в дългови ценни книжа</w:t>
            </w:r>
          </w:p>
        </w:tc>
        <w:tc>
          <w:tcPr>
            <w:tcW w:w="483" w:type="pct"/>
            <w:tcBorders>
              <w:top w:val="nil"/>
              <w:left w:val="nil"/>
              <w:bottom w:val="nil"/>
              <w:right w:val="nil"/>
            </w:tcBorders>
            <w:shd w:val="clear" w:color="auto" w:fill="auto"/>
            <w:noWrap/>
            <w:vAlign w:val="bottom"/>
            <w:hideMark/>
          </w:tcPr>
          <w:p w14:paraId="5ECBFF46" w14:textId="38366430" w:rsidR="0084445A" w:rsidRPr="00C4020C" w:rsidRDefault="0084445A" w:rsidP="00AB28AF">
            <w:pPr>
              <w:spacing w:after="0" w:line="240" w:lineRule="auto"/>
              <w:jc w:val="right"/>
              <w:rPr>
                <w:rFonts w:cstheme="minorHAnsi"/>
              </w:rPr>
            </w:pPr>
            <w:r w:rsidRPr="00C4020C">
              <w:rPr>
                <w:rFonts w:cstheme="minorHAnsi"/>
              </w:rPr>
              <w:t>1</w:t>
            </w:r>
            <w:r w:rsidR="002E100C" w:rsidRPr="00C4020C">
              <w:rPr>
                <w:rFonts w:cstheme="minorHAnsi"/>
                <w:lang w:val="en-US"/>
              </w:rPr>
              <w:t>,</w:t>
            </w:r>
            <w:r w:rsidRPr="00C4020C">
              <w:rPr>
                <w:rFonts w:cstheme="minorHAnsi"/>
              </w:rPr>
              <w:t>972</w:t>
            </w:r>
            <w:r w:rsidR="00FD518A" w:rsidRPr="00C4020C">
              <w:rPr>
                <w:rFonts w:cstheme="minorHAnsi"/>
              </w:rPr>
              <w:t xml:space="preserve"> </w:t>
            </w:r>
          </w:p>
        </w:tc>
        <w:tc>
          <w:tcPr>
            <w:tcW w:w="468" w:type="pct"/>
            <w:tcBorders>
              <w:top w:val="nil"/>
              <w:left w:val="nil"/>
              <w:bottom w:val="nil"/>
              <w:right w:val="nil"/>
            </w:tcBorders>
            <w:shd w:val="clear" w:color="auto" w:fill="auto"/>
            <w:noWrap/>
            <w:vAlign w:val="bottom"/>
            <w:hideMark/>
          </w:tcPr>
          <w:p w14:paraId="530D09A1" w14:textId="6C5D66F7" w:rsidR="0084445A" w:rsidRPr="00C4020C" w:rsidRDefault="0084445A" w:rsidP="00AB28AF">
            <w:pPr>
              <w:spacing w:after="0" w:line="240" w:lineRule="auto"/>
              <w:jc w:val="right"/>
              <w:rPr>
                <w:rFonts w:cstheme="minorHAnsi"/>
              </w:rPr>
            </w:pPr>
            <w:r w:rsidRPr="00C4020C">
              <w:rPr>
                <w:rFonts w:cstheme="minorHAnsi"/>
              </w:rPr>
              <w:t>2</w:t>
            </w:r>
            <w:r w:rsidR="002E100C" w:rsidRPr="00C4020C">
              <w:rPr>
                <w:rFonts w:cstheme="minorHAnsi"/>
                <w:lang w:val="en-US"/>
              </w:rPr>
              <w:t>,</w:t>
            </w:r>
            <w:r w:rsidRPr="00C4020C">
              <w:rPr>
                <w:rFonts w:cstheme="minorHAnsi"/>
              </w:rPr>
              <w:t>035</w:t>
            </w:r>
          </w:p>
        </w:tc>
      </w:tr>
      <w:tr w:rsidR="0084445A" w:rsidRPr="00741D80" w14:paraId="732D2505" w14:textId="77777777" w:rsidTr="00AB28AF">
        <w:trPr>
          <w:trHeight w:val="170"/>
          <w:jc w:val="center"/>
        </w:trPr>
        <w:tc>
          <w:tcPr>
            <w:tcW w:w="4049" w:type="pct"/>
            <w:tcBorders>
              <w:top w:val="nil"/>
              <w:left w:val="nil"/>
              <w:bottom w:val="nil"/>
              <w:right w:val="nil"/>
            </w:tcBorders>
            <w:shd w:val="clear" w:color="auto" w:fill="auto"/>
            <w:noWrap/>
            <w:vAlign w:val="bottom"/>
            <w:hideMark/>
          </w:tcPr>
          <w:p w14:paraId="15111575" w14:textId="42F3DC55" w:rsidR="0084445A" w:rsidRPr="00C4020C" w:rsidRDefault="00AE7CF9" w:rsidP="00AB28AF">
            <w:pPr>
              <w:spacing w:after="0" w:line="240" w:lineRule="auto"/>
              <w:rPr>
                <w:rFonts w:cstheme="minorHAnsi"/>
                <w:b/>
              </w:rPr>
            </w:pPr>
            <w:r w:rsidRPr="00C4020C">
              <w:rPr>
                <w:rFonts w:cstheme="minorHAnsi"/>
                <w:b/>
              </w:rPr>
              <w:t>Общо</w:t>
            </w:r>
            <w:r w:rsidR="0084445A" w:rsidRPr="00C4020C">
              <w:rPr>
                <w:rFonts w:cstheme="minorHAnsi"/>
                <w:b/>
              </w:rPr>
              <w:t>:</w:t>
            </w:r>
          </w:p>
        </w:tc>
        <w:tc>
          <w:tcPr>
            <w:tcW w:w="483" w:type="pct"/>
            <w:tcBorders>
              <w:top w:val="single" w:sz="4" w:space="0" w:color="auto"/>
              <w:left w:val="nil"/>
              <w:bottom w:val="double" w:sz="6" w:space="0" w:color="auto"/>
              <w:right w:val="nil"/>
            </w:tcBorders>
            <w:shd w:val="clear" w:color="auto" w:fill="auto"/>
            <w:noWrap/>
            <w:vAlign w:val="bottom"/>
            <w:hideMark/>
          </w:tcPr>
          <w:p w14:paraId="4B70F2DC" w14:textId="4E50FD95" w:rsidR="0084445A" w:rsidRPr="00C4020C" w:rsidRDefault="00D549EB" w:rsidP="00AB28AF">
            <w:pPr>
              <w:spacing w:after="0" w:line="240" w:lineRule="auto"/>
              <w:jc w:val="right"/>
              <w:rPr>
                <w:rFonts w:cstheme="minorHAnsi"/>
                <w:b/>
              </w:rPr>
            </w:pPr>
            <w:r w:rsidRPr="00C4020C">
              <w:rPr>
                <w:rFonts w:cstheme="minorHAnsi"/>
                <w:b/>
              </w:rPr>
              <w:t>1</w:t>
            </w:r>
            <w:r w:rsidR="002E100C" w:rsidRPr="00C4020C">
              <w:rPr>
                <w:rFonts w:cstheme="minorHAnsi"/>
                <w:b/>
                <w:lang w:val="en-US"/>
              </w:rPr>
              <w:t>,</w:t>
            </w:r>
            <w:r w:rsidRPr="00C4020C">
              <w:rPr>
                <w:rFonts w:cstheme="minorHAnsi"/>
                <w:b/>
              </w:rPr>
              <w:t>972</w:t>
            </w:r>
            <w:r w:rsidR="00FD518A" w:rsidRPr="00C4020C">
              <w:rPr>
                <w:rFonts w:cstheme="minorHAnsi"/>
                <w:b/>
              </w:rPr>
              <w:t xml:space="preserve"> </w:t>
            </w:r>
          </w:p>
        </w:tc>
        <w:tc>
          <w:tcPr>
            <w:tcW w:w="468" w:type="pct"/>
            <w:tcBorders>
              <w:top w:val="single" w:sz="4" w:space="0" w:color="auto"/>
              <w:left w:val="nil"/>
              <w:bottom w:val="double" w:sz="6" w:space="0" w:color="auto"/>
              <w:right w:val="nil"/>
            </w:tcBorders>
            <w:shd w:val="clear" w:color="auto" w:fill="auto"/>
            <w:noWrap/>
            <w:vAlign w:val="bottom"/>
            <w:hideMark/>
          </w:tcPr>
          <w:p w14:paraId="4721B518" w14:textId="39FBA5CB" w:rsidR="0084445A" w:rsidRPr="00741D80" w:rsidRDefault="0084445A" w:rsidP="00AB28AF">
            <w:pPr>
              <w:spacing w:after="0" w:line="240" w:lineRule="auto"/>
              <w:jc w:val="right"/>
              <w:rPr>
                <w:rFonts w:cstheme="minorHAnsi"/>
                <w:b/>
              </w:rPr>
            </w:pPr>
            <w:r w:rsidRPr="00C4020C">
              <w:rPr>
                <w:rFonts w:cstheme="minorHAnsi"/>
                <w:b/>
              </w:rPr>
              <w:t>2</w:t>
            </w:r>
            <w:r w:rsidR="002E100C" w:rsidRPr="00C4020C">
              <w:rPr>
                <w:rFonts w:cstheme="minorHAnsi"/>
                <w:b/>
                <w:lang w:val="en-US"/>
              </w:rPr>
              <w:t>,</w:t>
            </w:r>
            <w:r w:rsidR="00D549EB" w:rsidRPr="00C4020C">
              <w:rPr>
                <w:rFonts w:cstheme="minorHAnsi"/>
                <w:b/>
              </w:rPr>
              <w:t>035</w:t>
            </w:r>
            <w:r w:rsidR="00FD518A">
              <w:rPr>
                <w:rFonts w:cstheme="minorHAnsi"/>
                <w:b/>
              </w:rPr>
              <w:t xml:space="preserve"> </w:t>
            </w:r>
          </w:p>
        </w:tc>
      </w:tr>
    </w:tbl>
    <w:p w14:paraId="6CA0D091" w14:textId="2DCCE69F" w:rsidR="00AB28AF" w:rsidRDefault="0084445A" w:rsidP="00365108">
      <w:pPr>
        <w:jc w:val="both"/>
        <w:rPr>
          <w:rFonts w:cstheme="minorHAnsi"/>
        </w:rPr>
      </w:pPr>
      <w:r w:rsidRPr="00741D80">
        <w:rPr>
          <w:rFonts w:cstheme="minorHAnsi"/>
        </w:rPr>
        <w:t xml:space="preserve">Инвестициите в дългови ценни книжа с фиксирани или определяеми плащания и фиксирани матуритетни дати включват инвестиции в две емисии държавни ценни книжа - облигации, закупени с премия, издадени от Министерство на финансите на </w:t>
      </w:r>
      <w:proofErr w:type="spellStart"/>
      <w:r w:rsidRPr="00741D80">
        <w:rPr>
          <w:rFonts w:cstheme="minorHAnsi"/>
        </w:rPr>
        <w:t>РБългария</w:t>
      </w:r>
      <w:proofErr w:type="spellEnd"/>
      <w:r w:rsidRPr="00741D80">
        <w:rPr>
          <w:rFonts w:cstheme="minorHAnsi"/>
        </w:rPr>
        <w:t>, както следва:</w:t>
      </w:r>
    </w:p>
    <w:p w14:paraId="28B8237A" w14:textId="77777777" w:rsidR="00AB28AF" w:rsidRDefault="00AB28AF">
      <w:pPr>
        <w:rPr>
          <w:rFonts w:cstheme="minorHAnsi"/>
        </w:rPr>
      </w:pPr>
      <w:r>
        <w:rPr>
          <w:rFonts w:cstheme="minorHAnsi"/>
        </w:rPr>
        <w:br w:type="page"/>
      </w:r>
    </w:p>
    <w:p w14:paraId="4F1F2F62" w14:textId="77777777" w:rsidR="0084445A" w:rsidRPr="00AB28AF" w:rsidRDefault="0084445A" w:rsidP="00AB28AF">
      <w:pPr>
        <w:spacing w:after="0"/>
        <w:rPr>
          <w:rFonts w:cstheme="minorHAnsi"/>
          <w:b/>
          <w:lang w:val="en-US"/>
        </w:rPr>
      </w:pPr>
      <w:r w:rsidRPr="00AB28AF">
        <w:rPr>
          <w:rFonts w:cstheme="minorHAnsi"/>
          <w:b/>
        </w:rPr>
        <w:lastRenderedPageBreak/>
        <w:t>31.12.2018 г.</w:t>
      </w:r>
    </w:p>
    <w:tbl>
      <w:tblPr>
        <w:tblW w:w="5000" w:type="pct"/>
        <w:jc w:val="center"/>
        <w:tblCellMar>
          <w:left w:w="6" w:type="dxa"/>
          <w:right w:w="6" w:type="dxa"/>
        </w:tblCellMar>
        <w:tblLook w:val="04A0" w:firstRow="1" w:lastRow="0" w:firstColumn="1" w:lastColumn="0" w:noHBand="0" w:noVBand="1"/>
      </w:tblPr>
      <w:tblGrid>
        <w:gridCol w:w="1471"/>
        <w:gridCol w:w="731"/>
        <w:gridCol w:w="1372"/>
        <w:gridCol w:w="1147"/>
        <w:gridCol w:w="1207"/>
        <w:gridCol w:w="952"/>
        <w:gridCol w:w="1384"/>
        <w:gridCol w:w="1374"/>
      </w:tblGrid>
      <w:tr w:rsidR="00AE7CF9" w:rsidRPr="00741D80" w14:paraId="707BF337" w14:textId="77777777" w:rsidTr="00AB28AF">
        <w:trPr>
          <w:trHeight w:val="170"/>
          <w:jc w:val="center"/>
        </w:trPr>
        <w:tc>
          <w:tcPr>
            <w:tcW w:w="763" w:type="pct"/>
            <w:tcBorders>
              <w:top w:val="nil"/>
              <w:left w:val="nil"/>
              <w:bottom w:val="nil"/>
              <w:right w:val="nil"/>
            </w:tcBorders>
            <w:shd w:val="clear" w:color="auto" w:fill="auto"/>
            <w:tcMar>
              <w:left w:w="57" w:type="dxa"/>
              <w:right w:w="57" w:type="dxa"/>
            </w:tcMar>
            <w:hideMark/>
          </w:tcPr>
          <w:p w14:paraId="7A69A0A2"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Емисия </w:t>
            </w:r>
          </w:p>
        </w:tc>
        <w:tc>
          <w:tcPr>
            <w:tcW w:w="379" w:type="pct"/>
            <w:tcBorders>
              <w:top w:val="nil"/>
              <w:left w:val="nil"/>
              <w:bottom w:val="nil"/>
              <w:right w:val="nil"/>
            </w:tcBorders>
            <w:shd w:val="clear" w:color="auto" w:fill="auto"/>
            <w:tcMar>
              <w:left w:w="57" w:type="dxa"/>
              <w:right w:w="57" w:type="dxa"/>
            </w:tcMar>
            <w:hideMark/>
          </w:tcPr>
          <w:p w14:paraId="4144657B"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Валута</w:t>
            </w:r>
          </w:p>
        </w:tc>
        <w:tc>
          <w:tcPr>
            <w:tcW w:w="712" w:type="pct"/>
            <w:tcBorders>
              <w:top w:val="nil"/>
              <w:left w:val="nil"/>
              <w:bottom w:val="nil"/>
              <w:right w:val="nil"/>
            </w:tcBorders>
            <w:shd w:val="clear" w:color="auto" w:fill="auto"/>
            <w:tcMar>
              <w:left w:w="57" w:type="dxa"/>
              <w:right w:w="57" w:type="dxa"/>
            </w:tcMar>
            <w:hideMark/>
          </w:tcPr>
          <w:p w14:paraId="77F5F89F" w14:textId="3526488D"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Дата на издаване</w:t>
            </w:r>
          </w:p>
        </w:tc>
        <w:tc>
          <w:tcPr>
            <w:tcW w:w="595" w:type="pct"/>
            <w:tcBorders>
              <w:top w:val="nil"/>
              <w:left w:val="nil"/>
              <w:bottom w:val="nil"/>
              <w:right w:val="nil"/>
            </w:tcBorders>
            <w:shd w:val="clear" w:color="auto" w:fill="auto"/>
            <w:tcMar>
              <w:left w:w="57" w:type="dxa"/>
              <w:right w:w="57" w:type="dxa"/>
            </w:tcMar>
            <w:hideMark/>
          </w:tcPr>
          <w:p w14:paraId="324FDCE8" w14:textId="18BA15CD"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Дата на падеж</w:t>
            </w:r>
          </w:p>
        </w:tc>
        <w:tc>
          <w:tcPr>
            <w:tcW w:w="626" w:type="pct"/>
            <w:tcBorders>
              <w:top w:val="nil"/>
              <w:left w:val="nil"/>
              <w:bottom w:val="nil"/>
              <w:right w:val="nil"/>
            </w:tcBorders>
            <w:shd w:val="clear" w:color="auto" w:fill="auto"/>
            <w:tcMar>
              <w:left w:w="57" w:type="dxa"/>
              <w:right w:w="57" w:type="dxa"/>
            </w:tcMar>
            <w:hideMark/>
          </w:tcPr>
          <w:p w14:paraId="3CDA6E8C" w14:textId="35E32560"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Лихва по купон</w:t>
            </w:r>
          </w:p>
        </w:tc>
        <w:tc>
          <w:tcPr>
            <w:tcW w:w="494" w:type="pct"/>
            <w:tcBorders>
              <w:top w:val="nil"/>
              <w:left w:val="nil"/>
              <w:bottom w:val="nil"/>
              <w:right w:val="nil"/>
            </w:tcBorders>
            <w:shd w:val="clear" w:color="auto" w:fill="auto"/>
            <w:tcMar>
              <w:left w:w="57" w:type="dxa"/>
              <w:right w:w="57" w:type="dxa"/>
            </w:tcMar>
            <w:hideMark/>
          </w:tcPr>
          <w:p w14:paraId="22CFC887"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Номинал</w:t>
            </w:r>
          </w:p>
        </w:tc>
        <w:tc>
          <w:tcPr>
            <w:tcW w:w="718" w:type="pct"/>
            <w:tcBorders>
              <w:top w:val="nil"/>
              <w:left w:val="nil"/>
              <w:bottom w:val="nil"/>
              <w:right w:val="nil"/>
            </w:tcBorders>
            <w:shd w:val="clear" w:color="auto" w:fill="auto"/>
            <w:tcMar>
              <w:left w:w="57" w:type="dxa"/>
              <w:right w:w="57" w:type="dxa"/>
            </w:tcMar>
            <w:hideMark/>
          </w:tcPr>
          <w:p w14:paraId="184CAA74" w14:textId="661DADC9"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Справедлива стойност</w:t>
            </w:r>
          </w:p>
        </w:tc>
        <w:tc>
          <w:tcPr>
            <w:tcW w:w="713" w:type="pct"/>
            <w:tcBorders>
              <w:top w:val="nil"/>
              <w:left w:val="nil"/>
              <w:bottom w:val="nil"/>
              <w:right w:val="nil"/>
            </w:tcBorders>
            <w:shd w:val="clear" w:color="auto" w:fill="auto"/>
            <w:tcMar>
              <w:left w:w="57" w:type="dxa"/>
              <w:right w:w="57" w:type="dxa"/>
            </w:tcMar>
            <w:hideMark/>
          </w:tcPr>
          <w:p w14:paraId="5033DB96" w14:textId="1BA0F70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Справедлива стойност</w:t>
            </w:r>
          </w:p>
        </w:tc>
      </w:tr>
      <w:tr w:rsidR="00AE7CF9" w:rsidRPr="00741D80" w14:paraId="23227BD1" w14:textId="77777777" w:rsidTr="00AE7CF9">
        <w:trPr>
          <w:trHeight w:val="170"/>
          <w:jc w:val="center"/>
        </w:trPr>
        <w:tc>
          <w:tcPr>
            <w:tcW w:w="763" w:type="pct"/>
            <w:tcBorders>
              <w:top w:val="nil"/>
              <w:left w:val="nil"/>
              <w:bottom w:val="nil"/>
              <w:right w:val="nil"/>
            </w:tcBorders>
            <w:shd w:val="clear" w:color="auto" w:fill="auto"/>
            <w:noWrap/>
            <w:tcMar>
              <w:left w:w="57" w:type="dxa"/>
              <w:right w:w="57" w:type="dxa"/>
            </w:tcMar>
            <w:vAlign w:val="bottom"/>
            <w:hideMark/>
          </w:tcPr>
          <w:p w14:paraId="5E2E6A22" w14:textId="77777777" w:rsidR="0084445A" w:rsidRPr="00741D80" w:rsidRDefault="0084445A" w:rsidP="00AB28AF">
            <w:pPr>
              <w:pStyle w:val="a1"/>
              <w:rPr>
                <w:rFonts w:asciiTheme="minorHAnsi" w:hAnsiTheme="minorHAnsi" w:cstheme="minorHAnsi"/>
                <w:color w:val="auto"/>
                <w:szCs w:val="20"/>
                <w:lang w:val="bg-BG"/>
              </w:rPr>
            </w:pPr>
          </w:p>
        </w:tc>
        <w:tc>
          <w:tcPr>
            <w:tcW w:w="379" w:type="pct"/>
            <w:tcBorders>
              <w:top w:val="nil"/>
              <w:left w:val="nil"/>
              <w:bottom w:val="nil"/>
              <w:right w:val="nil"/>
            </w:tcBorders>
            <w:shd w:val="clear" w:color="auto" w:fill="auto"/>
            <w:noWrap/>
            <w:tcMar>
              <w:left w:w="57" w:type="dxa"/>
              <w:right w:w="57" w:type="dxa"/>
            </w:tcMar>
            <w:vAlign w:val="bottom"/>
            <w:hideMark/>
          </w:tcPr>
          <w:p w14:paraId="35AA7C95" w14:textId="77777777" w:rsidR="0084445A" w:rsidRPr="00741D80" w:rsidRDefault="0084445A" w:rsidP="00AB28AF">
            <w:pPr>
              <w:pStyle w:val="a1"/>
              <w:rPr>
                <w:rFonts w:asciiTheme="minorHAnsi" w:hAnsiTheme="minorHAnsi" w:cstheme="minorHAnsi"/>
                <w:color w:val="auto"/>
                <w:szCs w:val="20"/>
                <w:lang w:val="bg-BG"/>
              </w:rPr>
            </w:pPr>
          </w:p>
        </w:tc>
        <w:tc>
          <w:tcPr>
            <w:tcW w:w="712" w:type="pct"/>
            <w:tcBorders>
              <w:top w:val="nil"/>
              <w:left w:val="nil"/>
              <w:bottom w:val="nil"/>
              <w:right w:val="nil"/>
            </w:tcBorders>
            <w:shd w:val="clear" w:color="auto" w:fill="auto"/>
            <w:noWrap/>
            <w:tcMar>
              <w:left w:w="57" w:type="dxa"/>
              <w:right w:w="57" w:type="dxa"/>
            </w:tcMar>
            <w:vAlign w:val="bottom"/>
            <w:hideMark/>
          </w:tcPr>
          <w:p w14:paraId="687A3EFC" w14:textId="77777777" w:rsidR="0084445A" w:rsidRPr="00741D80" w:rsidRDefault="0084445A" w:rsidP="00AB28AF">
            <w:pPr>
              <w:pStyle w:val="a1"/>
              <w:rPr>
                <w:rFonts w:asciiTheme="minorHAnsi" w:hAnsiTheme="minorHAnsi" w:cstheme="minorHAnsi"/>
                <w:color w:val="auto"/>
                <w:szCs w:val="20"/>
                <w:lang w:val="bg-BG"/>
              </w:rPr>
            </w:pPr>
          </w:p>
        </w:tc>
        <w:tc>
          <w:tcPr>
            <w:tcW w:w="595" w:type="pct"/>
            <w:tcBorders>
              <w:top w:val="nil"/>
              <w:left w:val="nil"/>
              <w:bottom w:val="nil"/>
              <w:right w:val="nil"/>
            </w:tcBorders>
            <w:shd w:val="clear" w:color="auto" w:fill="auto"/>
            <w:noWrap/>
            <w:tcMar>
              <w:left w:w="57" w:type="dxa"/>
              <w:right w:w="57" w:type="dxa"/>
            </w:tcMar>
            <w:vAlign w:val="bottom"/>
            <w:hideMark/>
          </w:tcPr>
          <w:p w14:paraId="34CF481A" w14:textId="77777777" w:rsidR="0084445A" w:rsidRPr="00741D80" w:rsidRDefault="0084445A" w:rsidP="00AB28AF">
            <w:pPr>
              <w:pStyle w:val="a1"/>
              <w:rPr>
                <w:rFonts w:asciiTheme="minorHAnsi" w:hAnsiTheme="minorHAnsi" w:cstheme="minorHAnsi"/>
                <w:color w:val="auto"/>
                <w:szCs w:val="20"/>
                <w:lang w:val="bg-BG"/>
              </w:rPr>
            </w:pPr>
          </w:p>
        </w:tc>
        <w:tc>
          <w:tcPr>
            <w:tcW w:w="626" w:type="pct"/>
            <w:tcBorders>
              <w:top w:val="nil"/>
              <w:left w:val="nil"/>
              <w:bottom w:val="nil"/>
              <w:right w:val="nil"/>
            </w:tcBorders>
            <w:shd w:val="clear" w:color="auto" w:fill="auto"/>
            <w:noWrap/>
            <w:tcMar>
              <w:left w:w="57" w:type="dxa"/>
              <w:right w:w="57" w:type="dxa"/>
            </w:tcMar>
            <w:vAlign w:val="bottom"/>
            <w:hideMark/>
          </w:tcPr>
          <w:p w14:paraId="0F0DDF45"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c>
          <w:tcPr>
            <w:tcW w:w="494" w:type="pct"/>
            <w:tcBorders>
              <w:top w:val="nil"/>
              <w:left w:val="nil"/>
              <w:bottom w:val="nil"/>
              <w:right w:val="nil"/>
            </w:tcBorders>
            <w:shd w:val="clear" w:color="auto" w:fill="auto"/>
            <w:noWrap/>
            <w:tcMar>
              <w:left w:w="57" w:type="dxa"/>
              <w:right w:w="57" w:type="dxa"/>
            </w:tcMar>
            <w:vAlign w:val="bottom"/>
            <w:hideMark/>
          </w:tcPr>
          <w:p w14:paraId="223B1B08"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‘000</w:t>
            </w:r>
          </w:p>
        </w:tc>
        <w:tc>
          <w:tcPr>
            <w:tcW w:w="718" w:type="pct"/>
            <w:tcBorders>
              <w:top w:val="nil"/>
              <w:left w:val="nil"/>
              <w:bottom w:val="nil"/>
              <w:right w:val="nil"/>
            </w:tcBorders>
            <w:shd w:val="clear" w:color="auto" w:fill="auto"/>
            <w:noWrap/>
            <w:tcMar>
              <w:left w:w="57" w:type="dxa"/>
              <w:right w:w="57" w:type="dxa"/>
            </w:tcMar>
            <w:vAlign w:val="bottom"/>
            <w:hideMark/>
          </w:tcPr>
          <w:p w14:paraId="5088C7E3"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‘000</w:t>
            </w:r>
          </w:p>
        </w:tc>
        <w:tc>
          <w:tcPr>
            <w:tcW w:w="713" w:type="pct"/>
            <w:tcBorders>
              <w:top w:val="nil"/>
              <w:left w:val="nil"/>
              <w:bottom w:val="nil"/>
              <w:right w:val="nil"/>
            </w:tcBorders>
            <w:shd w:val="clear" w:color="auto" w:fill="auto"/>
            <w:noWrap/>
            <w:tcMar>
              <w:left w:w="57" w:type="dxa"/>
              <w:right w:w="57" w:type="dxa"/>
            </w:tcMar>
            <w:vAlign w:val="bottom"/>
            <w:hideMark/>
          </w:tcPr>
          <w:p w14:paraId="2A694255"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AE7CF9" w:rsidRPr="00741D80" w14:paraId="7771E656" w14:textId="77777777" w:rsidTr="00AE7CF9">
        <w:trPr>
          <w:trHeight w:val="170"/>
          <w:jc w:val="center"/>
        </w:trPr>
        <w:tc>
          <w:tcPr>
            <w:tcW w:w="763" w:type="pct"/>
            <w:tcBorders>
              <w:top w:val="nil"/>
              <w:left w:val="nil"/>
              <w:bottom w:val="nil"/>
              <w:right w:val="nil"/>
            </w:tcBorders>
            <w:shd w:val="clear" w:color="auto" w:fill="auto"/>
            <w:noWrap/>
            <w:tcMar>
              <w:left w:w="57" w:type="dxa"/>
              <w:right w:w="57" w:type="dxa"/>
            </w:tcMar>
            <w:hideMark/>
          </w:tcPr>
          <w:p w14:paraId="7CF4B898" w14:textId="77777777" w:rsidR="0084445A" w:rsidRPr="00741D80" w:rsidRDefault="0084445A" w:rsidP="00AB28AF">
            <w:pPr>
              <w:pStyle w:val="a"/>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BG2040210218</w:t>
            </w:r>
          </w:p>
        </w:tc>
        <w:tc>
          <w:tcPr>
            <w:tcW w:w="379" w:type="pct"/>
            <w:tcBorders>
              <w:top w:val="nil"/>
              <w:left w:val="nil"/>
              <w:bottom w:val="nil"/>
              <w:right w:val="nil"/>
            </w:tcBorders>
            <w:shd w:val="clear" w:color="auto" w:fill="auto"/>
            <w:noWrap/>
            <w:tcMar>
              <w:left w:w="57" w:type="dxa"/>
              <w:right w:w="57" w:type="dxa"/>
            </w:tcMar>
            <w:hideMark/>
          </w:tcPr>
          <w:p w14:paraId="535A9DD9" w14:textId="77777777" w:rsidR="0084445A" w:rsidRPr="00741D80" w:rsidRDefault="0084445A" w:rsidP="00AB28AF">
            <w:pPr>
              <w:pStyle w:val="a"/>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Евро</w:t>
            </w:r>
          </w:p>
        </w:tc>
        <w:tc>
          <w:tcPr>
            <w:tcW w:w="712" w:type="pct"/>
            <w:tcBorders>
              <w:top w:val="nil"/>
              <w:left w:val="nil"/>
              <w:bottom w:val="nil"/>
              <w:right w:val="nil"/>
            </w:tcBorders>
            <w:shd w:val="clear" w:color="auto" w:fill="auto"/>
            <w:noWrap/>
            <w:tcMar>
              <w:left w:w="57" w:type="dxa"/>
              <w:right w:w="57" w:type="dxa"/>
            </w:tcMar>
            <w:hideMark/>
          </w:tcPr>
          <w:p w14:paraId="566666C5" w14:textId="77777777" w:rsidR="0084445A" w:rsidRPr="00741D80" w:rsidRDefault="0084445A" w:rsidP="00AB28AF">
            <w:pPr>
              <w:pStyle w:val="a"/>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29.10.2010</w:t>
            </w:r>
          </w:p>
        </w:tc>
        <w:tc>
          <w:tcPr>
            <w:tcW w:w="595" w:type="pct"/>
            <w:tcBorders>
              <w:top w:val="nil"/>
              <w:left w:val="nil"/>
              <w:bottom w:val="nil"/>
              <w:right w:val="nil"/>
            </w:tcBorders>
            <w:shd w:val="clear" w:color="auto" w:fill="auto"/>
            <w:noWrap/>
            <w:tcMar>
              <w:left w:w="57" w:type="dxa"/>
              <w:right w:w="57" w:type="dxa"/>
            </w:tcMar>
            <w:hideMark/>
          </w:tcPr>
          <w:p w14:paraId="318184B6" w14:textId="77777777" w:rsidR="0084445A" w:rsidRPr="00741D80" w:rsidRDefault="0084445A" w:rsidP="00AB28AF">
            <w:pPr>
              <w:pStyle w:val="a"/>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29.09.2025</w:t>
            </w:r>
          </w:p>
        </w:tc>
        <w:tc>
          <w:tcPr>
            <w:tcW w:w="626" w:type="pct"/>
            <w:tcBorders>
              <w:top w:val="nil"/>
              <w:left w:val="nil"/>
              <w:bottom w:val="nil"/>
              <w:right w:val="nil"/>
            </w:tcBorders>
            <w:shd w:val="clear" w:color="auto" w:fill="auto"/>
            <w:noWrap/>
            <w:tcMar>
              <w:left w:w="57" w:type="dxa"/>
              <w:right w:w="57" w:type="dxa"/>
            </w:tcMar>
            <w:hideMark/>
          </w:tcPr>
          <w:p w14:paraId="50CCF83B" w14:textId="77777777" w:rsidR="0084445A" w:rsidRPr="00741D80" w:rsidRDefault="0084445A" w:rsidP="00AB28AF">
            <w:pPr>
              <w:pStyle w:val="a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5.75%</w:t>
            </w:r>
          </w:p>
        </w:tc>
        <w:tc>
          <w:tcPr>
            <w:tcW w:w="494" w:type="pct"/>
            <w:tcBorders>
              <w:top w:val="nil"/>
              <w:left w:val="nil"/>
              <w:bottom w:val="nil"/>
              <w:right w:val="nil"/>
            </w:tcBorders>
            <w:shd w:val="clear" w:color="auto" w:fill="auto"/>
            <w:noWrap/>
            <w:tcMar>
              <w:left w:w="57" w:type="dxa"/>
              <w:right w:w="57" w:type="dxa"/>
            </w:tcMar>
            <w:hideMark/>
          </w:tcPr>
          <w:p w14:paraId="625BDF86" w14:textId="77777777" w:rsidR="0084445A" w:rsidRPr="00741D80" w:rsidRDefault="0084445A" w:rsidP="00AB28AF">
            <w:pPr>
              <w:pStyle w:val="a0"/>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500 EUR</w:t>
            </w:r>
          </w:p>
        </w:tc>
        <w:tc>
          <w:tcPr>
            <w:tcW w:w="718" w:type="pct"/>
            <w:tcBorders>
              <w:top w:val="nil"/>
              <w:left w:val="nil"/>
              <w:bottom w:val="nil"/>
              <w:right w:val="nil"/>
            </w:tcBorders>
            <w:shd w:val="clear" w:color="auto" w:fill="auto"/>
            <w:noWrap/>
            <w:tcMar>
              <w:left w:w="57" w:type="dxa"/>
              <w:right w:w="57" w:type="dxa"/>
            </w:tcMar>
            <w:hideMark/>
          </w:tcPr>
          <w:p w14:paraId="799B0DB0" w14:textId="77777777" w:rsidR="0084445A" w:rsidRPr="00741D80" w:rsidRDefault="0084445A" w:rsidP="00AB28AF">
            <w:pPr>
              <w:pStyle w:val="a0"/>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673 EUR</w:t>
            </w:r>
          </w:p>
        </w:tc>
        <w:tc>
          <w:tcPr>
            <w:tcW w:w="713" w:type="pct"/>
            <w:tcBorders>
              <w:top w:val="nil"/>
              <w:left w:val="nil"/>
              <w:bottom w:val="nil"/>
              <w:right w:val="nil"/>
            </w:tcBorders>
            <w:shd w:val="clear" w:color="auto" w:fill="auto"/>
            <w:noWrap/>
            <w:tcMar>
              <w:left w:w="57" w:type="dxa"/>
              <w:right w:w="57" w:type="dxa"/>
            </w:tcMar>
            <w:hideMark/>
          </w:tcPr>
          <w:p w14:paraId="4C691C5C" w14:textId="77777777" w:rsidR="0084445A" w:rsidRPr="00741D80" w:rsidRDefault="0084445A" w:rsidP="00AB28AF">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1,316</w:t>
            </w:r>
          </w:p>
        </w:tc>
      </w:tr>
      <w:tr w:rsidR="00AE7CF9" w:rsidRPr="00741D80" w14:paraId="1372C3AA" w14:textId="77777777" w:rsidTr="00AE7CF9">
        <w:trPr>
          <w:trHeight w:val="170"/>
          <w:jc w:val="center"/>
        </w:trPr>
        <w:tc>
          <w:tcPr>
            <w:tcW w:w="763" w:type="pct"/>
            <w:tcBorders>
              <w:top w:val="nil"/>
              <w:left w:val="nil"/>
              <w:bottom w:val="nil"/>
              <w:right w:val="nil"/>
            </w:tcBorders>
            <w:shd w:val="clear" w:color="auto" w:fill="auto"/>
            <w:noWrap/>
            <w:tcMar>
              <w:left w:w="57" w:type="dxa"/>
              <w:right w:w="57" w:type="dxa"/>
            </w:tcMar>
            <w:hideMark/>
          </w:tcPr>
          <w:p w14:paraId="679E672D" w14:textId="77777777" w:rsidR="0084445A" w:rsidRPr="00741D80" w:rsidRDefault="0084445A" w:rsidP="00AB28AF">
            <w:pPr>
              <w:pStyle w:val="a"/>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BG2040012218</w:t>
            </w:r>
          </w:p>
        </w:tc>
        <w:tc>
          <w:tcPr>
            <w:tcW w:w="379" w:type="pct"/>
            <w:tcBorders>
              <w:top w:val="nil"/>
              <w:left w:val="nil"/>
              <w:bottom w:val="nil"/>
              <w:right w:val="nil"/>
            </w:tcBorders>
            <w:shd w:val="clear" w:color="auto" w:fill="auto"/>
            <w:noWrap/>
            <w:tcMar>
              <w:left w:w="57" w:type="dxa"/>
              <w:right w:w="57" w:type="dxa"/>
            </w:tcMar>
            <w:hideMark/>
          </w:tcPr>
          <w:p w14:paraId="42E925F4" w14:textId="77777777" w:rsidR="0084445A" w:rsidRPr="00741D80" w:rsidRDefault="0084445A" w:rsidP="00AB28AF">
            <w:pPr>
              <w:pStyle w:val="a"/>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Лева</w:t>
            </w:r>
          </w:p>
        </w:tc>
        <w:tc>
          <w:tcPr>
            <w:tcW w:w="712" w:type="pct"/>
            <w:tcBorders>
              <w:top w:val="nil"/>
              <w:left w:val="nil"/>
              <w:bottom w:val="nil"/>
              <w:right w:val="nil"/>
            </w:tcBorders>
            <w:shd w:val="clear" w:color="auto" w:fill="auto"/>
            <w:noWrap/>
            <w:tcMar>
              <w:left w:w="57" w:type="dxa"/>
              <w:right w:w="57" w:type="dxa"/>
            </w:tcMar>
            <w:hideMark/>
          </w:tcPr>
          <w:p w14:paraId="0561DE1B" w14:textId="77777777" w:rsidR="0084445A" w:rsidRPr="00741D80" w:rsidRDefault="0084445A" w:rsidP="00AB28AF">
            <w:pPr>
              <w:pStyle w:val="a"/>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11.01.2012</w:t>
            </w:r>
          </w:p>
        </w:tc>
        <w:tc>
          <w:tcPr>
            <w:tcW w:w="595" w:type="pct"/>
            <w:tcBorders>
              <w:top w:val="nil"/>
              <w:left w:val="nil"/>
              <w:bottom w:val="nil"/>
              <w:right w:val="nil"/>
            </w:tcBorders>
            <w:shd w:val="clear" w:color="auto" w:fill="auto"/>
            <w:noWrap/>
            <w:tcMar>
              <w:left w:w="57" w:type="dxa"/>
              <w:right w:w="57" w:type="dxa"/>
            </w:tcMar>
            <w:hideMark/>
          </w:tcPr>
          <w:p w14:paraId="16926AD5" w14:textId="77777777" w:rsidR="0084445A" w:rsidRPr="00741D80" w:rsidRDefault="0084445A" w:rsidP="00AB28AF">
            <w:pPr>
              <w:pStyle w:val="a"/>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11.07.2022</w:t>
            </w:r>
          </w:p>
        </w:tc>
        <w:tc>
          <w:tcPr>
            <w:tcW w:w="626" w:type="pct"/>
            <w:tcBorders>
              <w:top w:val="nil"/>
              <w:left w:val="nil"/>
              <w:bottom w:val="nil"/>
              <w:right w:val="nil"/>
            </w:tcBorders>
            <w:shd w:val="clear" w:color="auto" w:fill="auto"/>
            <w:noWrap/>
            <w:tcMar>
              <w:left w:w="57" w:type="dxa"/>
              <w:right w:w="57" w:type="dxa"/>
            </w:tcMar>
            <w:hideMark/>
          </w:tcPr>
          <w:p w14:paraId="0A1929A0" w14:textId="77777777" w:rsidR="0084445A" w:rsidRPr="00741D80" w:rsidRDefault="0084445A" w:rsidP="00AB28AF">
            <w:pPr>
              <w:pStyle w:val="a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5.00%</w:t>
            </w:r>
          </w:p>
        </w:tc>
        <w:tc>
          <w:tcPr>
            <w:tcW w:w="494" w:type="pct"/>
            <w:tcBorders>
              <w:top w:val="nil"/>
              <w:left w:val="nil"/>
              <w:bottom w:val="nil"/>
              <w:right w:val="nil"/>
            </w:tcBorders>
            <w:shd w:val="clear" w:color="auto" w:fill="auto"/>
            <w:noWrap/>
            <w:tcMar>
              <w:left w:w="57" w:type="dxa"/>
              <w:right w:w="57" w:type="dxa"/>
            </w:tcMar>
            <w:hideMark/>
          </w:tcPr>
          <w:p w14:paraId="025E941A" w14:textId="77777777" w:rsidR="0084445A" w:rsidRPr="00741D80" w:rsidRDefault="0084445A" w:rsidP="00AB28AF">
            <w:pPr>
              <w:pStyle w:val="a0"/>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550 BGN</w:t>
            </w:r>
          </w:p>
        </w:tc>
        <w:tc>
          <w:tcPr>
            <w:tcW w:w="718" w:type="pct"/>
            <w:tcBorders>
              <w:top w:val="nil"/>
              <w:left w:val="nil"/>
              <w:bottom w:val="nil"/>
              <w:right w:val="nil"/>
            </w:tcBorders>
            <w:shd w:val="clear" w:color="auto" w:fill="auto"/>
            <w:noWrap/>
            <w:tcMar>
              <w:left w:w="57" w:type="dxa"/>
              <w:right w:w="57" w:type="dxa"/>
            </w:tcMar>
            <w:hideMark/>
          </w:tcPr>
          <w:p w14:paraId="01646D09" w14:textId="77777777" w:rsidR="0084445A" w:rsidRPr="00741D80" w:rsidRDefault="0084445A" w:rsidP="00AB28AF">
            <w:pPr>
              <w:pStyle w:val="a0"/>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 656 BGN</w:t>
            </w:r>
          </w:p>
        </w:tc>
        <w:tc>
          <w:tcPr>
            <w:tcW w:w="713" w:type="pct"/>
            <w:tcBorders>
              <w:top w:val="nil"/>
              <w:left w:val="nil"/>
              <w:bottom w:val="nil"/>
              <w:right w:val="nil"/>
            </w:tcBorders>
            <w:shd w:val="clear" w:color="auto" w:fill="auto"/>
            <w:noWrap/>
            <w:tcMar>
              <w:left w:w="57" w:type="dxa"/>
              <w:right w:w="57" w:type="dxa"/>
            </w:tcMar>
            <w:hideMark/>
          </w:tcPr>
          <w:p w14:paraId="04B79F9C" w14:textId="77777777" w:rsidR="0084445A" w:rsidRPr="00741D80" w:rsidRDefault="0084445A" w:rsidP="00AB28AF">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656</w:t>
            </w:r>
          </w:p>
        </w:tc>
      </w:tr>
      <w:tr w:rsidR="00AE7CF9" w:rsidRPr="00741D80" w14:paraId="607C0E7B" w14:textId="77777777" w:rsidTr="00AE7CF9">
        <w:trPr>
          <w:trHeight w:val="170"/>
          <w:jc w:val="center"/>
        </w:trPr>
        <w:tc>
          <w:tcPr>
            <w:tcW w:w="763" w:type="pct"/>
            <w:tcBorders>
              <w:top w:val="nil"/>
              <w:left w:val="nil"/>
              <w:bottom w:val="nil"/>
              <w:right w:val="nil"/>
            </w:tcBorders>
            <w:shd w:val="clear" w:color="auto" w:fill="auto"/>
            <w:noWrap/>
            <w:tcMar>
              <w:left w:w="57" w:type="dxa"/>
              <w:right w:w="57" w:type="dxa"/>
            </w:tcMar>
            <w:vAlign w:val="bottom"/>
            <w:hideMark/>
          </w:tcPr>
          <w:p w14:paraId="34C9069D" w14:textId="77777777" w:rsidR="0084445A" w:rsidRPr="00741D80" w:rsidRDefault="0084445A" w:rsidP="00AB28AF">
            <w:pPr>
              <w:pStyle w:val="a"/>
              <w:jc w:val="center"/>
              <w:rPr>
                <w:rFonts w:asciiTheme="minorHAnsi" w:hAnsiTheme="minorHAnsi" w:cstheme="minorHAnsi"/>
                <w:b/>
                <w:color w:val="auto"/>
                <w:szCs w:val="20"/>
                <w:lang w:val="bg-BG"/>
              </w:rPr>
            </w:pPr>
          </w:p>
        </w:tc>
        <w:tc>
          <w:tcPr>
            <w:tcW w:w="379" w:type="pct"/>
            <w:tcBorders>
              <w:top w:val="nil"/>
              <w:left w:val="nil"/>
              <w:bottom w:val="nil"/>
              <w:right w:val="nil"/>
            </w:tcBorders>
            <w:shd w:val="clear" w:color="auto" w:fill="auto"/>
            <w:noWrap/>
            <w:tcMar>
              <w:left w:w="57" w:type="dxa"/>
              <w:right w:w="57" w:type="dxa"/>
            </w:tcMar>
            <w:vAlign w:val="bottom"/>
            <w:hideMark/>
          </w:tcPr>
          <w:p w14:paraId="1F0F875D" w14:textId="77777777" w:rsidR="0084445A" w:rsidRPr="00741D80" w:rsidRDefault="0084445A" w:rsidP="00AB28AF">
            <w:pPr>
              <w:pStyle w:val="a"/>
              <w:jc w:val="center"/>
              <w:rPr>
                <w:rFonts w:asciiTheme="minorHAnsi" w:hAnsiTheme="minorHAnsi" w:cstheme="minorHAnsi"/>
                <w:b/>
                <w:color w:val="auto"/>
                <w:szCs w:val="20"/>
                <w:lang w:val="bg-BG"/>
              </w:rPr>
            </w:pPr>
          </w:p>
        </w:tc>
        <w:tc>
          <w:tcPr>
            <w:tcW w:w="712" w:type="pct"/>
            <w:tcBorders>
              <w:top w:val="nil"/>
              <w:left w:val="nil"/>
              <w:bottom w:val="nil"/>
              <w:right w:val="nil"/>
            </w:tcBorders>
            <w:shd w:val="clear" w:color="auto" w:fill="auto"/>
            <w:noWrap/>
            <w:tcMar>
              <w:left w:w="57" w:type="dxa"/>
              <w:right w:w="57" w:type="dxa"/>
            </w:tcMar>
            <w:vAlign w:val="bottom"/>
            <w:hideMark/>
          </w:tcPr>
          <w:p w14:paraId="31C8CE08" w14:textId="77777777" w:rsidR="0084445A" w:rsidRPr="00741D80" w:rsidRDefault="0084445A" w:rsidP="00AB28AF">
            <w:pPr>
              <w:pStyle w:val="a"/>
              <w:jc w:val="center"/>
              <w:rPr>
                <w:rFonts w:asciiTheme="minorHAnsi" w:hAnsiTheme="minorHAnsi" w:cstheme="minorHAnsi"/>
                <w:b/>
                <w:color w:val="auto"/>
                <w:szCs w:val="20"/>
                <w:lang w:val="bg-BG"/>
              </w:rPr>
            </w:pPr>
          </w:p>
        </w:tc>
        <w:tc>
          <w:tcPr>
            <w:tcW w:w="595" w:type="pct"/>
            <w:tcBorders>
              <w:top w:val="nil"/>
              <w:left w:val="nil"/>
              <w:bottom w:val="nil"/>
              <w:right w:val="nil"/>
            </w:tcBorders>
            <w:shd w:val="clear" w:color="auto" w:fill="auto"/>
            <w:noWrap/>
            <w:tcMar>
              <w:left w:w="57" w:type="dxa"/>
              <w:right w:w="57" w:type="dxa"/>
            </w:tcMar>
            <w:vAlign w:val="bottom"/>
            <w:hideMark/>
          </w:tcPr>
          <w:p w14:paraId="7F94DB2D" w14:textId="77777777" w:rsidR="0084445A" w:rsidRPr="00741D80" w:rsidRDefault="0084445A" w:rsidP="00AB28AF">
            <w:pPr>
              <w:pStyle w:val="a"/>
              <w:jc w:val="center"/>
              <w:rPr>
                <w:rFonts w:asciiTheme="minorHAnsi" w:hAnsiTheme="minorHAnsi" w:cstheme="minorHAnsi"/>
                <w:b/>
                <w:color w:val="auto"/>
                <w:szCs w:val="20"/>
                <w:lang w:val="bg-BG"/>
              </w:rPr>
            </w:pPr>
          </w:p>
        </w:tc>
        <w:tc>
          <w:tcPr>
            <w:tcW w:w="626" w:type="pct"/>
            <w:tcBorders>
              <w:top w:val="nil"/>
              <w:left w:val="nil"/>
              <w:bottom w:val="nil"/>
              <w:right w:val="nil"/>
            </w:tcBorders>
            <w:shd w:val="clear" w:color="auto" w:fill="auto"/>
            <w:noWrap/>
            <w:tcMar>
              <w:left w:w="57" w:type="dxa"/>
              <w:right w:w="57" w:type="dxa"/>
            </w:tcMar>
            <w:vAlign w:val="bottom"/>
            <w:hideMark/>
          </w:tcPr>
          <w:p w14:paraId="0CA93820" w14:textId="77777777" w:rsidR="0084445A" w:rsidRPr="00741D80" w:rsidRDefault="0084445A" w:rsidP="00AB28AF">
            <w:pPr>
              <w:pStyle w:val="a0"/>
              <w:jc w:val="center"/>
              <w:rPr>
                <w:rFonts w:asciiTheme="minorHAnsi" w:hAnsiTheme="minorHAnsi" w:cstheme="minorHAnsi"/>
                <w:b/>
                <w:color w:val="auto"/>
                <w:szCs w:val="20"/>
                <w:lang w:val="bg-BG"/>
              </w:rPr>
            </w:pPr>
          </w:p>
        </w:tc>
        <w:tc>
          <w:tcPr>
            <w:tcW w:w="494" w:type="pct"/>
            <w:tcBorders>
              <w:top w:val="nil"/>
              <w:left w:val="nil"/>
              <w:bottom w:val="nil"/>
              <w:right w:val="nil"/>
            </w:tcBorders>
            <w:shd w:val="clear" w:color="auto" w:fill="auto"/>
            <w:noWrap/>
            <w:tcMar>
              <w:left w:w="57" w:type="dxa"/>
              <w:right w:w="57" w:type="dxa"/>
            </w:tcMar>
            <w:vAlign w:val="bottom"/>
            <w:hideMark/>
          </w:tcPr>
          <w:p w14:paraId="52DAD0F5" w14:textId="77777777" w:rsidR="0084445A" w:rsidRPr="00741D80" w:rsidRDefault="0084445A" w:rsidP="00AB28AF">
            <w:pPr>
              <w:pStyle w:val="a0"/>
              <w:widowControl w:val="0"/>
              <w:jc w:val="center"/>
              <w:rPr>
                <w:rFonts w:asciiTheme="minorHAnsi" w:hAnsiTheme="minorHAnsi" w:cstheme="minorHAnsi"/>
                <w:b/>
                <w:color w:val="auto"/>
                <w:szCs w:val="20"/>
                <w:lang w:val="bg-BG"/>
              </w:rPr>
            </w:pPr>
          </w:p>
        </w:tc>
        <w:tc>
          <w:tcPr>
            <w:tcW w:w="718" w:type="pct"/>
            <w:tcBorders>
              <w:top w:val="nil"/>
              <w:left w:val="nil"/>
              <w:bottom w:val="nil"/>
              <w:right w:val="nil"/>
            </w:tcBorders>
            <w:shd w:val="clear" w:color="auto" w:fill="auto"/>
            <w:noWrap/>
            <w:tcMar>
              <w:left w:w="57" w:type="dxa"/>
              <w:right w:w="57" w:type="dxa"/>
            </w:tcMar>
            <w:vAlign w:val="bottom"/>
            <w:hideMark/>
          </w:tcPr>
          <w:p w14:paraId="2F8F1CB9" w14:textId="77777777" w:rsidR="0084445A" w:rsidRPr="00741D80" w:rsidRDefault="0084445A" w:rsidP="00AB28AF">
            <w:pPr>
              <w:pStyle w:val="a0"/>
              <w:widowControl w:val="0"/>
              <w:jc w:val="center"/>
              <w:rPr>
                <w:rFonts w:asciiTheme="minorHAnsi" w:hAnsiTheme="minorHAnsi" w:cstheme="minorHAnsi"/>
                <w:b/>
                <w:color w:val="auto"/>
                <w:szCs w:val="20"/>
                <w:lang w:val="bg-BG"/>
              </w:rPr>
            </w:pPr>
          </w:p>
        </w:tc>
        <w:tc>
          <w:tcPr>
            <w:tcW w:w="713" w:type="pct"/>
            <w:tcBorders>
              <w:top w:val="single" w:sz="4" w:space="0" w:color="auto"/>
              <w:left w:val="nil"/>
              <w:bottom w:val="single" w:sz="4" w:space="0" w:color="auto"/>
              <w:right w:val="nil"/>
            </w:tcBorders>
            <w:shd w:val="clear" w:color="auto" w:fill="auto"/>
            <w:noWrap/>
            <w:tcMar>
              <w:left w:w="57" w:type="dxa"/>
              <w:right w:w="57" w:type="dxa"/>
            </w:tcMar>
            <w:hideMark/>
          </w:tcPr>
          <w:p w14:paraId="204DB741" w14:textId="77777777" w:rsidR="0084445A" w:rsidRPr="00741D80" w:rsidRDefault="0084445A" w:rsidP="00AB28AF">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1,972</w:t>
            </w:r>
          </w:p>
        </w:tc>
      </w:tr>
    </w:tbl>
    <w:p w14:paraId="64D6C1BF" w14:textId="77777777" w:rsidR="0084445A" w:rsidRPr="00AB28AF" w:rsidRDefault="0084445A" w:rsidP="00AB28AF">
      <w:pPr>
        <w:spacing w:before="240" w:after="0"/>
        <w:rPr>
          <w:rFonts w:cstheme="minorHAnsi"/>
          <w:b/>
        </w:rPr>
      </w:pPr>
      <w:r w:rsidRPr="00AB28AF">
        <w:rPr>
          <w:rFonts w:cstheme="minorHAnsi"/>
          <w:b/>
        </w:rPr>
        <w:t>31.12.2017 г.</w:t>
      </w:r>
    </w:p>
    <w:tbl>
      <w:tblPr>
        <w:tblW w:w="5000" w:type="pct"/>
        <w:jc w:val="center"/>
        <w:tblCellMar>
          <w:left w:w="6" w:type="dxa"/>
          <w:right w:w="6" w:type="dxa"/>
        </w:tblCellMar>
        <w:tblLook w:val="04A0" w:firstRow="1" w:lastRow="0" w:firstColumn="1" w:lastColumn="0" w:noHBand="0" w:noVBand="1"/>
      </w:tblPr>
      <w:tblGrid>
        <w:gridCol w:w="1300"/>
        <w:gridCol w:w="864"/>
        <w:gridCol w:w="1297"/>
        <w:gridCol w:w="1147"/>
        <w:gridCol w:w="1147"/>
        <w:gridCol w:w="1010"/>
        <w:gridCol w:w="1583"/>
        <w:gridCol w:w="1290"/>
      </w:tblGrid>
      <w:tr w:rsidR="00AE7CF9" w:rsidRPr="00741D80" w14:paraId="3BB61494" w14:textId="77777777" w:rsidTr="00AE7CF9">
        <w:trPr>
          <w:trHeight w:val="170"/>
          <w:jc w:val="center"/>
        </w:trPr>
        <w:tc>
          <w:tcPr>
            <w:tcW w:w="674" w:type="pct"/>
            <w:tcBorders>
              <w:top w:val="nil"/>
              <w:left w:val="nil"/>
              <w:bottom w:val="nil"/>
              <w:right w:val="nil"/>
            </w:tcBorders>
            <w:shd w:val="clear" w:color="auto" w:fill="auto"/>
            <w:noWrap/>
            <w:hideMark/>
          </w:tcPr>
          <w:p w14:paraId="1DD39D1F" w14:textId="77777777" w:rsidR="0084445A" w:rsidRPr="00741D80" w:rsidRDefault="0084445A" w:rsidP="00AB28AF">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Емисия</w:t>
            </w:r>
          </w:p>
        </w:tc>
        <w:tc>
          <w:tcPr>
            <w:tcW w:w="448" w:type="pct"/>
            <w:tcBorders>
              <w:top w:val="nil"/>
              <w:left w:val="nil"/>
              <w:bottom w:val="nil"/>
              <w:right w:val="nil"/>
            </w:tcBorders>
            <w:shd w:val="clear" w:color="auto" w:fill="auto"/>
            <w:noWrap/>
            <w:hideMark/>
          </w:tcPr>
          <w:p w14:paraId="5A3F74D8" w14:textId="77777777" w:rsidR="0084445A" w:rsidRPr="00741D80" w:rsidRDefault="0084445A" w:rsidP="00AB28AF">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Валута</w:t>
            </w:r>
          </w:p>
        </w:tc>
        <w:tc>
          <w:tcPr>
            <w:tcW w:w="673" w:type="pct"/>
            <w:tcBorders>
              <w:top w:val="nil"/>
              <w:left w:val="nil"/>
              <w:bottom w:val="nil"/>
              <w:right w:val="nil"/>
            </w:tcBorders>
            <w:shd w:val="clear" w:color="auto" w:fill="auto"/>
            <w:noWrap/>
            <w:hideMark/>
          </w:tcPr>
          <w:p w14:paraId="748EA8E2" w14:textId="77777777" w:rsidR="00AE7CF9" w:rsidRPr="00741D80" w:rsidRDefault="0084445A" w:rsidP="00AB28AF">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 xml:space="preserve">Дата на </w:t>
            </w:r>
          </w:p>
          <w:p w14:paraId="4F72605A" w14:textId="3B097307" w:rsidR="0084445A" w:rsidRPr="00741D80" w:rsidRDefault="0084445A" w:rsidP="00AB28AF">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издаване</w:t>
            </w:r>
          </w:p>
        </w:tc>
        <w:tc>
          <w:tcPr>
            <w:tcW w:w="595" w:type="pct"/>
            <w:tcBorders>
              <w:top w:val="nil"/>
              <w:left w:val="nil"/>
              <w:bottom w:val="nil"/>
              <w:right w:val="nil"/>
            </w:tcBorders>
            <w:shd w:val="clear" w:color="auto" w:fill="auto"/>
            <w:noWrap/>
            <w:hideMark/>
          </w:tcPr>
          <w:p w14:paraId="43216725" w14:textId="77777777" w:rsidR="00AE7CF9" w:rsidRPr="00741D80" w:rsidRDefault="0084445A" w:rsidP="00AB28AF">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 xml:space="preserve">Дата на </w:t>
            </w:r>
          </w:p>
          <w:p w14:paraId="71E74D62" w14:textId="1506DB8D" w:rsidR="0084445A" w:rsidRPr="00741D80" w:rsidRDefault="0084445A" w:rsidP="00AB28AF">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падеж</w:t>
            </w:r>
          </w:p>
        </w:tc>
        <w:tc>
          <w:tcPr>
            <w:tcW w:w="595" w:type="pct"/>
            <w:tcBorders>
              <w:top w:val="nil"/>
              <w:left w:val="nil"/>
              <w:bottom w:val="nil"/>
              <w:right w:val="nil"/>
            </w:tcBorders>
            <w:shd w:val="clear" w:color="auto" w:fill="auto"/>
            <w:noWrap/>
            <w:hideMark/>
          </w:tcPr>
          <w:p w14:paraId="63DB0263" w14:textId="77777777" w:rsidR="00AE7CF9" w:rsidRPr="00741D80" w:rsidRDefault="0084445A" w:rsidP="00AB28AF">
            <w:pPr>
              <w:pStyle w:val="a0"/>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 xml:space="preserve">Лихва </w:t>
            </w:r>
          </w:p>
          <w:p w14:paraId="5190AFFF" w14:textId="737ED5BF" w:rsidR="0084445A" w:rsidRPr="00741D80" w:rsidRDefault="0084445A" w:rsidP="00AB28AF">
            <w:pPr>
              <w:pStyle w:val="a0"/>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по купон</w:t>
            </w:r>
          </w:p>
        </w:tc>
        <w:tc>
          <w:tcPr>
            <w:tcW w:w="524" w:type="pct"/>
            <w:tcBorders>
              <w:top w:val="nil"/>
              <w:left w:val="nil"/>
              <w:bottom w:val="nil"/>
              <w:right w:val="nil"/>
            </w:tcBorders>
            <w:shd w:val="clear" w:color="auto" w:fill="auto"/>
            <w:noWrap/>
            <w:hideMark/>
          </w:tcPr>
          <w:p w14:paraId="36BCAC2B" w14:textId="77777777" w:rsidR="0084445A" w:rsidRPr="00741D80" w:rsidRDefault="0084445A" w:rsidP="00AB28AF">
            <w:pPr>
              <w:pStyle w:val="a0"/>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Номинал</w:t>
            </w:r>
          </w:p>
        </w:tc>
        <w:tc>
          <w:tcPr>
            <w:tcW w:w="821" w:type="pct"/>
            <w:tcBorders>
              <w:top w:val="nil"/>
              <w:left w:val="nil"/>
              <w:bottom w:val="nil"/>
              <w:right w:val="nil"/>
            </w:tcBorders>
            <w:shd w:val="clear" w:color="auto" w:fill="auto"/>
            <w:noWrap/>
            <w:hideMark/>
          </w:tcPr>
          <w:p w14:paraId="0936C3EC" w14:textId="77777777" w:rsidR="00AE7CF9" w:rsidRPr="00741D80" w:rsidRDefault="0084445A" w:rsidP="00AB28AF">
            <w:pPr>
              <w:pStyle w:val="a0"/>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 xml:space="preserve">Справедлива </w:t>
            </w:r>
          </w:p>
          <w:p w14:paraId="7F25C1FD" w14:textId="16EFD122" w:rsidR="0084445A" w:rsidRPr="00741D80" w:rsidRDefault="0084445A" w:rsidP="00AB28AF">
            <w:pPr>
              <w:pStyle w:val="a0"/>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стойност</w:t>
            </w:r>
          </w:p>
        </w:tc>
        <w:tc>
          <w:tcPr>
            <w:tcW w:w="669" w:type="pct"/>
            <w:tcBorders>
              <w:left w:val="nil"/>
              <w:right w:val="nil"/>
            </w:tcBorders>
            <w:shd w:val="clear" w:color="auto" w:fill="auto"/>
            <w:hideMark/>
          </w:tcPr>
          <w:p w14:paraId="668FF4FA" w14:textId="77777777" w:rsidR="0084445A" w:rsidRPr="00741D80" w:rsidRDefault="0084445A" w:rsidP="00AB28AF">
            <w:pPr>
              <w:pStyle w:val="a0"/>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Справедлива стойност</w:t>
            </w:r>
          </w:p>
        </w:tc>
      </w:tr>
      <w:tr w:rsidR="00AE7CF9" w:rsidRPr="00741D80" w14:paraId="1C49AF7C" w14:textId="77777777" w:rsidTr="00AE7CF9">
        <w:trPr>
          <w:trHeight w:val="170"/>
          <w:jc w:val="center"/>
        </w:trPr>
        <w:tc>
          <w:tcPr>
            <w:tcW w:w="674" w:type="pct"/>
            <w:tcBorders>
              <w:top w:val="nil"/>
              <w:left w:val="nil"/>
              <w:bottom w:val="nil"/>
              <w:right w:val="nil"/>
            </w:tcBorders>
            <w:shd w:val="clear" w:color="auto" w:fill="auto"/>
            <w:noWrap/>
            <w:vAlign w:val="bottom"/>
            <w:hideMark/>
          </w:tcPr>
          <w:p w14:paraId="534051F9" w14:textId="77777777" w:rsidR="0084445A" w:rsidRPr="00741D80" w:rsidRDefault="0084445A" w:rsidP="00AB28AF">
            <w:pPr>
              <w:pStyle w:val="a"/>
              <w:jc w:val="center"/>
              <w:rPr>
                <w:rFonts w:asciiTheme="minorHAnsi" w:hAnsiTheme="minorHAnsi" w:cstheme="minorHAnsi"/>
                <w:b/>
                <w:color w:val="auto"/>
                <w:szCs w:val="20"/>
                <w:lang w:val="bg-BG"/>
              </w:rPr>
            </w:pPr>
          </w:p>
        </w:tc>
        <w:tc>
          <w:tcPr>
            <w:tcW w:w="448" w:type="pct"/>
            <w:tcBorders>
              <w:top w:val="nil"/>
              <w:left w:val="nil"/>
              <w:bottom w:val="nil"/>
              <w:right w:val="nil"/>
            </w:tcBorders>
            <w:shd w:val="clear" w:color="auto" w:fill="auto"/>
            <w:noWrap/>
            <w:vAlign w:val="bottom"/>
            <w:hideMark/>
          </w:tcPr>
          <w:p w14:paraId="65959FFC" w14:textId="77777777" w:rsidR="0084445A" w:rsidRPr="00741D80" w:rsidRDefault="0084445A" w:rsidP="00AB28AF">
            <w:pPr>
              <w:pStyle w:val="a"/>
              <w:jc w:val="center"/>
              <w:rPr>
                <w:rFonts w:asciiTheme="minorHAnsi" w:hAnsiTheme="minorHAnsi" w:cstheme="minorHAnsi"/>
                <w:b/>
                <w:color w:val="auto"/>
                <w:szCs w:val="20"/>
                <w:lang w:val="bg-BG"/>
              </w:rPr>
            </w:pPr>
          </w:p>
        </w:tc>
        <w:tc>
          <w:tcPr>
            <w:tcW w:w="673" w:type="pct"/>
            <w:tcBorders>
              <w:top w:val="nil"/>
              <w:left w:val="nil"/>
              <w:bottom w:val="nil"/>
              <w:right w:val="nil"/>
            </w:tcBorders>
            <w:shd w:val="clear" w:color="auto" w:fill="auto"/>
            <w:noWrap/>
            <w:vAlign w:val="bottom"/>
            <w:hideMark/>
          </w:tcPr>
          <w:p w14:paraId="38278148" w14:textId="77777777" w:rsidR="0084445A" w:rsidRPr="00741D80" w:rsidRDefault="0084445A" w:rsidP="00AB28AF">
            <w:pPr>
              <w:pStyle w:val="a"/>
              <w:jc w:val="center"/>
              <w:rPr>
                <w:rFonts w:asciiTheme="minorHAnsi" w:hAnsiTheme="minorHAnsi" w:cstheme="minorHAnsi"/>
                <w:b/>
                <w:color w:val="auto"/>
                <w:szCs w:val="20"/>
                <w:lang w:val="bg-BG"/>
              </w:rPr>
            </w:pPr>
          </w:p>
        </w:tc>
        <w:tc>
          <w:tcPr>
            <w:tcW w:w="595" w:type="pct"/>
            <w:tcBorders>
              <w:top w:val="nil"/>
              <w:left w:val="nil"/>
              <w:bottom w:val="nil"/>
              <w:right w:val="nil"/>
            </w:tcBorders>
            <w:shd w:val="clear" w:color="auto" w:fill="auto"/>
            <w:noWrap/>
            <w:vAlign w:val="bottom"/>
            <w:hideMark/>
          </w:tcPr>
          <w:p w14:paraId="5E976EDC" w14:textId="77777777" w:rsidR="0084445A" w:rsidRPr="00741D80" w:rsidRDefault="0084445A" w:rsidP="00AB28AF">
            <w:pPr>
              <w:pStyle w:val="a"/>
              <w:jc w:val="center"/>
              <w:rPr>
                <w:rFonts w:asciiTheme="minorHAnsi" w:hAnsiTheme="minorHAnsi" w:cstheme="minorHAnsi"/>
                <w:b/>
                <w:color w:val="auto"/>
                <w:szCs w:val="20"/>
                <w:lang w:val="bg-BG"/>
              </w:rPr>
            </w:pPr>
          </w:p>
        </w:tc>
        <w:tc>
          <w:tcPr>
            <w:tcW w:w="595" w:type="pct"/>
            <w:tcBorders>
              <w:top w:val="nil"/>
              <w:left w:val="nil"/>
              <w:bottom w:val="nil"/>
              <w:right w:val="nil"/>
            </w:tcBorders>
            <w:shd w:val="clear" w:color="auto" w:fill="auto"/>
            <w:noWrap/>
            <w:vAlign w:val="bottom"/>
            <w:hideMark/>
          </w:tcPr>
          <w:p w14:paraId="7284E79A" w14:textId="77777777" w:rsidR="0084445A" w:rsidRPr="00741D80" w:rsidRDefault="0084445A" w:rsidP="00AB28AF">
            <w:pPr>
              <w:pStyle w:val="a0"/>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w:t>
            </w:r>
          </w:p>
        </w:tc>
        <w:tc>
          <w:tcPr>
            <w:tcW w:w="524" w:type="pct"/>
            <w:tcBorders>
              <w:top w:val="nil"/>
              <w:left w:val="nil"/>
              <w:bottom w:val="nil"/>
              <w:right w:val="nil"/>
            </w:tcBorders>
            <w:shd w:val="clear" w:color="auto" w:fill="auto"/>
            <w:noWrap/>
            <w:vAlign w:val="bottom"/>
            <w:hideMark/>
          </w:tcPr>
          <w:p w14:paraId="6FB5FE8C" w14:textId="77777777" w:rsidR="0084445A" w:rsidRPr="00741D80" w:rsidRDefault="0084445A" w:rsidP="00AB28AF">
            <w:pPr>
              <w:pStyle w:val="a0"/>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‘000</w:t>
            </w:r>
          </w:p>
        </w:tc>
        <w:tc>
          <w:tcPr>
            <w:tcW w:w="821" w:type="pct"/>
            <w:tcBorders>
              <w:top w:val="nil"/>
              <w:left w:val="nil"/>
              <w:bottom w:val="nil"/>
              <w:right w:val="nil"/>
            </w:tcBorders>
            <w:shd w:val="clear" w:color="auto" w:fill="auto"/>
            <w:noWrap/>
            <w:vAlign w:val="bottom"/>
            <w:hideMark/>
          </w:tcPr>
          <w:p w14:paraId="33F32796" w14:textId="77777777" w:rsidR="0084445A" w:rsidRPr="00741D80" w:rsidRDefault="0084445A" w:rsidP="00AB28AF">
            <w:pPr>
              <w:pStyle w:val="a0"/>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‘000</w:t>
            </w:r>
          </w:p>
        </w:tc>
        <w:tc>
          <w:tcPr>
            <w:tcW w:w="669" w:type="pct"/>
            <w:tcBorders>
              <w:left w:val="nil"/>
              <w:right w:val="nil"/>
            </w:tcBorders>
            <w:shd w:val="clear" w:color="auto" w:fill="auto"/>
            <w:hideMark/>
          </w:tcPr>
          <w:p w14:paraId="12428088" w14:textId="77777777" w:rsidR="0084445A" w:rsidRPr="00741D80" w:rsidRDefault="0084445A" w:rsidP="00AB28AF">
            <w:pPr>
              <w:pStyle w:val="a0"/>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BGN‘000</w:t>
            </w:r>
          </w:p>
        </w:tc>
      </w:tr>
      <w:tr w:rsidR="00AE7CF9" w:rsidRPr="00741D80" w14:paraId="4974C3CC" w14:textId="77777777" w:rsidTr="00AE7CF9">
        <w:trPr>
          <w:trHeight w:val="170"/>
          <w:jc w:val="center"/>
        </w:trPr>
        <w:tc>
          <w:tcPr>
            <w:tcW w:w="674" w:type="pct"/>
            <w:tcBorders>
              <w:top w:val="nil"/>
              <w:left w:val="nil"/>
              <w:bottom w:val="nil"/>
              <w:right w:val="nil"/>
            </w:tcBorders>
            <w:shd w:val="clear" w:color="auto" w:fill="auto"/>
            <w:noWrap/>
            <w:vAlign w:val="bottom"/>
            <w:hideMark/>
          </w:tcPr>
          <w:p w14:paraId="51DDE5DD" w14:textId="77777777" w:rsidR="0084445A" w:rsidRPr="00741D80" w:rsidRDefault="0084445A" w:rsidP="00AB28AF">
            <w:pPr>
              <w:pStyle w:val="a"/>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BG2040210218</w:t>
            </w:r>
          </w:p>
        </w:tc>
        <w:tc>
          <w:tcPr>
            <w:tcW w:w="448" w:type="pct"/>
            <w:tcBorders>
              <w:top w:val="nil"/>
              <w:left w:val="nil"/>
              <w:bottom w:val="nil"/>
              <w:right w:val="nil"/>
            </w:tcBorders>
            <w:shd w:val="clear" w:color="auto" w:fill="auto"/>
            <w:noWrap/>
            <w:vAlign w:val="bottom"/>
            <w:hideMark/>
          </w:tcPr>
          <w:p w14:paraId="48C82381" w14:textId="77777777" w:rsidR="0084445A" w:rsidRPr="00741D80" w:rsidRDefault="0084445A" w:rsidP="00AB28AF">
            <w:pPr>
              <w:pStyle w:val="a"/>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Евро</w:t>
            </w:r>
          </w:p>
        </w:tc>
        <w:tc>
          <w:tcPr>
            <w:tcW w:w="673" w:type="pct"/>
            <w:tcBorders>
              <w:top w:val="nil"/>
              <w:left w:val="nil"/>
              <w:bottom w:val="nil"/>
              <w:right w:val="nil"/>
            </w:tcBorders>
            <w:shd w:val="clear" w:color="auto" w:fill="auto"/>
            <w:noWrap/>
            <w:vAlign w:val="bottom"/>
            <w:hideMark/>
          </w:tcPr>
          <w:p w14:paraId="4106EBFF" w14:textId="77777777" w:rsidR="0084445A" w:rsidRPr="00741D80" w:rsidRDefault="0084445A" w:rsidP="00AB28AF">
            <w:pPr>
              <w:pStyle w:val="a"/>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29.10.2010</w:t>
            </w:r>
          </w:p>
        </w:tc>
        <w:tc>
          <w:tcPr>
            <w:tcW w:w="595" w:type="pct"/>
            <w:tcBorders>
              <w:top w:val="nil"/>
              <w:left w:val="nil"/>
              <w:bottom w:val="nil"/>
              <w:right w:val="nil"/>
            </w:tcBorders>
            <w:shd w:val="clear" w:color="auto" w:fill="auto"/>
            <w:noWrap/>
            <w:vAlign w:val="bottom"/>
            <w:hideMark/>
          </w:tcPr>
          <w:p w14:paraId="41987133" w14:textId="77777777" w:rsidR="0084445A" w:rsidRPr="00741D80" w:rsidRDefault="0084445A" w:rsidP="00AB28AF">
            <w:pPr>
              <w:pStyle w:val="a"/>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29.09.2025</w:t>
            </w:r>
          </w:p>
        </w:tc>
        <w:tc>
          <w:tcPr>
            <w:tcW w:w="595" w:type="pct"/>
            <w:tcBorders>
              <w:top w:val="nil"/>
              <w:left w:val="nil"/>
              <w:bottom w:val="nil"/>
              <w:right w:val="nil"/>
            </w:tcBorders>
            <w:shd w:val="clear" w:color="auto" w:fill="auto"/>
            <w:noWrap/>
            <w:vAlign w:val="bottom"/>
            <w:hideMark/>
          </w:tcPr>
          <w:p w14:paraId="103B8A05" w14:textId="77777777" w:rsidR="0084445A" w:rsidRPr="00741D80" w:rsidRDefault="0084445A" w:rsidP="00AB28AF">
            <w:pPr>
              <w:pStyle w:val="a0"/>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5.75%</w:t>
            </w:r>
          </w:p>
        </w:tc>
        <w:tc>
          <w:tcPr>
            <w:tcW w:w="524" w:type="pct"/>
            <w:tcBorders>
              <w:top w:val="nil"/>
              <w:left w:val="nil"/>
              <w:bottom w:val="nil"/>
              <w:right w:val="nil"/>
            </w:tcBorders>
            <w:shd w:val="clear" w:color="auto" w:fill="auto"/>
            <w:noWrap/>
            <w:vAlign w:val="bottom"/>
            <w:hideMark/>
          </w:tcPr>
          <w:p w14:paraId="572AA926" w14:textId="77777777" w:rsidR="0084445A" w:rsidRPr="00741D80" w:rsidRDefault="0084445A" w:rsidP="00AB28AF">
            <w:pPr>
              <w:pStyle w:val="a0"/>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500 EUR</w:t>
            </w:r>
          </w:p>
        </w:tc>
        <w:tc>
          <w:tcPr>
            <w:tcW w:w="821" w:type="pct"/>
            <w:tcBorders>
              <w:top w:val="nil"/>
              <w:left w:val="nil"/>
              <w:bottom w:val="nil"/>
              <w:right w:val="nil"/>
            </w:tcBorders>
            <w:shd w:val="clear" w:color="auto" w:fill="auto"/>
            <w:noWrap/>
            <w:vAlign w:val="bottom"/>
            <w:hideMark/>
          </w:tcPr>
          <w:p w14:paraId="1AA7EDA6" w14:textId="77777777" w:rsidR="0084445A" w:rsidRPr="00741D80" w:rsidRDefault="0084445A" w:rsidP="00AB28AF">
            <w:pPr>
              <w:pStyle w:val="a0"/>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692 EUR</w:t>
            </w:r>
          </w:p>
        </w:tc>
        <w:tc>
          <w:tcPr>
            <w:tcW w:w="669" w:type="pct"/>
            <w:tcBorders>
              <w:left w:val="nil"/>
              <w:right w:val="nil"/>
            </w:tcBorders>
            <w:shd w:val="clear" w:color="auto" w:fill="auto"/>
            <w:hideMark/>
          </w:tcPr>
          <w:p w14:paraId="3754C0CA" w14:textId="77777777" w:rsidR="0084445A" w:rsidRPr="00741D80" w:rsidRDefault="0084445A" w:rsidP="00AB28AF">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1,353</w:t>
            </w:r>
          </w:p>
        </w:tc>
      </w:tr>
      <w:tr w:rsidR="00AE7CF9" w:rsidRPr="00741D80" w14:paraId="147D4085" w14:textId="77777777" w:rsidTr="00AE7CF9">
        <w:trPr>
          <w:trHeight w:val="170"/>
          <w:jc w:val="center"/>
        </w:trPr>
        <w:tc>
          <w:tcPr>
            <w:tcW w:w="674" w:type="pct"/>
            <w:tcBorders>
              <w:top w:val="nil"/>
              <w:left w:val="nil"/>
              <w:bottom w:val="nil"/>
              <w:right w:val="nil"/>
            </w:tcBorders>
            <w:shd w:val="clear" w:color="auto" w:fill="auto"/>
            <w:noWrap/>
            <w:vAlign w:val="bottom"/>
            <w:hideMark/>
          </w:tcPr>
          <w:p w14:paraId="1F884EB7" w14:textId="77777777" w:rsidR="0084445A" w:rsidRPr="00741D80" w:rsidRDefault="0084445A" w:rsidP="00AB28AF">
            <w:pPr>
              <w:pStyle w:val="a"/>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BG2040012218</w:t>
            </w:r>
          </w:p>
        </w:tc>
        <w:tc>
          <w:tcPr>
            <w:tcW w:w="448" w:type="pct"/>
            <w:tcBorders>
              <w:top w:val="nil"/>
              <w:left w:val="nil"/>
              <w:bottom w:val="nil"/>
              <w:right w:val="nil"/>
            </w:tcBorders>
            <w:shd w:val="clear" w:color="auto" w:fill="auto"/>
            <w:noWrap/>
            <w:vAlign w:val="bottom"/>
            <w:hideMark/>
          </w:tcPr>
          <w:p w14:paraId="4B4081A5" w14:textId="77777777" w:rsidR="0084445A" w:rsidRPr="00741D80" w:rsidRDefault="0084445A" w:rsidP="00AB28AF">
            <w:pPr>
              <w:pStyle w:val="a"/>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Лева</w:t>
            </w:r>
          </w:p>
        </w:tc>
        <w:tc>
          <w:tcPr>
            <w:tcW w:w="673" w:type="pct"/>
            <w:tcBorders>
              <w:top w:val="nil"/>
              <w:left w:val="nil"/>
              <w:bottom w:val="nil"/>
              <w:right w:val="nil"/>
            </w:tcBorders>
            <w:shd w:val="clear" w:color="auto" w:fill="auto"/>
            <w:noWrap/>
            <w:vAlign w:val="bottom"/>
            <w:hideMark/>
          </w:tcPr>
          <w:p w14:paraId="04BA7581" w14:textId="77777777" w:rsidR="0084445A" w:rsidRPr="00741D80" w:rsidRDefault="0084445A" w:rsidP="00AB28AF">
            <w:pPr>
              <w:pStyle w:val="a"/>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11.01.2012</w:t>
            </w:r>
          </w:p>
        </w:tc>
        <w:tc>
          <w:tcPr>
            <w:tcW w:w="595" w:type="pct"/>
            <w:tcBorders>
              <w:top w:val="nil"/>
              <w:left w:val="nil"/>
              <w:bottom w:val="nil"/>
              <w:right w:val="nil"/>
            </w:tcBorders>
            <w:shd w:val="clear" w:color="auto" w:fill="auto"/>
            <w:noWrap/>
            <w:vAlign w:val="bottom"/>
            <w:hideMark/>
          </w:tcPr>
          <w:p w14:paraId="003A922F" w14:textId="77777777" w:rsidR="0084445A" w:rsidRPr="00741D80" w:rsidRDefault="0084445A" w:rsidP="00AB28AF">
            <w:pPr>
              <w:pStyle w:val="a"/>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11.07.2022</w:t>
            </w:r>
          </w:p>
        </w:tc>
        <w:tc>
          <w:tcPr>
            <w:tcW w:w="595" w:type="pct"/>
            <w:tcBorders>
              <w:top w:val="nil"/>
              <w:left w:val="nil"/>
              <w:bottom w:val="nil"/>
              <w:right w:val="nil"/>
            </w:tcBorders>
            <w:shd w:val="clear" w:color="auto" w:fill="auto"/>
            <w:noWrap/>
            <w:vAlign w:val="bottom"/>
            <w:hideMark/>
          </w:tcPr>
          <w:p w14:paraId="6206D104" w14:textId="77777777" w:rsidR="0084445A" w:rsidRPr="00741D80" w:rsidRDefault="0084445A" w:rsidP="00AB28AF">
            <w:pPr>
              <w:pStyle w:val="a0"/>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5.00%</w:t>
            </w:r>
          </w:p>
        </w:tc>
        <w:tc>
          <w:tcPr>
            <w:tcW w:w="524" w:type="pct"/>
            <w:tcBorders>
              <w:top w:val="nil"/>
              <w:left w:val="nil"/>
              <w:bottom w:val="nil"/>
              <w:right w:val="nil"/>
            </w:tcBorders>
            <w:shd w:val="clear" w:color="auto" w:fill="auto"/>
            <w:noWrap/>
            <w:vAlign w:val="bottom"/>
            <w:hideMark/>
          </w:tcPr>
          <w:p w14:paraId="3A8D6C48" w14:textId="77777777" w:rsidR="0084445A" w:rsidRPr="00741D80" w:rsidRDefault="0084445A" w:rsidP="00AB28AF">
            <w:pPr>
              <w:pStyle w:val="a0"/>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550 BGN</w:t>
            </w:r>
          </w:p>
        </w:tc>
        <w:tc>
          <w:tcPr>
            <w:tcW w:w="821" w:type="pct"/>
            <w:tcBorders>
              <w:top w:val="nil"/>
              <w:left w:val="nil"/>
              <w:bottom w:val="nil"/>
              <w:right w:val="nil"/>
            </w:tcBorders>
            <w:shd w:val="clear" w:color="auto" w:fill="auto"/>
            <w:noWrap/>
            <w:vAlign w:val="bottom"/>
            <w:hideMark/>
          </w:tcPr>
          <w:p w14:paraId="5E7FE89C" w14:textId="77777777" w:rsidR="0084445A" w:rsidRPr="00741D80" w:rsidRDefault="0084445A" w:rsidP="00AB28AF">
            <w:pPr>
              <w:pStyle w:val="a0"/>
              <w:widowControl w:val="0"/>
              <w:jc w:val="center"/>
              <w:rPr>
                <w:rFonts w:asciiTheme="minorHAnsi" w:hAnsiTheme="minorHAnsi" w:cstheme="minorHAnsi"/>
                <w:color w:val="auto"/>
                <w:szCs w:val="20"/>
                <w:lang w:val="bg-BG"/>
              </w:rPr>
            </w:pPr>
            <w:r w:rsidRPr="00741D80">
              <w:rPr>
                <w:rFonts w:asciiTheme="minorHAnsi" w:hAnsiTheme="minorHAnsi" w:cstheme="minorHAnsi"/>
                <w:color w:val="auto"/>
                <w:szCs w:val="20"/>
                <w:lang w:val="bg-BG"/>
              </w:rPr>
              <w:t>682 BGN</w:t>
            </w:r>
          </w:p>
        </w:tc>
        <w:tc>
          <w:tcPr>
            <w:tcW w:w="669" w:type="pct"/>
            <w:tcBorders>
              <w:left w:val="nil"/>
              <w:bottom w:val="single" w:sz="4" w:space="0" w:color="auto"/>
              <w:right w:val="nil"/>
            </w:tcBorders>
            <w:shd w:val="clear" w:color="auto" w:fill="auto"/>
            <w:hideMark/>
          </w:tcPr>
          <w:p w14:paraId="6C0B9C6F" w14:textId="77777777" w:rsidR="0084445A" w:rsidRPr="00741D80" w:rsidRDefault="0084445A" w:rsidP="00AB28AF">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682</w:t>
            </w:r>
          </w:p>
        </w:tc>
      </w:tr>
      <w:tr w:rsidR="00AE7CF9" w:rsidRPr="00741D80" w14:paraId="386F5790" w14:textId="77777777" w:rsidTr="00AE7CF9">
        <w:trPr>
          <w:trHeight w:val="170"/>
          <w:jc w:val="center"/>
        </w:trPr>
        <w:tc>
          <w:tcPr>
            <w:tcW w:w="674" w:type="pct"/>
            <w:tcBorders>
              <w:top w:val="nil"/>
              <w:left w:val="nil"/>
              <w:bottom w:val="nil"/>
              <w:right w:val="nil"/>
            </w:tcBorders>
            <w:shd w:val="clear" w:color="auto" w:fill="auto"/>
            <w:noWrap/>
            <w:vAlign w:val="bottom"/>
            <w:hideMark/>
          </w:tcPr>
          <w:p w14:paraId="2420DAE7" w14:textId="77777777" w:rsidR="0084445A" w:rsidRPr="00741D80" w:rsidRDefault="0084445A" w:rsidP="00AB28AF">
            <w:pPr>
              <w:pStyle w:val="a"/>
              <w:rPr>
                <w:rFonts w:asciiTheme="minorHAnsi" w:hAnsiTheme="minorHAnsi" w:cstheme="minorHAnsi"/>
                <w:b/>
                <w:color w:val="auto"/>
                <w:szCs w:val="20"/>
                <w:lang w:val="bg-BG"/>
              </w:rPr>
            </w:pPr>
          </w:p>
        </w:tc>
        <w:tc>
          <w:tcPr>
            <w:tcW w:w="448" w:type="pct"/>
            <w:tcBorders>
              <w:top w:val="nil"/>
              <w:left w:val="nil"/>
              <w:bottom w:val="nil"/>
              <w:right w:val="nil"/>
            </w:tcBorders>
            <w:shd w:val="clear" w:color="auto" w:fill="auto"/>
            <w:noWrap/>
            <w:vAlign w:val="bottom"/>
            <w:hideMark/>
          </w:tcPr>
          <w:p w14:paraId="1B7A8652" w14:textId="77777777" w:rsidR="0084445A" w:rsidRPr="00741D80" w:rsidRDefault="0084445A" w:rsidP="00AB28AF">
            <w:pPr>
              <w:pStyle w:val="a"/>
              <w:rPr>
                <w:rFonts w:asciiTheme="minorHAnsi" w:hAnsiTheme="minorHAnsi" w:cstheme="minorHAnsi"/>
                <w:b/>
                <w:color w:val="auto"/>
                <w:szCs w:val="20"/>
                <w:lang w:val="bg-BG"/>
              </w:rPr>
            </w:pPr>
          </w:p>
        </w:tc>
        <w:tc>
          <w:tcPr>
            <w:tcW w:w="673" w:type="pct"/>
            <w:tcBorders>
              <w:top w:val="nil"/>
              <w:left w:val="nil"/>
              <w:bottom w:val="nil"/>
              <w:right w:val="nil"/>
            </w:tcBorders>
            <w:shd w:val="clear" w:color="auto" w:fill="auto"/>
            <w:noWrap/>
            <w:vAlign w:val="bottom"/>
            <w:hideMark/>
          </w:tcPr>
          <w:p w14:paraId="467FA652" w14:textId="77777777" w:rsidR="0084445A" w:rsidRPr="00741D80" w:rsidRDefault="0084445A" w:rsidP="00AB28AF">
            <w:pPr>
              <w:pStyle w:val="a"/>
              <w:rPr>
                <w:rFonts w:asciiTheme="minorHAnsi" w:hAnsiTheme="minorHAnsi" w:cstheme="minorHAnsi"/>
                <w:b/>
                <w:color w:val="auto"/>
                <w:szCs w:val="20"/>
                <w:lang w:val="bg-BG"/>
              </w:rPr>
            </w:pPr>
          </w:p>
        </w:tc>
        <w:tc>
          <w:tcPr>
            <w:tcW w:w="595" w:type="pct"/>
            <w:tcBorders>
              <w:top w:val="nil"/>
              <w:left w:val="nil"/>
              <w:bottom w:val="nil"/>
              <w:right w:val="nil"/>
            </w:tcBorders>
            <w:shd w:val="clear" w:color="auto" w:fill="auto"/>
            <w:noWrap/>
            <w:vAlign w:val="bottom"/>
            <w:hideMark/>
          </w:tcPr>
          <w:p w14:paraId="2A1C69EA" w14:textId="77777777" w:rsidR="0084445A" w:rsidRPr="00741D80" w:rsidRDefault="0084445A" w:rsidP="00AB28AF">
            <w:pPr>
              <w:pStyle w:val="a"/>
              <w:rPr>
                <w:rFonts w:asciiTheme="minorHAnsi" w:hAnsiTheme="minorHAnsi" w:cstheme="minorHAnsi"/>
                <w:b/>
                <w:color w:val="auto"/>
                <w:szCs w:val="20"/>
                <w:lang w:val="bg-BG"/>
              </w:rPr>
            </w:pPr>
          </w:p>
        </w:tc>
        <w:tc>
          <w:tcPr>
            <w:tcW w:w="595" w:type="pct"/>
            <w:tcBorders>
              <w:top w:val="nil"/>
              <w:left w:val="nil"/>
              <w:bottom w:val="nil"/>
              <w:right w:val="nil"/>
            </w:tcBorders>
            <w:shd w:val="clear" w:color="auto" w:fill="auto"/>
            <w:noWrap/>
            <w:vAlign w:val="bottom"/>
            <w:hideMark/>
          </w:tcPr>
          <w:p w14:paraId="1F17EC7C" w14:textId="77777777" w:rsidR="0084445A" w:rsidRPr="00741D80" w:rsidRDefault="0084445A" w:rsidP="00AB28AF">
            <w:pPr>
              <w:pStyle w:val="a0"/>
              <w:rPr>
                <w:rFonts w:asciiTheme="minorHAnsi" w:hAnsiTheme="minorHAnsi" w:cstheme="minorHAnsi"/>
                <w:b/>
                <w:color w:val="auto"/>
                <w:szCs w:val="20"/>
                <w:lang w:val="bg-BG"/>
              </w:rPr>
            </w:pPr>
          </w:p>
        </w:tc>
        <w:tc>
          <w:tcPr>
            <w:tcW w:w="524" w:type="pct"/>
            <w:tcBorders>
              <w:top w:val="nil"/>
              <w:left w:val="nil"/>
              <w:bottom w:val="nil"/>
              <w:right w:val="nil"/>
            </w:tcBorders>
            <w:shd w:val="clear" w:color="auto" w:fill="auto"/>
            <w:noWrap/>
            <w:vAlign w:val="bottom"/>
            <w:hideMark/>
          </w:tcPr>
          <w:p w14:paraId="73D8068B" w14:textId="77777777" w:rsidR="0084445A" w:rsidRPr="00741D80" w:rsidRDefault="0084445A" w:rsidP="00AB28AF">
            <w:pPr>
              <w:pStyle w:val="a0"/>
              <w:rPr>
                <w:rFonts w:asciiTheme="minorHAnsi" w:hAnsiTheme="minorHAnsi" w:cstheme="minorHAnsi"/>
                <w:b/>
                <w:color w:val="auto"/>
                <w:szCs w:val="20"/>
                <w:lang w:val="bg-BG"/>
              </w:rPr>
            </w:pPr>
          </w:p>
        </w:tc>
        <w:tc>
          <w:tcPr>
            <w:tcW w:w="821" w:type="pct"/>
            <w:tcBorders>
              <w:top w:val="nil"/>
              <w:left w:val="nil"/>
              <w:bottom w:val="nil"/>
              <w:right w:val="nil"/>
            </w:tcBorders>
            <w:shd w:val="clear" w:color="auto" w:fill="auto"/>
            <w:noWrap/>
            <w:vAlign w:val="bottom"/>
            <w:hideMark/>
          </w:tcPr>
          <w:p w14:paraId="417FF6DC" w14:textId="77777777" w:rsidR="0084445A" w:rsidRPr="00741D80" w:rsidRDefault="0084445A" w:rsidP="00AB28AF">
            <w:pPr>
              <w:pStyle w:val="a0"/>
              <w:rPr>
                <w:rFonts w:asciiTheme="minorHAnsi" w:hAnsiTheme="minorHAnsi" w:cstheme="minorHAnsi"/>
                <w:b/>
                <w:color w:val="auto"/>
                <w:szCs w:val="20"/>
                <w:lang w:val="bg-BG"/>
              </w:rPr>
            </w:pPr>
          </w:p>
        </w:tc>
        <w:tc>
          <w:tcPr>
            <w:tcW w:w="669" w:type="pct"/>
            <w:tcBorders>
              <w:top w:val="single" w:sz="4" w:space="0" w:color="auto"/>
              <w:left w:val="nil"/>
              <w:bottom w:val="single" w:sz="4" w:space="0" w:color="auto"/>
              <w:right w:val="nil"/>
            </w:tcBorders>
            <w:shd w:val="clear" w:color="auto" w:fill="auto"/>
            <w:hideMark/>
          </w:tcPr>
          <w:p w14:paraId="652E3335" w14:textId="77777777" w:rsidR="0084445A" w:rsidRPr="00741D80" w:rsidRDefault="0084445A" w:rsidP="00AB28AF">
            <w:pPr>
              <w:pStyle w:val="a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2,035</w:t>
            </w:r>
          </w:p>
        </w:tc>
      </w:tr>
    </w:tbl>
    <w:p w14:paraId="227F0AF4" w14:textId="55EBBF52" w:rsidR="0084445A" w:rsidRPr="00741D80" w:rsidRDefault="0084445A" w:rsidP="00365108">
      <w:pPr>
        <w:spacing w:before="240"/>
        <w:jc w:val="both"/>
        <w:rPr>
          <w:rFonts w:cstheme="minorHAnsi"/>
        </w:rPr>
      </w:pPr>
      <w:r w:rsidRPr="00741D80">
        <w:rPr>
          <w:rFonts w:cstheme="minorHAnsi"/>
        </w:rPr>
        <w:t xml:space="preserve">Годишният ефективен лихвен процент по облигациите в евро е 3.86 %, а по облигациите в лева 3.32 %. Падежът на купонните плащания на облигациите в евро е два пъти в годината на 29.03 и 29.09 до датата на падежа, а на облигациите в лева - два пъти в годината на 11.01 и 11.07 до датата на падежа. </w:t>
      </w:r>
    </w:p>
    <w:p w14:paraId="230774DF" w14:textId="2ABF43A8" w:rsidR="0084445A" w:rsidRPr="00CC5D05" w:rsidRDefault="0084445A" w:rsidP="005B5648">
      <w:pPr>
        <w:pStyle w:val="SubNumbers"/>
        <w:outlineLvl w:val="9"/>
      </w:pPr>
      <w:r w:rsidRPr="00CC5D05">
        <w:t>Капиталови инструменти, оценявани по справедлива стойност през друг всеобхватен доход (ДВД)</w:t>
      </w:r>
    </w:p>
    <w:p w14:paraId="701B664D" w14:textId="77777777" w:rsidR="0084445A" w:rsidRPr="00741D80" w:rsidRDefault="0084445A" w:rsidP="00365108">
      <w:pPr>
        <w:jc w:val="both"/>
        <w:rPr>
          <w:rFonts w:cstheme="minorHAnsi"/>
          <w:lang w:val="en-US"/>
        </w:rPr>
      </w:pPr>
      <w:r w:rsidRPr="00741D80">
        <w:rPr>
          <w:rFonts w:cstheme="minorHAnsi"/>
        </w:rPr>
        <w:t>Към 31 декември дружеството притежава инвестиции в акции и дялове в капитала на други дружества и предприятия (малцинствено участие), както следва</w:t>
      </w:r>
      <w:r w:rsidRPr="00741D80">
        <w:rPr>
          <w:rFonts w:cstheme="minorHAnsi"/>
          <w:lang w:val="en-US"/>
        </w:rPr>
        <w:t>:</w:t>
      </w:r>
    </w:p>
    <w:tbl>
      <w:tblPr>
        <w:tblW w:w="5000" w:type="pct"/>
        <w:jc w:val="center"/>
        <w:tblLook w:val="04A0" w:firstRow="1" w:lastRow="0" w:firstColumn="1" w:lastColumn="0" w:noHBand="0" w:noVBand="1"/>
      </w:tblPr>
      <w:tblGrid>
        <w:gridCol w:w="4751"/>
        <w:gridCol w:w="1375"/>
        <w:gridCol w:w="1070"/>
        <w:gridCol w:w="1372"/>
        <w:gridCol w:w="1070"/>
      </w:tblGrid>
      <w:tr w:rsidR="0084445A" w:rsidRPr="00741D80" w14:paraId="18BEB411" w14:textId="77777777" w:rsidTr="00AE7CF9">
        <w:trPr>
          <w:trHeight w:val="170"/>
          <w:jc w:val="center"/>
        </w:trPr>
        <w:tc>
          <w:tcPr>
            <w:tcW w:w="2464" w:type="pct"/>
            <w:tcBorders>
              <w:top w:val="nil"/>
              <w:left w:val="nil"/>
              <w:bottom w:val="nil"/>
              <w:right w:val="nil"/>
            </w:tcBorders>
            <w:shd w:val="clear" w:color="auto" w:fill="auto"/>
            <w:hideMark/>
          </w:tcPr>
          <w:p w14:paraId="66308943"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Дружество</w:t>
            </w:r>
          </w:p>
        </w:tc>
        <w:tc>
          <w:tcPr>
            <w:tcW w:w="713" w:type="pct"/>
            <w:tcBorders>
              <w:top w:val="nil"/>
              <w:left w:val="nil"/>
              <w:bottom w:val="nil"/>
              <w:right w:val="nil"/>
            </w:tcBorders>
            <w:shd w:val="clear" w:color="auto" w:fill="auto"/>
            <w:hideMark/>
          </w:tcPr>
          <w:p w14:paraId="6F0EC1C1" w14:textId="77777777" w:rsidR="0084445A" w:rsidRPr="00741D80" w:rsidRDefault="0084445A" w:rsidP="00AB28AF">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555" w:type="pct"/>
            <w:tcBorders>
              <w:top w:val="nil"/>
              <w:left w:val="nil"/>
              <w:bottom w:val="nil"/>
              <w:right w:val="nil"/>
            </w:tcBorders>
            <w:shd w:val="clear" w:color="auto" w:fill="auto"/>
            <w:hideMark/>
          </w:tcPr>
          <w:p w14:paraId="242BF0F7"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c>
          <w:tcPr>
            <w:tcW w:w="712" w:type="pct"/>
            <w:tcBorders>
              <w:top w:val="nil"/>
              <w:left w:val="nil"/>
              <w:bottom w:val="nil"/>
              <w:right w:val="nil"/>
            </w:tcBorders>
            <w:shd w:val="clear" w:color="auto" w:fill="auto"/>
            <w:hideMark/>
          </w:tcPr>
          <w:p w14:paraId="44C80447" w14:textId="77777777" w:rsidR="0084445A" w:rsidRPr="00741D80" w:rsidRDefault="0084445A" w:rsidP="00AB28AF">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c>
          <w:tcPr>
            <w:tcW w:w="555" w:type="pct"/>
            <w:tcBorders>
              <w:top w:val="nil"/>
              <w:left w:val="nil"/>
              <w:bottom w:val="nil"/>
              <w:right w:val="nil"/>
            </w:tcBorders>
            <w:shd w:val="clear" w:color="auto" w:fill="auto"/>
            <w:hideMark/>
          </w:tcPr>
          <w:p w14:paraId="4858FBBF"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r>
      <w:tr w:rsidR="0084445A" w:rsidRPr="00741D80" w14:paraId="14112E51" w14:textId="77777777" w:rsidTr="00AE7CF9">
        <w:trPr>
          <w:trHeight w:val="170"/>
          <w:jc w:val="center"/>
        </w:trPr>
        <w:tc>
          <w:tcPr>
            <w:tcW w:w="2464" w:type="pct"/>
            <w:tcBorders>
              <w:top w:val="nil"/>
              <w:left w:val="nil"/>
              <w:bottom w:val="nil"/>
              <w:right w:val="nil"/>
            </w:tcBorders>
            <w:shd w:val="clear" w:color="auto" w:fill="auto"/>
            <w:hideMark/>
          </w:tcPr>
          <w:p w14:paraId="670EB64E" w14:textId="77777777" w:rsidR="0084445A" w:rsidRPr="00741D80" w:rsidRDefault="0084445A" w:rsidP="00AB28AF">
            <w:pPr>
              <w:pStyle w:val="a1"/>
              <w:rPr>
                <w:rFonts w:asciiTheme="minorHAnsi" w:hAnsiTheme="minorHAnsi" w:cstheme="minorHAnsi"/>
                <w:color w:val="auto"/>
                <w:szCs w:val="20"/>
                <w:lang w:val="bg-BG"/>
              </w:rPr>
            </w:pPr>
          </w:p>
        </w:tc>
        <w:tc>
          <w:tcPr>
            <w:tcW w:w="713" w:type="pct"/>
            <w:tcBorders>
              <w:top w:val="nil"/>
              <w:left w:val="nil"/>
              <w:bottom w:val="nil"/>
              <w:right w:val="nil"/>
            </w:tcBorders>
            <w:shd w:val="clear" w:color="auto" w:fill="auto"/>
            <w:hideMark/>
          </w:tcPr>
          <w:p w14:paraId="3A74CF23" w14:textId="77777777" w:rsidR="0084445A" w:rsidRPr="00741D80" w:rsidRDefault="0084445A" w:rsidP="00AB28AF">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 '000</w:t>
            </w:r>
          </w:p>
        </w:tc>
        <w:tc>
          <w:tcPr>
            <w:tcW w:w="555" w:type="pct"/>
            <w:tcBorders>
              <w:top w:val="nil"/>
              <w:left w:val="nil"/>
              <w:bottom w:val="nil"/>
              <w:right w:val="nil"/>
            </w:tcBorders>
            <w:shd w:val="clear" w:color="auto" w:fill="auto"/>
            <w:hideMark/>
          </w:tcPr>
          <w:p w14:paraId="2E3B54C5"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Участие</w:t>
            </w:r>
          </w:p>
        </w:tc>
        <w:tc>
          <w:tcPr>
            <w:tcW w:w="712" w:type="pct"/>
            <w:tcBorders>
              <w:top w:val="nil"/>
              <w:left w:val="nil"/>
              <w:bottom w:val="nil"/>
              <w:right w:val="nil"/>
            </w:tcBorders>
            <w:shd w:val="clear" w:color="auto" w:fill="auto"/>
            <w:hideMark/>
          </w:tcPr>
          <w:p w14:paraId="352FE85A" w14:textId="77777777" w:rsidR="0084445A" w:rsidRPr="00741D80" w:rsidRDefault="0084445A" w:rsidP="00AB28AF">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 '000</w:t>
            </w:r>
          </w:p>
        </w:tc>
        <w:tc>
          <w:tcPr>
            <w:tcW w:w="555" w:type="pct"/>
            <w:tcBorders>
              <w:top w:val="nil"/>
              <w:left w:val="nil"/>
              <w:bottom w:val="nil"/>
              <w:right w:val="nil"/>
            </w:tcBorders>
            <w:shd w:val="clear" w:color="auto" w:fill="auto"/>
            <w:hideMark/>
          </w:tcPr>
          <w:p w14:paraId="09F195EC" w14:textId="77777777" w:rsidR="0084445A" w:rsidRPr="00741D80" w:rsidRDefault="0084445A" w:rsidP="00AB28AF">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Участие</w:t>
            </w:r>
          </w:p>
        </w:tc>
      </w:tr>
      <w:tr w:rsidR="0084445A" w:rsidRPr="00741D80" w14:paraId="3B7017B1" w14:textId="77777777" w:rsidTr="00AE7CF9">
        <w:trPr>
          <w:trHeight w:val="170"/>
          <w:jc w:val="center"/>
        </w:trPr>
        <w:tc>
          <w:tcPr>
            <w:tcW w:w="2464" w:type="pct"/>
            <w:tcBorders>
              <w:top w:val="nil"/>
              <w:left w:val="nil"/>
              <w:bottom w:val="nil"/>
              <w:right w:val="nil"/>
            </w:tcBorders>
            <w:shd w:val="clear" w:color="auto" w:fill="auto"/>
            <w:hideMark/>
          </w:tcPr>
          <w:p w14:paraId="722A9A03" w14:textId="77777777" w:rsidR="0084445A" w:rsidRPr="00741D80" w:rsidRDefault="0084445A" w:rsidP="00AB28AF">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Централен депозитар АД</w:t>
            </w:r>
          </w:p>
        </w:tc>
        <w:tc>
          <w:tcPr>
            <w:tcW w:w="713" w:type="pct"/>
            <w:tcBorders>
              <w:top w:val="nil"/>
              <w:left w:val="nil"/>
              <w:bottom w:val="nil"/>
              <w:right w:val="nil"/>
            </w:tcBorders>
            <w:shd w:val="clear" w:color="auto" w:fill="auto"/>
            <w:hideMark/>
          </w:tcPr>
          <w:p w14:paraId="676354F5" w14:textId="77777777" w:rsidR="0084445A" w:rsidRPr="00741D80" w:rsidRDefault="0084445A" w:rsidP="00AB28AF">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323</w:t>
            </w:r>
          </w:p>
        </w:tc>
        <w:tc>
          <w:tcPr>
            <w:tcW w:w="555" w:type="pct"/>
            <w:tcBorders>
              <w:top w:val="nil"/>
              <w:left w:val="nil"/>
              <w:bottom w:val="nil"/>
              <w:right w:val="nil"/>
            </w:tcBorders>
            <w:shd w:val="clear" w:color="auto" w:fill="auto"/>
            <w:hideMark/>
          </w:tcPr>
          <w:p w14:paraId="68BF1C2F"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6.61</w:t>
            </w:r>
          </w:p>
        </w:tc>
        <w:tc>
          <w:tcPr>
            <w:tcW w:w="712" w:type="pct"/>
            <w:tcBorders>
              <w:top w:val="nil"/>
              <w:left w:val="nil"/>
              <w:bottom w:val="nil"/>
              <w:right w:val="nil"/>
            </w:tcBorders>
            <w:shd w:val="clear" w:color="auto" w:fill="auto"/>
            <w:hideMark/>
          </w:tcPr>
          <w:p w14:paraId="06A92778"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323</w:t>
            </w:r>
          </w:p>
        </w:tc>
        <w:tc>
          <w:tcPr>
            <w:tcW w:w="555" w:type="pct"/>
            <w:tcBorders>
              <w:top w:val="nil"/>
              <w:left w:val="nil"/>
              <w:bottom w:val="nil"/>
              <w:right w:val="nil"/>
            </w:tcBorders>
            <w:shd w:val="clear" w:color="auto" w:fill="auto"/>
            <w:hideMark/>
          </w:tcPr>
          <w:p w14:paraId="225BEBC1"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6.61</w:t>
            </w:r>
          </w:p>
        </w:tc>
      </w:tr>
      <w:tr w:rsidR="0084445A" w:rsidRPr="00741D80" w14:paraId="213808BD" w14:textId="77777777" w:rsidTr="00AE7CF9">
        <w:trPr>
          <w:trHeight w:val="170"/>
          <w:jc w:val="center"/>
        </w:trPr>
        <w:tc>
          <w:tcPr>
            <w:tcW w:w="2464" w:type="pct"/>
            <w:tcBorders>
              <w:top w:val="nil"/>
              <w:left w:val="nil"/>
              <w:bottom w:val="nil"/>
              <w:right w:val="nil"/>
            </w:tcBorders>
            <w:shd w:val="clear" w:color="auto" w:fill="auto"/>
            <w:hideMark/>
          </w:tcPr>
          <w:p w14:paraId="5649AD34" w14:textId="77777777" w:rsidR="0084445A" w:rsidRPr="00741D80" w:rsidRDefault="0084445A" w:rsidP="00AB28AF">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Сдружение Български инвестиционен форум</w:t>
            </w:r>
          </w:p>
        </w:tc>
        <w:tc>
          <w:tcPr>
            <w:tcW w:w="713" w:type="pct"/>
            <w:tcBorders>
              <w:top w:val="nil"/>
              <w:left w:val="nil"/>
              <w:bottom w:val="nil"/>
              <w:right w:val="nil"/>
            </w:tcBorders>
            <w:shd w:val="clear" w:color="auto" w:fill="auto"/>
            <w:hideMark/>
          </w:tcPr>
          <w:p w14:paraId="63867DCD" w14:textId="77777777" w:rsidR="0084445A" w:rsidRPr="00741D80" w:rsidRDefault="0084445A" w:rsidP="00AB28AF">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5</w:t>
            </w:r>
          </w:p>
        </w:tc>
        <w:tc>
          <w:tcPr>
            <w:tcW w:w="555" w:type="pct"/>
            <w:tcBorders>
              <w:top w:val="nil"/>
              <w:left w:val="nil"/>
              <w:bottom w:val="nil"/>
              <w:right w:val="nil"/>
            </w:tcBorders>
            <w:shd w:val="clear" w:color="auto" w:fill="auto"/>
            <w:hideMark/>
          </w:tcPr>
          <w:p w14:paraId="3995207A" w14:textId="77777777" w:rsidR="0084445A" w:rsidRPr="00741D80" w:rsidRDefault="0084445A" w:rsidP="00AB28AF">
            <w:pPr>
              <w:pStyle w:val="a0"/>
              <w:rPr>
                <w:rFonts w:asciiTheme="minorHAnsi" w:hAnsiTheme="minorHAnsi" w:cstheme="minorHAnsi"/>
                <w:color w:val="auto"/>
                <w:szCs w:val="20"/>
                <w:lang w:val="bg-BG"/>
              </w:rPr>
            </w:pPr>
          </w:p>
        </w:tc>
        <w:tc>
          <w:tcPr>
            <w:tcW w:w="712" w:type="pct"/>
            <w:tcBorders>
              <w:top w:val="nil"/>
              <w:left w:val="nil"/>
              <w:bottom w:val="nil"/>
              <w:right w:val="nil"/>
            </w:tcBorders>
            <w:shd w:val="clear" w:color="auto" w:fill="auto"/>
            <w:hideMark/>
          </w:tcPr>
          <w:p w14:paraId="290BBD97" w14:textId="77777777" w:rsidR="0084445A" w:rsidRPr="00741D80" w:rsidRDefault="0084445A" w:rsidP="00AB28AF">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5</w:t>
            </w:r>
          </w:p>
        </w:tc>
        <w:tc>
          <w:tcPr>
            <w:tcW w:w="555" w:type="pct"/>
            <w:tcBorders>
              <w:top w:val="nil"/>
              <w:left w:val="nil"/>
              <w:bottom w:val="nil"/>
              <w:right w:val="nil"/>
            </w:tcBorders>
            <w:shd w:val="clear" w:color="auto" w:fill="auto"/>
            <w:hideMark/>
          </w:tcPr>
          <w:p w14:paraId="42751875" w14:textId="77777777" w:rsidR="0084445A" w:rsidRPr="00741D80" w:rsidRDefault="0084445A" w:rsidP="00AB28AF">
            <w:pPr>
              <w:pStyle w:val="a0"/>
              <w:rPr>
                <w:rFonts w:asciiTheme="minorHAnsi" w:hAnsiTheme="minorHAnsi" w:cstheme="minorHAnsi"/>
                <w:color w:val="auto"/>
                <w:szCs w:val="20"/>
                <w:lang w:val="bg-BG"/>
              </w:rPr>
            </w:pPr>
          </w:p>
        </w:tc>
      </w:tr>
      <w:tr w:rsidR="0084445A" w:rsidRPr="00741D80" w14:paraId="483FC0FD" w14:textId="77777777" w:rsidTr="00AE7CF9">
        <w:trPr>
          <w:trHeight w:val="170"/>
          <w:jc w:val="center"/>
        </w:trPr>
        <w:tc>
          <w:tcPr>
            <w:tcW w:w="2464" w:type="pct"/>
            <w:tcBorders>
              <w:top w:val="nil"/>
              <w:left w:val="nil"/>
              <w:bottom w:val="nil"/>
              <w:right w:val="nil"/>
            </w:tcBorders>
            <w:shd w:val="clear" w:color="auto" w:fill="auto"/>
            <w:hideMark/>
          </w:tcPr>
          <w:p w14:paraId="7DB3F207" w14:textId="77777777" w:rsidR="0084445A" w:rsidRPr="00741D80" w:rsidRDefault="0084445A" w:rsidP="00AB28AF">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713" w:type="pct"/>
            <w:tcBorders>
              <w:top w:val="single" w:sz="4" w:space="0" w:color="auto"/>
              <w:left w:val="nil"/>
              <w:bottom w:val="double" w:sz="6" w:space="0" w:color="auto"/>
              <w:right w:val="nil"/>
            </w:tcBorders>
            <w:shd w:val="clear" w:color="auto" w:fill="auto"/>
            <w:hideMark/>
          </w:tcPr>
          <w:p w14:paraId="7B58FFA9" w14:textId="77777777" w:rsidR="0084445A" w:rsidRPr="00741D80" w:rsidRDefault="0084445A" w:rsidP="00AB28AF">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328</w:t>
            </w:r>
          </w:p>
        </w:tc>
        <w:tc>
          <w:tcPr>
            <w:tcW w:w="555" w:type="pct"/>
            <w:tcBorders>
              <w:top w:val="nil"/>
              <w:left w:val="nil"/>
              <w:bottom w:val="nil"/>
              <w:right w:val="nil"/>
            </w:tcBorders>
            <w:shd w:val="clear" w:color="auto" w:fill="auto"/>
            <w:hideMark/>
          </w:tcPr>
          <w:p w14:paraId="2054DFD2" w14:textId="77777777" w:rsidR="0084445A" w:rsidRPr="00741D80" w:rsidRDefault="0084445A" w:rsidP="00AB28AF">
            <w:pPr>
              <w:pStyle w:val="a0"/>
              <w:rPr>
                <w:rFonts w:asciiTheme="minorHAnsi" w:hAnsiTheme="minorHAnsi" w:cstheme="minorHAnsi"/>
                <w:b/>
                <w:color w:val="auto"/>
                <w:szCs w:val="20"/>
                <w:lang w:val="bg-BG"/>
              </w:rPr>
            </w:pPr>
          </w:p>
        </w:tc>
        <w:tc>
          <w:tcPr>
            <w:tcW w:w="712" w:type="pct"/>
            <w:tcBorders>
              <w:top w:val="single" w:sz="4" w:space="0" w:color="auto"/>
              <w:left w:val="nil"/>
              <w:bottom w:val="double" w:sz="6" w:space="0" w:color="auto"/>
              <w:right w:val="nil"/>
            </w:tcBorders>
            <w:shd w:val="clear" w:color="auto" w:fill="auto"/>
            <w:hideMark/>
          </w:tcPr>
          <w:p w14:paraId="731B44A4" w14:textId="77777777" w:rsidR="0084445A" w:rsidRPr="00741D80" w:rsidRDefault="0084445A" w:rsidP="00AB28AF">
            <w:pPr>
              <w:pStyle w:val="a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328</w:t>
            </w:r>
          </w:p>
        </w:tc>
        <w:tc>
          <w:tcPr>
            <w:tcW w:w="555" w:type="pct"/>
            <w:tcBorders>
              <w:top w:val="nil"/>
              <w:left w:val="nil"/>
              <w:bottom w:val="nil"/>
              <w:right w:val="nil"/>
            </w:tcBorders>
            <w:shd w:val="clear" w:color="auto" w:fill="auto"/>
            <w:hideMark/>
          </w:tcPr>
          <w:p w14:paraId="7825411C" w14:textId="77777777" w:rsidR="0084445A" w:rsidRPr="00741D80" w:rsidRDefault="0084445A" w:rsidP="00AB28AF">
            <w:pPr>
              <w:pStyle w:val="a0"/>
              <w:rPr>
                <w:rFonts w:asciiTheme="minorHAnsi" w:hAnsiTheme="minorHAnsi" w:cstheme="minorHAnsi"/>
                <w:b/>
                <w:color w:val="auto"/>
                <w:szCs w:val="20"/>
                <w:lang w:val="bg-BG"/>
              </w:rPr>
            </w:pPr>
          </w:p>
        </w:tc>
      </w:tr>
    </w:tbl>
    <w:p w14:paraId="0FDBB41E" w14:textId="77777777" w:rsidR="0084445A" w:rsidRPr="00741D80" w:rsidRDefault="0084445A" w:rsidP="00365108">
      <w:pPr>
        <w:jc w:val="both"/>
        <w:rPr>
          <w:rFonts w:cstheme="minorHAnsi"/>
        </w:rPr>
      </w:pPr>
      <w:r w:rsidRPr="00741D80">
        <w:rPr>
          <w:rFonts w:cstheme="minorHAnsi"/>
        </w:rPr>
        <w:t>Инвестицията в Сдружение Български инвестиционен форум е оценена и представена по цена на придобиване.</w:t>
      </w:r>
    </w:p>
    <w:p w14:paraId="7A998B6E" w14:textId="77777777" w:rsidR="0084445A" w:rsidRPr="00741D80" w:rsidRDefault="0084445A" w:rsidP="00365108">
      <w:pPr>
        <w:jc w:val="both"/>
        <w:rPr>
          <w:rFonts w:cstheme="minorHAnsi"/>
        </w:rPr>
      </w:pPr>
      <w:r w:rsidRPr="00741D80">
        <w:rPr>
          <w:rFonts w:cstheme="minorHAnsi"/>
        </w:rPr>
        <w:t xml:space="preserve">Таблицата по-долу представя финансовите активи на разположение за продажба на дружеството, които се оценяват на </w:t>
      </w:r>
      <w:proofErr w:type="spellStart"/>
      <w:r w:rsidRPr="00741D80">
        <w:rPr>
          <w:rFonts w:cstheme="minorHAnsi"/>
        </w:rPr>
        <w:t>повтаряема</w:t>
      </w:r>
      <w:proofErr w:type="spellEnd"/>
      <w:r w:rsidRPr="00741D80">
        <w:rPr>
          <w:rFonts w:cstheme="minorHAnsi"/>
        </w:rPr>
        <w:t xml:space="preserve"> база по справедлива стойност в отчета за финансовото състояние:</w:t>
      </w:r>
    </w:p>
    <w:p w14:paraId="6F87056D" w14:textId="2C9ED13B" w:rsidR="0084445A" w:rsidRPr="00741D80" w:rsidRDefault="0084445A" w:rsidP="0084445A">
      <w:pPr>
        <w:rPr>
          <w:rFonts w:cstheme="minorHAnsi"/>
        </w:rPr>
      </w:pPr>
      <w:r w:rsidRPr="00741D80">
        <w:rPr>
          <w:rFonts w:cstheme="minorHAnsi"/>
        </w:rPr>
        <w:t>Йерархия на справедливите стойности</w:t>
      </w:r>
    </w:p>
    <w:tbl>
      <w:tblPr>
        <w:tblW w:w="5253" w:type="pct"/>
        <w:jc w:val="center"/>
        <w:tblLayout w:type="fixed"/>
        <w:tblCellMar>
          <w:left w:w="6" w:type="dxa"/>
          <w:right w:w="57" w:type="dxa"/>
        </w:tblCellMar>
        <w:tblLook w:val="04A0" w:firstRow="1" w:lastRow="0" w:firstColumn="1" w:lastColumn="0" w:noHBand="0" w:noVBand="1"/>
      </w:tblPr>
      <w:tblGrid>
        <w:gridCol w:w="6099"/>
        <w:gridCol w:w="2047"/>
        <w:gridCol w:w="990"/>
        <w:gridCol w:w="990"/>
      </w:tblGrid>
      <w:tr w:rsidR="0084445A" w:rsidRPr="00741D80" w14:paraId="60577145" w14:textId="77777777" w:rsidTr="00365108">
        <w:trPr>
          <w:trHeight w:val="170"/>
          <w:jc w:val="center"/>
        </w:trPr>
        <w:tc>
          <w:tcPr>
            <w:tcW w:w="3010" w:type="pct"/>
            <w:tcBorders>
              <w:top w:val="nil"/>
              <w:left w:val="nil"/>
              <w:bottom w:val="nil"/>
              <w:right w:val="nil"/>
            </w:tcBorders>
            <w:shd w:val="clear" w:color="auto" w:fill="auto"/>
            <w:hideMark/>
          </w:tcPr>
          <w:p w14:paraId="29E81A37" w14:textId="743D8D55" w:rsidR="0084445A" w:rsidRPr="00C4020C" w:rsidRDefault="0084445A" w:rsidP="00365108">
            <w:pPr>
              <w:pStyle w:val="a"/>
              <w:rPr>
                <w:rFonts w:asciiTheme="minorHAnsi" w:hAnsiTheme="minorHAnsi" w:cstheme="minorHAnsi"/>
                <w:color w:val="auto"/>
                <w:szCs w:val="20"/>
                <w:lang w:val="bg-BG"/>
              </w:rPr>
            </w:pPr>
            <w:r w:rsidRPr="00C4020C">
              <w:rPr>
                <w:rFonts w:asciiTheme="minorHAnsi" w:hAnsiTheme="minorHAnsi" w:cstheme="minorHAnsi"/>
                <w:color w:val="auto"/>
                <w:szCs w:val="20"/>
                <w:lang w:val="bg-BG"/>
              </w:rPr>
              <w:t>Финансови</w:t>
            </w:r>
            <w:r w:rsidR="003C3D95" w:rsidRPr="00C4020C">
              <w:rPr>
                <w:rFonts w:asciiTheme="minorHAnsi" w:hAnsiTheme="minorHAnsi" w:cstheme="minorHAnsi"/>
                <w:color w:val="auto"/>
                <w:szCs w:val="20"/>
                <w:lang w:val="bg-BG"/>
              </w:rPr>
              <w:t xml:space="preserve"> активи, оценявани по справедлива стойност</w:t>
            </w:r>
          </w:p>
        </w:tc>
        <w:tc>
          <w:tcPr>
            <w:tcW w:w="1011" w:type="pct"/>
            <w:tcBorders>
              <w:top w:val="nil"/>
              <w:left w:val="nil"/>
              <w:bottom w:val="nil"/>
              <w:right w:val="nil"/>
            </w:tcBorders>
            <w:shd w:val="clear" w:color="auto" w:fill="auto"/>
            <w:hideMark/>
          </w:tcPr>
          <w:p w14:paraId="48426DF2" w14:textId="77777777" w:rsidR="0084445A" w:rsidRPr="00C4020C" w:rsidRDefault="0084445A" w:rsidP="00365108">
            <w:pPr>
              <w:pStyle w:val="a1"/>
              <w:jc w:val="right"/>
              <w:rPr>
                <w:rFonts w:asciiTheme="minorHAnsi" w:hAnsiTheme="minorHAnsi" w:cstheme="minorHAnsi"/>
                <w:color w:val="auto"/>
                <w:szCs w:val="20"/>
                <w:lang w:val="bg-BG"/>
              </w:rPr>
            </w:pPr>
            <w:r w:rsidRPr="00C4020C">
              <w:rPr>
                <w:rFonts w:asciiTheme="minorHAnsi" w:hAnsiTheme="minorHAnsi" w:cstheme="minorHAnsi"/>
                <w:color w:val="auto"/>
                <w:szCs w:val="20"/>
                <w:lang w:val="bg-BG"/>
              </w:rPr>
              <w:t>Справедлива стойност 31.12.2018</w:t>
            </w:r>
          </w:p>
        </w:tc>
        <w:tc>
          <w:tcPr>
            <w:tcW w:w="489" w:type="pct"/>
            <w:tcBorders>
              <w:top w:val="nil"/>
              <w:left w:val="nil"/>
              <w:bottom w:val="nil"/>
              <w:right w:val="nil"/>
            </w:tcBorders>
            <w:shd w:val="clear" w:color="auto" w:fill="auto"/>
            <w:hideMark/>
          </w:tcPr>
          <w:p w14:paraId="3780BF12" w14:textId="77777777" w:rsidR="0084445A" w:rsidRPr="00C4020C" w:rsidRDefault="0084445A" w:rsidP="00365108">
            <w:pPr>
              <w:pStyle w:val="a1"/>
              <w:rPr>
                <w:rFonts w:asciiTheme="minorHAnsi" w:hAnsiTheme="minorHAnsi" w:cstheme="minorHAnsi"/>
                <w:color w:val="auto"/>
                <w:szCs w:val="20"/>
                <w:lang w:val="bg-BG"/>
              </w:rPr>
            </w:pPr>
            <w:r w:rsidRPr="00C4020C">
              <w:rPr>
                <w:rFonts w:asciiTheme="minorHAnsi" w:hAnsiTheme="minorHAnsi" w:cstheme="minorHAnsi"/>
                <w:color w:val="auto"/>
                <w:szCs w:val="20"/>
                <w:lang w:val="bg-BG"/>
              </w:rPr>
              <w:t>Ниво 1</w:t>
            </w:r>
          </w:p>
        </w:tc>
        <w:tc>
          <w:tcPr>
            <w:tcW w:w="489" w:type="pct"/>
            <w:tcBorders>
              <w:top w:val="nil"/>
              <w:left w:val="nil"/>
              <w:bottom w:val="nil"/>
              <w:right w:val="nil"/>
            </w:tcBorders>
            <w:shd w:val="clear" w:color="auto" w:fill="auto"/>
            <w:hideMark/>
          </w:tcPr>
          <w:p w14:paraId="612EED6E" w14:textId="77777777" w:rsidR="0084445A" w:rsidRPr="00741D80" w:rsidRDefault="0084445A" w:rsidP="00365108">
            <w:pPr>
              <w:pStyle w:val="a1"/>
              <w:rPr>
                <w:rFonts w:asciiTheme="minorHAnsi" w:hAnsiTheme="minorHAnsi" w:cstheme="minorHAnsi"/>
                <w:color w:val="auto"/>
                <w:szCs w:val="20"/>
                <w:lang w:val="bg-BG"/>
              </w:rPr>
            </w:pPr>
            <w:r w:rsidRPr="00C4020C">
              <w:rPr>
                <w:rFonts w:asciiTheme="minorHAnsi" w:hAnsiTheme="minorHAnsi" w:cstheme="minorHAnsi"/>
                <w:color w:val="auto"/>
                <w:szCs w:val="20"/>
                <w:lang w:val="bg-BG"/>
              </w:rPr>
              <w:t>Ниво 3</w:t>
            </w:r>
          </w:p>
        </w:tc>
      </w:tr>
      <w:tr w:rsidR="0084445A" w:rsidRPr="00741D80" w14:paraId="479B6D87" w14:textId="77777777" w:rsidTr="00365108">
        <w:trPr>
          <w:trHeight w:val="170"/>
          <w:jc w:val="center"/>
        </w:trPr>
        <w:tc>
          <w:tcPr>
            <w:tcW w:w="3010" w:type="pct"/>
            <w:tcBorders>
              <w:top w:val="nil"/>
              <w:left w:val="nil"/>
              <w:bottom w:val="nil"/>
              <w:right w:val="nil"/>
            </w:tcBorders>
            <w:shd w:val="clear" w:color="auto" w:fill="auto"/>
            <w:hideMark/>
          </w:tcPr>
          <w:p w14:paraId="68912F5C" w14:textId="77777777" w:rsidR="0084445A" w:rsidRPr="00741D80" w:rsidRDefault="0084445A" w:rsidP="00365108">
            <w:pPr>
              <w:pStyle w:val="a1"/>
              <w:rPr>
                <w:rFonts w:asciiTheme="minorHAnsi" w:hAnsiTheme="minorHAnsi" w:cstheme="minorHAnsi"/>
                <w:color w:val="auto"/>
                <w:szCs w:val="20"/>
                <w:lang w:val="bg-BG"/>
              </w:rPr>
            </w:pPr>
          </w:p>
        </w:tc>
        <w:tc>
          <w:tcPr>
            <w:tcW w:w="1011" w:type="pct"/>
            <w:tcBorders>
              <w:top w:val="nil"/>
              <w:left w:val="nil"/>
              <w:bottom w:val="nil"/>
              <w:right w:val="nil"/>
            </w:tcBorders>
            <w:shd w:val="clear" w:color="auto" w:fill="auto"/>
            <w:vAlign w:val="bottom"/>
            <w:hideMark/>
          </w:tcPr>
          <w:p w14:paraId="24D2D1D6" w14:textId="77777777" w:rsidR="0084445A" w:rsidRPr="00741D80" w:rsidRDefault="0084445A" w:rsidP="00365108">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489" w:type="pct"/>
            <w:tcBorders>
              <w:top w:val="nil"/>
              <w:left w:val="nil"/>
              <w:bottom w:val="nil"/>
              <w:right w:val="nil"/>
            </w:tcBorders>
            <w:shd w:val="clear" w:color="auto" w:fill="auto"/>
            <w:vAlign w:val="bottom"/>
            <w:hideMark/>
          </w:tcPr>
          <w:p w14:paraId="46C8CA6B" w14:textId="77777777" w:rsidR="0084445A" w:rsidRPr="00741D80" w:rsidRDefault="0084445A" w:rsidP="00365108">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489" w:type="pct"/>
            <w:tcBorders>
              <w:top w:val="nil"/>
              <w:left w:val="nil"/>
              <w:bottom w:val="nil"/>
              <w:right w:val="nil"/>
            </w:tcBorders>
            <w:shd w:val="clear" w:color="auto" w:fill="auto"/>
            <w:vAlign w:val="bottom"/>
            <w:hideMark/>
          </w:tcPr>
          <w:p w14:paraId="200A563F" w14:textId="77777777" w:rsidR="0084445A" w:rsidRPr="00741D80" w:rsidRDefault="0084445A" w:rsidP="00365108">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602D4229" w14:textId="77777777" w:rsidTr="00365108">
        <w:trPr>
          <w:trHeight w:val="170"/>
          <w:jc w:val="center"/>
        </w:trPr>
        <w:tc>
          <w:tcPr>
            <w:tcW w:w="3010" w:type="pct"/>
            <w:tcBorders>
              <w:top w:val="nil"/>
              <w:left w:val="nil"/>
              <w:bottom w:val="nil"/>
              <w:right w:val="nil"/>
            </w:tcBorders>
            <w:shd w:val="clear" w:color="auto" w:fill="auto"/>
            <w:vAlign w:val="bottom"/>
            <w:hideMark/>
          </w:tcPr>
          <w:p w14:paraId="30C5A830" w14:textId="77777777" w:rsidR="0084445A" w:rsidRPr="00741D80" w:rsidRDefault="0084445A" w:rsidP="00365108">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Инвестиции в дългови ценни книжа</w:t>
            </w:r>
          </w:p>
        </w:tc>
        <w:tc>
          <w:tcPr>
            <w:tcW w:w="1011" w:type="pct"/>
            <w:tcBorders>
              <w:top w:val="nil"/>
              <w:left w:val="nil"/>
              <w:bottom w:val="nil"/>
              <w:right w:val="nil"/>
            </w:tcBorders>
            <w:shd w:val="clear" w:color="auto" w:fill="auto"/>
            <w:noWrap/>
            <w:vAlign w:val="bottom"/>
            <w:hideMark/>
          </w:tcPr>
          <w:p w14:paraId="29D2129B" w14:textId="77777777" w:rsidR="0084445A" w:rsidRPr="00741D80" w:rsidRDefault="0084445A" w:rsidP="00365108">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1,972</w:t>
            </w:r>
          </w:p>
        </w:tc>
        <w:tc>
          <w:tcPr>
            <w:tcW w:w="489" w:type="pct"/>
            <w:tcBorders>
              <w:top w:val="nil"/>
              <w:left w:val="nil"/>
              <w:bottom w:val="nil"/>
              <w:right w:val="nil"/>
            </w:tcBorders>
            <w:shd w:val="clear" w:color="auto" w:fill="auto"/>
            <w:noWrap/>
            <w:vAlign w:val="bottom"/>
            <w:hideMark/>
          </w:tcPr>
          <w:p w14:paraId="7B207DA0" w14:textId="77777777" w:rsidR="0084445A" w:rsidRPr="00741D80" w:rsidRDefault="0084445A" w:rsidP="00365108">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1,972</w:t>
            </w:r>
          </w:p>
        </w:tc>
        <w:tc>
          <w:tcPr>
            <w:tcW w:w="489" w:type="pct"/>
            <w:tcBorders>
              <w:top w:val="nil"/>
              <w:left w:val="nil"/>
              <w:bottom w:val="nil"/>
              <w:right w:val="nil"/>
            </w:tcBorders>
            <w:shd w:val="clear" w:color="auto" w:fill="auto"/>
            <w:noWrap/>
            <w:vAlign w:val="bottom"/>
            <w:hideMark/>
          </w:tcPr>
          <w:p w14:paraId="2880619B" w14:textId="77777777" w:rsidR="0084445A" w:rsidRPr="00741D80" w:rsidRDefault="0084445A" w:rsidP="00365108">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r>
      <w:tr w:rsidR="0084445A" w:rsidRPr="00741D80" w14:paraId="6CD7B7E5" w14:textId="77777777" w:rsidTr="00365108">
        <w:trPr>
          <w:trHeight w:val="170"/>
          <w:jc w:val="center"/>
        </w:trPr>
        <w:tc>
          <w:tcPr>
            <w:tcW w:w="3010" w:type="pct"/>
            <w:tcBorders>
              <w:top w:val="nil"/>
              <w:left w:val="nil"/>
              <w:bottom w:val="nil"/>
              <w:right w:val="nil"/>
            </w:tcBorders>
            <w:shd w:val="clear" w:color="auto" w:fill="auto"/>
            <w:vAlign w:val="bottom"/>
            <w:hideMark/>
          </w:tcPr>
          <w:p w14:paraId="43500A58" w14:textId="77777777" w:rsidR="0084445A" w:rsidRPr="00741D80" w:rsidRDefault="0084445A" w:rsidP="00365108">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Инвестиции в акции и дялове в капитала на други дружества и предприятия (малцинствено участие)</w:t>
            </w:r>
          </w:p>
        </w:tc>
        <w:tc>
          <w:tcPr>
            <w:tcW w:w="1011" w:type="pct"/>
            <w:tcBorders>
              <w:top w:val="nil"/>
              <w:left w:val="nil"/>
              <w:bottom w:val="nil"/>
              <w:right w:val="nil"/>
            </w:tcBorders>
            <w:shd w:val="clear" w:color="auto" w:fill="auto"/>
            <w:noWrap/>
            <w:vAlign w:val="bottom"/>
            <w:hideMark/>
          </w:tcPr>
          <w:p w14:paraId="70A99793" w14:textId="77777777" w:rsidR="0084445A" w:rsidRPr="00741D80" w:rsidRDefault="0084445A" w:rsidP="00365108">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323</w:t>
            </w:r>
          </w:p>
        </w:tc>
        <w:tc>
          <w:tcPr>
            <w:tcW w:w="489" w:type="pct"/>
            <w:tcBorders>
              <w:top w:val="nil"/>
              <w:left w:val="nil"/>
              <w:bottom w:val="nil"/>
              <w:right w:val="nil"/>
            </w:tcBorders>
            <w:shd w:val="clear" w:color="auto" w:fill="auto"/>
            <w:noWrap/>
            <w:vAlign w:val="bottom"/>
            <w:hideMark/>
          </w:tcPr>
          <w:p w14:paraId="3528D8CA" w14:textId="77777777" w:rsidR="0084445A" w:rsidRPr="00741D80" w:rsidRDefault="0084445A" w:rsidP="00365108">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c>
          <w:tcPr>
            <w:tcW w:w="489" w:type="pct"/>
            <w:tcBorders>
              <w:top w:val="nil"/>
              <w:left w:val="nil"/>
              <w:bottom w:val="nil"/>
              <w:right w:val="nil"/>
            </w:tcBorders>
            <w:shd w:val="clear" w:color="auto" w:fill="auto"/>
            <w:noWrap/>
            <w:vAlign w:val="bottom"/>
            <w:hideMark/>
          </w:tcPr>
          <w:p w14:paraId="7B1196EB" w14:textId="77777777" w:rsidR="0084445A" w:rsidRPr="00741D80" w:rsidRDefault="0084445A" w:rsidP="00365108">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323</w:t>
            </w:r>
          </w:p>
        </w:tc>
      </w:tr>
      <w:tr w:rsidR="0084445A" w:rsidRPr="00741D80" w14:paraId="1C411B23" w14:textId="77777777" w:rsidTr="00365108">
        <w:trPr>
          <w:trHeight w:val="170"/>
          <w:jc w:val="center"/>
        </w:trPr>
        <w:tc>
          <w:tcPr>
            <w:tcW w:w="3010" w:type="pct"/>
            <w:tcBorders>
              <w:top w:val="nil"/>
              <w:left w:val="nil"/>
              <w:bottom w:val="nil"/>
              <w:right w:val="nil"/>
            </w:tcBorders>
            <w:shd w:val="clear" w:color="auto" w:fill="auto"/>
            <w:noWrap/>
            <w:vAlign w:val="bottom"/>
            <w:hideMark/>
          </w:tcPr>
          <w:p w14:paraId="2AB6B637" w14:textId="77777777" w:rsidR="0084445A" w:rsidRPr="00741D80" w:rsidRDefault="0084445A" w:rsidP="00365108">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1011" w:type="pct"/>
            <w:tcBorders>
              <w:top w:val="single" w:sz="4" w:space="0" w:color="auto"/>
              <w:left w:val="nil"/>
              <w:bottom w:val="double" w:sz="6" w:space="0" w:color="auto"/>
              <w:right w:val="nil"/>
            </w:tcBorders>
            <w:shd w:val="clear" w:color="auto" w:fill="auto"/>
            <w:noWrap/>
            <w:vAlign w:val="bottom"/>
            <w:hideMark/>
          </w:tcPr>
          <w:p w14:paraId="3E7936B8" w14:textId="77777777" w:rsidR="0084445A" w:rsidRPr="00741D80" w:rsidRDefault="0084445A" w:rsidP="00365108">
            <w:pPr>
              <w:pStyle w:val="a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2,295</w:t>
            </w:r>
          </w:p>
        </w:tc>
        <w:tc>
          <w:tcPr>
            <w:tcW w:w="489" w:type="pct"/>
            <w:tcBorders>
              <w:top w:val="single" w:sz="4" w:space="0" w:color="auto"/>
              <w:left w:val="nil"/>
              <w:bottom w:val="double" w:sz="6" w:space="0" w:color="auto"/>
              <w:right w:val="nil"/>
            </w:tcBorders>
            <w:shd w:val="clear" w:color="auto" w:fill="auto"/>
            <w:noWrap/>
            <w:vAlign w:val="bottom"/>
            <w:hideMark/>
          </w:tcPr>
          <w:p w14:paraId="4B350969" w14:textId="77777777" w:rsidR="0084445A" w:rsidRPr="00741D80" w:rsidRDefault="0084445A" w:rsidP="00365108">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1,972</w:t>
            </w:r>
          </w:p>
        </w:tc>
        <w:tc>
          <w:tcPr>
            <w:tcW w:w="489" w:type="pct"/>
            <w:tcBorders>
              <w:top w:val="single" w:sz="4" w:space="0" w:color="auto"/>
              <w:left w:val="nil"/>
              <w:bottom w:val="double" w:sz="6" w:space="0" w:color="auto"/>
              <w:right w:val="nil"/>
            </w:tcBorders>
            <w:shd w:val="clear" w:color="auto" w:fill="auto"/>
            <w:noWrap/>
            <w:vAlign w:val="bottom"/>
            <w:hideMark/>
          </w:tcPr>
          <w:p w14:paraId="4CB6CF72" w14:textId="77777777" w:rsidR="0084445A" w:rsidRPr="00741D80" w:rsidRDefault="0084445A" w:rsidP="00365108">
            <w:pPr>
              <w:pStyle w:val="a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323</w:t>
            </w:r>
          </w:p>
        </w:tc>
      </w:tr>
    </w:tbl>
    <w:p w14:paraId="08BAD593" w14:textId="77777777" w:rsidR="0084445A" w:rsidRPr="00741D80" w:rsidRDefault="0084445A" w:rsidP="0084445A">
      <w:pPr>
        <w:rPr>
          <w:rFonts w:cstheme="minorHAnsi"/>
        </w:rPr>
      </w:pPr>
    </w:p>
    <w:tbl>
      <w:tblPr>
        <w:tblW w:w="5248" w:type="pct"/>
        <w:jc w:val="center"/>
        <w:tblCellMar>
          <w:left w:w="6" w:type="dxa"/>
          <w:right w:w="57" w:type="dxa"/>
        </w:tblCellMar>
        <w:tblLook w:val="04A0" w:firstRow="1" w:lastRow="0" w:firstColumn="1" w:lastColumn="0" w:noHBand="0" w:noVBand="1"/>
      </w:tblPr>
      <w:tblGrid>
        <w:gridCol w:w="5953"/>
        <w:gridCol w:w="2128"/>
        <w:gridCol w:w="1048"/>
        <w:gridCol w:w="987"/>
      </w:tblGrid>
      <w:tr w:rsidR="0084445A" w:rsidRPr="00741D80" w14:paraId="48885A5E" w14:textId="77777777" w:rsidTr="00365108">
        <w:trPr>
          <w:trHeight w:val="170"/>
          <w:jc w:val="center"/>
        </w:trPr>
        <w:tc>
          <w:tcPr>
            <w:tcW w:w="2942" w:type="pct"/>
            <w:tcBorders>
              <w:top w:val="nil"/>
              <w:left w:val="nil"/>
              <w:bottom w:val="nil"/>
              <w:right w:val="nil"/>
            </w:tcBorders>
            <w:shd w:val="clear" w:color="auto" w:fill="auto"/>
            <w:hideMark/>
          </w:tcPr>
          <w:p w14:paraId="02A0234D" w14:textId="7D8C1EF8" w:rsidR="0084445A" w:rsidRPr="00741D80" w:rsidRDefault="0084445A" w:rsidP="00365108">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Финансови активи</w:t>
            </w:r>
            <w:r w:rsidR="005219C3">
              <w:rPr>
                <w:rFonts w:asciiTheme="minorHAnsi" w:hAnsiTheme="minorHAnsi" w:cstheme="minorHAnsi"/>
                <w:color w:val="auto"/>
                <w:szCs w:val="20"/>
                <w:lang w:val="bg-BG"/>
              </w:rPr>
              <w:t>, оценявани по справедлива стойност</w:t>
            </w:r>
          </w:p>
        </w:tc>
        <w:tc>
          <w:tcPr>
            <w:tcW w:w="1052" w:type="pct"/>
            <w:vMerge w:val="restart"/>
            <w:tcBorders>
              <w:top w:val="nil"/>
              <w:left w:val="nil"/>
              <w:bottom w:val="nil"/>
              <w:right w:val="nil"/>
            </w:tcBorders>
            <w:shd w:val="clear" w:color="auto" w:fill="auto"/>
            <w:hideMark/>
          </w:tcPr>
          <w:p w14:paraId="5476EB9B" w14:textId="77777777" w:rsidR="0084445A" w:rsidRPr="00741D80" w:rsidRDefault="0084445A" w:rsidP="00365108">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Справедлива стойност 31.12.2017</w:t>
            </w:r>
          </w:p>
        </w:tc>
        <w:tc>
          <w:tcPr>
            <w:tcW w:w="518" w:type="pct"/>
            <w:vMerge w:val="restart"/>
            <w:tcBorders>
              <w:top w:val="nil"/>
              <w:left w:val="nil"/>
              <w:bottom w:val="nil"/>
              <w:right w:val="nil"/>
            </w:tcBorders>
            <w:shd w:val="clear" w:color="auto" w:fill="auto"/>
            <w:hideMark/>
          </w:tcPr>
          <w:p w14:paraId="713980B6" w14:textId="77777777" w:rsidR="0084445A" w:rsidRPr="00741D80" w:rsidRDefault="0084445A" w:rsidP="00365108">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Ниво 1</w:t>
            </w:r>
          </w:p>
        </w:tc>
        <w:tc>
          <w:tcPr>
            <w:tcW w:w="488" w:type="pct"/>
            <w:vMerge w:val="restart"/>
            <w:tcBorders>
              <w:top w:val="nil"/>
              <w:left w:val="nil"/>
              <w:bottom w:val="nil"/>
              <w:right w:val="nil"/>
            </w:tcBorders>
            <w:shd w:val="clear" w:color="auto" w:fill="auto"/>
            <w:hideMark/>
          </w:tcPr>
          <w:p w14:paraId="460BAA12" w14:textId="77777777" w:rsidR="0084445A" w:rsidRPr="00741D80" w:rsidRDefault="0084445A" w:rsidP="00365108">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Ниво 3</w:t>
            </w:r>
          </w:p>
        </w:tc>
      </w:tr>
      <w:tr w:rsidR="0084445A" w:rsidRPr="00741D80" w14:paraId="43F391E9" w14:textId="77777777" w:rsidTr="00365108">
        <w:trPr>
          <w:trHeight w:val="170"/>
          <w:jc w:val="center"/>
        </w:trPr>
        <w:tc>
          <w:tcPr>
            <w:tcW w:w="2942" w:type="pct"/>
            <w:tcBorders>
              <w:top w:val="nil"/>
              <w:left w:val="nil"/>
              <w:bottom w:val="nil"/>
              <w:right w:val="nil"/>
            </w:tcBorders>
            <w:shd w:val="clear" w:color="auto" w:fill="auto"/>
            <w:hideMark/>
          </w:tcPr>
          <w:p w14:paraId="31FF9C38" w14:textId="77777777" w:rsidR="0084445A" w:rsidRPr="00741D80" w:rsidRDefault="0084445A" w:rsidP="00365108">
            <w:pPr>
              <w:pStyle w:val="a"/>
              <w:rPr>
                <w:rFonts w:asciiTheme="minorHAnsi" w:hAnsiTheme="minorHAnsi" w:cstheme="minorHAnsi"/>
                <w:color w:val="auto"/>
                <w:szCs w:val="20"/>
                <w:lang w:val="bg-BG"/>
              </w:rPr>
            </w:pPr>
          </w:p>
        </w:tc>
        <w:tc>
          <w:tcPr>
            <w:tcW w:w="1052" w:type="pct"/>
            <w:vMerge/>
            <w:tcBorders>
              <w:top w:val="nil"/>
              <w:left w:val="nil"/>
              <w:bottom w:val="nil"/>
              <w:right w:val="nil"/>
            </w:tcBorders>
            <w:vAlign w:val="center"/>
            <w:hideMark/>
          </w:tcPr>
          <w:p w14:paraId="3618E28B" w14:textId="77777777" w:rsidR="0084445A" w:rsidRPr="00741D80" w:rsidRDefault="0084445A" w:rsidP="00365108">
            <w:pPr>
              <w:pStyle w:val="a1"/>
              <w:jc w:val="right"/>
              <w:rPr>
                <w:rFonts w:asciiTheme="minorHAnsi" w:hAnsiTheme="minorHAnsi" w:cstheme="minorHAnsi"/>
                <w:color w:val="auto"/>
                <w:szCs w:val="20"/>
                <w:lang w:val="bg-BG"/>
              </w:rPr>
            </w:pPr>
          </w:p>
        </w:tc>
        <w:tc>
          <w:tcPr>
            <w:tcW w:w="518" w:type="pct"/>
            <w:vMerge/>
            <w:tcBorders>
              <w:top w:val="nil"/>
              <w:left w:val="nil"/>
              <w:bottom w:val="nil"/>
              <w:right w:val="nil"/>
            </w:tcBorders>
            <w:vAlign w:val="center"/>
            <w:hideMark/>
          </w:tcPr>
          <w:p w14:paraId="73B7ABEF" w14:textId="77777777" w:rsidR="0084445A" w:rsidRPr="00741D80" w:rsidRDefault="0084445A" w:rsidP="00365108">
            <w:pPr>
              <w:pStyle w:val="a1"/>
              <w:rPr>
                <w:rFonts w:asciiTheme="minorHAnsi" w:hAnsiTheme="minorHAnsi" w:cstheme="minorHAnsi"/>
                <w:color w:val="auto"/>
                <w:szCs w:val="20"/>
                <w:lang w:val="bg-BG"/>
              </w:rPr>
            </w:pPr>
          </w:p>
        </w:tc>
        <w:tc>
          <w:tcPr>
            <w:tcW w:w="488" w:type="pct"/>
            <w:vMerge/>
            <w:tcBorders>
              <w:top w:val="nil"/>
              <w:left w:val="nil"/>
              <w:bottom w:val="nil"/>
              <w:right w:val="nil"/>
            </w:tcBorders>
            <w:vAlign w:val="center"/>
            <w:hideMark/>
          </w:tcPr>
          <w:p w14:paraId="684BEDED" w14:textId="77777777" w:rsidR="0084445A" w:rsidRPr="00741D80" w:rsidRDefault="0084445A" w:rsidP="00365108">
            <w:pPr>
              <w:pStyle w:val="a1"/>
              <w:rPr>
                <w:rFonts w:asciiTheme="minorHAnsi" w:hAnsiTheme="minorHAnsi" w:cstheme="minorHAnsi"/>
                <w:color w:val="auto"/>
                <w:szCs w:val="20"/>
                <w:lang w:val="bg-BG"/>
              </w:rPr>
            </w:pPr>
          </w:p>
        </w:tc>
      </w:tr>
      <w:tr w:rsidR="0084445A" w:rsidRPr="00741D80" w14:paraId="1650B146" w14:textId="77777777" w:rsidTr="00365108">
        <w:trPr>
          <w:trHeight w:val="170"/>
          <w:jc w:val="center"/>
        </w:trPr>
        <w:tc>
          <w:tcPr>
            <w:tcW w:w="2942" w:type="pct"/>
            <w:tcBorders>
              <w:top w:val="nil"/>
              <w:left w:val="nil"/>
              <w:bottom w:val="nil"/>
              <w:right w:val="nil"/>
            </w:tcBorders>
            <w:shd w:val="clear" w:color="auto" w:fill="auto"/>
            <w:hideMark/>
          </w:tcPr>
          <w:p w14:paraId="7231784D" w14:textId="77777777" w:rsidR="0084445A" w:rsidRPr="00741D80" w:rsidRDefault="0084445A" w:rsidP="00365108">
            <w:pPr>
              <w:pStyle w:val="a"/>
              <w:rPr>
                <w:rFonts w:asciiTheme="minorHAnsi" w:hAnsiTheme="minorHAnsi" w:cstheme="minorHAnsi"/>
                <w:color w:val="auto"/>
                <w:szCs w:val="20"/>
                <w:lang w:val="bg-BG"/>
              </w:rPr>
            </w:pPr>
          </w:p>
        </w:tc>
        <w:tc>
          <w:tcPr>
            <w:tcW w:w="1052" w:type="pct"/>
            <w:tcBorders>
              <w:top w:val="nil"/>
              <w:left w:val="nil"/>
              <w:bottom w:val="nil"/>
              <w:right w:val="nil"/>
            </w:tcBorders>
            <w:shd w:val="clear" w:color="auto" w:fill="auto"/>
            <w:vAlign w:val="bottom"/>
            <w:hideMark/>
          </w:tcPr>
          <w:p w14:paraId="6EE107F3" w14:textId="77777777" w:rsidR="0084445A" w:rsidRPr="00741D80" w:rsidRDefault="0084445A" w:rsidP="00365108">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518" w:type="pct"/>
            <w:tcBorders>
              <w:top w:val="nil"/>
              <w:left w:val="nil"/>
              <w:bottom w:val="nil"/>
              <w:right w:val="nil"/>
            </w:tcBorders>
            <w:shd w:val="clear" w:color="auto" w:fill="auto"/>
            <w:vAlign w:val="bottom"/>
            <w:hideMark/>
          </w:tcPr>
          <w:p w14:paraId="49FAD75C" w14:textId="77777777" w:rsidR="0084445A" w:rsidRPr="00741D80" w:rsidRDefault="0084445A" w:rsidP="00365108">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488" w:type="pct"/>
            <w:tcBorders>
              <w:top w:val="nil"/>
              <w:left w:val="nil"/>
              <w:bottom w:val="nil"/>
              <w:right w:val="nil"/>
            </w:tcBorders>
            <w:shd w:val="clear" w:color="auto" w:fill="auto"/>
            <w:vAlign w:val="bottom"/>
            <w:hideMark/>
          </w:tcPr>
          <w:p w14:paraId="3724B56C" w14:textId="77777777" w:rsidR="0084445A" w:rsidRPr="00741D80" w:rsidRDefault="0084445A" w:rsidP="00365108">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6A3E7A8F" w14:textId="77777777" w:rsidTr="00365108">
        <w:trPr>
          <w:trHeight w:val="170"/>
          <w:jc w:val="center"/>
        </w:trPr>
        <w:tc>
          <w:tcPr>
            <w:tcW w:w="2942" w:type="pct"/>
            <w:tcBorders>
              <w:top w:val="nil"/>
              <w:left w:val="nil"/>
              <w:bottom w:val="nil"/>
              <w:right w:val="nil"/>
            </w:tcBorders>
            <w:shd w:val="clear" w:color="auto" w:fill="auto"/>
            <w:vAlign w:val="bottom"/>
            <w:hideMark/>
          </w:tcPr>
          <w:p w14:paraId="30AD9762" w14:textId="77777777" w:rsidR="0084445A" w:rsidRPr="00741D80" w:rsidRDefault="0084445A" w:rsidP="00365108">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Инвестиции в дългови ценни книжа</w:t>
            </w:r>
          </w:p>
        </w:tc>
        <w:tc>
          <w:tcPr>
            <w:tcW w:w="1052" w:type="pct"/>
            <w:tcBorders>
              <w:top w:val="nil"/>
              <w:left w:val="nil"/>
              <w:bottom w:val="nil"/>
              <w:right w:val="nil"/>
            </w:tcBorders>
            <w:shd w:val="clear" w:color="auto" w:fill="auto"/>
            <w:noWrap/>
            <w:vAlign w:val="bottom"/>
            <w:hideMark/>
          </w:tcPr>
          <w:p w14:paraId="0E9552FC" w14:textId="77777777" w:rsidR="0084445A" w:rsidRPr="00741D80" w:rsidRDefault="0084445A" w:rsidP="00365108">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2,035</w:t>
            </w:r>
          </w:p>
        </w:tc>
        <w:tc>
          <w:tcPr>
            <w:tcW w:w="518" w:type="pct"/>
            <w:tcBorders>
              <w:top w:val="nil"/>
              <w:left w:val="nil"/>
              <w:bottom w:val="nil"/>
              <w:right w:val="nil"/>
            </w:tcBorders>
            <w:shd w:val="clear" w:color="auto" w:fill="auto"/>
            <w:noWrap/>
            <w:vAlign w:val="bottom"/>
            <w:hideMark/>
          </w:tcPr>
          <w:p w14:paraId="119D52DC" w14:textId="77777777" w:rsidR="0084445A" w:rsidRPr="00741D80" w:rsidRDefault="0084445A" w:rsidP="00365108">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2,035</w:t>
            </w:r>
          </w:p>
        </w:tc>
        <w:tc>
          <w:tcPr>
            <w:tcW w:w="488" w:type="pct"/>
            <w:tcBorders>
              <w:top w:val="nil"/>
              <w:left w:val="nil"/>
              <w:bottom w:val="nil"/>
              <w:right w:val="nil"/>
            </w:tcBorders>
            <w:shd w:val="clear" w:color="auto" w:fill="auto"/>
            <w:noWrap/>
            <w:vAlign w:val="bottom"/>
            <w:hideMark/>
          </w:tcPr>
          <w:p w14:paraId="5B807612" w14:textId="77777777" w:rsidR="0084445A" w:rsidRPr="00741D80" w:rsidRDefault="0084445A" w:rsidP="00365108">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r>
      <w:tr w:rsidR="0084445A" w:rsidRPr="00741D80" w14:paraId="02C08A7E" w14:textId="77777777" w:rsidTr="00365108">
        <w:trPr>
          <w:trHeight w:val="170"/>
          <w:jc w:val="center"/>
        </w:trPr>
        <w:tc>
          <w:tcPr>
            <w:tcW w:w="2942" w:type="pct"/>
            <w:tcBorders>
              <w:top w:val="nil"/>
              <w:left w:val="nil"/>
              <w:bottom w:val="nil"/>
              <w:right w:val="nil"/>
            </w:tcBorders>
            <w:shd w:val="clear" w:color="auto" w:fill="auto"/>
            <w:vAlign w:val="bottom"/>
            <w:hideMark/>
          </w:tcPr>
          <w:p w14:paraId="79F0C0F9" w14:textId="77777777" w:rsidR="0084445A" w:rsidRPr="00741D80" w:rsidRDefault="0084445A" w:rsidP="00365108">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Инвестиции в акции и дялове в капитала на други дружества и предприятия (малцинствено участие)</w:t>
            </w:r>
          </w:p>
        </w:tc>
        <w:tc>
          <w:tcPr>
            <w:tcW w:w="1052" w:type="pct"/>
            <w:tcBorders>
              <w:top w:val="nil"/>
              <w:left w:val="nil"/>
              <w:bottom w:val="nil"/>
              <w:right w:val="nil"/>
            </w:tcBorders>
            <w:shd w:val="clear" w:color="auto" w:fill="auto"/>
            <w:noWrap/>
            <w:vAlign w:val="bottom"/>
            <w:hideMark/>
          </w:tcPr>
          <w:p w14:paraId="2428086B" w14:textId="77777777" w:rsidR="0084445A" w:rsidRPr="00741D80" w:rsidRDefault="0084445A" w:rsidP="00365108">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323</w:t>
            </w:r>
          </w:p>
        </w:tc>
        <w:tc>
          <w:tcPr>
            <w:tcW w:w="518" w:type="pct"/>
            <w:tcBorders>
              <w:top w:val="nil"/>
              <w:left w:val="nil"/>
              <w:bottom w:val="nil"/>
              <w:right w:val="nil"/>
            </w:tcBorders>
            <w:shd w:val="clear" w:color="auto" w:fill="auto"/>
            <w:noWrap/>
            <w:vAlign w:val="bottom"/>
            <w:hideMark/>
          </w:tcPr>
          <w:p w14:paraId="2ED7C35E" w14:textId="77777777" w:rsidR="0084445A" w:rsidRPr="00741D80" w:rsidRDefault="0084445A" w:rsidP="00365108">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c>
          <w:tcPr>
            <w:tcW w:w="488" w:type="pct"/>
            <w:tcBorders>
              <w:top w:val="nil"/>
              <w:left w:val="nil"/>
              <w:bottom w:val="nil"/>
              <w:right w:val="nil"/>
            </w:tcBorders>
            <w:shd w:val="clear" w:color="auto" w:fill="auto"/>
            <w:noWrap/>
            <w:vAlign w:val="bottom"/>
            <w:hideMark/>
          </w:tcPr>
          <w:p w14:paraId="266EC677" w14:textId="77777777" w:rsidR="0084445A" w:rsidRPr="00741D80" w:rsidRDefault="0084445A" w:rsidP="00365108">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323</w:t>
            </w:r>
          </w:p>
        </w:tc>
      </w:tr>
      <w:tr w:rsidR="0084445A" w:rsidRPr="00741D80" w14:paraId="4CA2C274" w14:textId="77777777" w:rsidTr="00365108">
        <w:trPr>
          <w:trHeight w:val="170"/>
          <w:jc w:val="center"/>
        </w:trPr>
        <w:tc>
          <w:tcPr>
            <w:tcW w:w="2942" w:type="pct"/>
            <w:tcBorders>
              <w:top w:val="nil"/>
              <w:left w:val="nil"/>
              <w:bottom w:val="nil"/>
              <w:right w:val="nil"/>
            </w:tcBorders>
            <w:shd w:val="clear" w:color="auto" w:fill="auto"/>
            <w:noWrap/>
            <w:vAlign w:val="bottom"/>
            <w:hideMark/>
          </w:tcPr>
          <w:p w14:paraId="2F8DAD49" w14:textId="77777777" w:rsidR="0084445A" w:rsidRPr="00741D80" w:rsidRDefault="0084445A" w:rsidP="00365108">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1052" w:type="pct"/>
            <w:tcBorders>
              <w:top w:val="single" w:sz="4" w:space="0" w:color="auto"/>
              <w:left w:val="nil"/>
              <w:bottom w:val="double" w:sz="6" w:space="0" w:color="auto"/>
              <w:right w:val="nil"/>
            </w:tcBorders>
            <w:shd w:val="clear" w:color="auto" w:fill="auto"/>
            <w:noWrap/>
            <w:vAlign w:val="bottom"/>
            <w:hideMark/>
          </w:tcPr>
          <w:p w14:paraId="693D951F" w14:textId="77777777" w:rsidR="0084445A" w:rsidRPr="00741D80" w:rsidRDefault="0084445A" w:rsidP="00365108">
            <w:pPr>
              <w:pStyle w:val="a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2,358</w:t>
            </w:r>
          </w:p>
        </w:tc>
        <w:tc>
          <w:tcPr>
            <w:tcW w:w="518" w:type="pct"/>
            <w:tcBorders>
              <w:top w:val="single" w:sz="4" w:space="0" w:color="auto"/>
              <w:left w:val="nil"/>
              <w:bottom w:val="double" w:sz="6" w:space="0" w:color="auto"/>
              <w:right w:val="nil"/>
            </w:tcBorders>
            <w:shd w:val="clear" w:color="auto" w:fill="auto"/>
            <w:noWrap/>
            <w:vAlign w:val="bottom"/>
            <w:hideMark/>
          </w:tcPr>
          <w:p w14:paraId="7A8EC1AA" w14:textId="77777777" w:rsidR="0084445A" w:rsidRPr="00741D80" w:rsidRDefault="0084445A" w:rsidP="00365108">
            <w:pPr>
              <w:pStyle w:val="a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2,035</w:t>
            </w:r>
          </w:p>
        </w:tc>
        <w:tc>
          <w:tcPr>
            <w:tcW w:w="488" w:type="pct"/>
            <w:tcBorders>
              <w:top w:val="single" w:sz="4" w:space="0" w:color="auto"/>
              <w:left w:val="nil"/>
              <w:bottom w:val="double" w:sz="6" w:space="0" w:color="auto"/>
              <w:right w:val="nil"/>
            </w:tcBorders>
            <w:shd w:val="clear" w:color="auto" w:fill="auto"/>
            <w:noWrap/>
            <w:vAlign w:val="bottom"/>
            <w:hideMark/>
          </w:tcPr>
          <w:p w14:paraId="51A89D2E" w14:textId="77777777" w:rsidR="0084445A" w:rsidRPr="00741D80" w:rsidRDefault="0084445A" w:rsidP="00365108">
            <w:pPr>
              <w:pStyle w:val="a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323</w:t>
            </w:r>
          </w:p>
        </w:tc>
      </w:tr>
    </w:tbl>
    <w:p w14:paraId="1B0AC6B1" w14:textId="77777777" w:rsidR="0084445A" w:rsidRPr="00741D80" w:rsidRDefault="0084445A" w:rsidP="0084445A">
      <w:pPr>
        <w:rPr>
          <w:rFonts w:cstheme="minorHAnsi"/>
        </w:rPr>
      </w:pPr>
    </w:p>
    <w:p w14:paraId="3632FB91" w14:textId="11B0F21B" w:rsidR="0084445A" w:rsidRPr="00741D80" w:rsidRDefault="0084445A" w:rsidP="0084445A">
      <w:pPr>
        <w:rPr>
          <w:rFonts w:cstheme="minorHAnsi"/>
        </w:rPr>
      </w:pPr>
      <w:r w:rsidRPr="00741D80">
        <w:rPr>
          <w:rFonts w:cstheme="minorHAnsi"/>
        </w:rPr>
        <w:lastRenderedPageBreak/>
        <w:t>Таблицата по – долу показва равнение между началните и крайните салда на справедливите стойности на Ниво 1 и Ниво 3:</w:t>
      </w:r>
    </w:p>
    <w:tbl>
      <w:tblPr>
        <w:tblW w:w="5000" w:type="pct"/>
        <w:jc w:val="center"/>
        <w:tblCellMar>
          <w:left w:w="6" w:type="dxa"/>
          <w:right w:w="57" w:type="dxa"/>
        </w:tblCellMar>
        <w:tblLook w:val="04A0" w:firstRow="1" w:lastRow="0" w:firstColumn="1" w:lastColumn="0" w:noHBand="0" w:noVBand="1"/>
      </w:tblPr>
      <w:tblGrid>
        <w:gridCol w:w="6750"/>
        <w:gridCol w:w="964"/>
        <w:gridCol w:w="964"/>
        <w:gridCol w:w="960"/>
      </w:tblGrid>
      <w:tr w:rsidR="0084445A" w:rsidRPr="00365108" w14:paraId="732131D8" w14:textId="77777777" w:rsidTr="00930481">
        <w:trPr>
          <w:trHeight w:val="170"/>
          <w:jc w:val="center"/>
        </w:trPr>
        <w:tc>
          <w:tcPr>
            <w:tcW w:w="3502" w:type="pct"/>
            <w:tcBorders>
              <w:top w:val="nil"/>
              <w:left w:val="nil"/>
              <w:bottom w:val="nil"/>
              <w:right w:val="nil"/>
            </w:tcBorders>
            <w:shd w:val="clear" w:color="auto" w:fill="auto"/>
            <w:hideMark/>
          </w:tcPr>
          <w:p w14:paraId="5CE9BEB8" w14:textId="46A8D367" w:rsidR="0084445A" w:rsidRPr="00C4020C" w:rsidRDefault="0084445A" w:rsidP="00365108">
            <w:pPr>
              <w:pStyle w:val="a"/>
              <w:rPr>
                <w:rFonts w:ascii="Calibri" w:hAnsi="Calibri" w:cstheme="minorHAnsi"/>
                <w:color w:val="auto"/>
                <w:szCs w:val="20"/>
                <w:lang w:val="bg-BG"/>
              </w:rPr>
            </w:pPr>
            <w:r w:rsidRPr="00C4020C">
              <w:rPr>
                <w:rFonts w:ascii="Calibri" w:hAnsi="Calibri" w:cstheme="minorHAnsi"/>
                <w:color w:val="auto"/>
                <w:szCs w:val="20"/>
                <w:lang w:val="bg-BG"/>
              </w:rPr>
              <w:t>Финансови активи</w:t>
            </w:r>
            <w:r w:rsidR="005219C3" w:rsidRPr="00C4020C">
              <w:rPr>
                <w:rFonts w:ascii="Calibri" w:hAnsi="Calibri" w:cstheme="minorHAnsi"/>
                <w:color w:val="auto"/>
                <w:szCs w:val="20"/>
                <w:lang w:val="bg-BG"/>
              </w:rPr>
              <w:t>, оценявани по справедлива стойност</w:t>
            </w:r>
          </w:p>
        </w:tc>
        <w:tc>
          <w:tcPr>
            <w:tcW w:w="500" w:type="pct"/>
            <w:tcBorders>
              <w:top w:val="nil"/>
              <w:left w:val="nil"/>
              <w:bottom w:val="nil"/>
              <w:right w:val="nil"/>
            </w:tcBorders>
            <w:shd w:val="clear" w:color="auto" w:fill="auto"/>
            <w:hideMark/>
          </w:tcPr>
          <w:p w14:paraId="0E4678E8" w14:textId="77777777" w:rsidR="0084445A" w:rsidRPr="00C4020C" w:rsidRDefault="0084445A" w:rsidP="00365108">
            <w:pPr>
              <w:pStyle w:val="a1"/>
              <w:rPr>
                <w:rFonts w:ascii="Calibri" w:hAnsi="Calibri" w:cstheme="minorHAnsi"/>
                <w:color w:val="auto"/>
                <w:szCs w:val="20"/>
                <w:lang w:val="bg-BG"/>
              </w:rPr>
            </w:pPr>
            <w:r w:rsidRPr="00C4020C">
              <w:rPr>
                <w:rFonts w:ascii="Calibri" w:hAnsi="Calibri" w:cstheme="minorHAnsi"/>
                <w:color w:val="auto"/>
                <w:szCs w:val="20"/>
                <w:lang w:val="bg-BG"/>
              </w:rPr>
              <w:t>Ниво 1</w:t>
            </w:r>
          </w:p>
        </w:tc>
        <w:tc>
          <w:tcPr>
            <w:tcW w:w="500" w:type="pct"/>
            <w:tcBorders>
              <w:top w:val="nil"/>
              <w:left w:val="nil"/>
              <w:bottom w:val="nil"/>
              <w:right w:val="nil"/>
            </w:tcBorders>
            <w:shd w:val="clear" w:color="auto" w:fill="auto"/>
            <w:hideMark/>
          </w:tcPr>
          <w:p w14:paraId="40990A83" w14:textId="77777777" w:rsidR="0084445A" w:rsidRPr="00C4020C" w:rsidRDefault="0084445A" w:rsidP="00365108">
            <w:pPr>
              <w:pStyle w:val="a1"/>
              <w:rPr>
                <w:rFonts w:ascii="Calibri" w:hAnsi="Calibri" w:cstheme="minorHAnsi"/>
                <w:color w:val="auto"/>
                <w:szCs w:val="20"/>
                <w:lang w:val="bg-BG"/>
              </w:rPr>
            </w:pPr>
            <w:r w:rsidRPr="00C4020C">
              <w:rPr>
                <w:rFonts w:ascii="Calibri" w:hAnsi="Calibri" w:cstheme="minorHAnsi"/>
                <w:color w:val="auto"/>
                <w:szCs w:val="20"/>
                <w:lang w:val="bg-BG"/>
              </w:rPr>
              <w:t>Ниво 3</w:t>
            </w:r>
          </w:p>
        </w:tc>
        <w:tc>
          <w:tcPr>
            <w:tcW w:w="498" w:type="pct"/>
            <w:tcBorders>
              <w:top w:val="nil"/>
              <w:left w:val="nil"/>
              <w:bottom w:val="nil"/>
              <w:right w:val="nil"/>
            </w:tcBorders>
            <w:shd w:val="clear" w:color="auto" w:fill="auto"/>
            <w:hideMark/>
          </w:tcPr>
          <w:p w14:paraId="4A352033" w14:textId="77777777" w:rsidR="0084445A" w:rsidRPr="00365108" w:rsidRDefault="0084445A" w:rsidP="00365108">
            <w:pPr>
              <w:pStyle w:val="a1"/>
              <w:rPr>
                <w:rFonts w:ascii="Calibri" w:hAnsi="Calibri" w:cstheme="minorHAnsi"/>
                <w:color w:val="auto"/>
                <w:szCs w:val="20"/>
                <w:lang w:val="bg-BG"/>
              </w:rPr>
            </w:pPr>
            <w:r w:rsidRPr="00C4020C">
              <w:rPr>
                <w:rFonts w:ascii="Calibri" w:hAnsi="Calibri" w:cstheme="minorHAnsi"/>
                <w:color w:val="auto"/>
                <w:szCs w:val="20"/>
                <w:lang w:val="bg-BG"/>
              </w:rPr>
              <w:t>Общо</w:t>
            </w:r>
          </w:p>
        </w:tc>
      </w:tr>
      <w:tr w:rsidR="0084445A" w:rsidRPr="00365108" w14:paraId="55AAAE1B" w14:textId="77777777" w:rsidTr="00930481">
        <w:trPr>
          <w:trHeight w:val="170"/>
          <w:jc w:val="center"/>
        </w:trPr>
        <w:tc>
          <w:tcPr>
            <w:tcW w:w="3502" w:type="pct"/>
            <w:tcBorders>
              <w:top w:val="nil"/>
              <w:left w:val="nil"/>
              <w:bottom w:val="nil"/>
              <w:right w:val="nil"/>
            </w:tcBorders>
            <w:shd w:val="clear" w:color="auto" w:fill="auto"/>
            <w:vAlign w:val="bottom"/>
            <w:hideMark/>
          </w:tcPr>
          <w:p w14:paraId="5B822C32" w14:textId="77777777" w:rsidR="0084445A" w:rsidRPr="00365108" w:rsidRDefault="0084445A" w:rsidP="00365108">
            <w:pPr>
              <w:pStyle w:val="a"/>
              <w:rPr>
                <w:rFonts w:ascii="Calibri" w:hAnsi="Calibri" w:cstheme="minorHAnsi"/>
                <w:color w:val="auto"/>
                <w:szCs w:val="20"/>
                <w:lang w:val="bg-BG"/>
              </w:rPr>
            </w:pPr>
          </w:p>
        </w:tc>
        <w:tc>
          <w:tcPr>
            <w:tcW w:w="500" w:type="pct"/>
            <w:tcBorders>
              <w:top w:val="nil"/>
              <w:left w:val="nil"/>
              <w:bottom w:val="nil"/>
              <w:right w:val="nil"/>
            </w:tcBorders>
            <w:shd w:val="clear" w:color="auto" w:fill="auto"/>
            <w:vAlign w:val="bottom"/>
            <w:hideMark/>
          </w:tcPr>
          <w:p w14:paraId="2BE65667" w14:textId="77777777" w:rsidR="0084445A" w:rsidRPr="00365108" w:rsidRDefault="0084445A" w:rsidP="00365108">
            <w:pPr>
              <w:pStyle w:val="a1"/>
              <w:rPr>
                <w:rFonts w:ascii="Calibri" w:hAnsi="Calibri" w:cstheme="minorHAnsi"/>
                <w:color w:val="auto"/>
                <w:szCs w:val="20"/>
                <w:lang w:val="bg-BG"/>
              </w:rPr>
            </w:pPr>
            <w:r w:rsidRPr="00365108">
              <w:rPr>
                <w:rFonts w:ascii="Calibri" w:hAnsi="Calibri" w:cstheme="minorHAnsi"/>
                <w:color w:val="auto"/>
                <w:szCs w:val="20"/>
                <w:lang w:val="bg-BG"/>
              </w:rPr>
              <w:t>BGN’000</w:t>
            </w:r>
          </w:p>
        </w:tc>
        <w:tc>
          <w:tcPr>
            <w:tcW w:w="500" w:type="pct"/>
            <w:tcBorders>
              <w:top w:val="nil"/>
              <w:left w:val="nil"/>
              <w:bottom w:val="nil"/>
              <w:right w:val="nil"/>
            </w:tcBorders>
            <w:shd w:val="clear" w:color="auto" w:fill="auto"/>
            <w:vAlign w:val="bottom"/>
            <w:hideMark/>
          </w:tcPr>
          <w:p w14:paraId="3E8D77E6" w14:textId="77777777" w:rsidR="0084445A" w:rsidRPr="00365108" w:rsidRDefault="0084445A" w:rsidP="00365108">
            <w:pPr>
              <w:pStyle w:val="a1"/>
              <w:rPr>
                <w:rFonts w:ascii="Calibri" w:hAnsi="Calibri" w:cstheme="minorHAnsi"/>
                <w:color w:val="auto"/>
                <w:szCs w:val="20"/>
                <w:lang w:val="bg-BG"/>
              </w:rPr>
            </w:pPr>
            <w:r w:rsidRPr="00365108">
              <w:rPr>
                <w:rFonts w:ascii="Calibri" w:hAnsi="Calibri" w:cstheme="minorHAnsi"/>
                <w:color w:val="auto"/>
                <w:szCs w:val="20"/>
                <w:lang w:val="bg-BG"/>
              </w:rPr>
              <w:t>BGN’000</w:t>
            </w:r>
          </w:p>
        </w:tc>
        <w:tc>
          <w:tcPr>
            <w:tcW w:w="498" w:type="pct"/>
            <w:tcBorders>
              <w:top w:val="nil"/>
              <w:left w:val="nil"/>
              <w:bottom w:val="nil"/>
              <w:right w:val="nil"/>
            </w:tcBorders>
            <w:shd w:val="clear" w:color="auto" w:fill="auto"/>
            <w:vAlign w:val="bottom"/>
            <w:hideMark/>
          </w:tcPr>
          <w:p w14:paraId="543D7B29" w14:textId="77777777" w:rsidR="0084445A" w:rsidRPr="00365108" w:rsidRDefault="0084445A" w:rsidP="00365108">
            <w:pPr>
              <w:pStyle w:val="a1"/>
              <w:rPr>
                <w:rFonts w:ascii="Calibri" w:hAnsi="Calibri" w:cstheme="minorHAnsi"/>
                <w:color w:val="auto"/>
                <w:szCs w:val="20"/>
                <w:lang w:val="bg-BG"/>
              </w:rPr>
            </w:pPr>
            <w:r w:rsidRPr="00365108">
              <w:rPr>
                <w:rFonts w:ascii="Calibri" w:hAnsi="Calibri" w:cstheme="minorHAnsi"/>
                <w:color w:val="auto"/>
                <w:szCs w:val="20"/>
                <w:lang w:val="bg-BG"/>
              </w:rPr>
              <w:t>BGN’000</w:t>
            </w:r>
          </w:p>
        </w:tc>
      </w:tr>
      <w:tr w:rsidR="0084445A" w:rsidRPr="00365108" w14:paraId="3FBC2A96" w14:textId="77777777" w:rsidTr="00930481">
        <w:trPr>
          <w:trHeight w:val="170"/>
          <w:jc w:val="center"/>
        </w:trPr>
        <w:tc>
          <w:tcPr>
            <w:tcW w:w="3502" w:type="pct"/>
            <w:tcBorders>
              <w:top w:val="nil"/>
              <w:left w:val="nil"/>
              <w:bottom w:val="nil"/>
              <w:right w:val="nil"/>
            </w:tcBorders>
            <w:shd w:val="clear" w:color="auto" w:fill="auto"/>
            <w:vAlign w:val="bottom"/>
            <w:hideMark/>
          </w:tcPr>
          <w:p w14:paraId="0FE63653" w14:textId="77777777" w:rsidR="0084445A" w:rsidRPr="00365108" w:rsidRDefault="0084445A" w:rsidP="00365108">
            <w:pPr>
              <w:pStyle w:val="a"/>
              <w:rPr>
                <w:rFonts w:ascii="Calibri" w:hAnsi="Calibri" w:cstheme="minorHAnsi"/>
                <w:b/>
                <w:bCs/>
                <w:color w:val="auto"/>
                <w:szCs w:val="20"/>
                <w:lang w:val="bg-BG"/>
              </w:rPr>
            </w:pPr>
            <w:r w:rsidRPr="00365108">
              <w:rPr>
                <w:rFonts w:ascii="Calibri" w:hAnsi="Calibri" w:cstheme="minorHAnsi"/>
                <w:b/>
                <w:color w:val="auto"/>
                <w:szCs w:val="20"/>
                <w:lang w:val="bg-BG"/>
              </w:rPr>
              <w:t>Салдо към 1 януари 2017 година</w:t>
            </w:r>
          </w:p>
        </w:tc>
        <w:tc>
          <w:tcPr>
            <w:tcW w:w="500" w:type="pct"/>
            <w:tcBorders>
              <w:top w:val="single" w:sz="4" w:space="0" w:color="auto"/>
              <w:left w:val="nil"/>
              <w:bottom w:val="double" w:sz="6" w:space="0" w:color="auto"/>
              <w:right w:val="nil"/>
            </w:tcBorders>
            <w:shd w:val="clear" w:color="auto" w:fill="auto"/>
            <w:vAlign w:val="bottom"/>
            <w:hideMark/>
          </w:tcPr>
          <w:p w14:paraId="0DBED2F1" w14:textId="77777777" w:rsidR="0084445A" w:rsidRPr="00365108" w:rsidRDefault="0084445A" w:rsidP="00365108">
            <w:pPr>
              <w:pStyle w:val="a0"/>
              <w:widowControl w:val="0"/>
              <w:rPr>
                <w:rFonts w:ascii="Calibri" w:hAnsi="Calibri" w:cstheme="minorHAnsi"/>
                <w:b/>
                <w:color w:val="auto"/>
                <w:szCs w:val="20"/>
                <w:lang w:val="bg-BG"/>
              </w:rPr>
            </w:pPr>
            <w:r w:rsidRPr="00365108">
              <w:rPr>
                <w:rFonts w:ascii="Calibri" w:hAnsi="Calibri" w:cstheme="minorHAnsi"/>
                <w:b/>
                <w:color w:val="auto"/>
                <w:szCs w:val="20"/>
                <w:lang w:val="bg-BG"/>
              </w:rPr>
              <w:t>1,972</w:t>
            </w:r>
          </w:p>
        </w:tc>
        <w:tc>
          <w:tcPr>
            <w:tcW w:w="500" w:type="pct"/>
            <w:tcBorders>
              <w:top w:val="single" w:sz="4" w:space="0" w:color="auto"/>
              <w:left w:val="nil"/>
              <w:bottom w:val="double" w:sz="6" w:space="0" w:color="auto"/>
              <w:right w:val="nil"/>
            </w:tcBorders>
            <w:shd w:val="clear" w:color="auto" w:fill="auto"/>
            <w:vAlign w:val="bottom"/>
            <w:hideMark/>
          </w:tcPr>
          <w:p w14:paraId="6CAF1149" w14:textId="77777777" w:rsidR="0084445A" w:rsidRPr="00365108" w:rsidRDefault="0084445A" w:rsidP="00365108">
            <w:pPr>
              <w:pStyle w:val="a0"/>
              <w:widowControl w:val="0"/>
              <w:rPr>
                <w:rFonts w:ascii="Calibri" w:hAnsi="Calibri" w:cstheme="minorHAnsi"/>
                <w:b/>
                <w:color w:val="auto"/>
                <w:szCs w:val="20"/>
                <w:lang w:val="bg-BG"/>
              </w:rPr>
            </w:pPr>
            <w:r w:rsidRPr="00365108">
              <w:rPr>
                <w:rFonts w:ascii="Calibri" w:hAnsi="Calibri" w:cstheme="minorHAnsi"/>
                <w:b/>
                <w:color w:val="auto"/>
                <w:szCs w:val="20"/>
                <w:lang w:val="bg-BG"/>
              </w:rPr>
              <w:t>310</w:t>
            </w:r>
          </w:p>
        </w:tc>
        <w:tc>
          <w:tcPr>
            <w:tcW w:w="498" w:type="pct"/>
            <w:tcBorders>
              <w:top w:val="single" w:sz="4" w:space="0" w:color="auto"/>
              <w:left w:val="nil"/>
              <w:bottom w:val="double" w:sz="6" w:space="0" w:color="auto"/>
              <w:right w:val="nil"/>
            </w:tcBorders>
            <w:shd w:val="clear" w:color="auto" w:fill="auto"/>
            <w:vAlign w:val="bottom"/>
            <w:hideMark/>
          </w:tcPr>
          <w:p w14:paraId="1336FE08" w14:textId="77777777" w:rsidR="0084445A" w:rsidRPr="00365108" w:rsidRDefault="0084445A" w:rsidP="00365108">
            <w:pPr>
              <w:pStyle w:val="a0"/>
              <w:widowControl w:val="0"/>
              <w:rPr>
                <w:rFonts w:ascii="Calibri" w:hAnsi="Calibri" w:cstheme="minorHAnsi"/>
                <w:b/>
                <w:color w:val="auto"/>
                <w:szCs w:val="20"/>
                <w:lang w:val="bg-BG"/>
              </w:rPr>
            </w:pPr>
            <w:r w:rsidRPr="00365108">
              <w:rPr>
                <w:rFonts w:ascii="Calibri" w:hAnsi="Calibri" w:cstheme="minorHAnsi"/>
                <w:b/>
                <w:color w:val="auto"/>
                <w:szCs w:val="20"/>
                <w:lang w:val="bg-BG"/>
              </w:rPr>
              <w:t>2,282</w:t>
            </w:r>
          </w:p>
        </w:tc>
      </w:tr>
      <w:tr w:rsidR="0084445A" w:rsidRPr="00365108" w14:paraId="522EBE0D" w14:textId="77777777" w:rsidTr="00930481">
        <w:trPr>
          <w:trHeight w:val="170"/>
          <w:jc w:val="center"/>
        </w:trPr>
        <w:tc>
          <w:tcPr>
            <w:tcW w:w="3502" w:type="pct"/>
            <w:tcBorders>
              <w:top w:val="nil"/>
              <w:left w:val="nil"/>
              <w:bottom w:val="nil"/>
              <w:right w:val="nil"/>
            </w:tcBorders>
            <w:shd w:val="clear" w:color="auto" w:fill="auto"/>
            <w:vAlign w:val="bottom"/>
            <w:hideMark/>
          </w:tcPr>
          <w:p w14:paraId="30BA8061" w14:textId="77777777" w:rsidR="0084445A" w:rsidRPr="00365108" w:rsidRDefault="0084445A" w:rsidP="00365108">
            <w:pPr>
              <w:pStyle w:val="a"/>
              <w:rPr>
                <w:rFonts w:ascii="Calibri" w:hAnsi="Calibri" w:cstheme="minorHAnsi"/>
                <w:color w:val="auto"/>
                <w:szCs w:val="20"/>
                <w:lang w:val="bg-BG"/>
              </w:rPr>
            </w:pPr>
            <w:r w:rsidRPr="00365108">
              <w:rPr>
                <w:rFonts w:ascii="Calibri" w:hAnsi="Calibri" w:cstheme="minorHAnsi"/>
                <w:color w:val="auto"/>
                <w:szCs w:val="20"/>
                <w:lang w:val="bg-BG"/>
              </w:rPr>
              <w:t xml:space="preserve">Начислен приход от лихва по ефективен лихвен процент, включен в текущата печалба за годината </w:t>
            </w:r>
            <w:r w:rsidRPr="00365108">
              <w:rPr>
                <w:rFonts w:ascii="Calibri" w:hAnsi="Calibri" w:cstheme="minorHAnsi"/>
                <w:i/>
                <w:color w:val="auto"/>
                <w:szCs w:val="20"/>
                <w:lang w:val="bg-BG"/>
              </w:rPr>
              <w:t>(Приложение № 10)</w:t>
            </w:r>
          </w:p>
        </w:tc>
        <w:tc>
          <w:tcPr>
            <w:tcW w:w="500" w:type="pct"/>
            <w:tcBorders>
              <w:top w:val="nil"/>
              <w:left w:val="nil"/>
              <w:bottom w:val="nil"/>
              <w:right w:val="nil"/>
            </w:tcBorders>
            <w:shd w:val="clear" w:color="auto" w:fill="auto"/>
            <w:vAlign w:val="bottom"/>
            <w:hideMark/>
          </w:tcPr>
          <w:p w14:paraId="7DDBD271" w14:textId="77777777" w:rsidR="0084445A" w:rsidRPr="00365108" w:rsidRDefault="0084445A" w:rsidP="00365108">
            <w:pPr>
              <w:pStyle w:val="a0"/>
              <w:widowControl w:val="0"/>
              <w:rPr>
                <w:rFonts w:ascii="Calibri" w:hAnsi="Calibri" w:cstheme="minorHAnsi"/>
                <w:color w:val="auto"/>
                <w:szCs w:val="20"/>
                <w:lang w:val="bg-BG"/>
              </w:rPr>
            </w:pPr>
            <w:r w:rsidRPr="00365108">
              <w:rPr>
                <w:rFonts w:ascii="Calibri" w:hAnsi="Calibri" w:cstheme="minorHAnsi"/>
                <w:color w:val="auto"/>
                <w:szCs w:val="20"/>
                <w:lang w:val="bg-BG"/>
              </w:rPr>
              <w:t>63</w:t>
            </w:r>
          </w:p>
        </w:tc>
        <w:tc>
          <w:tcPr>
            <w:tcW w:w="500" w:type="pct"/>
            <w:tcBorders>
              <w:top w:val="nil"/>
              <w:left w:val="nil"/>
              <w:bottom w:val="nil"/>
              <w:right w:val="nil"/>
            </w:tcBorders>
            <w:shd w:val="clear" w:color="auto" w:fill="auto"/>
            <w:vAlign w:val="bottom"/>
            <w:hideMark/>
          </w:tcPr>
          <w:p w14:paraId="752524A5" w14:textId="77777777" w:rsidR="0084445A" w:rsidRPr="00365108" w:rsidRDefault="0084445A" w:rsidP="00365108">
            <w:pPr>
              <w:pStyle w:val="a0"/>
              <w:widowControl w:val="0"/>
              <w:rPr>
                <w:rFonts w:ascii="Calibri" w:hAnsi="Calibri" w:cstheme="minorHAnsi"/>
                <w:color w:val="auto"/>
                <w:szCs w:val="20"/>
                <w:lang w:val="bg-BG"/>
              </w:rPr>
            </w:pPr>
            <w:r w:rsidRPr="00365108">
              <w:rPr>
                <w:rFonts w:ascii="Calibri" w:hAnsi="Calibri" w:cstheme="minorHAnsi"/>
                <w:color w:val="auto"/>
                <w:szCs w:val="20"/>
                <w:lang w:val="bg-BG"/>
              </w:rPr>
              <w:t>-</w:t>
            </w:r>
          </w:p>
        </w:tc>
        <w:tc>
          <w:tcPr>
            <w:tcW w:w="498" w:type="pct"/>
            <w:tcBorders>
              <w:top w:val="nil"/>
              <w:left w:val="nil"/>
              <w:bottom w:val="nil"/>
              <w:right w:val="nil"/>
            </w:tcBorders>
            <w:shd w:val="clear" w:color="auto" w:fill="auto"/>
            <w:vAlign w:val="bottom"/>
            <w:hideMark/>
          </w:tcPr>
          <w:p w14:paraId="2CFBC7DA" w14:textId="77777777" w:rsidR="0084445A" w:rsidRPr="00365108" w:rsidRDefault="0084445A" w:rsidP="00365108">
            <w:pPr>
              <w:pStyle w:val="a0"/>
              <w:widowControl w:val="0"/>
              <w:rPr>
                <w:rFonts w:ascii="Calibri" w:hAnsi="Calibri" w:cstheme="minorHAnsi"/>
                <w:color w:val="auto"/>
                <w:szCs w:val="20"/>
                <w:lang w:val="bg-BG"/>
              </w:rPr>
            </w:pPr>
            <w:r w:rsidRPr="00365108">
              <w:rPr>
                <w:rFonts w:ascii="Calibri" w:hAnsi="Calibri" w:cstheme="minorHAnsi"/>
                <w:color w:val="auto"/>
                <w:szCs w:val="20"/>
                <w:lang w:val="bg-BG"/>
              </w:rPr>
              <w:t>63</w:t>
            </w:r>
          </w:p>
        </w:tc>
      </w:tr>
      <w:tr w:rsidR="0084445A" w:rsidRPr="00365108" w14:paraId="22B86FCB" w14:textId="77777777" w:rsidTr="00930481">
        <w:trPr>
          <w:trHeight w:val="170"/>
          <w:jc w:val="center"/>
        </w:trPr>
        <w:tc>
          <w:tcPr>
            <w:tcW w:w="3502" w:type="pct"/>
            <w:tcBorders>
              <w:top w:val="nil"/>
              <w:left w:val="nil"/>
              <w:bottom w:val="nil"/>
              <w:right w:val="nil"/>
            </w:tcBorders>
            <w:shd w:val="clear" w:color="auto" w:fill="auto"/>
            <w:vAlign w:val="bottom"/>
            <w:hideMark/>
          </w:tcPr>
          <w:p w14:paraId="663DD9FA" w14:textId="77777777" w:rsidR="0084445A" w:rsidRPr="00365108" w:rsidRDefault="0084445A" w:rsidP="00365108">
            <w:pPr>
              <w:pStyle w:val="a"/>
              <w:rPr>
                <w:rFonts w:ascii="Calibri" w:hAnsi="Calibri" w:cstheme="minorHAnsi"/>
                <w:color w:val="auto"/>
                <w:szCs w:val="20"/>
                <w:lang w:val="bg-BG"/>
              </w:rPr>
            </w:pPr>
            <w:r w:rsidRPr="00365108">
              <w:rPr>
                <w:rFonts w:ascii="Calibri" w:hAnsi="Calibri" w:cstheme="minorHAnsi"/>
                <w:color w:val="auto"/>
                <w:szCs w:val="20"/>
                <w:lang w:val="bg-BG"/>
              </w:rPr>
              <w:t>Получена купонна лихва</w:t>
            </w:r>
          </w:p>
        </w:tc>
        <w:tc>
          <w:tcPr>
            <w:tcW w:w="500" w:type="pct"/>
            <w:tcBorders>
              <w:top w:val="nil"/>
              <w:left w:val="nil"/>
              <w:bottom w:val="nil"/>
              <w:right w:val="nil"/>
            </w:tcBorders>
            <w:shd w:val="clear" w:color="auto" w:fill="auto"/>
            <w:noWrap/>
            <w:vAlign w:val="bottom"/>
            <w:hideMark/>
          </w:tcPr>
          <w:p w14:paraId="6DE0432E" w14:textId="77777777" w:rsidR="0084445A" w:rsidRPr="00365108" w:rsidRDefault="0084445A" w:rsidP="00365108">
            <w:pPr>
              <w:pStyle w:val="a0"/>
              <w:widowControl w:val="0"/>
              <w:rPr>
                <w:rFonts w:ascii="Calibri" w:hAnsi="Calibri" w:cstheme="minorHAnsi"/>
                <w:color w:val="auto"/>
                <w:szCs w:val="20"/>
                <w:lang w:val="bg-BG"/>
              </w:rPr>
            </w:pPr>
            <w:r w:rsidRPr="00365108">
              <w:rPr>
                <w:rFonts w:ascii="Calibri" w:hAnsi="Calibri" w:cstheme="minorHAnsi"/>
                <w:color w:val="auto"/>
                <w:szCs w:val="20"/>
                <w:lang w:val="bg-BG"/>
              </w:rPr>
              <w:t>(84)</w:t>
            </w:r>
          </w:p>
        </w:tc>
        <w:tc>
          <w:tcPr>
            <w:tcW w:w="500" w:type="pct"/>
            <w:tcBorders>
              <w:top w:val="nil"/>
              <w:left w:val="nil"/>
              <w:bottom w:val="nil"/>
              <w:right w:val="nil"/>
            </w:tcBorders>
            <w:shd w:val="clear" w:color="auto" w:fill="auto"/>
            <w:vAlign w:val="bottom"/>
            <w:hideMark/>
          </w:tcPr>
          <w:p w14:paraId="4F7E231D" w14:textId="77777777" w:rsidR="0084445A" w:rsidRPr="00365108" w:rsidRDefault="0084445A" w:rsidP="00365108">
            <w:pPr>
              <w:pStyle w:val="a0"/>
              <w:widowControl w:val="0"/>
              <w:rPr>
                <w:rFonts w:ascii="Calibri" w:hAnsi="Calibri" w:cstheme="minorHAnsi"/>
                <w:color w:val="auto"/>
                <w:szCs w:val="20"/>
                <w:lang w:val="bg-BG"/>
              </w:rPr>
            </w:pPr>
            <w:r w:rsidRPr="00365108">
              <w:rPr>
                <w:rFonts w:ascii="Calibri" w:hAnsi="Calibri" w:cstheme="minorHAnsi"/>
                <w:color w:val="auto"/>
                <w:szCs w:val="20"/>
                <w:lang w:val="bg-BG"/>
              </w:rPr>
              <w:t>-</w:t>
            </w:r>
          </w:p>
        </w:tc>
        <w:tc>
          <w:tcPr>
            <w:tcW w:w="498" w:type="pct"/>
            <w:tcBorders>
              <w:top w:val="nil"/>
              <w:left w:val="nil"/>
              <w:bottom w:val="nil"/>
              <w:right w:val="nil"/>
            </w:tcBorders>
            <w:shd w:val="clear" w:color="auto" w:fill="auto"/>
            <w:vAlign w:val="bottom"/>
            <w:hideMark/>
          </w:tcPr>
          <w:p w14:paraId="3515DC7D" w14:textId="77777777" w:rsidR="0084445A" w:rsidRPr="00365108" w:rsidRDefault="0084445A" w:rsidP="00365108">
            <w:pPr>
              <w:pStyle w:val="a0"/>
              <w:widowControl w:val="0"/>
              <w:rPr>
                <w:rFonts w:ascii="Calibri" w:hAnsi="Calibri" w:cstheme="minorHAnsi"/>
                <w:color w:val="auto"/>
                <w:szCs w:val="20"/>
                <w:lang w:val="bg-BG"/>
              </w:rPr>
            </w:pPr>
            <w:r w:rsidRPr="00365108">
              <w:rPr>
                <w:rFonts w:ascii="Calibri" w:hAnsi="Calibri" w:cstheme="minorHAnsi"/>
                <w:color w:val="auto"/>
                <w:szCs w:val="20"/>
                <w:lang w:val="bg-BG"/>
              </w:rPr>
              <w:t>(84)</w:t>
            </w:r>
          </w:p>
        </w:tc>
      </w:tr>
      <w:tr w:rsidR="0084445A" w:rsidRPr="00365108" w14:paraId="3583B80E" w14:textId="77777777" w:rsidTr="00930481">
        <w:trPr>
          <w:trHeight w:val="170"/>
          <w:jc w:val="center"/>
        </w:trPr>
        <w:tc>
          <w:tcPr>
            <w:tcW w:w="3502" w:type="pct"/>
            <w:tcBorders>
              <w:top w:val="nil"/>
              <w:left w:val="nil"/>
              <w:bottom w:val="nil"/>
              <w:right w:val="nil"/>
            </w:tcBorders>
            <w:shd w:val="clear" w:color="auto" w:fill="auto"/>
            <w:hideMark/>
          </w:tcPr>
          <w:p w14:paraId="18A5840F" w14:textId="77777777" w:rsidR="0084445A" w:rsidRPr="00365108" w:rsidRDefault="0084445A" w:rsidP="00365108">
            <w:pPr>
              <w:pStyle w:val="a"/>
              <w:rPr>
                <w:rFonts w:ascii="Calibri" w:hAnsi="Calibri" w:cstheme="minorHAnsi"/>
                <w:color w:val="auto"/>
                <w:szCs w:val="20"/>
                <w:lang w:val="bg-BG"/>
              </w:rPr>
            </w:pPr>
            <w:r w:rsidRPr="00365108">
              <w:rPr>
                <w:rFonts w:ascii="Calibri" w:hAnsi="Calibri" w:cstheme="minorHAnsi"/>
                <w:color w:val="auto"/>
                <w:szCs w:val="20"/>
                <w:lang w:val="bg-BG"/>
              </w:rPr>
              <w:t xml:space="preserve">Нереализирана печалба/(загуба), включена в друг всеобхватен доход </w:t>
            </w:r>
            <w:r w:rsidRPr="00365108">
              <w:rPr>
                <w:rFonts w:ascii="Calibri" w:hAnsi="Calibri" w:cstheme="minorHAnsi"/>
                <w:i/>
                <w:color w:val="auto"/>
                <w:szCs w:val="20"/>
                <w:lang w:val="bg-BG"/>
              </w:rPr>
              <w:t>(Приложение № 12)</w:t>
            </w:r>
          </w:p>
        </w:tc>
        <w:tc>
          <w:tcPr>
            <w:tcW w:w="500" w:type="pct"/>
            <w:tcBorders>
              <w:top w:val="nil"/>
              <w:left w:val="nil"/>
              <w:bottom w:val="nil"/>
              <w:right w:val="nil"/>
            </w:tcBorders>
            <w:shd w:val="clear" w:color="auto" w:fill="auto"/>
            <w:vAlign w:val="bottom"/>
            <w:hideMark/>
          </w:tcPr>
          <w:p w14:paraId="20C7E79A" w14:textId="77777777" w:rsidR="0084445A" w:rsidRPr="00365108" w:rsidRDefault="0084445A" w:rsidP="00365108">
            <w:pPr>
              <w:pStyle w:val="a0"/>
              <w:widowControl w:val="0"/>
              <w:rPr>
                <w:rFonts w:ascii="Calibri" w:hAnsi="Calibri" w:cstheme="minorHAnsi"/>
                <w:color w:val="auto"/>
                <w:szCs w:val="20"/>
                <w:lang w:val="bg-BG"/>
              </w:rPr>
            </w:pPr>
            <w:r w:rsidRPr="00365108">
              <w:rPr>
                <w:rFonts w:ascii="Calibri" w:hAnsi="Calibri" w:cstheme="minorHAnsi"/>
                <w:color w:val="auto"/>
                <w:szCs w:val="20"/>
                <w:lang w:val="bg-BG"/>
              </w:rPr>
              <w:t>84</w:t>
            </w:r>
          </w:p>
        </w:tc>
        <w:tc>
          <w:tcPr>
            <w:tcW w:w="500" w:type="pct"/>
            <w:tcBorders>
              <w:top w:val="nil"/>
              <w:left w:val="nil"/>
              <w:bottom w:val="nil"/>
              <w:right w:val="nil"/>
            </w:tcBorders>
            <w:shd w:val="clear" w:color="auto" w:fill="auto"/>
            <w:vAlign w:val="bottom"/>
            <w:hideMark/>
          </w:tcPr>
          <w:p w14:paraId="300CC29B" w14:textId="77777777" w:rsidR="0084445A" w:rsidRPr="00365108" w:rsidRDefault="0084445A" w:rsidP="00365108">
            <w:pPr>
              <w:pStyle w:val="a0"/>
              <w:widowControl w:val="0"/>
              <w:rPr>
                <w:rFonts w:ascii="Calibri" w:hAnsi="Calibri" w:cstheme="minorHAnsi"/>
                <w:color w:val="auto"/>
                <w:szCs w:val="20"/>
                <w:lang w:val="bg-BG"/>
              </w:rPr>
            </w:pPr>
            <w:r w:rsidRPr="00365108">
              <w:rPr>
                <w:rFonts w:ascii="Calibri" w:hAnsi="Calibri" w:cstheme="minorHAnsi"/>
                <w:color w:val="auto"/>
                <w:szCs w:val="20"/>
                <w:lang w:val="bg-BG"/>
              </w:rPr>
              <w:t>13</w:t>
            </w:r>
          </w:p>
        </w:tc>
        <w:tc>
          <w:tcPr>
            <w:tcW w:w="498" w:type="pct"/>
            <w:tcBorders>
              <w:top w:val="nil"/>
              <w:left w:val="nil"/>
              <w:bottom w:val="nil"/>
              <w:right w:val="nil"/>
            </w:tcBorders>
            <w:shd w:val="clear" w:color="auto" w:fill="auto"/>
            <w:vAlign w:val="bottom"/>
            <w:hideMark/>
          </w:tcPr>
          <w:p w14:paraId="74928EF8" w14:textId="77777777" w:rsidR="0084445A" w:rsidRPr="00365108" w:rsidRDefault="0084445A" w:rsidP="00365108">
            <w:pPr>
              <w:pStyle w:val="a0"/>
              <w:widowControl w:val="0"/>
              <w:rPr>
                <w:rFonts w:ascii="Calibri" w:hAnsi="Calibri" w:cstheme="minorHAnsi"/>
                <w:color w:val="auto"/>
                <w:szCs w:val="20"/>
                <w:lang w:val="bg-BG"/>
              </w:rPr>
            </w:pPr>
            <w:r w:rsidRPr="00365108">
              <w:rPr>
                <w:rFonts w:ascii="Calibri" w:hAnsi="Calibri" w:cstheme="minorHAnsi"/>
                <w:color w:val="auto"/>
                <w:szCs w:val="20"/>
                <w:lang w:val="bg-BG"/>
              </w:rPr>
              <w:t>97</w:t>
            </w:r>
          </w:p>
        </w:tc>
      </w:tr>
      <w:tr w:rsidR="0084445A" w:rsidRPr="00365108" w14:paraId="13E4E307" w14:textId="77777777" w:rsidTr="00930481">
        <w:trPr>
          <w:trHeight w:val="170"/>
          <w:jc w:val="center"/>
        </w:trPr>
        <w:tc>
          <w:tcPr>
            <w:tcW w:w="3502" w:type="pct"/>
            <w:tcBorders>
              <w:top w:val="nil"/>
              <w:left w:val="nil"/>
              <w:bottom w:val="nil"/>
              <w:right w:val="nil"/>
            </w:tcBorders>
            <w:shd w:val="clear" w:color="auto" w:fill="auto"/>
            <w:vAlign w:val="bottom"/>
            <w:hideMark/>
          </w:tcPr>
          <w:p w14:paraId="1938C396" w14:textId="77777777" w:rsidR="0084445A" w:rsidRPr="00365108" w:rsidRDefault="0084445A" w:rsidP="00365108">
            <w:pPr>
              <w:pStyle w:val="a"/>
              <w:rPr>
                <w:rFonts w:ascii="Calibri" w:hAnsi="Calibri" w:cstheme="minorHAnsi"/>
                <w:b/>
                <w:bCs/>
                <w:color w:val="auto"/>
                <w:szCs w:val="20"/>
                <w:lang w:val="bg-BG"/>
              </w:rPr>
            </w:pPr>
            <w:r w:rsidRPr="00365108">
              <w:rPr>
                <w:rFonts w:ascii="Calibri" w:hAnsi="Calibri" w:cstheme="minorHAnsi"/>
                <w:b/>
                <w:color w:val="auto"/>
                <w:szCs w:val="20"/>
                <w:lang w:val="bg-BG"/>
              </w:rPr>
              <w:t>Салдо към 31 декември 2017 година</w:t>
            </w:r>
          </w:p>
        </w:tc>
        <w:tc>
          <w:tcPr>
            <w:tcW w:w="500" w:type="pct"/>
            <w:tcBorders>
              <w:top w:val="single" w:sz="4" w:space="0" w:color="auto"/>
              <w:left w:val="nil"/>
              <w:bottom w:val="double" w:sz="6" w:space="0" w:color="auto"/>
              <w:right w:val="nil"/>
            </w:tcBorders>
            <w:shd w:val="clear" w:color="auto" w:fill="auto"/>
            <w:vAlign w:val="bottom"/>
            <w:hideMark/>
          </w:tcPr>
          <w:p w14:paraId="31B40472" w14:textId="77777777" w:rsidR="0084445A" w:rsidRPr="00365108" w:rsidRDefault="0084445A" w:rsidP="00365108">
            <w:pPr>
              <w:pStyle w:val="a0"/>
              <w:widowControl w:val="0"/>
              <w:rPr>
                <w:rFonts w:ascii="Calibri" w:hAnsi="Calibri" w:cstheme="minorHAnsi"/>
                <w:b/>
                <w:color w:val="auto"/>
                <w:szCs w:val="20"/>
                <w:lang w:val="bg-BG"/>
              </w:rPr>
            </w:pPr>
            <w:r w:rsidRPr="00365108">
              <w:rPr>
                <w:rFonts w:ascii="Calibri" w:hAnsi="Calibri" w:cstheme="minorHAnsi"/>
                <w:b/>
                <w:color w:val="auto"/>
                <w:szCs w:val="20"/>
                <w:lang w:val="bg-BG"/>
              </w:rPr>
              <w:t>2,035</w:t>
            </w:r>
          </w:p>
        </w:tc>
        <w:tc>
          <w:tcPr>
            <w:tcW w:w="500" w:type="pct"/>
            <w:tcBorders>
              <w:top w:val="single" w:sz="4" w:space="0" w:color="auto"/>
              <w:left w:val="nil"/>
              <w:bottom w:val="double" w:sz="6" w:space="0" w:color="auto"/>
              <w:right w:val="nil"/>
            </w:tcBorders>
            <w:shd w:val="clear" w:color="auto" w:fill="auto"/>
            <w:vAlign w:val="bottom"/>
            <w:hideMark/>
          </w:tcPr>
          <w:p w14:paraId="621B50AB" w14:textId="77777777" w:rsidR="0084445A" w:rsidRPr="00365108" w:rsidRDefault="0084445A" w:rsidP="00365108">
            <w:pPr>
              <w:pStyle w:val="a0"/>
              <w:rPr>
                <w:rFonts w:ascii="Calibri" w:hAnsi="Calibri" w:cstheme="minorHAnsi"/>
                <w:b/>
                <w:color w:val="auto"/>
                <w:szCs w:val="20"/>
                <w:lang w:val="bg-BG"/>
              </w:rPr>
            </w:pPr>
            <w:r w:rsidRPr="00365108">
              <w:rPr>
                <w:rFonts w:ascii="Calibri" w:hAnsi="Calibri" w:cstheme="minorHAnsi"/>
                <w:b/>
                <w:color w:val="auto"/>
                <w:szCs w:val="20"/>
                <w:lang w:val="bg-BG"/>
              </w:rPr>
              <w:t>323</w:t>
            </w:r>
          </w:p>
        </w:tc>
        <w:tc>
          <w:tcPr>
            <w:tcW w:w="498" w:type="pct"/>
            <w:tcBorders>
              <w:top w:val="single" w:sz="4" w:space="0" w:color="auto"/>
              <w:left w:val="nil"/>
              <w:bottom w:val="double" w:sz="6" w:space="0" w:color="auto"/>
              <w:right w:val="nil"/>
            </w:tcBorders>
            <w:shd w:val="clear" w:color="auto" w:fill="auto"/>
            <w:vAlign w:val="bottom"/>
            <w:hideMark/>
          </w:tcPr>
          <w:p w14:paraId="4CF2A65C" w14:textId="77777777" w:rsidR="0084445A" w:rsidRPr="00365108" w:rsidRDefault="0084445A" w:rsidP="00365108">
            <w:pPr>
              <w:pStyle w:val="a0"/>
              <w:widowControl w:val="0"/>
              <w:rPr>
                <w:rFonts w:ascii="Calibri" w:hAnsi="Calibri" w:cstheme="minorHAnsi"/>
                <w:b/>
                <w:color w:val="auto"/>
                <w:szCs w:val="20"/>
                <w:lang w:val="bg-BG"/>
              </w:rPr>
            </w:pPr>
            <w:r w:rsidRPr="00365108">
              <w:rPr>
                <w:rFonts w:ascii="Calibri" w:hAnsi="Calibri" w:cstheme="minorHAnsi"/>
                <w:b/>
                <w:color w:val="auto"/>
                <w:szCs w:val="20"/>
                <w:lang w:val="bg-BG"/>
              </w:rPr>
              <w:t>2,358</w:t>
            </w:r>
          </w:p>
        </w:tc>
      </w:tr>
      <w:tr w:rsidR="0084445A" w:rsidRPr="00C4020C" w14:paraId="2C269B8D" w14:textId="77777777" w:rsidTr="00930481">
        <w:trPr>
          <w:trHeight w:val="170"/>
          <w:jc w:val="center"/>
        </w:trPr>
        <w:tc>
          <w:tcPr>
            <w:tcW w:w="3502" w:type="pct"/>
            <w:tcBorders>
              <w:top w:val="nil"/>
              <w:left w:val="nil"/>
              <w:bottom w:val="nil"/>
              <w:right w:val="nil"/>
            </w:tcBorders>
            <w:shd w:val="clear" w:color="auto" w:fill="auto"/>
            <w:vAlign w:val="bottom"/>
            <w:hideMark/>
          </w:tcPr>
          <w:p w14:paraId="4EE64195" w14:textId="77777777" w:rsidR="0084445A" w:rsidRPr="00C4020C" w:rsidRDefault="0084445A" w:rsidP="00365108">
            <w:pPr>
              <w:pStyle w:val="a"/>
              <w:rPr>
                <w:rFonts w:ascii="Calibri" w:hAnsi="Calibri" w:cstheme="minorHAnsi"/>
                <w:color w:val="auto"/>
                <w:szCs w:val="20"/>
                <w:lang w:val="bg-BG"/>
              </w:rPr>
            </w:pPr>
            <w:r w:rsidRPr="00C4020C">
              <w:rPr>
                <w:rFonts w:ascii="Calibri" w:hAnsi="Calibri" w:cstheme="minorHAnsi"/>
                <w:color w:val="auto"/>
                <w:szCs w:val="20"/>
                <w:lang w:val="bg-BG"/>
              </w:rPr>
              <w:t xml:space="preserve">Начислен приход от лихва по ефективен лихвен процент, включен в текущата печалба за периода </w:t>
            </w:r>
            <w:r w:rsidRPr="00C4020C">
              <w:rPr>
                <w:rFonts w:ascii="Calibri" w:hAnsi="Calibri" w:cstheme="minorHAnsi"/>
                <w:i/>
                <w:color w:val="auto"/>
                <w:szCs w:val="20"/>
                <w:lang w:val="bg-BG"/>
              </w:rPr>
              <w:t>(Приложение № 10)</w:t>
            </w:r>
          </w:p>
        </w:tc>
        <w:tc>
          <w:tcPr>
            <w:tcW w:w="500" w:type="pct"/>
            <w:tcBorders>
              <w:top w:val="nil"/>
              <w:left w:val="nil"/>
              <w:bottom w:val="nil"/>
              <w:right w:val="nil"/>
            </w:tcBorders>
            <w:shd w:val="clear" w:color="auto" w:fill="auto"/>
            <w:vAlign w:val="bottom"/>
            <w:hideMark/>
          </w:tcPr>
          <w:p w14:paraId="726EDA40" w14:textId="77777777" w:rsidR="0084445A" w:rsidRPr="00C4020C" w:rsidRDefault="0084445A" w:rsidP="00365108">
            <w:pPr>
              <w:pStyle w:val="a0"/>
              <w:widowControl w:val="0"/>
              <w:rPr>
                <w:rFonts w:ascii="Calibri" w:hAnsi="Calibri" w:cstheme="minorHAnsi"/>
                <w:color w:val="auto"/>
                <w:szCs w:val="20"/>
                <w:lang w:val="bg-BG"/>
              </w:rPr>
            </w:pPr>
            <w:r w:rsidRPr="00C4020C">
              <w:rPr>
                <w:rFonts w:ascii="Calibri" w:hAnsi="Calibri" w:cstheme="minorHAnsi"/>
                <w:color w:val="auto"/>
                <w:szCs w:val="20"/>
                <w:lang w:val="bg-BG"/>
              </w:rPr>
              <w:t>58</w:t>
            </w:r>
          </w:p>
        </w:tc>
        <w:tc>
          <w:tcPr>
            <w:tcW w:w="500" w:type="pct"/>
            <w:tcBorders>
              <w:top w:val="nil"/>
              <w:left w:val="nil"/>
              <w:bottom w:val="nil"/>
              <w:right w:val="nil"/>
            </w:tcBorders>
            <w:shd w:val="clear" w:color="auto" w:fill="auto"/>
            <w:vAlign w:val="bottom"/>
            <w:hideMark/>
          </w:tcPr>
          <w:p w14:paraId="21B7C363" w14:textId="77777777" w:rsidR="0084445A" w:rsidRPr="00C4020C" w:rsidRDefault="0084445A" w:rsidP="00365108">
            <w:pPr>
              <w:pStyle w:val="a0"/>
              <w:widowControl w:val="0"/>
              <w:rPr>
                <w:rFonts w:ascii="Calibri" w:hAnsi="Calibri" w:cstheme="minorHAnsi"/>
                <w:color w:val="auto"/>
                <w:szCs w:val="20"/>
                <w:lang w:val="bg-BG"/>
              </w:rPr>
            </w:pPr>
            <w:r w:rsidRPr="00C4020C">
              <w:rPr>
                <w:rFonts w:ascii="Calibri" w:hAnsi="Calibri" w:cstheme="minorHAnsi"/>
                <w:color w:val="auto"/>
                <w:szCs w:val="20"/>
                <w:lang w:val="bg-BG"/>
              </w:rPr>
              <w:t>-</w:t>
            </w:r>
          </w:p>
        </w:tc>
        <w:tc>
          <w:tcPr>
            <w:tcW w:w="498" w:type="pct"/>
            <w:tcBorders>
              <w:top w:val="nil"/>
              <w:left w:val="nil"/>
              <w:bottom w:val="nil"/>
              <w:right w:val="nil"/>
            </w:tcBorders>
            <w:shd w:val="clear" w:color="auto" w:fill="auto"/>
            <w:vAlign w:val="bottom"/>
            <w:hideMark/>
          </w:tcPr>
          <w:p w14:paraId="21CF6371" w14:textId="77777777" w:rsidR="0084445A" w:rsidRPr="00C4020C" w:rsidRDefault="0084445A" w:rsidP="00365108">
            <w:pPr>
              <w:pStyle w:val="a0"/>
              <w:widowControl w:val="0"/>
              <w:rPr>
                <w:rFonts w:ascii="Calibri" w:hAnsi="Calibri" w:cstheme="minorHAnsi"/>
                <w:color w:val="auto"/>
                <w:szCs w:val="20"/>
                <w:lang w:val="bg-BG"/>
              </w:rPr>
            </w:pPr>
            <w:r w:rsidRPr="00C4020C">
              <w:rPr>
                <w:rFonts w:ascii="Calibri" w:hAnsi="Calibri" w:cstheme="minorHAnsi"/>
                <w:color w:val="auto"/>
                <w:szCs w:val="20"/>
                <w:lang w:val="bg-BG"/>
              </w:rPr>
              <w:t>58</w:t>
            </w:r>
          </w:p>
        </w:tc>
      </w:tr>
      <w:tr w:rsidR="0084445A" w:rsidRPr="00C4020C" w14:paraId="59624975" w14:textId="77777777" w:rsidTr="00930481">
        <w:trPr>
          <w:trHeight w:val="170"/>
          <w:jc w:val="center"/>
        </w:trPr>
        <w:tc>
          <w:tcPr>
            <w:tcW w:w="3502" w:type="pct"/>
            <w:tcBorders>
              <w:top w:val="nil"/>
              <w:left w:val="nil"/>
              <w:bottom w:val="nil"/>
              <w:right w:val="nil"/>
            </w:tcBorders>
            <w:shd w:val="clear" w:color="auto" w:fill="auto"/>
            <w:vAlign w:val="bottom"/>
            <w:hideMark/>
          </w:tcPr>
          <w:p w14:paraId="602A3E39" w14:textId="77777777" w:rsidR="0084445A" w:rsidRPr="00C4020C" w:rsidRDefault="0084445A" w:rsidP="00365108">
            <w:pPr>
              <w:pStyle w:val="a"/>
              <w:rPr>
                <w:rFonts w:ascii="Calibri" w:hAnsi="Calibri" w:cstheme="minorHAnsi"/>
                <w:color w:val="auto"/>
                <w:szCs w:val="20"/>
                <w:lang w:val="bg-BG"/>
              </w:rPr>
            </w:pPr>
            <w:r w:rsidRPr="00C4020C">
              <w:rPr>
                <w:rFonts w:ascii="Calibri" w:hAnsi="Calibri" w:cstheme="minorHAnsi"/>
                <w:color w:val="auto"/>
                <w:szCs w:val="20"/>
                <w:lang w:val="bg-BG"/>
              </w:rPr>
              <w:t>Получена купонна лихва</w:t>
            </w:r>
          </w:p>
        </w:tc>
        <w:tc>
          <w:tcPr>
            <w:tcW w:w="500" w:type="pct"/>
            <w:tcBorders>
              <w:top w:val="nil"/>
              <w:left w:val="nil"/>
              <w:bottom w:val="nil"/>
              <w:right w:val="nil"/>
            </w:tcBorders>
            <w:shd w:val="clear" w:color="auto" w:fill="auto"/>
            <w:noWrap/>
            <w:vAlign w:val="bottom"/>
            <w:hideMark/>
          </w:tcPr>
          <w:p w14:paraId="4FA1EDEB" w14:textId="77777777" w:rsidR="0084445A" w:rsidRPr="00C4020C" w:rsidRDefault="0084445A" w:rsidP="00365108">
            <w:pPr>
              <w:pStyle w:val="a0"/>
              <w:widowControl w:val="0"/>
              <w:rPr>
                <w:rFonts w:ascii="Calibri" w:hAnsi="Calibri" w:cstheme="minorHAnsi"/>
                <w:color w:val="auto"/>
                <w:szCs w:val="20"/>
                <w:lang w:val="bg-BG"/>
              </w:rPr>
            </w:pPr>
            <w:r w:rsidRPr="00C4020C">
              <w:rPr>
                <w:rFonts w:ascii="Calibri" w:hAnsi="Calibri" w:cstheme="minorHAnsi"/>
                <w:color w:val="auto"/>
                <w:szCs w:val="20"/>
                <w:lang w:val="bg-BG"/>
              </w:rPr>
              <w:t>(84)</w:t>
            </w:r>
          </w:p>
        </w:tc>
        <w:tc>
          <w:tcPr>
            <w:tcW w:w="500" w:type="pct"/>
            <w:tcBorders>
              <w:top w:val="nil"/>
              <w:left w:val="nil"/>
              <w:bottom w:val="nil"/>
              <w:right w:val="nil"/>
            </w:tcBorders>
            <w:shd w:val="clear" w:color="auto" w:fill="auto"/>
            <w:vAlign w:val="bottom"/>
            <w:hideMark/>
          </w:tcPr>
          <w:p w14:paraId="123128B7" w14:textId="77777777" w:rsidR="0084445A" w:rsidRPr="00C4020C" w:rsidRDefault="0084445A" w:rsidP="00365108">
            <w:pPr>
              <w:pStyle w:val="a0"/>
              <w:widowControl w:val="0"/>
              <w:ind w:firstLine="709"/>
              <w:rPr>
                <w:rFonts w:ascii="Calibri" w:hAnsi="Calibri" w:cstheme="minorHAnsi"/>
                <w:color w:val="auto"/>
                <w:szCs w:val="20"/>
                <w:lang w:val="bg-BG"/>
              </w:rPr>
            </w:pPr>
            <w:r w:rsidRPr="00C4020C">
              <w:rPr>
                <w:rFonts w:ascii="Calibri" w:hAnsi="Calibri" w:cstheme="minorHAnsi"/>
                <w:color w:val="auto"/>
                <w:szCs w:val="20"/>
                <w:lang w:val="bg-BG"/>
              </w:rPr>
              <w:t>-</w:t>
            </w:r>
          </w:p>
        </w:tc>
        <w:tc>
          <w:tcPr>
            <w:tcW w:w="498" w:type="pct"/>
            <w:tcBorders>
              <w:top w:val="nil"/>
              <w:left w:val="nil"/>
              <w:bottom w:val="nil"/>
              <w:right w:val="nil"/>
            </w:tcBorders>
            <w:shd w:val="clear" w:color="auto" w:fill="auto"/>
            <w:vAlign w:val="bottom"/>
            <w:hideMark/>
          </w:tcPr>
          <w:p w14:paraId="02F3ADE1" w14:textId="77777777" w:rsidR="0084445A" w:rsidRPr="00C4020C" w:rsidRDefault="0084445A" w:rsidP="00365108">
            <w:pPr>
              <w:pStyle w:val="a0"/>
              <w:widowControl w:val="0"/>
              <w:rPr>
                <w:rFonts w:ascii="Calibri" w:hAnsi="Calibri" w:cstheme="minorHAnsi"/>
                <w:color w:val="auto"/>
                <w:szCs w:val="20"/>
                <w:lang w:val="bg-BG"/>
              </w:rPr>
            </w:pPr>
            <w:r w:rsidRPr="00C4020C">
              <w:rPr>
                <w:rFonts w:ascii="Calibri" w:hAnsi="Calibri" w:cstheme="minorHAnsi"/>
                <w:color w:val="auto"/>
                <w:szCs w:val="20"/>
                <w:lang w:val="bg-BG"/>
              </w:rPr>
              <w:t>(84)</w:t>
            </w:r>
          </w:p>
        </w:tc>
      </w:tr>
      <w:tr w:rsidR="0084445A" w:rsidRPr="00C4020C" w14:paraId="5C49F99F" w14:textId="77777777" w:rsidTr="00930481">
        <w:trPr>
          <w:trHeight w:val="170"/>
          <w:jc w:val="center"/>
        </w:trPr>
        <w:tc>
          <w:tcPr>
            <w:tcW w:w="3502" w:type="pct"/>
            <w:tcBorders>
              <w:top w:val="nil"/>
              <w:left w:val="nil"/>
              <w:bottom w:val="nil"/>
              <w:right w:val="nil"/>
            </w:tcBorders>
            <w:shd w:val="clear" w:color="auto" w:fill="auto"/>
            <w:hideMark/>
          </w:tcPr>
          <w:p w14:paraId="7C13891F" w14:textId="77777777" w:rsidR="00930481" w:rsidRPr="00C4020C" w:rsidRDefault="0084445A" w:rsidP="00365108">
            <w:pPr>
              <w:pStyle w:val="a"/>
              <w:rPr>
                <w:rFonts w:ascii="Calibri" w:hAnsi="Calibri" w:cstheme="minorHAnsi"/>
                <w:color w:val="auto"/>
                <w:szCs w:val="20"/>
                <w:lang w:val="bg-BG"/>
              </w:rPr>
            </w:pPr>
            <w:r w:rsidRPr="00C4020C">
              <w:rPr>
                <w:rFonts w:ascii="Calibri" w:hAnsi="Calibri" w:cstheme="minorHAnsi"/>
                <w:color w:val="auto"/>
                <w:szCs w:val="20"/>
                <w:lang w:val="bg-BG"/>
              </w:rPr>
              <w:t xml:space="preserve">Нереализирана печалба, включена в друг всеобхватен доход </w:t>
            </w:r>
          </w:p>
          <w:p w14:paraId="2AA8FA9A" w14:textId="3D518978" w:rsidR="0084445A" w:rsidRPr="00C4020C" w:rsidRDefault="0084445A" w:rsidP="00365108">
            <w:pPr>
              <w:pStyle w:val="a"/>
              <w:rPr>
                <w:rFonts w:ascii="Calibri" w:hAnsi="Calibri" w:cstheme="minorHAnsi"/>
                <w:color w:val="auto"/>
                <w:szCs w:val="20"/>
                <w:lang w:val="bg-BG"/>
              </w:rPr>
            </w:pPr>
            <w:r w:rsidRPr="00C4020C">
              <w:rPr>
                <w:rFonts w:ascii="Calibri" w:hAnsi="Calibri" w:cstheme="minorHAnsi"/>
                <w:i/>
                <w:color w:val="auto"/>
                <w:szCs w:val="20"/>
                <w:lang w:val="bg-BG"/>
              </w:rPr>
              <w:t>(Приложение № 12)</w:t>
            </w:r>
          </w:p>
        </w:tc>
        <w:tc>
          <w:tcPr>
            <w:tcW w:w="500" w:type="pct"/>
            <w:tcBorders>
              <w:top w:val="nil"/>
              <w:left w:val="nil"/>
              <w:bottom w:val="nil"/>
              <w:right w:val="nil"/>
            </w:tcBorders>
            <w:shd w:val="clear" w:color="auto" w:fill="auto"/>
            <w:vAlign w:val="bottom"/>
            <w:hideMark/>
          </w:tcPr>
          <w:p w14:paraId="2FA2C268" w14:textId="77777777" w:rsidR="0084445A" w:rsidRPr="00C4020C" w:rsidRDefault="0084445A" w:rsidP="00365108">
            <w:pPr>
              <w:pStyle w:val="a0"/>
              <w:widowControl w:val="0"/>
              <w:rPr>
                <w:rFonts w:ascii="Calibri" w:hAnsi="Calibri" w:cstheme="minorHAnsi"/>
                <w:color w:val="auto"/>
                <w:szCs w:val="20"/>
              </w:rPr>
            </w:pPr>
            <w:r w:rsidRPr="00C4020C">
              <w:rPr>
                <w:rFonts w:ascii="Calibri" w:hAnsi="Calibri" w:cstheme="minorHAnsi"/>
                <w:color w:val="auto"/>
                <w:szCs w:val="20"/>
              </w:rPr>
              <w:t>(</w:t>
            </w:r>
            <w:r w:rsidRPr="00C4020C">
              <w:rPr>
                <w:rFonts w:ascii="Calibri" w:hAnsi="Calibri" w:cstheme="minorHAnsi"/>
                <w:color w:val="auto"/>
                <w:szCs w:val="20"/>
                <w:lang w:val="bg-BG"/>
              </w:rPr>
              <w:t>37</w:t>
            </w:r>
            <w:r w:rsidRPr="00C4020C">
              <w:rPr>
                <w:rFonts w:ascii="Calibri" w:hAnsi="Calibri" w:cstheme="minorHAnsi"/>
                <w:color w:val="auto"/>
                <w:szCs w:val="20"/>
              </w:rPr>
              <w:t>)</w:t>
            </w:r>
          </w:p>
        </w:tc>
        <w:tc>
          <w:tcPr>
            <w:tcW w:w="500" w:type="pct"/>
            <w:tcBorders>
              <w:top w:val="nil"/>
              <w:left w:val="nil"/>
              <w:bottom w:val="nil"/>
              <w:right w:val="nil"/>
            </w:tcBorders>
            <w:shd w:val="clear" w:color="auto" w:fill="auto"/>
            <w:vAlign w:val="bottom"/>
            <w:hideMark/>
          </w:tcPr>
          <w:p w14:paraId="1208EF2B" w14:textId="77777777" w:rsidR="0084445A" w:rsidRPr="00C4020C" w:rsidRDefault="0084445A" w:rsidP="00365108">
            <w:pPr>
              <w:pStyle w:val="a0"/>
              <w:widowControl w:val="0"/>
              <w:rPr>
                <w:rFonts w:ascii="Calibri" w:hAnsi="Calibri" w:cstheme="minorHAnsi"/>
                <w:color w:val="auto"/>
                <w:szCs w:val="20"/>
              </w:rPr>
            </w:pPr>
            <w:r w:rsidRPr="00C4020C">
              <w:rPr>
                <w:rFonts w:ascii="Calibri" w:hAnsi="Calibri" w:cstheme="minorHAnsi"/>
                <w:color w:val="auto"/>
                <w:szCs w:val="20"/>
              </w:rPr>
              <w:t>-</w:t>
            </w:r>
          </w:p>
        </w:tc>
        <w:tc>
          <w:tcPr>
            <w:tcW w:w="498" w:type="pct"/>
            <w:tcBorders>
              <w:top w:val="nil"/>
              <w:left w:val="nil"/>
              <w:bottom w:val="nil"/>
              <w:right w:val="nil"/>
            </w:tcBorders>
            <w:shd w:val="clear" w:color="auto" w:fill="auto"/>
            <w:vAlign w:val="bottom"/>
            <w:hideMark/>
          </w:tcPr>
          <w:p w14:paraId="7BCC00DC" w14:textId="77777777" w:rsidR="0084445A" w:rsidRPr="00C4020C" w:rsidRDefault="0084445A" w:rsidP="00365108">
            <w:pPr>
              <w:pStyle w:val="a0"/>
              <w:widowControl w:val="0"/>
              <w:rPr>
                <w:rFonts w:ascii="Calibri" w:hAnsi="Calibri" w:cstheme="minorHAnsi"/>
                <w:color w:val="auto"/>
                <w:szCs w:val="20"/>
              </w:rPr>
            </w:pPr>
            <w:r w:rsidRPr="00C4020C">
              <w:rPr>
                <w:rFonts w:ascii="Calibri" w:hAnsi="Calibri" w:cstheme="minorHAnsi"/>
                <w:color w:val="auto"/>
                <w:szCs w:val="20"/>
              </w:rPr>
              <w:t>(</w:t>
            </w:r>
            <w:r w:rsidRPr="00C4020C">
              <w:rPr>
                <w:rFonts w:ascii="Calibri" w:hAnsi="Calibri" w:cstheme="minorHAnsi"/>
                <w:color w:val="auto"/>
                <w:szCs w:val="20"/>
                <w:lang w:val="bg-BG"/>
              </w:rPr>
              <w:t>37</w:t>
            </w:r>
            <w:r w:rsidRPr="00C4020C">
              <w:rPr>
                <w:rFonts w:ascii="Calibri" w:hAnsi="Calibri" w:cstheme="minorHAnsi"/>
                <w:color w:val="auto"/>
                <w:szCs w:val="20"/>
              </w:rPr>
              <w:t>)</w:t>
            </w:r>
          </w:p>
        </w:tc>
      </w:tr>
      <w:tr w:rsidR="0084445A" w:rsidRPr="00365108" w14:paraId="146C3C21" w14:textId="77777777" w:rsidTr="00930481">
        <w:trPr>
          <w:trHeight w:val="170"/>
          <w:jc w:val="center"/>
        </w:trPr>
        <w:tc>
          <w:tcPr>
            <w:tcW w:w="3502" w:type="pct"/>
            <w:tcBorders>
              <w:top w:val="nil"/>
              <w:left w:val="nil"/>
              <w:bottom w:val="nil"/>
              <w:right w:val="nil"/>
            </w:tcBorders>
            <w:shd w:val="clear" w:color="auto" w:fill="auto"/>
            <w:vAlign w:val="bottom"/>
            <w:hideMark/>
          </w:tcPr>
          <w:p w14:paraId="1CFA32CA" w14:textId="505F4B96" w:rsidR="0084445A" w:rsidRPr="00C4020C" w:rsidRDefault="0084445A" w:rsidP="00365108">
            <w:pPr>
              <w:pStyle w:val="a"/>
              <w:rPr>
                <w:rFonts w:ascii="Calibri" w:hAnsi="Calibri" w:cstheme="minorHAnsi"/>
                <w:b/>
                <w:bCs/>
                <w:color w:val="auto"/>
                <w:szCs w:val="20"/>
                <w:lang w:val="bg-BG"/>
              </w:rPr>
            </w:pPr>
            <w:r w:rsidRPr="00C4020C">
              <w:rPr>
                <w:rFonts w:ascii="Calibri" w:hAnsi="Calibri" w:cstheme="minorHAnsi"/>
                <w:b/>
                <w:color w:val="auto"/>
                <w:szCs w:val="20"/>
                <w:lang w:val="bg-BG"/>
              </w:rPr>
              <w:t>Салдо към 31 декември</w:t>
            </w:r>
            <w:r w:rsidR="00FD518A" w:rsidRPr="00C4020C">
              <w:rPr>
                <w:rFonts w:ascii="Calibri" w:hAnsi="Calibri" w:cstheme="minorHAnsi"/>
                <w:b/>
                <w:color w:val="auto"/>
                <w:szCs w:val="20"/>
                <w:lang w:val="bg-BG"/>
              </w:rPr>
              <w:t xml:space="preserve"> </w:t>
            </w:r>
            <w:r w:rsidRPr="00C4020C">
              <w:rPr>
                <w:rFonts w:ascii="Calibri" w:hAnsi="Calibri" w:cstheme="minorHAnsi"/>
                <w:b/>
                <w:color w:val="auto"/>
                <w:szCs w:val="20"/>
                <w:lang w:val="bg-BG"/>
              </w:rPr>
              <w:t>2018 година</w:t>
            </w:r>
          </w:p>
        </w:tc>
        <w:tc>
          <w:tcPr>
            <w:tcW w:w="500" w:type="pct"/>
            <w:tcBorders>
              <w:top w:val="single" w:sz="4" w:space="0" w:color="auto"/>
              <w:left w:val="nil"/>
              <w:bottom w:val="double" w:sz="6" w:space="0" w:color="auto"/>
              <w:right w:val="nil"/>
            </w:tcBorders>
            <w:shd w:val="clear" w:color="auto" w:fill="auto"/>
            <w:vAlign w:val="bottom"/>
            <w:hideMark/>
          </w:tcPr>
          <w:p w14:paraId="457B23AF" w14:textId="77777777" w:rsidR="0084445A" w:rsidRPr="00C4020C" w:rsidRDefault="0084445A" w:rsidP="00365108">
            <w:pPr>
              <w:pStyle w:val="a0"/>
              <w:widowControl w:val="0"/>
              <w:rPr>
                <w:rFonts w:ascii="Calibri" w:hAnsi="Calibri" w:cstheme="minorHAnsi"/>
                <w:b/>
                <w:color w:val="auto"/>
                <w:szCs w:val="20"/>
                <w:lang w:val="bg-BG"/>
              </w:rPr>
            </w:pPr>
            <w:r w:rsidRPr="00C4020C">
              <w:rPr>
                <w:rFonts w:ascii="Calibri" w:hAnsi="Calibri" w:cstheme="minorHAnsi"/>
                <w:b/>
                <w:color w:val="auto"/>
                <w:szCs w:val="20"/>
                <w:lang w:val="bg-BG"/>
              </w:rPr>
              <w:t>1,972</w:t>
            </w:r>
          </w:p>
        </w:tc>
        <w:tc>
          <w:tcPr>
            <w:tcW w:w="500" w:type="pct"/>
            <w:tcBorders>
              <w:top w:val="single" w:sz="4" w:space="0" w:color="auto"/>
              <w:left w:val="nil"/>
              <w:bottom w:val="double" w:sz="6" w:space="0" w:color="auto"/>
              <w:right w:val="nil"/>
            </w:tcBorders>
            <w:shd w:val="clear" w:color="auto" w:fill="auto"/>
            <w:vAlign w:val="bottom"/>
            <w:hideMark/>
          </w:tcPr>
          <w:p w14:paraId="2014C22C" w14:textId="77777777" w:rsidR="0084445A" w:rsidRPr="00C4020C" w:rsidRDefault="0084445A" w:rsidP="00365108">
            <w:pPr>
              <w:pStyle w:val="a0"/>
              <w:widowControl w:val="0"/>
              <w:rPr>
                <w:rFonts w:ascii="Calibri" w:hAnsi="Calibri" w:cstheme="minorHAnsi"/>
                <w:b/>
                <w:color w:val="auto"/>
                <w:szCs w:val="20"/>
                <w:lang w:val="bg-BG"/>
              </w:rPr>
            </w:pPr>
            <w:r w:rsidRPr="00C4020C">
              <w:rPr>
                <w:rFonts w:ascii="Calibri" w:hAnsi="Calibri" w:cstheme="minorHAnsi"/>
                <w:b/>
                <w:color w:val="auto"/>
                <w:szCs w:val="20"/>
                <w:lang w:val="bg-BG"/>
              </w:rPr>
              <w:t>323</w:t>
            </w:r>
          </w:p>
        </w:tc>
        <w:tc>
          <w:tcPr>
            <w:tcW w:w="498" w:type="pct"/>
            <w:tcBorders>
              <w:top w:val="single" w:sz="4" w:space="0" w:color="auto"/>
              <w:left w:val="nil"/>
              <w:bottom w:val="double" w:sz="6" w:space="0" w:color="auto"/>
              <w:right w:val="nil"/>
            </w:tcBorders>
            <w:shd w:val="clear" w:color="auto" w:fill="auto"/>
            <w:vAlign w:val="bottom"/>
            <w:hideMark/>
          </w:tcPr>
          <w:p w14:paraId="5769E468" w14:textId="77777777" w:rsidR="0084445A" w:rsidRPr="00C4020C" w:rsidRDefault="0084445A" w:rsidP="00365108">
            <w:pPr>
              <w:pStyle w:val="a0"/>
              <w:widowControl w:val="0"/>
              <w:rPr>
                <w:rFonts w:ascii="Calibri" w:hAnsi="Calibri" w:cstheme="minorHAnsi"/>
                <w:b/>
                <w:color w:val="auto"/>
                <w:szCs w:val="20"/>
                <w:lang w:val="bg-BG"/>
              </w:rPr>
            </w:pPr>
            <w:r w:rsidRPr="00C4020C">
              <w:rPr>
                <w:rFonts w:ascii="Calibri" w:hAnsi="Calibri" w:cstheme="minorHAnsi"/>
                <w:b/>
                <w:color w:val="auto"/>
                <w:szCs w:val="20"/>
                <w:lang w:val="bg-BG"/>
              </w:rPr>
              <w:t>2,295</w:t>
            </w:r>
          </w:p>
        </w:tc>
      </w:tr>
    </w:tbl>
    <w:p w14:paraId="174B895E" w14:textId="16D978CD" w:rsidR="0084445A" w:rsidRPr="00741D80" w:rsidRDefault="0084445A" w:rsidP="00833465">
      <w:pPr>
        <w:pStyle w:val="Mainnumbers"/>
      </w:pPr>
      <w:bookmarkStart w:id="60" w:name="_Toc418084385"/>
      <w:bookmarkStart w:id="61" w:name="_Toc536452025"/>
      <w:r w:rsidRPr="00741D80">
        <w:t>ОТСРОЧЕНИ ДАНЪЦИ</w:t>
      </w:r>
      <w:bookmarkEnd w:id="60"/>
      <w:bookmarkEnd w:id="61"/>
      <w:r w:rsidRPr="00741D80">
        <w:t xml:space="preserve"> </w:t>
      </w:r>
    </w:p>
    <w:p w14:paraId="47E1AAA6" w14:textId="77777777" w:rsidR="0084445A" w:rsidRPr="00741D80" w:rsidRDefault="0084445A" w:rsidP="0084445A">
      <w:pPr>
        <w:rPr>
          <w:rFonts w:cstheme="minorHAnsi"/>
        </w:rPr>
      </w:pPr>
      <w:r w:rsidRPr="00741D80">
        <w:rPr>
          <w:rFonts w:cstheme="minorHAnsi"/>
        </w:rPr>
        <w:t xml:space="preserve">Отсрочените данъци към </w:t>
      </w:r>
      <w:r w:rsidRPr="00741D80">
        <w:rPr>
          <w:rFonts w:cstheme="minorHAnsi"/>
          <w:b/>
        </w:rPr>
        <w:t>31 декември</w:t>
      </w:r>
      <w:r w:rsidRPr="00741D80">
        <w:rPr>
          <w:rFonts w:cstheme="minorHAnsi"/>
        </w:rPr>
        <w:t xml:space="preserve"> са свързани със следните обекти в междинния съкратен отчет за финансовото състояние:</w:t>
      </w:r>
    </w:p>
    <w:tbl>
      <w:tblPr>
        <w:tblW w:w="5248" w:type="pct"/>
        <w:jc w:val="center"/>
        <w:tblCellMar>
          <w:left w:w="6" w:type="dxa"/>
          <w:right w:w="6" w:type="dxa"/>
        </w:tblCellMar>
        <w:tblLook w:val="04A0" w:firstRow="1" w:lastRow="0" w:firstColumn="1" w:lastColumn="0" w:noHBand="0" w:noVBand="1"/>
      </w:tblPr>
      <w:tblGrid>
        <w:gridCol w:w="5529"/>
        <w:gridCol w:w="1131"/>
        <w:gridCol w:w="1131"/>
        <w:gridCol w:w="1200"/>
        <w:gridCol w:w="1125"/>
      </w:tblGrid>
      <w:tr w:rsidR="0084445A" w:rsidRPr="00741D80" w14:paraId="3AB9836B"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hideMark/>
          </w:tcPr>
          <w:p w14:paraId="375C716E"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Описание на обектите</w:t>
            </w:r>
          </w:p>
        </w:tc>
        <w:tc>
          <w:tcPr>
            <w:tcW w:w="559" w:type="pct"/>
            <w:tcBorders>
              <w:top w:val="nil"/>
              <w:left w:val="nil"/>
              <w:bottom w:val="single" w:sz="4" w:space="0" w:color="auto"/>
              <w:right w:val="nil"/>
            </w:tcBorders>
            <w:shd w:val="clear" w:color="auto" w:fill="auto"/>
            <w:tcMar>
              <w:left w:w="57" w:type="dxa"/>
              <w:right w:w="57" w:type="dxa"/>
            </w:tcMar>
            <w:hideMark/>
          </w:tcPr>
          <w:p w14:paraId="70785B9B"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временна разлика</w:t>
            </w:r>
          </w:p>
        </w:tc>
        <w:tc>
          <w:tcPr>
            <w:tcW w:w="559" w:type="pct"/>
            <w:tcBorders>
              <w:top w:val="nil"/>
              <w:left w:val="nil"/>
              <w:bottom w:val="single" w:sz="4" w:space="0" w:color="auto"/>
              <w:right w:val="nil"/>
            </w:tcBorders>
            <w:shd w:val="clear" w:color="auto" w:fill="auto"/>
            <w:tcMar>
              <w:left w:w="57" w:type="dxa"/>
              <w:right w:w="57" w:type="dxa"/>
            </w:tcMar>
            <w:hideMark/>
          </w:tcPr>
          <w:p w14:paraId="545F308F"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данък 10%</w:t>
            </w:r>
          </w:p>
        </w:tc>
        <w:tc>
          <w:tcPr>
            <w:tcW w:w="593" w:type="pct"/>
            <w:tcBorders>
              <w:top w:val="nil"/>
              <w:left w:val="nil"/>
              <w:bottom w:val="single" w:sz="4" w:space="0" w:color="auto"/>
              <w:right w:val="nil"/>
            </w:tcBorders>
            <w:shd w:val="clear" w:color="auto" w:fill="auto"/>
            <w:tcMar>
              <w:left w:w="57" w:type="dxa"/>
              <w:right w:w="57" w:type="dxa"/>
            </w:tcMar>
            <w:hideMark/>
          </w:tcPr>
          <w:p w14:paraId="62D6C37A"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временна разлика</w:t>
            </w:r>
          </w:p>
        </w:tc>
        <w:tc>
          <w:tcPr>
            <w:tcW w:w="558" w:type="pct"/>
            <w:tcBorders>
              <w:top w:val="nil"/>
              <w:left w:val="nil"/>
              <w:bottom w:val="single" w:sz="4" w:space="0" w:color="auto"/>
              <w:right w:val="nil"/>
            </w:tcBorders>
            <w:shd w:val="clear" w:color="auto" w:fill="auto"/>
            <w:tcMar>
              <w:left w:w="57" w:type="dxa"/>
              <w:right w:w="57" w:type="dxa"/>
            </w:tcMar>
            <w:hideMark/>
          </w:tcPr>
          <w:p w14:paraId="6415FDE1"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данък 10%</w:t>
            </w:r>
          </w:p>
        </w:tc>
      </w:tr>
      <w:tr w:rsidR="0084445A" w:rsidRPr="00741D80" w14:paraId="79492320"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vAlign w:val="bottom"/>
            <w:hideMark/>
          </w:tcPr>
          <w:p w14:paraId="79F3822C" w14:textId="77777777" w:rsidR="0084445A" w:rsidRPr="00741D80" w:rsidRDefault="0084445A" w:rsidP="00AE7CF9">
            <w:pPr>
              <w:pStyle w:val="a"/>
              <w:spacing w:line="276" w:lineRule="auto"/>
              <w:rPr>
                <w:rFonts w:asciiTheme="minorHAnsi" w:hAnsiTheme="minorHAnsi" w:cstheme="minorHAnsi"/>
                <w:color w:val="auto"/>
                <w:szCs w:val="20"/>
                <w:lang w:val="bg-BG"/>
              </w:rPr>
            </w:pPr>
          </w:p>
        </w:tc>
        <w:tc>
          <w:tcPr>
            <w:tcW w:w="559" w:type="pct"/>
            <w:tcBorders>
              <w:top w:val="nil"/>
              <w:left w:val="nil"/>
              <w:bottom w:val="nil"/>
              <w:right w:val="nil"/>
            </w:tcBorders>
            <w:shd w:val="clear" w:color="auto" w:fill="auto"/>
            <w:tcMar>
              <w:left w:w="57" w:type="dxa"/>
              <w:right w:w="57" w:type="dxa"/>
            </w:tcMar>
            <w:hideMark/>
          </w:tcPr>
          <w:p w14:paraId="0DD5DE2E" w14:textId="77777777" w:rsidR="0084445A" w:rsidRPr="00741D80" w:rsidRDefault="0084445A" w:rsidP="00AE7CF9">
            <w:pPr>
              <w:pStyle w:val="a1"/>
              <w:spacing w:line="276" w:lineRule="auto"/>
              <w:rPr>
                <w:rFonts w:asciiTheme="minorHAnsi" w:hAnsiTheme="minorHAnsi" w:cstheme="minorHAnsi"/>
                <w:color w:val="auto"/>
                <w:szCs w:val="20"/>
              </w:rPr>
            </w:pPr>
            <w:r w:rsidRPr="00741D80">
              <w:rPr>
                <w:rFonts w:asciiTheme="minorHAnsi" w:hAnsiTheme="minorHAnsi" w:cstheme="minorHAnsi"/>
                <w:color w:val="auto"/>
                <w:szCs w:val="20"/>
                <w:lang w:val="bg-BG"/>
              </w:rPr>
              <w:t>31.12.201</w:t>
            </w:r>
            <w:r w:rsidRPr="00741D80">
              <w:rPr>
                <w:rFonts w:asciiTheme="minorHAnsi" w:hAnsiTheme="minorHAnsi" w:cstheme="minorHAnsi"/>
                <w:color w:val="auto"/>
                <w:szCs w:val="20"/>
              </w:rPr>
              <w:t>8</w:t>
            </w:r>
          </w:p>
        </w:tc>
        <w:tc>
          <w:tcPr>
            <w:tcW w:w="559" w:type="pct"/>
            <w:tcBorders>
              <w:top w:val="nil"/>
              <w:left w:val="nil"/>
              <w:bottom w:val="nil"/>
              <w:right w:val="nil"/>
            </w:tcBorders>
            <w:shd w:val="clear" w:color="auto" w:fill="auto"/>
            <w:tcMar>
              <w:left w:w="57" w:type="dxa"/>
              <w:right w:w="57" w:type="dxa"/>
            </w:tcMar>
            <w:hideMark/>
          </w:tcPr>
          <w:p w14:paraId="60B9387E" w14:textId="77777777" w:rsidR="0084445A" w:rsidRPr="00741D80" w:rsidRDefault="0084445A" w:rsidP="00AE7CF9">
            <w:pPr>
              <w:pStyle w:val="a1"/>
              <w:spacing w:line="276" w:lineRule="auto"/>
              <w:rPr>
                <w:rFonts w:asciiTheme="minorHAnsi" w:hAnsiTheme="minorHAnsi" w:cstheme="minorHAnsi"/>
                <w:color w:val="auto"/>
                <w:szCs w:val="20"/>
              </w:rPr>
            </w:pPr>
            <w:r w:rsidRPr="00741D80">
              <w:rPr>
                <w:rFonts w:asciiTheme="minorHAnsi" w:hAnsiTheme="minorHAnsi" w:cstheme="minorHAnsi"/>
                <w:color w:val="auto"/>
                <w:szCs w:val="20"/>
                <w:lang w:val="bg-BG"/>
              </w:rPr>
              <w:t>31.12.201</w:t>
            </w:r>
            <w:r w:rsidRPr="00741D80">
              <w:rPr>
                <w:rFonts w:asciiTheme="minorHAnsi" w:hAnsiTheme="minorHAnsi" w:cstheme="minorHAnsi"/>
                <w:color w:val="auto"/>
                <w:szCs w:val="20"/>
              </w:rPr>
              <w:t>8</w:t>
            </w:r>
          </w:p>
        </w:tc>
        <w:tc>
          <w:tcPr>
            <w:tcW w:w="593" w:type="pct"/>
            <w:tcBorders>
              <w:top w:val="nil"/>
              <w:left w:val="nil"/>
              <w:bottom w:val="nil"/>
              <w:right w:val="nil"/>
            </w:tcBorders>
            <w:shd w:val="clear" w:color="auto" w:fill="auto"/>
            <w:tcMar>
              <w:left w:w="57" w:type="dxa"/>
              <w:right w:w="57" w:type="dxa"/>
            </w:tcMar>
            <w:hideMark/>
          </w:tcPr>
          <w:p w14:paraId="3CB912F0"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c>
          <w:tcPr>
            <w:tcW w:w="558" w:type="pct"/>
            <w:tcBorders>
              <w:top w:val="nil"/>
              <w:left w:val="nil"/>
              <w:bottom w:val="nil"/>
              <w:right w:val="nil"/>
            </w:tcBorders>
            <w:shd w:val="clear" w:color="auto" w:fill="auto"/>
            <w:tcMar>
              <w:left w:w="57" w:type="dxa"/>
              <w:right w:w="57" w:type="dxa"/>
            </w:tcMar>
            <w:hideMark/>
          </w:tcPr>
          <w:p w14:paraId="231860DF"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46EE555A"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vAlign w:val="bottom"/>
            <w:hideMark/>
          </w:tcPr>
          <w:p w14:paraId="05D573D8" w14:textId="77777777" w:rsidR="0084445A" w:rsidRPr="00741D80" w:rsidRDefault="0084445A" w:rsidP="00AE7CF9">
            <w:pPr>
              <w:pStyle w:val="a"/>
              <w:spacing w:line="276" w:lineRule="auto"/>
              <w:rPr>
                <w:rFonts w:asciiTheme="minorHAnsi" w:hAnsiTheme="minorHAnsi" w:cstheme="minorHAnsi"/>
                <w:color w:val="auto"/>
                <w:szCs w:val="20"/>
                <w:lang w:val="bg-BG"/>
              </w:rPr>
            </w:pPr>
          </w:p>
        </w:tc>
        <w:tc>
          <w:tcPr>
            <w:tcW w:w="559" w:type="pct"/>
            <w:tcBorders>
              <w:top w:val="nil"/>
              <w:left w:val="nil"/>
              <w:bottom w:val="nil"/>
              <w:right w:val="nil"/>
            </w:tcBorders>
            <w:shd w:val="clear" w:color="auto" w:fill="auto"/>
            <w:noWrap/>
            <w:tcMar>
              <w:left w:w="57" w:type="dxa"/>
              <w:right w:w="57" w:type="dxa"/>
            </w:tcMar>
            <w:hideMark/>
          </w:tcPr>
          <w:p w14:paraId="68C9EAA0"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559" w:type="pct"/>
            <w:tcBorders>
              <w:top w:val="nil"/>
              <w:left w:val="nil"/>
              <w:bottom w:val="nil"/>
              <w:right w:val="nil"/>
            </w:tcBorders>
            <w:shd w:val="clear" w:color="auto" w:fill="auto"/>
            <w:noWrap/>
            <w:tcMar>
              <w:left w:w="57" w:type="dxa"/>
              <w:right w:w="57" w:type="dxa"/>
            </w:tcMar>
            <w:hideMark/>
          </w:tcPr>
          <w:p w14:paraId="253AEF11"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593" w:type="pct"/>
            <w:tcBorders>
              <w:top w:val="nil"/>
              <w:left w:val="nil"/>
              <w:bottom w:val="nil"/>
              <w:right w:val="nil"/>
            </w:tcBorders>
            <w:shd w:val="clear" w:color="auto" w:fill="auto"/>
            <w:noWrap/>
            <w:tcMar>
              <w:left w:w="57" w:type="dxa"/>
              <w:right w:w="57" w:type="dxa"/>
            </w:tcMar>
            <w:hideMark/>
          </w:tcPr>
          <w:p w14:paraId="60F22B14"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558" w:type="pct"/>
            <w:tcBorders>
              <w:top w:val="nil"/>
              <w:left w:val="nil"/>
              <w:bottom w:val="nil"/>
              <w:right w:val="nil"/>
            </w:tcBorders>
            <w:shd w:val="clear" w:color="auto" w:fill="auto"/>
            <w:noWrap/>
            <w:tcMar>
              <w:left w:w="57" w:type="dxa"/>
              <w:right w:w="57" w:type="dxa"/>
            </w:tcMar>
            <w:hideMark/>
          </w:tcPr>
          <w:p w14:paraId="456B782E"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6161098B"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vAlign w:val="bottom"/>
            <w:hideMark/>
          </w:tcPr>
          <w:p w14:paraId="404D32F7"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Имоти, машини, оборудване</w:t>
            </w:r>
          </w:p>
        </w:tc>
        <w:tc>
          <w:tcPr>
            <w:tcW w:w="559" w:type="pct"/>
            <w:tcBorders>
              <w:top w:val="nil"/>
              <w:left w:val="nil"/>
              <w:bottom w:val="nil"/>
              <w:right w:val="nil"/>
            </w:tcBorders>
            <w:shd w:val="clear" w:color="auto" w:fill="auto"/>
            <w:tcMar>
              <w:left w:w="57" w:type="dxa"/>
              <w:right w:w="57" w:type="dxa"/>
            </w:tcMar>
            <w:vAlign w:val="bottom"/>
            <w:hideMark/>
          </w:tcPr>
          <w:p w14:paraId="6CA8FC54" w14:textId="465966E4" w:rsidR="0084445A" w:rsidRPr="00007959" w:rsidRDefault="00007959" w:rsidP="00AE7CF9">
            <w:pPr>
              <w:pStyle w:val="a0"/>
              <w:spacing w:line="276" w:lineRule="auto"/>
              <w:rPr>
                <w:rFonts w:asciiTheme="minorHAnsi" w:hAnsiTheme="minorHAnsi" w:cstheme="minorHAnsi"/>
                <w:szCs w:val="20"/>
              </w:rPr>
            </w:pPr>
            <w:r>
              <w:rPr>
                <w:rFonts w:asciiTheme="minorHAnsi" w:hAnsiTheme="minorHAnsi" w:cstheme="minorHAnsi"/>
                <w:szCs w:val="20"/>
              </w:rPr>
              <w:t>106</w:t>
            </w:r>
          </w:p>
        </w:tc>
        <w:tc>
          <w:tcPr>
            <w:tcW w:w="559" w:type="pct"/>
            <w:tcBorders>
              <w:top w:val="nil"/>
              <w:left w:val="nil"/>
              <w:bottom w:val="nil"/>
              <w:right w:val="nil"/>
            </w:tcBorders>
            <w:shd w:val="clear" w:color="auto" w:fill="auto"/>
            <w:tcMar>
              <w:left w:w="57" w:type="dxa"/>
              <w:right w:w="57" w:type="dxa"/>
            </w:tcMar>
            <w:vAlign w:val="bottom"/>
            <w:hideMark/>
          </w:tcPr>
          <w:p w14:paraId="29E5111D" w14:textId="5B199E37" w:rsidR="0084445A" w:rsidRPr="00007959" w:rsidRDefault="00007959" w:rsidP="00AE7CF9">
            <w:pPr>
              <w:pStyle w:val="a0"/>
              <w:spacing w:line="276" w:lineRule="auto"/>
              <w:rPr>
                <w:rFonts w:asciiTheme="minorHAnsi" w:hAnsiTheme="minorHAnsi" w:cstheme="minorHAnsi"/>
                <w:szCs w:val="20"/>
              </w:rPr>
            </w:pPr>
            <w:r>
              <w:rPr>
                <w:rFonts w:asciiTheme="minorHAnsi" w:hAnsiTheme="minorHAnsi" w:cstheme="minorHAnsi"/>
                <w:szCs w:val="20"/>
              </w:rPr>
              <w:t>10</w:t>
            </w:r>
          </w:p>
        </w:tc>
        <w:tc>
          <w:tcPr>
            <w:tcW w:w="593" w:type="pct"/>
            <w:tcBorders>
              <w:top w:val="nil"/>
              <w:left w:val="nil"/>
              <w:bottom w:val="nil"/>
              <w:right w:val="nil"/>
            </w:tcBorders>
            <w:shd w:val="clear" w:color="auto" w:fill="auto"/>
            <w:tcMar>
              <w:left w:w="57" w:type="dxa"/>
              <w:right w:w="57" w:type="dxa"/>
            </w:tcMar>
            <w:vAlign w:val="bottom"/>
            <w:hideMark/>
          </w:tcPr>
          <w:p w14:paraId="53CE3CE8" w14:textId="77777777" w:rsidR="0084445A" w:rsidRPr="00741D80" w:rsidRDefault="0084445A" w:rsidP="00AE7CF9">
            <w:pPr>
              <w:pStyle w:val="a0"/>
              <w:spacing w:line="276" w:lineRule="auto"/>
              <w:rPr>
                <w:rFonts w:asciiTheme="minorHAnsi" w:hAnsiTheme="minorHAnsi" w:cstheme="minorHAnsi"/>
                <w:szCs w:val="20"/>
              </w:rPr>
            </w:pPr>
            <w:r w:rsidRPr="00741D80">
              <w:rPr>
                <w:rFonts w:asciiTheme="minorHAnsi" w:hAnsiTheme="minorHAnsi" w:cstheme="minorHAnsi"/>
                <w:szCs w:val="20"/>
              </w:rPr>
              <w:t>93</w:t>
            </w:r>
          </w:p>
        </w:tc>
        <w:tc>
          <w:tcPr>
            <w:tcW w:w="558" w:type="pct"/>
            <w:tcBorders>
              <w:top w:val="nil"/>
              <w:left w:val="nil"/>
              <w:bottom w:val="nil"/>
              <w:right w:val="nil"/>
            </w:tcBorders>
            <w:shd w:val="clear" w:color="auto" w:fill="auto"/>
            <w:tcMar>
              <w:left w:w="57" w:type="dxa"/>
              <w:right w:w="57" w:type="dxa"/>
            </w:tcMar>
            <w:vAlign w:val="bottom"/>
            <w:hideMark/>
          </w:tcPr>
          <w:p w14:paraId="2A03730A" w14:textId="77777777" w:rsidR="0084445A" w:rsidRPr="00741D80" w:rsidRDefault="0084445A" w:rsidP="00AE7CF9">
            <w:pPr>
              <w:pStyle w:val="a0"/>
              <w:spacing w:line="276" w:lineRule="auto"/>
              <w:rPr>
                <w:rFonts w:asciiTheme="minorHAnsi" w:hAnsiTheme="minorHAnsi" w:cstheme="minorHAnsi"/>
                <w:szCs w:val="20"/>
              </w:rPr>
            </w:pPr>
            <w:r w:rsidRPr="00741D80">
              <w:rPr>
                <w:rFonts w:asciiTheme="minorHAnsi" w:hAnsiTheme="minorHAnsi" w:cstheme="minorHAnsi"/>
                <w:szCs w:val="20"/>
              </w:rPr>
              <w:t>9</w:t>
            </w:r>
          </w:p>
        </w:tc>
      </w:tr>
      <w:tr w:rsidR="0084445A" w:rsidRPr="00741D80" w14:paraId="44C0D4CC"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vAlign w:val="bottom"/>
            <w:hideMark/>
          </w:tcPr>
          <w:p w14:paraId="62B7FB33"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Начисления за неизползван платен отпуск</w:t>
            </w:r>
          </w:p>
        </w:tc>
        <w:tc>
          <w:tcPr>
            <w:tcW w:w="559" w:type="pct"/>
            <w:tcBorders>
              <w:top w:val="nil"/>
              <w:left w:val="nil"/>
              <w:bottom w:val="nil"/>
              <w:right w:val="nil"/>
            </w:tcBorders>
            <w:shd w:val="clear" w:color="auto" w:fill="auto"/>
            <w:tcMar>
              <w:left w:w="57" w:type="dxa"/>
              <w:right w:w="57" w:type="dxa"/>
            </w:tcMar>
            <w:vAlign w:val="bottom"/>
            <w:hideMark/>
          </w:tcPr>
          <w:p w14:paraId="472CCE56" w14:textId="77777777" w:rsidR="0084445A" w:rsidRPr="00741D80" w:rsidRDefault="0084445A" w:rsidP="00AE7CF9">
            <w:pPr>
              <w:pStyle w:val="a0"/>
              <w:spacing w:line="276" w:lineRule="auto"/>
              <w:rPr>
                <w:rFonts w:asciiTheme="minorHAnsi" w:hAnsiTheme="minorHAnsi" w:cstheme="minorHAnsi"/>
                <w:szCs w:val="20"/>
                <w:lang w:val="bg-BG"/>
              </w:rPr>
            </w:pPr>
            <w:r w:rsidRPr="00741D80">
              <w:rPr>
                <w:rFonts w:asciiTheme="minorHAnsi" w:hAnsiTheme="minorHAnsi" w:cstheme="minorHAnsi"/>
                <w:szCs w:val="20"/>
                <w:lang w:val="bg-BG"/>
              </w:rPr>
              <w:t>72</w:t>
            </w:r>
          </w:p>
        </w:tc>
        <w:tc>
          <w:tcPr>
            <w:tcW w:w="559" w:type="pct"/>
            <w:tcBorders>
              <w:top w:val="nil"/>
              <w:left w:val="nil"/>
              <w:bottom w:val="nil"/>
              <w:right w:val="nil"/>
            </w:tcBorders>
            <w:shd w:val="clear" w:color="auto" w:fill="auto"/>
            <w:tcMar>
              <w:left w:w="57" w:type="dxa"/>
              <w:right w:w="57" w:type="dxa"/>
            </w:tcMar>
            <w:vAlign w:val="bottom"/>
            <w:hideMark/>
          </w:tcPr>
          <w:p w14:paraId="1CF487EB" w14:textId="77777777" w:rsidR="0084445A" w:rsidRPr="00741D80" w:rsidRDefault="0084445A" w:rsidP="00AE7CF9">
            <w:pPr>
              <w:pStyle w:val="a0"/>
              <w:spacing w:line="276" w:lineRule="auto"/>
              <w:rPr>
                <w:rFonts w:asciiTheme="minorHAnsi" w:hAnsiTheme="minorHAnsi" w:cstheme="minorHAnsi"/>
                <w:szCs w:val="20"/>
                <w:lang w:val="bg-BG"/>
              </w:rPr>
            </w:pPr>
            <w:r w:rsidRPr="00741D80">
              <w:rPr>
                <w:rFonts w:asciiTheme="minorHAnsi" w:hAnsiTheme="minorHAnsi" w:cstheme="minorHAnsi"/>
                <w:szCs w:val="20"/>
                <w:lang w:val="bg-BG"/>
              </w:rPr>
              <w:t>7</w:t>
            </w:r>
          </w:p>
        </w:tc>
        <w:tc>
          <w:tcPr>
            <w:tcW w:w="593" w:type="pct"/>
            <w:tcBorders>
              <w:top w:val="nil"/>
              <w:left w:val="nil"/>
              <w:bottom w:val="nil"/>
              <w:right w:val="nil"/>
            </w:tcBorders>
            <w:shd w:val="clear" w:color="auto" w:fill="auto"/>
            <w:tcMar>
              <w:left w:w="57" w:type="dxa"/>
              <w:right w:w="57" w:type="dxa"/>
            </w:tcMar>
            <w:vAlign w:val="bottom"/>
            <w:hideMark/>
          </w:tcPr>
          <w:p w14:paraId="6C0F1191" w14:textId="77777777" w:rsidR="0084445A" w:rsidRPr="00741D80" w:rsidRDefault="0084445A" w:rsidP="00AE7CF9">
            <w:pPr>
              <w:pStyle w:val="a0"/>
              <w:spacing w:line="276" w:lineRule="auto"/>
              <w:rPr>
                <w:rFonts w:asciiTheme="minorHAnsi" w:hAnsiTheme="minorHAnsi" w:cstheme="minorHAnsi"/>
                <w:szCs w:val="20"/>
              </w:rPr>
            </w:pPr>
            <w:r w:rsidRPr="00741D80">
              <w:rPr>
                <w:rFonts w:asciiTheme="minorHAnsi" w:hAnsiTheme="minorHAnsi" w:cstheme="minorHAnsi"/>
                <w:szCs w:val="20"/>
              </w:rPr>
              <w:t xml:space="preserve">81 </w:t>
            </w:r>
          </w:p>
        </w:tc>
        <w:tc>
          <w:tcPr>
            <w:tcW w:w="558" w:type="pct"/>
            <w:tcBorders>
              <w:top w:val="nil"/>
              <w:left w:val="nil"/>
              <w:bottom w:val="nil"/>
              <w:right w:val="nil"/>
            </w:tcBorders>
            <w:shd w:val="clear" w:color="auto" w:fill="auto"/>
            <w:tcMar>
              <w:left w:w="57" w:type="dxa"/>
              <w:right w:w="57" w:type="dxa"/>
            </w:tcMar>
            <w:vAlign w:val="bottom"/>
            <w:hideMark/>
          </w:tcPr>
          <w:p w14:paraId="1921E7A8" w14:textId="77777777" w:rsidR="0084445A" w:rsidRPr="00741D80" w:rsidRDefault="0084445A" w:rsidP="00AE7CF9">
            <w:pPr>
              <w:pStyle w:val="a0"/>
              <w:spacing w:line="276" w:lineRule="auto"/>
              <w:rPr>
                <w:rFonts w:asciiTheme="minorHAnsi" w:hAnsiTheme="minorHAnsi" w:cstheme="minorHAnsi"/>
                <w:szCs w:val="20"/>
              </w:rPr>
            </w:pPr>
            <w:r w:rsidRPr="00741D80">
              <w:rPr>
                <w:rFonts w:asciiTheme="minorHAnsi" w:hAnsiTheme="minorHAnsi" w:cstheme="minorHAnsi"/>
                <w:szCs w:val="20"/>
              </w:rPr>
              <w:t>8</w:t>
            </w:r>
          </w:p>
        </w:tc>
      </w:tr>
      <w:tr w:rsidR="0084445A" w:rsidRPr="00741D80" w14:paraId="78979B17"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vAlign w:val="bottom"/>
            <w:hideMark/>
          </w:tcPr>
          <w:p w14:paraId="34B07BDD"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Начисления за дългосрочни задължения към персонала </w:t>
            </w:r>
          </w:p>
        </w:tc>
        <w:tc>
          <w:tcPr>
            <w:tcW w:w="559" w:type="pct"/>
            <w:tcBorders>
              <w:top w:val="nil"/>
              <w:left w:val="nil"/>
              <w:bottom w:val="nil"/>
              <w:right w:val="nil"/>
            </w:tcBorders>
            <w:shd w:val="clear" w:color="auto" w:fill="auto"/>
            <w:tcMar>
              <w:left w:w="57" w:type="dxa"/>
              <w:right w:w="57" w:type="dxa"/>
            </w:tcMar>
            <w:vAlign w:val="bottom"/>
            <w:hideMark/>
          </w:tcPr>
          <w:p w14:paraId="718C9A62" w14:textId="77777777" w:rsidR="0084445A" w:rsidRPr="00741D80" w:rsidRDefault="0084445A" w:rsidP="00AE7CF9">
            <w:pPr>
              <w:pStyle w:val="a0"/>
              <w:spacing w:line="276" w:lineRule="auto"/>
              <w:rPr>
                <w:rFonts w:asciiTheme="minorHAnsi" w:hAnsiTheme="minorHAnsi" w:cstheme="minorHAnsi"/>
                <w:szCs w:val="20"/>
                <w:lang w:val="bg-BG"/>
              </w:rPr>
            </w:pPr>
            <w:r w:rsidRPr="00741D80">
              <w:rPr>
                <w:rFonts w:asciiTheme="minorHAnsi" w:hAnsiTheme="minorHAnsi" w:cstheme="minorHAnsi"/>
                <w:szCs w:val="20"/>
                <w:lang w:val="bg-BG"/>
              </w:rPr>
              <w:t>52</w:t>
            </w:r>
          </w:p>
        </w:tc>
        <w:tc>
          <w:tcPr>
            <w:tcW w:w="559" w:type="pct"/>
            <w:tcBorders>
              <w:top w:val="nil"/>
              <w:left w:val="nil"/>
              <w:bottom w:val="nil"/>
              <w:right w:val="nil"/>
            </w:tcBorders>
            <w:shd w:val="clear" w:color="auto" w:fill="auto"/>
            <w:tcMar>
              <w:left w:w="57" w:type="dxa"/>
              <w:right w:w="57" w:type="dxa"/>
            </w:tcMar>
            <w:vAlign w:val="bottom"/>
            <w:hideMark/>
          </w:tcPr>
          <w:p w14:paraId="3A0B9E48" w14:textId="77777777" w:rsidR="0084445A" w:rsidRPr="00741D80" w:rsidRDefault="0084445A" w:rsidP="00AE7CF9">
            <w:pPr>
              <w:pStyle w:val="a0"/>
              <w:spacing w:line="276" w:lineRule="auto"/>
              <w:rPr>
                <w:rFonts w:asciiTheme="minorHAnsi" w:hAnsiTheme="minorHAnsi" w:cstheme="minorHAnsi"/>
                <w:szCs w:val="20"/>
                <w:lang w:val="bg-BG"/>
              </w:rPr>
            </w:pPr>
            <w:r w:rsidRPr="00741D80">
              <w:rPr>
                <w:rFonts w:asciiTheme="minorHAnsi" w:hAnsiTheme="minorHAnsi" w:cstheme="minorHAnsi"/>
                <w:szCs w:val="20"/>
                <w:lang w:val="bg-BG"/>
              </w:rPr>
              <w:t>5</w:t>
            </w:r>
          </w:p>
        </w:tc>
        <w:tc>
          <w:tcPr>
            <w:tcW w:w="593" w:type="pct"/>
            <w:tcBorders>
              <w:top w:val="nil"/>
              <w:left w:val="nil"/>
              <w:bottom w:val="nil"/>
              <w:right w:val="nil"/>
            </w:tcBorders>
            <w:shd w:val="clear" w:color="auto" w:fill="auto"/>
            <w:tcMar>
              <w:left w:w="57" w:type="dxa"/>
              <w:right w:w="57" w:type="dxa"/>
            </w:tcMar>
            <w:vAlign w:val="bottom"/>
            <w:hideMark/>
          </w:tcPr>
          <w:p w14:paraId="6AC41395" w14:textId="77777777" w:rsidR="0084445A" w:rsidRPr="00741D80" w:rsidRDefault="0084445A" w:rsidP="00AE7CF9">
            <w:pPr>
              <w:pStyle w:val="a0"/>
              <w:spacing w:line="276" w:lineRule="auto"/>
              <w:rPr>
                <w:rFonts w:asciiTheme="minorHAnsi" w:hAnsiTheme="minorHAnsi" w:cstheme="minorHAnsi"/>
                <w:szCs w:val="20"/>
              </w:rPr>
            </w:pPr>
            <w:r w:rsidRPr="00741D80">
              <w:rPr>
                <w:rFonts w:asciiTheme="minorHAnsi" w:hAnsiTheme="minorHAnsi" w:cstheme="minorHAnsi"/>
                <w:szCs w:val="20"/>
              </w:rPr>
              <w:t>61</w:t>
            </w:r>
          </w:p>
        </w:tc>
        <w:tc>
          <w:tcPr>
            <w:tcW w:w="558" w:type="pct"/>
            <w:tcBorders>
              <w:top w:val="nil"/>
              <w:left w:val="nil"/>
              <w:bottom w:val="nil"/>
              <w:right w:val="nil"/>
            </w:tcBorders>
            <w:shd w:val="clear" w:color="auto" w:fill="auto"/>
            <w:tcMar>
              <w:left w:w="57" w:type="dxa"/>
              <w:right w:w="57" w:type="dxa"/>
            </w:tcMar>
            <w:vAlign w:val="bottom"/>
            <w:hideMark/>
          </w:tcPr>
          <w:p w14:paraId="7F303CC0" w14:textId="77777777" w:rsidR="0084445A" w:rsidRPr="00741D80" w:rsidRDefault="0084445A" w:rsidP="00AE7CF9">
            <w:pPr>
              <w:pStyle w:val="a0"/>
              <w:spacing w:line="276" w:lineRule="auto"/>
              <w:rPr>
                <w:rFonts w:asciiTheme="minorHAnsi" w:hAnsiTheme="minorHAnsi" w:cstheme="minorHAnsi"/>
                <w:szCs w:val="20"/>
              </w:rPr>
            </w:pPr>
            <w:r w:rsidRPr="00741D80">
              <w:rPr>
                <w:rFonts w:asciiTheme="minorHAnsi" w:hAnsiTheme="minorHAnsi" w:cstheme="minorHAnsi"/>
                <w:szCs w:val="20"/>
              </w:rPr>
              <w:t xml:space="preserve">6 </w:t>
            </w:r>
          </w:p>
        </w:tc>
      </w:tr>
      <w:tr w:rsidR="0084445A" w:rsidRPr="00741D80" w14:paraId="57318665"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vAlign w:val="bottom"/>
            <w:hideMark/>
          </w:tcPr>
          <w:p w14:paraId="6B25BF9B"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Обезценка на вземане от банка в несъстоятелност</w:t>
            </w:r>
          </w:p>
        </w:tc>
        <w:tc>
          <w:tcPr>
            <w:tcW w:w="559" w:type="pct"/>
            <w:tcBorders>
              <w:top w:val="nil"/>
              <w:left w:val="nil"/>
              <w:bottom w:val="nil"/>
              <w:right w:val="nil"/>
            </w:tcBorders>
            <w:shd w:val="clear" w:color="auto" w:fill="auto"/>
            <w:tcMar>
              <w:left w:w="57" w:type="dxa"/>
              <w:right w:w="57" w:type="dxa"/>
            </w:tcMar>
            <w:vAlign w:val="bottom"/>
            <w:hideMark/>
          </w:tcPr>
          <w:p w14:paraId="2234A010" w14:textId="77777777" w:rsidR="0084445A" w:rsidRPr="00741D80" w:rsidRDefault="0084445A" w:rsidP="00AE7CF9">
            <w:pPr>
              <w:pStyle w:val="a0"/>
              <w:spacing w:line="276" w:lineRule="auto"/>
              <w:rPr>
                <w:rFonts w:asciiTheme="minorHAnsi" w:hAnsiTheme="minorHAnsi" w:cstheme="minorHAnsi"/>
                <w:szCs w:val="20"/>
              </w:rPr>
            </w:pPr>
            <w:r w:rsidRPr="00741D80">
              <w:rPr>
                <w:rFonts w:asciiTheme="minorHAnsi" w:hAnsiTheme="minorHAnsi" w:cstheme="minorHAnsi"/>
                <w:szCs w:val="20"/>
              </w:rPr>
              <w:t>265</w:t>
            </w:r>
          </w:p>
        </w:tc>
        <w:tc>
          <w:tcPr>
            <w:tcW w:w="559" w:type="pct"/>
            <w:tcBorders>
              <w:top w:val="nil"/>
              <w:left w:val="nil"/>
              <w:bottom w:val="nil"/>
              <w:right w:val="nil"/>
            </w:tcBorders>
            <w:shd w:val="clear" w:color="auto" w:fill="auto"/>
            <w:tcMar>
              <w:left w:w="57" w:type="dxa"/>
              <w:right w:w="57" w:type="dxa"/>
            </w:tcMar>
            <w:vAlign w:val="bottom"/>
            <w:hideMark/>
          </w:tcPr>
          <w:p w14:paraId="57ED37F0" w14:textId="77777777" w:rsidR="0084445A" w:rsidRPr="00741D80" w:rsidRDefault="0084445A" w:rsidP="00AE7CF9">
            <w:pPr>
              <w:pStyle w:val="a0"/>
              <w:spacing w:line="276" w:lineRule="auto"/>
              <w:rPr>
                <w:rFonts w:asciiTheme="minorHAnsi" w:hAnsiTheme="minorHAnsi" w:cstheme="minorHAnsi"/>
                <w:szCs w:val="20"/>
              </w:rPr>
            </w:pPr>
            <w:r w:rsidRPr="00741D80">
              <w:rPr>
                <w:rFonts w:asciiTheme="minorHAnsi" w:hAnsiTheme="minorHAnsi" w:cstheme="minorHAnsi"/>
                <w:szCs w:val="20"/>
              </w:rPr>
              <w:t xml:space="preserve">27 </w:t>
            </w:r>
          </w:p>
        </w:tc>
        <w:tc>
          <w:tcPr>
            <w:tcW w:w="593" w:type="pct"/>
            <w:tcBorders>
              <w:top w:val="nil"/>
              <w:left w:val="nil"/>
              <w:bottom w:val="nil"/>
              <w:right w:val="nil"/>
            </w:tcBorders>
            <w:shd w:val="clear" w:color="auto" w:fill="auto"/>
            <w:tcMar>
              <w:left w:w="57" w:type="dxa"/>
              <w:right w:w="57" w:type="dxa"/>
            </w:tcMar>
            <w:vAlign w:val="bottom"/>
            <w:hideMark/>
          </w:tcPr>
          <w:p w14:paraId="4287DFE2" w14:textId="77777777" w:rsidR="0084445A" w:rsidRPr="00741D80" w:rsidRDefault="0084445A" w:rsidP="00AE7CF9">
            <w:pPr>
              <w:pStyle w:val="a0"/>
              <w:spacing w:line="276" w:lineRule="auto"/>
              <w:rPr>
                <w:rFonts w:asciiTheme="minorHAnsi" w:hAnsiTheme="minorHAnsi" w:cstheme="minorHAnsi"/>
                <w:szCs w:val="20"/>
              </w:rPr>
            </w:pPr>
            <w:r w:rsidRPr="00741D80">
              <w:rPr>
                <w:rFonts w:asciiTheme="minorHAnsi" w:hAnsiTheme="minorHAnsi" w:cstheme="minorHAnsi"/>
                <w:szCs w:val="20"/>
              </w:rPr>
              <w:t>265</w:t>
            </w:r>
          </w:p>
        </w:tc>
        <w:tc>
          <w:tcPr>
            <w:tcW w:w="558" w:type="pct"/>
            <w:tcBorders>
              <w:top w:val="nil"/>
              <w:left w:val="nil"/>
              <w:bottom w:val="nil"/>
              <w:right w:val="nil"/>
            </w:tcBorders>
            <w:shd w:val="clear" w:color="auto" w:fill="auto"/>
            <w:tcMar>
              <w:left w:w="57" w:type="dxa"/>
              <w:right w:w="57" w:type="dxa"/>
            </w:tcMar>
            <w:vAlign w:val="bottom"/>
            <w:hideMark/>
          </w:tcPr>
          <w:p w14:paraId="71A4B7F1" w14:textId="77777777" w:rsidR="0084445A" w:rsidRPr="00741D80" w:rsidRDefault="0084445A" w:rsidP="00AE7CF9">
            <w:pPr>
              <w:pStyle w:val="a0"/>
              <w:spacing w:line="276" w:lineRule="auto"/>
              <w:rPr>
                <w:rFonts w:asciiTheme="minorHAnsi" w:hAnsiTheme="minorHAnsi" w:cstheme="minorHAnsi"/>
                <w:szCs w:val="20"/>
              </w:rPr>
            </w:pPr>
            <w:r w:rsidRPr="00741D80">
              <w:rPr>
                <w:rFonts w:asciiTheme="minorHAnsi" w:hAnsiTheme="minorHAnsi" w:cstheme="minorHAnsi"/>
                <w:szCs w:val="20"/>
              </w:rPr>
              <w:t>27</w:t>
            </w:r>
          </w:p>
        </w:tc>
      </w:tr>
      <w:tr w:rsidR="0084445A" w:rsidRPr="00741D80" w14:paraId="69FD6310"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vAlign w:val="bottom"/>
            <w:hideMark/>
          </w:tcPr>
          <w:p w14:paraId="21FDB59F"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Обезценка на вземане по цесия БЕГ АД</w:t>
            </w:r>
          </w:p>
        </w:tc>
        <w:tc>
          <w:tcPr>
            <w:tcW w:w="559" w:type="pct"/>
            <w:tcBorders>
              <w:top w:val="nil"/>
              <w:left w:val="nil"/>
              <w:bottom w:val="nil"/>
              <w:right w:val="nil"/>
            </w:tcBorders>
            <w:shd w:val="clear" w:color="auto" w:fill="auto"/>
            <w:tcMar>
              <w:left w:w="57" w:type="dxa"/>
              <w:right w:w="57" w:type="dxa"/>
            </w:tcMar>
            <w:vAlign w:val="bottom"/>
            <w:hideMark/>
          </w:tcPr>
          <w:p w14:paraId="1D2D61F1" w14:textId="77777777" w:rsidR="0084445A" w:rsidRPr="00741D80" w:rsidRDefault="0084445A" w:rsidP="00AE7CF9">
            <w:pPr>
              <w:pStyle w:val="a0"/>
              <w:spacing w:line="276" w:lineRule="auto"/>
              <w:rPr>
                <w:rFonts w:asciiTheme="minorHAnsi" w:hAnsiTheme="minorHAnsi" w:cstheme="minorHAnsi"/>
                <w:szCs w:val="20"/>
                <w:lang w:val="bg-BG"/>
              </w:rPr>
            </w:pPr>
            <w:r w:rsidRPr="00741D80">
              <w:rPr>
                <w:rFonts w:asciiTheme="minorHAnsi" w:hAnsiTheme="minorHAnsi" w:cstheme="minorHAnsi"/>
                <w:szCs w:val="20"/>
                <w:lang w:val="bg-BG"/>
              </w:rPr>
              <w:t>607</w:t>
            </w:r>
          </w:p>
        </w:tc>
        <w:tc>
          <w:tcPr>
            <w:tcW w:w="559" w:type="pct"/>
            <w:tcBorders>
              <w:top w:val="nil"/>
              <w:left w:val="nil"/>
              <w:bottom w:val="nil"/>
              <w:right w:val="nil"/>
            </w:tcBorders>
            <w:shd w:val="clear" w:color="auto" w:fill="auto"/>
            <w:tcMar>
              <w:left w:w="57" w:type="dxa"/>
              <w:right w:w="57" w:type="dxa"/>
            </w:tcMar>
            <w:vAlign w:val="bottom"/>
            <w:hideMark/>
          </w:tcPr>
          <w:p w14:paraId="71131178" w14:textId="77777777" w:rsidR="0084445A" w:rsidRPr="00741D80" w:rsidRDefault="0084445A" w:rsidP="00AE7CF9">
            <w:pPr>
              <w:pStyle w:val="a0"/>
              <w:spacing w:line="276" w:lineRule="auto"/>
              <w:rPr>
                <w:rFonts w:asciiTheme="minorHAnsi" w:hAnsiTheme="minorHAnsi" w:cstheme="minorHAnsi"/>
                <w:szCs w:val="20"/>
                <w:lang w:val="bg-BG"/>
              </w:rPr>
            </w:pPr>
            <w:r w:rsidRPr="00741D80">
              <w:rPr>
                <w:rFonts w:asciiTheme="minorHAnsi" w:hAnsiTheme="minorHAnsi" w:cstheme="minorHAnsi"/>
                <w:szCs w:val="20"/>
                <w:lang w:val="bg-BG"/>
              </w:rPr>
              <w:t>61</w:t>
            </w:r>
          </w:p>
        </w:tc>
        <w:tc>
          <w:tcPr>
            <w:tcW w:w="593" w:type="pct"/>
            <w:tcBorders>
              <w:top w:val="nil"/>
              <w:left w:val="nil"/>
              <w:bottom w:val="nil"/>
              <w:right w:val="nil"/>
            </w:tcBorders>
            <w:shd w:val="clear" w:color="auto" w:fill="auto"/>
            <w:tcMar>
              <w:left w:w="57" w:type="dxa"/>
              <w:right w:w="57" w:type="dxa"/>
            </w:tcMar>
            <w:vAlign w:val="bottom"/>
            <w:hideMark/>
          </w:tcPr>
          <w:p w14:paraId="03922E45" w14:textId="77777777" w:rsidR="0084445A" w:rsidRPr="00741D80" w:rsidRDefault="0084445A" w:rsidP="00AE7CF9">
            <w:pPr>
              <w:pStyle w:val="a0"/>
              <w:spacing w:line="276" w:lineRule="auto"/>
              <w:rPr>
                <w:rFonts w:asciiTheme="minorHAnsi" w:hAnsiTheme="minorHAnsi" w:cstheme="minorHAnsi"/>
                <w:szCs w:val="20"/>
                <w:lang w:val="bg-BG"/>
              </w:rPr>
            </w:pPr>
            <w:r w:rsidRPr="00741D80">
              <w:rPr>
                <w:rFonts w:asciiTheme="minorHAnsi" w:hAnsiTheme="minorHAnsi" w:cstheme="minorHAnsi"/>
                <w:szCs w:val="20"/>
                <w:lang w:val="bg-BG"/>
              </w:rPr>
              <w:t>-</w:t>
            </w:r>
          </w:p>
        </w:tc>
        <w:tc>
          <w:tcPr>
            <w:tcW w:w="558" w:type="pct"/>
            <w:tcBorders>
              <w:top w:val="nil"/>
              <w:left w:val="nil"/>
              <w:bottom w:val="nil"/>
              <w:right w:val="nil"/>
            </w:tcBorders>
            <w:shd w:val="clear" w:color="auto" w:fill="auto"/>
            <w:tcMar>
              <w:left w:w="57" w:type="dxa"/>
              <w:right w:w="57" w:type="dxa"/>
            </w:tcMar>
            <w:vAlign w:val="bottom"/>
            <w:hideMark/>
          </w:tcPr>
          <w:p w14:paraId="1A05C258" w14:textId="77777777" w:rsidR="0084445A" w:rsidRPr="00741D80" w:rsidRDefault="0084445A" w:rsidP="00AE7CF9">
            <w:pPr>
              <w:pStyle w:val="a0"/>
              <w:spacing w:line="276" w:lineRule="auto"/>
              <w:rPr>
                <w:rFonts w:asciiTheme="minorHAnsi" w:hAnsiTheme="minorHAnsi" w:cstheme="minorHAnsi"/>
                <w:szCs w:val="20"/>
                <w:lang w:val="bg-BG"/>
              </w:rPr>
            </w:pPr>
            <w:r w:rsidRPr="00741D80">
              <w:rPr>
                <w:rFonts w:asciiTheme="minorHAnsi" w:hAnsiTheme="minorHAnsi" w:cstheme="minorHAnsi"/>
                <w:szCs w:val="20"/>
                <w:lang w:val="bg-BG"/>
              </w:rPr>
              <w:t>-</w:t>
            </w:r>
          </w:p>
        </w:tc>
      </w:tr>
      <w:tr w:rsidR="0084445A" w:rsidRPr="00741D80" w14:paraId="54CC13F6"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vAlign w:val="bottom"/>
            <w:hideMark/>
          </w:tcPr>
          <w:p w14:paraId="38CE4663" w14:textId="77777777" w:rsidR="0084445A" w:rsidRPr="00741D80" w:rsidRDefault="0084445A" w:rsidP="00AE7CF9">
            <w:pPr>
              <w:pStyle w:val="a"/>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 xml:space="preserve">Общо активи по отсрочени данъци: </w:t>
            </w:r>
          </w:p>
        </w:tc>
        <w:tc>
          <w:tcPr>
            <w:tcW w:w="559"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5C6F1B2E" w14:textId="68A63491" w:rsidR="0084445A" w:rsidRPr="00741D80" w:rsidRDefault="0084445A" w:rsidP="00AE7CF9">
            <w:pPr>
              <w:pStyle w:val="a0"/>
              <w:spacing w:line="276" w:lineRule="auto"/>
              <w:rPr>
                <w:rFonts w:asciiTheme="minorHAnsi" w:hAnsiTheme="minorHAnsi" w:cstheme="minorHAnsi"/>
                <w:b/>
                <w:szCs w:val="20"/>
                <w:lang w:val="bg-BG"/>
              </w:rPr>
            </w:pPr>
            <w:r w:rsidRPr="00741D80">
              <w:rPr>
                <w:rFonts w:asciiTheme="minorHAnsi" w:hAnsiTheme="minorHAnsi" w:cstheme="minorHAnsi"/>
                <w:b/>
                <w:szCs w:val="20"/>
                <w:lang w:val="bg-BG"/>
              </w:rPr>
              <w:t>1,1</w:t>
            </w:r>
            <w:r w:rsidR="00007959">
              <w:rPr>
                <w:rFonts w:asciiTheme="minorHAnsi" w:hAnsiTheme="minorHAnsi" w:cstheme="minorHAnsi"/>
                <w:b/>
                <w:szCs w:val="20"/>
              </w:rPr>
              <w:t>2</w:t>
            </w:r>
            <w:r w:rsidRPr="00741D80">
              <w:rPr>
                <w:rFonts w:asciiTheme="minorHAnsi" w:hAnsiTheme="minorHAnsi" w:cstheme="minorHAnsi"/>
                <w:b/>
                <w:szCs w:val="20"/>
                <w:lang w:val="bg-BG"/>
              </w:rPr>
              <w:t>3</w:t>
            </w:r>
          </w:p>
        </w:tc>
        <w:tc>
          <w:tcPr>
            <w:tcW w:w="559"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2D729E09" w14:textId="47D26BD1" w:rsidR="0084445A" w:rsidRPr="00007959" w:rsidRDefault="0084445A" w:rsidP="00AE7CF9">
            <w:pPr>
              <w:pStyle w:val="a0"/>
              <w:spacing w:line="276" w:lineRule="auto"/>
              <w:rPr>
                <w:rFonts w:asciiTheme="minorHAnsi" w:hAnsiTheme="minorHAnsi" w:cstheme="minorHAnsi"/>
                <w:b/>
                <w:szCs w:val="20"/>
              </w:rPr>
            </w:pPr>
            <w:r w:rsidRPr="00741D80">
              <w:rPr>
                <w:rFonts w:asciiTheme="minorHAnsi" w:hAnsiTheme="minorHAnsi" w:cstheme="minorHAnsi"/>
                <w:b/>
                <w:szCs w:val="20"/>
                <w:lang w:val="bg-BG"/>
              </w:rPr>
              <w:t>11</w:t>
            </w:r>
            <w:r w:rsidR="00007959">
              <w:rPr>
                <w:rFonts w:asciiTheme="minorHAnsi" w:hAnsiTheme="minorHAnsi" w:cstheme="minorHAnsi"/>
                <w:b/>
                <w:szCs w:val="20"/>
              </w:rPr>
              <w:t>0</w:t>
            </w:r>
          </w:p>
        </w:tc>
        <w:tc>
          <w:tcPr>
            <w:tcW w:w="593"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21258F72" w14:textId="77777777" w:rsidR="0084445A" w:rsidRPr="00741D80" w:rsidRDefault="0084445A" w:rsidP="00AE7CF9">
            <w:pPr>
              <w:pStyle w:val="a0"/>
              <w:spacing w:line="276" w:lineRule="auto"/>
              <w:rPr>
                <w:rFonts w:asciiTheme="minorHAnsi" w:hAnsiTheme="minorHAnsi" w:cstheme="minorHAnsi"/>
                <w:b/>
                <w:szCs w:val="20"/>
              </w:rPr>
            </w:pPr>
            <w:r w:rsidRPr="00741D80">
              <w:rPr>
                <w:rFonts w:asciiTheme="minorHAnsi" w:hAnsiTheme="minorHAnsi" w:cstheme="minorHAnsi"/>
                <w:b/>
                <w:szCs w:val="20"/>
              </w:rPr>
              <w:t>500</w:t>
            </w:r>
          </w:p>
        </w:tc>
        <w:tc>
          <w:tcPr>
            <w:tcW w:w="558"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38FCC987" w14:textId="77777777" w:rsidR="0084445A" w:rsidRPr="00741D80" w:rsidRDefault="0084445A" w:rsidP="00AE7CF9">
            <w:pPr>
              <w:pStyle w:val="a0"/>
              <w:spacing w:line="276" w:lineRule="auto"/>
              <w:rPr>
                <w:rFonts w:asciiTheme="minorHAnsi" w:hAnsiTheme="minorHAnsi" w:cstheme="minorHAnsi"/>
                <w:b/>
                <w:szCs w:val="20"/>
              </w:rPr>
            </w:pPr>
            <w:r w:rsidRPr="00741D80">
              <w:rPr>
                <w:rFonts w:asciiTheme="minorHAnsi" w:hAnsiTheme="minorHAnsi" w:cstheme="minorHAnsi"/>
                <w:b/>
                <w:szCs w:val="20"/>
              </w:rPr>
              <w:t>50</w:t>
            </w:r>
          </w:p>
        </w:tc>
      </w:tr>
      <w:tr w:rsidR="0084445A" w:rsidRPr="00741D80" w14:paraId="57CBE31D" w14:textId="77777777" w:rsidTr="00084C32">
        <w:trPr>
          <w:trHeight w:val="170"/>
          <w:jc w:val="center"/>
        </w:trPr>
        <w:tc>
          <w:tcPr>
            <w:tcW w:w="2733" w:type="pct"/>
            <w:tcBorders>
              <w:top w:val="nil"/>
              <w:left w:val="nil"/>
              <w:bottom w:val="nil"/>
              <w:right w:val="nil"/>
            </w:tcBorders>
            <w:shd w:val="clear" w:color="auto" w:fill="auto"/>
            <w:noWrap/>
            <w:tcMar>
              <w:left w:w="57" w:type="dxa"/>
              <w:right w:w="57" w:type="dxa"/>
            </w:tcMar>
            <w:vAlign w:val="bottom"/>
            <w:hideMark/>
          </w:tcPr>
          <w:p w14:paraId="3426AEFE" w14:textId="77777777" w:rsidR="0084445A" w:rsidRPr="00741D80" w:rsidRDefault="0084445A" w:rsidP="00AE7CF9">
            <w:pPr>
              <w:pStyle w:val="a"/>
              <w:spacing w:line="276" w:lineRule="auto"/>
              <w:rPr>
                <w:rFonts w:asciiTheme="minorHAnsi" w:hAnsiTheme="minorHAnsi" w:cstheme="minorHAnsi"/>
                <w:color w:val="auto"/>
                <w:szCs w:val="20"/>
                <w:lang w:val="bg-BG"/>
              </w:rPr>
            </w:pPr>
          </w:p>
        </w:tc>
        <w:tc>
          <w:tcPr>
            <w:tcW w:w="559" w:type="pct"/>
            <w:tcBorders>
              <w:top w:val="nil"/>
              <w:left w:val="nil"/>
              <w:bottom w:val="nil"/>
              <w:right w:val="nil"/>
            </w:tcBorders>
            <w:shd w:val="clear" w:color="auto" w:fill="auto"/>
            <w:noWrap/>
            <w:tcMar>
              <w:left w:w="57" w:type="dxa"/>
              <w:right w:w="57" w:type="dxa"/>
            </w:tcMar>
            <w:vAlign w:val="bottom"/>
            <w:hideMark/>
          </w:tcPr>
          <w:p w14:paraId="4B140BF5" w14:textId="77777777" w:rsidR="0084445A" w:rsidRPr="00741D80" w:rsidRDefault="0084445A" w:rsidP="00AE7CF9">
            <w:pPr>
              <w:pStyle w:val="a0"/>
              <w:spacing w:line="276" w:lineRule="auto"/>
              <w:rPr>
                <w:rFonts w:asciiTheme="minorHAnsi" w:hAnsiTheme="minorHAnsi" w:cstheme="minorHAnsi"/>
                <w:szCs w:val="20"/>
              </w:rPr>
            </w:pPr>
          </w:p>
        </w:tc>
        <w:tc>
          <w:tcPr>
            <w:tcW w:w="559" w:type="pct"/>
            <w:tcBorders>
              <w:top w:val="nil"/>
              <w:left w:val="nil"/>
              <w:bottom w:val="nil"/>
              <w:right w:val="nil"/>
            </w:tcBorders>
            <w:shd w:val="clear" w:color="auto" w:fill="auto"/>
            <w:noWrap/>
            <w:tcMar>
              <w:left w:w="57" w:type="dxa"/>
              <w:right w:w="57" w:type="dxa"/>
            </w:tcMar>
            <w:vAlign w:val="bottom"/>
            <w:hideMark/>
          </w:tcPr>
          <w:p w14:paraId="5B1B8CFF" w14:textId="77777777" w:rsidR="0084445A" w:rsidRPr="00741D80" w:rsidRDefault="0084445A" w:rsidP="00AE7CF9">
            <w:pPr>
              <w:pStyle w:val="a0"/>
              <w:spacing w:line="276" w:lineRule="auto"/>
              <w:rPr>
                <w:rFonts w:asciiTheme="minorHAnsi" w:hAnsiTheme="minorHAnsi" w:cstheme="minorHAnsi"/>
                <w:szCs w:val="20"/>
              </w:rPr>
            </w:pPr>
          </w:p>
        </w:tc>
        <w:tc>
          <w:tcPr>
            <w:tcW w:w="593" w:type="pct"/>
            <w:tcBorders>
              <w:top w:val="nil"/>
              <w:left w:val="nil"/>
              <w:bottom w:val="nil"/>
              <w:right w:val="nil"/>
            </w:tcBorders>
            <w:shd w:val="clear" w:color="auto" w:fill="auto"/>
            <w:noWrap/>
            <w:tcMar>
              <w:left w:w="57" w:type="dxa"/>
              <w:right w:w="57" w:type="dxa"/>
            </w:tcMar>
            <w:vAlign w:val="bottom"/>
            <w:hideMark/>
          </w:tcPr>
          <w:p w14:paraId="4AFCE80E" w14:textId="77777777" w:rsidR="0084445A" w:rsidRPr="00741D80" w:rsidRDefault="0084445A" w:rsidP="00AE7CF9">
            <w:pPr>
              <w:pStyle w:val="a0"/>
              <w:spacing w:line="276" w:lineRule="auto"/>
              <w:rPr>
                <w:rFonts w:asciiTheme="minorHAnsi" w:hAnsiTheme="minorHAnsi" w:cstheme="minorHAnsi"/>
                <w:szCs w:val="20"/>
              </w:rPr>
            </w:pPr>
          </w:p>
        </w:tc>
        <w:tc>
          <w:tcPr>
            <w:tcW w:w="558" w:type="pct"/>
            <w:tcBorders>
              <w:top w:val="nil"/>
              <w:left w:val="nil"/>
              <w:bottom w:val="nil"/>
              <w:right w:val="nil"/>
            </w:tcBorders>
            <w:shd w:val="clear" w:color="auto" w:fill="auto"/>
            <w:noWrap/>
            <w:tcMar>
              <w:left w:w="57" w:type="dxa"/>
              <w:right w:w="57" w:type="dxa"/>
            </w:tcMar>
            <w:vAlign w:val="bottom"/>
            <w:hideMark/>
          </w:tcPr>
          <w:p w14:paraId="635F3D9F" w14:textId="77777777" w:rsidR="0084445A" w:rsidRPr="00741D80" w:rsidRDefault="0084445A" w:rsidP="00AE7CF9">
            <w:pPr>
              <w:pStyle w:val="a0"/>
              <w:spacing w:line="276" w:lineRule="auto"/>
              <w:rPr>
                <w:rFonts w:asciiTheme="minorHAnsi" w:hAnsiTheme="minorHAnsi" w:cstheme="minorHAnsi"/>
                <w:szCs w:val="20"/>
              </w:rPr>
            </w:pPr>
          </w:p>
        </w:tc>
      </w:tr>
      <w:tr w:rsidR="0084445A" w:rsidRPr="00130F78" w14:paraId="5DA37714"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vAlign w:val="bottom"/>
            <w:hideMark/>
          </w:tcPr>
          <w:p w14:paraId="43D4AE05" w14:textId="4687E2DC" w:rsidR="0084445A" w:rsidRPr="00130F78" w:rsidRDefault="0084445A" w:rsidP="00AE7CF9">
            <w:pPr>
              <w:pStyle w:val="a"/>
              <w:spacing w:line="276" w:lineRule="auto"/>
              <w:rPr>
                <w:rFonts w:asciiTheme="minorHAnsi" w:hAnsiTheme="minorHAnsi" w:cstheme="minorHAnsi"/>
                <w:color w:val="auto"/>
                <w:szCs w:val="20"/>
                <w:lang w:val="bg-BG"/>
              </w:rPr>
            </w:pPr>
            <w:r w:rsidRPr="00130F78">
              <w:rPr>
                <w:rFonts w:asciiTheme="minorHAnsi" w:hAnsiTheme="minorHAnsi" w:cstheme="minorHAnsi"/>
                <w:color w:val="auto"/>
                <w:szCs w:val="20"/>
                <w:lang w:val="bg-BG"/>
              </w:rPr>
              <w:t>Финансови активи</w:t>
            </w:r>
            <w:r w:rsidR="0070419A" w:rsidRPr="00130F78">
              <w:rPr>
                <w:rFonts w:asciiTheme="minorHAnsi" w:hAnsiTheme="minorHAnsi" w:cstheme="minorHAnsi"/>
                <w:color w:val="auto"/>
                <w:szCs w:val="20"/>
                <w:lang w:val="bg-BG"/>
              </w:rPr>
              <w:t>, оценявани по справедлива стойност</w:t>
            </w:r>
          </w:p>
        </w:tc>
        <w:tc>
          <w:tcPr>
            <w:tcW w:w="559" w:type="pct"/>
            <w:tcBorders>
              <w:top w:val="nil"/>
              <w:left w:val="nil"/>
              <w:bottom w:val="nil"/>
              <w:right w:val="nil"/>
            </w:tcBorders>
            <w:shd w:val="clear" w:color="auto" w:fill="auto"/>
            <w:tcMar>
              <w:left w:w="57" w:type="dxa"/>
              <w:right w:w="57" w:type="dxa"/>
            </w:tcMar>
            <w:vAlign w:val="bottom"/>
            <w:hideMark/>
          </w:tcPr>
          <w:p w14:paraId="5124D187" w14:textId="19F25CB5" w:rsidR="0084445A" w:rsidRPr="00130F78" w:rsidRDefault="0084445A" w:rsidP="00AE7CF9">
            <w:pPr>
              <w:pStyle w:val="a0"/>
              <w:spacing w:line="276" w:lineRule="auto"/>
              <w:rPr>
                <w:rFonts w:asciiTheme="minorHAnsi" w:hAnsiTheme="minorHAnsi" w:cstheme="minorHAnsi"/>
                <w:szCs w:val="20"/>
              </w:rPr>
            </w:pPr>
            <w:r w:rsidRPr="00130F78">
              <w:rPr>
                <w:rFonts w:asciiTheme="minorHAnsi" w:hAnsiTheme="minorHAnsi" w:cstheme="minorHAnsi"/>
                <w:szCs w:val="20"/>
              </w:rPr>
              <w:t>(</w:t>
            </w:r>
            <w:r w:rsidRPr="00130F78">
              <w:rPr>
                <w:rFonts w:asciiTheme="minorHAnsi" w:hAnsiTheme="minorHAnsi" w:cstheme="minorHAnsi"/>
                <w:szCs w:val="20"/>
                <w:lang w:val="bg-BG"/>
              </w:rPr>
              <w:t>47</w:t>
            </w:r>
            <w:r w:rsidR="00007959" w:rsidRPr="00130F78">
              <w:rPr>
                <w:rFonts w:asciiTheme="minorHAnsi" w:hAnsiTheme="minorHAnsi" w:cstheme="minorHAnsi"/>
                <w:szCs w:val="20"/>
              </w:rPr>
              <w:t>2</w:t>
            </w:r>
            <w:r w:rsidRPr="00130F78">
              <w:rPr>
                <w:rFonts w:asciiTheme="minorHAnsi" w:hAnsiTheme="minorHAnsi" w:cstheme="minorHAnsi"/>
                <w:szCs w:val="20"/>
              </w:rPr>
              <w:t>)</w:t>
            </w:r>
          </w:p>
        </w:tc>
        <w:tc>
          <w:tcPr>
            <w:tcW w:w="559" w:type="pct"/>
            <w:tcBorders>
              <w:top w:val="nil"/>
              <w:left w:val="nil"/>
              <w:bottom w:val="nil"/>
              <w:right w:val="nil"/>
            </w:tcBorders>
            <w:shd w:val="clear" w:color="auto" w:fill="auto"/>
            <w:tcMar>
              <w:left w:w="57" w:type="dxa"/>
              <w:right w:w="57" w:type="dxa"/>
            </w:tcMar>
            <w:vAlign w:val="bottom"/>
            <w:hideMark/>
          </w:tcPr>
          <w:p w14:paraId="0C870E79" w14:textId="77777777" w:rsidR="0084445A" w:rsidRPr="00130F78" w:rsidRDefault="0084445A" w:rsidP="00AE7CF9">
            <w:pPr>
              <w:pStyle w:val="a0"/>
              <w:spacing w:line="276" w:lineRule="auto"/>
              <w:rPr>
                <w:rFonts w:asciiTheme="minorHAnsi" w:hAnsiTheme="minorHAnsi" w:cstheme="minorHAnsi"/>
                <w:szCs w:val="20"/>
              </w:rPr>
            </w:pPr>
            <w:r w:rsidRPr="00130F78">
              <w:rPr>
                <w:rFonts w:asciiTheme="minorHAnsi" w:hAnsiTheme="minorHAnsi" w:cstheme="minorHAnsi"/>
                <w:szCs w:val="20"/>
              </w:rPr>
              <w:t>(</w:t>
            </w:r>
            <w:r w:rsidRPr="00130F78">
              <w:rPr>
                <w:rFonts w:asciiTheme="minorHAnsi" w:hAnsiTheme="minorHAnsi" w:cstheme="minorHAnsi"/>
                <w:szCs w:val="20"/>
                <w:lang w:val="bg-BG"/>
              </w:rPr>
              <w:t>47</w:t>
            </w:r>
            <w:r w:rsidRPr="00130F78">
              <w:rPr>
                <w:rFonts w:asciiTheme="minorHAnsi" w:hAnsiTheme="minorHAnsi" w:cstheme="minorHAnsi"/>
                <w:szCs w:val="20"/>
              </w:rPr>
              <w:t>)</w:t>
            </w:r>
          </w:p>
        </w:tc>
        <w:tc>
          <w:tcPr>
            <w:tcW w:w="593" w:type="pct"/>
            <w:tcBorders>
              <w:top w:val="nil"/>
              <w:left w:val="nil"/>
              <w:bottom w:val="nil"/>
              <w:right w:val="nil"/>
            </w:tcBorders>
            <w:shd w:val="clear" w:color="auto" w:fill="auto"/>
            <w:tcMar>
              <w:left w:w="57" w:type="dxa"/>
              <w:right w:w="57" w:type="dxa"/>
            </w:tcMar>
            <w:vAlign w:val="bottom"/>
            <w:hideMark/>
          </w:tcPr>
          <w:p w14:paraId="3442F70C" w14:textId="77777777" w:rsidR="0084445A" w:rsidRPr="00130F78" w:rsidRDefault="0084445A" w:rsidP="00AE7CF9">
            <w:pPr>
              <w:pStyle w:val="a0"/>
              <w:spacing w:line="276" w:lineRule="auto"/>
              <w:rPr>
                <w:rFonts w:asciiTheme="minorHAnsi" w:hAnsiTheme="minorHAnsi" w:cstheme="minorHAnsi"/>
                <w:szCs w:val="20"/>
              </w:rPr>
            </w:pPr>
            <w:r w:rsidRPr="00130F78">
              <w:rPr>
                <w:rFonts w:asciiTheme="minorHAnsi" w:hAnsiTheme="minorHAnsi" w:cstheme="minorHAnsi"/>
                <w:szCs w:val="20"/>
              </w:rPr>
              <w:t>(515)</w:t>
            </w:r>
          </w:p>
        </w:tc>
        <w:tc>
          <w:tcPr>
            <w:tcW w:w="558" w:type="pct"/>
            <w:tcBorders>
              <w:top w:val="nil"/>
              <w:left w:val="nil"/>
              <w:bottom w:val="nil"/>
              <w:right w:val="nil"/>
            </w:tcBorders>
            <w:shd w:val="clear" w:color="auto" w:fill="auto"/>
            <w:tcMar>
              <w:left w:w="57" w:type="dxa"/>
              <w:right w:w="57" w:type="dxa"/>
            </w:tcMar>
            <w:vAlign w:val="bottom"/>
            <w:hideMark/>
          </w:tcPr>
          <w:p w14:paraId="080C5EF4" w14:textId="77777777" w:rsidR="0084445A" w:rsidRPr="00130F78" w:rsidRDefault="0084445A" w:rsidP="00AE7CF9">
            <w:pPr>
              <w:pStyle w:val="a0"/>
              <w:spacing w:line="276" w:lineRule="auto"/>
              <w:rPr>
                <w:rFonts w:asciiTheme="minorHAnsi" w:hAnsiTheme="minorHAnsi" w:cstheme="minorHAnsi"/>
                <w:szCs w:val="20"/>
              </w:rPr>
            </w:pPr>
            <w:r w:rsidRPr="00130F78">
              <w:rPr>
                <w:rFonts w:asciiTheme="minorHAnsi" w:hAnsiTheme="minorHAnsi" w:cstheme="minorHAnsi"/>
                <w:szCs w:val="20"/>
              </w:rPr>
              <w:t>(52)</w:t>
            </w:r>
          </w:p>
        </w:tc>
      </w:tr>
      <w:tr w:rsidR="0084445A" w:rsidRPr="00130F78" w14:paraId="4D9C9FF9"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vAlign w:val="bottom"/>
            <w:hideMark/>
          </w:tcPr>
          <w:p w14:paraId="631C1C32" w14:textId="77777777" w:rsidR="0084445A" w:rsidRPr="00130F78" w:rsidRDefault="0084445A" w:rsidP="00AE7CF9">
            <w:pPr>
              <w:pStyle w:val="a"/>
              <w:spacing w:line="276" w:lineRule="auto"/>
              <w:rPr>
                <w:rFonts w:asciiTheme="minorHAnsi" w:hAnsiTheme="minorHAnsi" w:cstheme="minorHAnsi"/>
                <w:b/>
                <w:color w:val="auto"/>
                <w:szCs w:val="20"/>
                <w:lang w:val="bg-BG"/>
              </w:rPr>
            </w:pPr>
            <w:r w:rsidRPr="00130F78">
              <w:rPr>
                <w:rFonts w:asciiTheme="minorHAnsi" w:hAnsiTheme="minorHAnsi" w:cstheme="minorHAnsi"/>
                <w:b/>
                <w:color w:val="auto"/>
                <w:szCs w:val="20"/>
                <w:lang w:val="bg-BG"/>
              </w:rPr>
              <w:t xml:space="preserve">Общо пасиви по отсрочени данъци: </w:t>
            </w:r>
          </w:p>
        </w:tc>
        <w:tc>
          <w:tcPr>
            <w:tcW w:w="559"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48729383" w14:textId="53FB81C2" w:rsidR="0084445A" w:rsidRPr="00130F78" w:rsidRDefault="0084445A" w:rsidP="00AE7CF9">
            <w:pPr>
              <w:pStyle w:val="a0"/>
              <w:spacing w:line="276" w:lineRule="auto"/>
              <w:rPr>
                <w:rFonts w:asciiTheme="minorHAnsi" w:hAnsiTheme="minorHAnsi" w:cstheme="minorHAnsi"/>
                <w:b/>
                <w:szCs w:val="20"/>
              </w:rPr>
            </w:pPr>
            <w:r w:rsidRPr="00130F78">
              <w:rPr>
                <w:rFonts w:asciiTheme="minorHAnsi" w:hAnsiTheme="minorHAnsi" w:cstheme="minorHAnsi"/>
                <w:b/>
                <w:szCs w:val="20"/>
              </w:rPr>
              <w:t>(</w:t>
            </w:r>
            <w:r w:rsidRPr="00130F78">
              <w:rPr>
                <w:rFonts w:asciiTheme="minorHAnsi" w:hAnsiTheme="minorHAnsi" w:cstheme="minorHAnsi"/>
                <w:b/>
                <w:szCs w:val="20"/>
                <w:lang w:val="bg-BG"/>
              </w:rPr>
              <w:t>47</w:t>
            </w:r>
            <w:r w:rsidR="00007959" w:rsidRPr="00130F78">
              <w:rPr>
                <w:rFonts w:asciiTheme="minorHAnsi" w:hAnsiTheme="minorHAnsi" w:cstheme="minorHAnsi"/>
                <w:b/>
                <w:szCs w:val="20"/>
              </w:rPr>
              <w:t>2</w:t>
            </w:r>
            <w:r w:rsidRPr="00130F78">
              <w:rPr>
                <w:rFonts w:asciiTheme="minorHAnsi" w:hAnsiTheme="minorHAnsi" w:cstheme="minorHAnsi"/>
                <w:b/>
                <w:szCs w:val="20"/>
              </w:rPr>
              <w:t>)</w:t>
            </w:r>
          </w:p>
        </w:tc>
        <w:tc>
          <w:tcPr>
            <w:tcW w:w="559"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6E91F143" w14:textId="77777777" w:rsidR="0084445A" w:rsidRPr="00130F78" w:rsidRDefault="0084445A" w:rsidP="00AE7CF9">
            <w:pPr>
              <w:pStyle w:val="a0"/>
              <w:spacing w:line="276" w:lineRule="auto"/>
              <w:rPr>
                <w:rFonts w:asciiTheme="minorHAnsi" w:hAnsiTheme="minorHAnsi" w:cstheme="minorHAnsi"/>
                <w:b/>
                <w:szCs w:val="20"/>
              </w:rPr>
            </w:pPr>
            <w:r w:rsidRPr="00130F78">
              <w:rPr>
                <w:rFonts w:asciiTheme="minorHAnsi" w:hAnsiTheme="minorHAnsi" w:cstheme="minorHAnsi"/>
                <w:b/>
                <w:szCs w:val="20"/>
              </w:rPr>
              <w:t>(</w:t>
            </w:r>
            <w:r w:rsidRPr="00130F78">
              <w:rPr>
                <w:rFonts w:asciiTheme="minorHAnsi" w:hAnsiTheme="minorHAnsi" w:cstheme="minorHAnsi"/>
                <w:b/>
                <w:szCs w:val="20"/>
                <w:lang w:val="bg-BG"/>
              </w:rPr>
              <w:t>47</w:t>
            </w:r>
            <w:r w:rsidRPr="00130F78">
              <w:rPr>
                <w:rFonts w:asciiTheme="minorHAnsi" w:hAnsiTheme="minorHAnsi" w:cstheme="minorHAnsi"/>
                <w:b/>
                <w:szCs w:val="20"/>
              </w:rPr>
              <w:t>)</w:t>
            </w:r>
          </w:p>
        </w:tc>
        <w:tc>
          <w:tcPr>
            <w:tcW w:w="593"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6FE18E06" w14:textId="77777777" w:rsidR="0084445A" w:rsidRPr="00130F78" w:rsidRDefault="0084445A" w:rsidP="00AE7CF9">
            <w:pPr>
              <w:pStyle w:val="a0"/>
              <w:spacing w:line="276" w:lineRule="auto"/>
              <w:rPr>
                <w:rFonts w:asciiTheme="minorHAnsi" w:hAnsiTheme="minorHAnsi" w:cstheme="minorHAnsi"/>
                <w:b/>
                <w:szCs w:val="20"/>
              </w:rPr>
            </w:pPr>
            <w:r w:rsidRPr="00130F78">
              <w:rPr>
                <w:rFonts w:asciiTheme="minorHAnsi" w:hAnsiTheme="minorHAnsi" w:cstheme="minorHAnsi"/>
                <w:b/>
                <w:szCs w:val="20"/>
              </w:rPr>
              <w:t>(515)</w:t>
            </w:r>
          </w:p>
        </w:tc>
        <w:tc>
          <w:tcPr>
            <w:tcW w:w="558" w:type="pct"/>
            <w:tcBorders>
              <w:top w:val="single" w:sz="4" w:space="0" w:color="auto"/>
              <w:left w:val="nil"/>
              <w:bottom w:val="single" w:sz="4" w:space="0" w:color="auto"/>
              <w:right w:val="nil"/>
            </w:tcBorders>
            <w:shd w:val="clear" w:color="auto" w:fill="auto"/>
            <w:tcMar>
              <w:left w:w="57" w:type="dxa"/>
              <w:right w:w="57" w:type="dxa"/>
            </w:tcMar>
            <w:vAlign w:val="bottom"/>
            <w:hideMark/>
          </w:tcPr>
          <w:p w14:paraId="3B127198" w14:textId="77777777" w:rsidR="0084445A" w:rsidRPr="00130F78" w:rsidRDefault="0084445A" w:rsidP="00AE7CF9">
            <w:pPr>
              <w:pStyle w:val="a0"/>
              <w:spacing w:line="276" w:lineRule="auto"/>
              <w:rPr>
                <w:rFonts w:asciiTheme="minorHAnsi" w:hAnsiTheme="minorHAnsi" w:cstheme="minorHAnsi"/>
                <w:b/>
                <w:szCs w:val="20"/>
              </w:rPr>
            </w:pPr>
            <w:r w:rsidRPr="00130F78">
              <w:rPr>
                <w:rFonts w:asciiTheme="minorHAnsi" w:hAnsiTheme="minorHAnsi" w:cstheme="minorHAnsi"/>
                <w:b/>
                <w:szCs w:val="20"/>
              </w:rPr>
              <w:t xml:space="preserve"> (52)</w:t>
            </w:r>
          </w:p>
        </w:tc>
      </w:tr>
      <w:tr w:rsidR="0084445A" w:rsidRPr="00130F78" w14:paraId="0C1A2624" w14:textId="77777777" w:rsidTr="00084C32">
        <w:trPr>
          <w:trHeight w:val="170"/>
          <w:jc w:val="center"/>
        </w:trPr>
        <w:tc>
          <w:tcPr>
            <w:tcW w:w="2733" w:type="pct"/>
            <w:tcBorders>
              <w:top w:val="nil"/>
              <w:left w:val="nil"/>
              <w:bottom w:val="nil"/>
              <w:right w:val="nil"/>
            </w:tcBorders>
            <w:shd w:val="clear" w:color="auto" w:fill="auto"/>
            <w:noWrap/>
            <w:tcMar>
              <w:left w:w="57" w:type="dxa"/>
              <w:right w:w="57" w:type="dxa"/>
            </w:tcMar>
            <w:vAlign w:val="bottom"/>
            <w:hideMark/>
          </w:tcPr>
          <w:p w14:paraId="0CB1DF70" w14:textId="77777777" w:rsidR="0084445A" w:rsidRPr="00130F78" w:rsidRDefault="0084445A" w:rsidP="00AE7CF9">
            <w:pPr>
              <w:pStyle w:val="a"/>
              <w:spacing w:line="276" w:lineRule="auto"/>
              <w:rPr>
                <w:rFonts w:asciiTheme="minorHAnsi" w:hAnsiTheme="minorHAnsi" w:cstheme="minorHAnsi"/>
                <w:color w:val="auto"/>
                <w:szCs w:val="20"/>
                <w:lang w:val="bg-BG"/>
              </w:rPr>
            </w:pPr>
          </w:p>
        </w:tc>
        <w:tc>
          <w:tcPr>
            <w:tcW w:w="559" w:type="pct"/>
            <w:tcBorders>
              <w:top w:val="nil"/>
              <w:left w:val="nil"/>
              <w:bottom w:val="nil"/>
              <w:right w:val="nil"/>
            </w:tcBorders>
            <w:shd w:val="clear" w:color="auto" w:fill="auto"/>
            <w:noWrap/>
            <w:tcMar>
              <w:left w:w="57" w:type="dxa"/>
              <w:right w:w="57" w:type="dxa"/>
            </w:tcMar>
            <w:vAlign w:val="bottom"/>
            <w:hideMark/>
          </w:tcPr>
          <w:p w14:paraId="1ED58635" w14:textId="77777777" w:rsidR="0084445A" w:rsidRPr="00130F78" w:rsidRDefault="0084445A" w:rsidP="00AE7CF9">
            <w:pPr>
              <w:pStyle w:val="a0"/>
              <w:spacing w:line="276" w:lineRule="auto"/>
              <w:jc w:val="both"/>
              <w:rPr>
                <w:rFonts w:asciiTheme="minorHAnsi" w:hAnsiTheme="minorHAnsi" w:cstheme="minorHAnsi"/>
                <w:szCs w:val="20"/>
                <w:lang w:val="bg-BG"/>
              </w:rPr>
            </w:pPr>
          </w:p>
        </w:tc>
        <w:tc>
          <w:tcPr>
            <w:tcW w:w="559" w:type="pct"/>
            <w:tcBorders>
              <w:top w:val="nil"/>
              <w:left w:val="nil"/>
              <w:bottom w:val="nil"/>
              <w:right w:val="nil"/>
            </w:tcBorders>
            <w:shd w:val="clear" w:color="auto" w:fill="auto"/>
            <w:noWrap/>
            <w:tcMar>
              <w:left w:w="57" w:type="dxa"/>
              <w:right w:w="57" w:type="dxa"/>
            </w:tcMar>
            <w:vAlign w:val="bottom"/>
            <w:hideMark/>
          </w:tcPr>
          <w:p w14:paraId="008A73C7" w14:textId="77777777" w:rsidR="0084445A" w:rsidRPr="00130F78" w:rsidRDefault="0084445A" w:rsidP="00AE7CF9">
            <w:pPr>
              <w:pStyle w:val="a0"/>
              <w:spacing w:line="276" w:lineRule="auto"/>
              <w:rPr>
                <w:rFonts w:asciiTheme="minorHAnsi" w:hAnsiTheme="minorHAnsi" w:cstheme="minorHAnsi"/>
                <w:szCs w:val="20"/>
              </w:rPr>
            </w:pPr>
          </w:p>
        </w:tc>
        <w:tc>
          <w:tcPr>
            <w:tcW w:w="593" w:type="pct"/>
            <w:tcBorders>
              <w:top w:val="nil"/>
              <w:left w:val="nil"/>
              <w:bottom w:val="nil"/>
              <w:right w:val="nil"/>
            </w:tcBorders>
            <w:shd w:val="clear" w:color="auto" w:fill="auto"/>
            <w:noWrap/>
            <w:tcMar>
              <w:left w:w="57" w:type="dxa"/>
              <w:right w:w="57" w:type="dxa"/>
            </w:tcMar>
            <w:vAlign w:val="bottom"/>
            <w:hideMark/>
          </w:tcPr>
          <w:p w14:paraId="5A884892" w14:textId="77777777" w:rsidR="0084445A" w:rsidRPr="00130F78" w:rsidRDefault="0084445A" w:rsidP="00AE7CF9">
            <w:pPr>
              <w:pStyle w:val="a0"/>
              <w:spacing w:line="276" w:lineRule="auto"/>
              <w:rPr>
                <w:rFonts w:asciiTheme="minorHAnsi" w:hAnsiTheme="minorHAnsi" w:cstheme="minorHAnsi"/>
                <w:szCs w:val="20"/>
              </w:rPr>
            </w:pPr>
          </w:p>
        </w:tc>
        <w:tc>
          <w:tcPr>
            <w:tcW w:w="558" w:type="pct"/>
            <w:tcBorders>
              <w:top w:val="nil"/>
              <w:left w:val="nil"/>
              <w:bottom w:val="nil"/>
              <w:right w:val="nil"/>
            </w:tcBorders>
            <w:shd w:val="clear" w:color="auto" w:fill="auto"/>
            <w:noWrap/>
            <w:tcMar>
              <w:left w:w="57" w:type="dxa"/>
              <w:right w:w="57" w:type="dxa"/>
            </w:tcMar>
            <w:vAlign w:val="bottom"/>
            <w:hideMark/>
          </w:tcPr>
          <w:p w14:paraId="3954FA7B" w14:textId="77777777" w:rsidR="0084445A" w:rsidRPr="00130F78" w:rsidRDefault="0084445A" w:rsidP="00AE7CF9">
            <w:pPr>
              <w:pStyle w:val="a0"/>
              <w:spacing w:line="276" w:lineRule="auto"/>
              <w:rPr>
                <w:rFonts w:asciiTheme="minorHAnsi" w:hAnsiTheme="minorHAnsi" w:cstheme="minorHAnsi"/>
                <w:szCs w:val="20"/>
              </w:rPr>
            </w:pPr>
          </w:p>
        </w:tc>
      </w:tr>
      <w:tr w:rsidR="0084445A" w:rsidRPr="00741D80" w14:paraId="251AD746" w14:textId="77777777" w:rsidTr="00084C32">
        <w:trPr>
          <w:trHeight w:val="170"/>
          <w:jc w:val="center"/>
        </w:trPr>
        <w:tc>
          <w:tcPr>
            <w:tcW w:w="2733" w:type="pct"/>
            <w:tcBorders>
              <w:top w:val="nil"/>
              <w:left w:val="nil"/>
              <w:bottom w:val="nil"/>
              <w:right w:val="nil"/>
            </w:tcBorders>
            <w:shd w:val="clear" w:color="auto" w:fill="auto"/>
            <w:tcMar>
              <w:left w:w="57" w:type="dxa"/>
              <w:right w:w="57" w:type="dxa"/>
            </w:tcMar>
            <w:vAlign w:val="bottom"/>
            <w:hideMark/>
          </w:tcPr>
          <w:p w14:paraId="6235E44E" w14:textId="77777777" w:rsidR="0084445A" w:rsidRPr="00130F78" w:rsidRDefault="0084445A" w:rsidP="00AE7CF9">
            <w:pPr>
              <w:pStyle w:val="a"/>
              <w:spacing w:line="276" w:lineRule="auto"/>
              <w:rPr>
                <w:rFonts w:asciiTheme="minorHAnsi" w:hAnsiTheme="minorHAnsi" w:cstheme="minorHAnsi"/>
                <w:b/>
                <w:color w:val="auto"/>
                <w:szCs w:val="20"/>
                <w:lang w:val="bg-BG"/>
              </w:rPr>
            </w:pPr>
            <w:r w:rsidRPr="00130F78">
              <w:rPr>
                <w:rFonts w:asciiTheme="minorHAnsi" w:hAnsiTheme="minorHAnsi" w:cstheme="minorHAnsi"/>
                <w:b/>
                <w:color w:val="auto"/>
                <w:szCs w:val="20"/>
                <w:lang w:val="bg-BG"/>
              </w:rPr>
              <w:t>Нетни активи/(пасиви) по отсрочени данъци върху печалбата</w:t>
            </w:r>
          </w:p>
        </w:tc>
        <w:tc>
          <w:tcPr>
            <w:tcW w:w="559" w:type="pct"/>
            <w:tcBorders>
              <w:top w:val="nil"/>
              <w:left w:val="nil"/>
              <w:bottom w:val="double" w:sz="6" w:space="0" w:color="auto"/>
              <w:right w:val="nil"/>
            </w:tcBorders>
            <w:shd w:val="clear" w:color="auto" w:fill="auto"/>
            <w:noWrap/>
            <w:tcMar>
              <w:left w:w="57" w:type="dxa"/>
              <w:right w:w="57" w:type="dxa"/>
            </w:tcMar>
            <w:vAlign w:val="bottom"/>
            <w:hideMark/>
          </w:tcPr>
          <w:p w14:paraId="48846B23" w14:textId="77777777" w:rsidR="0084445A" w:rsidRPr="00130F78" w:rsidRDefault="0084445A" w:rsidP="00AE7CF9">
            <w:pPr>
              <w:pStyle w:val="a0"/>
              <w:widowControl w:val="0"/>
              <w:spacing w:line="276" w:lineRule="auto"/>
              <w:rPr>
                <w:rFonts w:asciiTheme="minorHAnsi" w:hAnsiTheme="minorHAnsi" w:cstheme="minorHAnsi"/>
                <w:b/>
                <w:szCs w:val="20"/>
                <w:lang w:val="bg-BG"/>
              </w:rPr>
            </w:pPr>
            <w:r w:rsidRPr="00130F78">
              <w:rPr>
                <w:rFonts w:asciiTheme="minorHAnsi" w:hAnsiTheme="minorHAnsi" w:cstheme="minorHAnsi"/>
                <w:b/>
                <w:szCs w:val="20"/>
                <w:lang w:val="bg-BG"/>
              </w:rPr>
              <w:t>630</w:t>
            </w:r>
          </w:p>
        </w:tc>
        <w:tc>
          <w:tcPr>
            <w:tcW w:w="559" w:type="pct"/>
            <w:tcBorders>
              <w:top w:val="nil"/>
              <w:left w:val="nil"/>
              <w:bottom w:val="double" w:sz="6" w:space="0" w:color="auto"/>
              <w:right w:val="nil"/>
            </w:tcBorders>
            <w:shd w:val="clear" w:color="auto" w:fill="auto"/>
            <w:noWrap/>
            <w:tcMar>
              <w:left w:w="57" w:type="dxa"/>
              <w:right w:w="57" w:type="dxa"/>
            </w:tcMar>
            <w:vAlign w:val="bottom"/>
            <w:hideMark/>
          </w:tcPr>
          <w:p w14:paraId="1B0EFFA6" w14:textId="1255B6FB" w:rsidR="0084445A" w:rsidRPr="00130F78" w:rsidRDefault="0084445A" w:rsidP="00AE7CF9">
            <w:pPr>
              <w:pStyle w:val="a0"/>
              <w:spacing w:line="276" w:lineRule="auto"/>
              <w:rPr>
                <w:rFonts w:asciiTheme="minorHAnsi" w:hAnsiTheme="minorHAnsi" w:cstheme="minorHAnsi"/>
                <w:b/>
                <w:szCs w:val="20"/>
              </w:rPr>
            </w:pPr>
            <w:r w:rsidRPr="00130F78">
              <w:rPr>
                <w:rFonts w:asciiTheme="minorHAnsi" w:hAnsiTheme="minorHAnsi" w:cstheme="minorHAnsi"/>
                <w:b/>
                <w:szCs w:val="20"/>
                <w:lang w:val="bg-BG"/>
              </w:rPr>
              <w:t>6</w:t>
            </w:r>
            <w:r w:rsidR="00007959" w:rsidRPr="00130F78">
              <w:rPr>
                <w:rFonts w:asciiTheme="minorHAnsi" w:hAnsiTheme="minorHAnsi" w:cstheme="minorHAnsi"/>
                <w:b/>
                <w:szCs w:val="20"/>
              </w:rPr>
              <w:t>3</w:t>
            </w:r>
          </w:p>
        </w:tc>
        <w:tc>
          <w:tcPr>
            <w:tcW w:w="593" w:type="pct"/>
            <w:tcBorders>
              <w:top w:val="nil"/>
              <w:left w:val="nil"/>
              <w:bottom w:val="double" w:sz="6" w:space="0" w:color="auto"/>
              <w:right w:val="nil"/>
            </w:tcBorders>
            <w:shd w:val="clear" w:color="auto" w:fill="auto"/>
            <w:noWrap/>
            <w:tcMar>
              <w:left w:w="57" w:type="dxa"/>
              <w:right w:w="57" w:type="dxa"/>
            </w:tcMar>
            <w:vAlign w:val="bottom"/>
            <w:hideMark/>
          </w:tcPr>
          <w:p w14:paraId="2972464B" w14:textId="77777777" w:rsidR="0084445A" w:rsidRPr="00130F78" w:rsidRDefault="0084445A" w:rsidP="00AE7CF9">
            <w:pPr>
              <w:pStyle w:val="a0"/>
              <w:spacing w:line="276" w:lineRule="auto"/>
              <w:rPr>
                <w:rFonts w:asciiTheme="minorHAnsi" w:hAnsiTheme="minorHAnsi" w:cstheme="minorHAnsi"/>
                <w:b/>
                <w:szCs w:val="20"/>
              </w:rPr>
            </w:pPr>
            <w:r w:rsidRPr="00130F78">
              <w:rPr>
                <w:rFonts w:asciiTheme="minorHAnsi" w:hAnsiTheme="minorHAnsi" w:cstheme="minorHAnsi"/>
                <w:b/>
                <w:szCs w:val="20"/>
              </w:rPr>
              <w:t>(15)</w:t>
            </w:r>
          </w:p>
        </w:tc>
        <w:tc>
          <w:tcPr>
            <w:tcW w:w="558" w:type="pct"/>
            <w:tcBorders>
              <w:top w:val="nil"/>
              <w:left w:val="nil"/>
              <w:bottom w:val="double" w:sz="6" w:space="0" w:color="auto"/>
              <w:right w:val="nil"/>
            </w:tcBorders>
            <w:shd w:val="clear" w:color="auto" w:fill="auto"/>
            <w:noWrap/>
            <w:tcMar>
              <w:left w:w="57" w:type="dxa"/>
              <w:right w:w="57" w:type="dxa"/>
            </w:tcMar>
            <w:vAlign w:val="bottom"/>
            <w:hideMark/>
          </w:tcPr>
          <w:p w14:paraId="1FFF6D8F" w14:textId="77777777" w:rsidR="0084445A" w:rsidRPr="00130F78" w:rsidRDefault="0084445A" w:rsidP="00AE7CF9">
            <w:pPr>
              <w:pStyle w:val="a0"/>
              <w:spacing w:line="276" w:lineRule="auto"/>
              <w:rPr>
                <w:rFonts w:asciiTheme="minorHAnsi" w:hAnsiTheme="minorHAnsi" w:cstheme="minorHAnsi"/>
                <w:b/>
                <w:szCs w:val="20"/>
              </w:rPr>
            </w:pPr>
            <w:r w:rsidRPr="00130F78">
              <w:rPr>
                <w:rFonts w:asciiTheme="minorHAnsi" w:hAnsiTheme="minorHAnsi" w:cstheme="minorHAnsi"/>
                <w:b/>
                <w:szCs w:val="20"/>
              </w:rPr>
              <w:t>(2)</w:t>
            </w:r>
          </w:p>
        </w:tc>
      </w:tr>
    </w:tbl>
    <w:p w14:paraId="11C1677B" w14:textId="77777777" w:rsidR="0084445A" w:rsidRPr="00741D80" w:rsidRDefault="0084445A" w:rsidP="00084C32">
      <w:pPr>
        <w:jc w:val="both"/>
        <w:rPr>
          <w:rFonts w:cstheme="minorHAnsi"/>
        </w:rPr>
      </w:pPr>
      <w:r w:rsidRPr="00741D80">
        <w:rPr>
          <w:rFonts w:cstheme="minorHAnsi"/>
        </w:rPr>
        <w:t>При признаване на отсрочените данъчни активи е взета предвид вероятността отделните разлики да имат обратно проявление в бъдеще и възможностите на дружеството да генерира достатъчна данъчна печалба.</w:t>
      </w:r>
    </w:p>
    <w:p w14:paraId="43ABA55C" w14:textId="77777777" w:rsidR="0084445A" w:rsidRPr="00741D80" w:rsidRDefault="0084445A" w:rsidP="00084C32">
      <w:pPr>
        <w:spacing w:after="0"/>
        <w:jc w:val="both"/>
        <w:rPr>
          <w:rFonts w:cstheme="minorHAnsi"/>
        </w:rPr>
      </w:pPr>
      <w:bookmarkStart w:id="62" w:name="_Toc439746826"/>
      <w:bookmarkStart w:id="63" w:name="_Toc128275761"/>
      <w:r w:rsidRPr="00741D80">
        <w:rPr>
          <w:rFonts w:cstheme="minorHAnsi"/>
        </w:rPr>
        <w:t>Изменението в салдото на отсрочените данъци за годината е както следва:</w:t>
      </w:r>
    </w:p>
    <w:tbl>
      <w:tblPr>
        <w:tblW w:w="5215" w:type="pct"/>
        <w:jc w:val="center"/>
        <w:tblCellMar>
          <w:left w:w="6" w:type="dxa"/>
          <w:right w:w="57" w:type="dxa"/>
        </w:tblCellMar>
        <w:tblLook w:val="04A0" w:firstRow="1" w:lastRow="0" w:firstColumn="1" w:lastColumn="0" w:noHBand="0" w:noVBand="1"/>
      </w:tblPr>
      <w:tblGrid>
        <w:gridCol w:w="5102"/>
        <w:gridCol w:w="981"/>
        <w:gridCol w:w="1713"/>
        <w:gridCol w:w="1275"/>
        <w:gridCol w:w="981"/>
      </w:tblGrid>
      <w:tr w:rsidR="0084445A" w:rsidRPr="00C4020C" w14:paraId="77C09323" w14:textId="77777777" w:rsidTr="00084C32">
        <w:trPr>
          <w:trHeight w:val="450"/>
          <w:jc w:val="center"/>
        </w:trPr>
        <w:tc>
          <w:tcPr>
            <w:tcW w:w="2538" w:type="pct"/>
            <w:tcBorders>
              <w:top w:val="nil"/>
              <w:left w:val="nil"/>
              <w:bottom w:val="nil"/>
              <w:right w:val="nil"/>
            </w:tcBorders>
            <w:shd w:val="clear" w:color="auto" w:fill="auto"/>
            <w:hideMark/>
          </w:tcPr>
          <w:p w14:paraId="2AF3A5CC" w14:textId="77777777" w:rsidR="0084445A" w:rsidRPr="00C4020C" w:rsidRDefault="0084445A" w:rsidP="00930481">
            <w:pPr>
              <w:pStyle w:val="a"/>
              <w:rPr>
                <w:rFonts w:asciiTheme="minorHAnsi" w:hAnsiTheme="minorHAnsi" w:cstheme="minorHAnsi"/>
                <w:color w:val="auto"/>
                <w:szCs w:val="20"/>
                <w:lang w:val="bg-BG"/>
              </w:rPr>
            </w:pPr>
            <w:r w:rsidRPr="00C4020C">
              <w:rPr>
                <w:rFonts w:asciiTheme="minorHAnsi" w:hAnsiTheme="minorHAnsi" w:cstheme="minorHAnsi"/>
                <w:color w:val="auto"/>
                <w:szCs w:val="20"/>
                <w:lang w:val="bg-BG"/>
              </w:rPr>
              <w:t>Отсрочени данъчни активи/(пасиви)</w:t>
            </w:r>
          </w:p>
        </w:tc>
        <w:tc>
          <w:tcPr>
            <w:tcW w:w="488" w:type="pct"/>
            <w:tcBorders>
              <w:top w:val="nil"/>
              <w:left w:val="nil"/>
              <w:bottom w:val="nil"/>
              <w:right w:val="nil"/>
            </w:tcBorders>
            <w:shd w:val="clear" w:color="auto" w:fill="auto"/>
            <w:hideMark/>
          </w:tcPr>
          <w:p w14:paraId="602C41BF" w14:textId="77777777" w:rsidR="0084445A" w:rsidRPr="00C4020C" w:rsidRDefault="0084445A" w:rsidP="00930481">
            <w:pPr>
              <w:pStyle w:val="a1"/>
              <w:rPr>
                <w:rFonts w:asciiTheme="minorHAnsi" w:hAnsiTheme="minorHAnsi" w:cstheme="minorHAnsi"/>
                <w:color w:val="auto"/>
                <w:szCs w:val="20"/>
              </w:rPr>
            </w:pPr>
            <w:r w:rsidRPr="00C4020C">
              <w:rPr>
                <w:rFonts w:asciiTheme="minorHAnsi" w:hAnsiTheme="minorHAnsi" w:cstheme="minorHAnsi"/>
                <w:color w:val="auto"/>
                <w:szCs w:val="20"/>
                <w:lang w:val="bg-BG"/>
              </w:rPr>
              <w:t>Салдо на 01.01.</w:t>
            </w:r>
            <w:r w:rsidRPr="00C4020C">
              <w:rPr>
                <w:rFonts w:asciiTheme="minorHAnsi" w:hAnsiTheme="minorHAnsi" w:cstheme="minorHAnsi"/>
                <w:color w:val="auto"/>
                <w:szCs w:val="20"/>
              </w:rPr>
              <w:t>2018</w:t>
            </w:r>
          </w:p>
        </w:tc>
        <w:tc>
          <w:tcPr>
            <w:tcW w:w="852" w:type="pct"/>
            <w:tcBorders>
              <w:top w:val="nil"/>
              <w:left w:val="nil"/>
              <w:bottom w:val="nil"/>
              <w:right w:val="nil"/>
            </w:tcBorders>
            <w:shd w:val="clear" w:color="auto" w:fill="auto"/>
            <w:hideMark/>
          </w:tcPr>
          <w:p w14:paraId="1CE336E6" w14:textId="77777777" w:rsidR="0084445A" w:rsidRPr="00C4020C" w:rsidRDefault="0084445A" w:rsidP="00930481">
            <w:pPr>
              <w:pStyle w:val="a1"/>
              <w:rPr>
                <w:rFonts w:asciiTheme="minorHAnsi" w:hAnsiTheme="minorHAnsi" w:cstheme="minorHAnsi"/>
                <w:color w:val="auto"/>
                <w:szCs w:val="20"/>
                <w:lang w:val="bg-BG"/>
              </w:rPr>
            </w:pPr>
            <w:r w:rsidRPr="00C4020C">
              <w:rPr>
                <w:rFonts w:asciiTheme="minorHAnsi" w:hAnsiTheme="minorHAnsi" w:cstheme="minorHAnsi"/>
                <w:color w:val="auto"/>
                <w:szCs w:val="20"/>
                <w:lang w:val="bg-BG"/>
              </w:rPr>
              <w:t>Признати в отчета за всеобхватния доход</w:t>
            </w:r>
          </w:p>
        </w:tc>
        <w:tc>
          <w:tcPr>
            <w:tcW w:w="634" w:type="pct"/>
            <w:tcBorders>
              <w:top w:val="nil"/>
              <w:left w:val="nil"/>
              <w:bottom w:val="nil"/>
              <w:right w:val="nil"/>
            </w:tcBorders>
            <w:shd w:val="clear" w:color="auto" w:fill="auto"/>
            <w:hideMark/>
          </w:tcPr>
          <w:p w14:paraId="53BDC85B" w14:textId="77777777" w:rsidR="0084445A" w:rsidRPr="00C4020C" w:rsidRDefault="0084445A" w:rsidP="00930481">
            <w:pPr>
              <w:pStyle w:val="a1"/>
              <w:rPr>
                <w:rFonts w:asciiTheme="minorHAnsi" w:hAnsiTheme="minorHAnsi" w:cstheme="minorHAnsi"/>
                <w:color w:val="auto"/>
                <w:szCs w:val="20"/>
                <w:lang w:val="bg-BG"/>
              </w:rPr>
            </w:pPr>
            <w:r w:rsidRPr="00C4020C">
              <w:rPr>
                <w:rFonts w:asciiTheme="minorHAnsi" w:hAnsiTheme="minorHAnsi" w:cstheme="minorHAnsi"/>
                <w:color w:val="auto"/>
                <w:szCs w:val="20"/>
                <w:lang w:val="bg-BG"/>
              </w:rPr>
              <w:t>Признати в собствения капитал</w:t>
            </w:r>
          </w:p>
        </w:tc>
        <w:tc>
          <w:tcPr>
            <w:tcW w:w="488" w:type="pct"/>
            <w:tcBorders>
              <w:top w:val="nil"/>
              <w:left w:val="nil"/>
              <w:bottom w:val="nil"/>
              <w:right w:val="nil"/>
            </w:tcBorders>
            <w:shd w:val="clear" w:color="auto" w:fill="auto"/>
            <w:hideMark/>
          </w:tcPr>
          <w:p w14:paraId="32BC2ABE" w14:textId="77777777" w:rsidR="0084445A" w:rsidRPr="00C4020C" w:rsidRDefault="0084445A" w:rsidP="00930481">
            <w:pPr>
              <w:pStyle w:val="a1"/>
              <w:rPr>
                <w:rFonts w:asciiTheme="minorHAnsi" w:hAnsiTheme="minorHAnsi" w:cstheme="minorHAnsi"/>
                <w:color w:val="auto"/>
                <w:szCs w:val="20"/>
                <w:lang w:val="bg-BG"/>
              </w:rPr>
            </w:pPr>
            <w:r w:rsidRPr="00C4020C">
              <w:rPr>
                <w:rFonts w:asciiTheme="minorHAnsi" w:hAnsiTheme="minorHAnsi" w:cstheme="minorHAnsi"/>
                <w:color w:val="auto"/>
                <w:szCs w:val="20"/>
                <w:lang w:val="bg-BG"/>
              </w:rPr>
              <w:t>Салдо на 31</w:t>
            </w:r>
            <w:r w:rsidRPr="00C4020C">
              <w:rPr>
                <w:rFonts w:asciiTheme="minorHAnsi" w:hAnsiTheme="minorHAnsi" w:cstheme="minorHAnsi"/>
                <w:color w:val="auto"/>
                <w:szCs w:val="20"/>
              </w:rPr>
              <w:t>.</w:t>
            </w:r>
            <w:r w:rsidRPr="00C4020C">
              <w:rPr>
                <w:rFonts w:asciiTheme="minorHAnsi" w:hAnsiTheme="minorHAnsi" w:cstheme="minorHAnsi"/>
                <w:color w:val="auto"/>
                <w:szCs w:val="20"/>
                <w:lang w:val="bg-BG"/>
              </w:rPr>
              <w:t>12</w:t>
            </w:r>
            <w:r w:rsidRPr="00C4020C">
              <w:rPr>
                <w:rFonts w:asciiTheme="minorHAnsi" w:hAnsiTheme="minorHAnsi" w:cstheme="minorHAnsi"/>
                <w:color w:val="auto"/>
                <w:szCs w:val="20"/>
              </w:rPr>
              <w:t>.2018</w:t>
            </w:r>
          </w:p>
        </w:tc>
      </w:tr>
      <w:tr w:rsidR="0084445A" w:rsidRPr="00C4020C" w14:paraId="2960442F" w14:textId="77777777" w:rsidTr="00084C32">
        <w:trPr>
          <w:trHeight w:val="20"/>
          <w:jc w:val="center"/>
        </w:trPr>
        <w:tc>
          <w:tcPr>
            <w:tcW w:w="2538" w:type="pct"/>
            <w:tcBorders>
              <w:top w:val="nil"/>
              <w:left w:val="nil"/>
              <w:bottom w:val="nil"/>
              <w:right w:val="nil"/>
            </w:tcBorders>
            <w:shd w:val="clear" w:color="auto" w:fill="auto"/>
            <w:noWrap/>
            <w:vAlign w:val="bottom"/>
            <w:hideMark/>
          </w:tcPr>
          <w:p w14:paraId="782A5048" w14:textId="77777777" w:rsidR="0084445A" w:rsidRPr="00C4020C" w:rsidRDefault="0084445A" w:rsidP="00930481">
            <w:pPr>
              <w:pStyle w:val="a"/>
              <w:rPr>
                <w:rFonts w:asciiTheme="minorHAnsi" w:hAnsiTheme="minorHAnsi" w:cstheme="minorHAnsi"/>
                <w:color w:val="auto"/>
                <w:szCs w:val="20"/>
                <w:lang w:val="bg-BG"/>
              </w:rPr>
            </w:pPr>
          </w:p>
        </w:tc>
        <w:tc>
          <w:tcPr>
            <w:tcW w:w="488" w:type="pct"/>
            <w:tcBorders>
              <w:top w:val="nil"/>
              <w:left w:val="nil"/>
              <w:bottom w:val="nil"/>
              <w:right w:val="nil"/>
            </w:tcBorders>
            <w:shd w:val="clear" w:color="auto" w:fill="auto"/>
            <w:noWrap/>
            <w:hideMark/>
          </w:tcPr>
          <w:p w14:paraId="0A56D617" w14:textId="77777777" w:rsidR="0084445A" w:rsidRPr="00C4020C" w:rsidRDefault="0084445A" w:rsidP="00930481">
            <w:pPr>
              <w:pStyle w:val="a1"/>
              <w:rPr>
                <w:rFonts w:asciiTheme="minorHAnsi" w:hAnsiTheme="minorHAnsi" w:cstheme="minorHAnsi"/>
                <w:color w:val="auto"/>
                <w:szCs w:val="20"/>
                <w:lang w:val="bg-BG"/>
              </w:rPr>
            </w:pPr>
            <w:r w:rsidRPr="00C4020C">
              <w:rPr>
                <w:rFonts w:asciiTheme="minorHAnsi" w:hAnsiTheme="minorHAnsi" w:cstheme="minorHAnsi"/>
                <w:color w:val="auto"/>
                <w:szCs w:val="20"/>
                <w:lang w:val="bg-BG"/>
              </w:rPr>
              <w:t>BGN'000</w:t>
            </w:r>
          </w:p>
        </w:tc>
        <w:tc>
          <w:tcPr>
            <w:tcW w:w="852" w:type="pct"/>
            <w:tcBorders>
              <w:top w:val="nil"/>
              <w:left w:val="nil"/>
              <w:bottom w:val="nil"/>
              <w:right w:val="nil"/>
            </w:tcBorders>
            <w:shd w:val="clear" w:color="auto" w:fill="auto"/>
            <w:noWrap/>
            <w:hideMark/>
          </w:tcPr>
          <w:p w14:paraId="405FF49E" w14:textId="77777777" w:rsidR="0084445A" w:rsidRPr="00C4020C" w:rsidRDefault="0084445A" w:rsidP="00930481">
            <w:pPr>
              <w:pStyle w:val="a1"/>
              <w:rPr>
                <w:rFonts w:asciiTheme="minorHAnsi" w:hAnsiTheme="minorHAnsi" w:cstheme="minorHAnsi"/>
                <w:color w:val="auto"/>
                <w:szCs w:val="20"/>
                <w:lang w:val="bg-BG"/>
              </w:rPr>
            </w:pPr>
            <w:r w:rsidRPr="00C4020C">
              <w:rPr>
                <w:rFonts w:asciiTheme="minorHAnsi" w:hAnsiTheme="minorHAnsi" w:cstheme="minorHAnsi"/>
                <w:color w:val="auto"/>
                <w:szCs w:val="20"/>
                <w:lang w:val="bg-BG"/>
              </w:rPr>
              <w:t>BGN'000</w:t>
            </w:r>
          </w:p>
        </w:tc>
        <w:tc>
          <w:tcPr>
            <w:tcW w:w="634" w:type="pct"/>
            <w:tcBorders>
              <w:top w:val="nil"/>
              <w:left w:val="nil"/>
              <w:bottom w:val="nil"/>
              <w:right w:val="nil"/>
            </w:tcBorders>
            <w:shd w:val="clear" w:color="auto" w:fill="auto"/>
            <w:noWrap/>
            <w:hideMark/>
          </w:tcPr>
          <w:p w14:paraId="3C381715" w14:textId="77777777" w:rsidR="0084445A" w:rsidRPr="00C4020C" w:rsidRDefault="0084445A" w:rsidP="00930481">
            <w:pPr>
              <w:pStyle w:val="a1"/>
              <w:rPr>
                <w:rFonts w:asciiTheme="minorHAnsi" w:hAnsiTheme="minorHAnsi" w:cstheme="minorHAnsi"/>
                <w:color w:val="auto"/>
                <w:szCs w:val="20"/>
                <w:lang w:val="bg-BG"/>
              </w:rPr>
            </w:pPr>
            <w:r w:rsidRPr="00C4020C">
              <w:rPr>
                <w:rFonts w:asciiTheme="minorHAnsi" w:hAnsiTheme="minorHAnsi" w:cstheme="minorHAnsi"/>
                <w:color w:val="auto"/>
                <w:szCs w:val="20"/>
                <w:lang w:val="bg-BG"/>
              </w:rPr>
              <w:t>BGN'000</w:t>
            </w:r>
          </w:p>
        </w:tc>
        <w:tc>
          <w:tcPr>
            <w:tcW w:w="488" w:type="pct"/>
            <w:tcBorders>
              <w:top w:val="nil"/>
              <w:left w:val="nil"/>
              <w:bottom w:val="nil"/>
              <w:right w:val="nil"/>
            </w:tcBorders>
            <w:shd w:val="clear" w:color="auto" w:fill="auto"/>
            <w:noWrap/>
            <w:hideMark/>
          </w:tcPr>
          <w:p w14:paraId="4EDA579F" w14:textId="77777777" w:rsidR="0084445A" w:rsidRPr="00C4020C" w:rsidRDefault="0084445A" w:rsidP="00930481">
            <w:pPr>
              <w:pStyle w:val="a1"/>
              <w:rPr>
                <w:rFonts w:asciiTheme="minorHAnsi" w:hAnsiTheme="minorHAnsi" w:cstheme="minorHAnsi"/>
                <w:color w:val="auto"/>
                <w:szCs w:val="20"/>
                <w:lang w:val="bg-BG"/>
              </w:rPr>
            </w:pPr>
            <w:r w:rsidRPr="00C4020C">
              <w:rPr>
                <w:rFonts w:asciiTheme="minorHAnsi" w:hAnsiTheme="minorHAnsi" w:cstheme="minorHAnsi"/>
                <w:color w:val="auto"/>
                <w:szCs w:val="20"/>
                <w:lang w:val="bg-BG"/>
              </w:rPr>
              <w:t>BGN'000</w:t>
            </w:r>
          </w:p>
        </w:tc>
      </w:tr>
      <w:tr w:rsidR="0084445A" w:rsidRPr="00C4020C" w14:paraId="0A0996A8" w14:textId="77777777" w:rsidTr="00084C32">
        <w:trPr>
          <w:trHeight w:val="20"/>
          <w:jc w:val="center"/>
        </w:trPr>
        <w:tc>
          <w:tcPr>
            <w:tcW w:w="2538" w:type="pct"/>
            <w:tcBorders>
              <w:top w:val="nil"/>
              <w:left w:val="nil"/>
              <w:bottom w:val="nil"/>
              <w:right w:val="nil"/>
            </w:tcBorders>
            <w:shd w:val="clear" w:color="auto" w:fill="auto"/>
            <w:vAlign w:val="bottom"/>
            <w:hideMark/>
          </w:tcPr>
          <w:p w14:paraId="6D24753F" w14:textId="77777777" w:rsidR="0084445A" w:rsidRPr="00C4020C" w:rsidRDefault="0084445A" w:rsidP="00930481">
            <w:pPr>
              <w:pStyle w:val="a"/>
              <w:rPr>
                <w:rFonts w:asciiTheme="minorHAnsi" w:hAnsiTheme="minorHAnsi" w:cstheme="minorHAnsi"/>
                <w:color w:val="auto"/>
                <w:szCs w:val="20"/>
                <w:lang w:val="bg-BG"/>
              </w:rPr>
            </w:pPr>
            <w:r w:rsidRPr="00C4020C">
              <w:rPr>
                <w:rFonts w:asciiTheme="minorHAnsi" w:hAnsiTheme="minorHAnsi" w:cstheme="minorHAnsi"/>
                <w:color w:val="auto"/>
                <w:szCs w:val="20"/>
                <w:lang w:val="bg-BG"/>
              </w:rPr>
              <w:t>Имоти, машини, оборудване</w:t>
            </w:r>
          </w:p>
        </w:tc>
        <w:tc>
          <w:tcPr>
            <w:tcW w:w="488" w:type="pct"/>
            <w:tcBorders>
              <w:top w:val="nil"/>
              <w:left w:val="nil"/>
              <w:bottom w:val="nil"/>
              <w:right w:val="nil"/>
            </w:tcBorders>
            <w:shd w:val="clear" w:color="auto" w:fill="auto"/>
            <w:noWrap/>
            <w:vAlign w:val="bottom"/>
            <w:hideMark/>
          </w:tcPr>
          <w:p w14:paraId="2AB2D83E" w14:textId="77777777" w:rsidR="0084445A" w:rsidRPr="00C4020C" w:rsidRDefault="0084445A" w:rsidP="00930481">
            <w:pPr>
              <w:pStyle w:val="a0"/>
              <w:widowControl w:val="0"/>
              <w:rPr>
                <w:rFonts w:asciiTheme="minorHAnsi" w:hAnsiTheme="minorHAnsi" w:cstheme="minorHAnsi"/>
                <w:color w:val="auto"/>
                <w:szCs w:val="20"/>
              </w:rPr>
            </w:pPr>
            <w:r w:rsidRPr="00C4020C">
              <w:rPr>
                <w:rFonts w:asciiTheme="minorHAnsi" w:hAnsiTheme="minorHAnsi" w:cstheme="minorHAnsi"/>
                <w:color w:val="auto"/>
                <w:szCs w:val="20"/>
              </w:rPr>
              <w:t>9</w:t>
            </w:r>
          </w:p>
        </w:tc>
        <w:tc>
          <w:tcPr>
            <w:tcW w:w="852" w:type="pct"/>
            <w:tcBorders>
              <w:top w:val="nil"/>
              <w:left w:val="nil"/>
              <w:bottom w:val="nil"/>
              <w:right w:val="nil"/>
            </w:tcBorders>
            <w:shd w:val="clear" w:color="auto" w:fill="auto"/>
            <w:noWrap/>
            <w:vAlign w:val="bottom"/>
            <w:hideMark/>
          </w:tcPr>
          <w:p w14:paraId="2A1E7ACC" w14:textId="6B479771" w:rsidR="0084445A" w:rsidRPr="00C4020C" w:rsidRDefault="00007959" w:rsidP="00930481">
            <w:pPr>
              <w:pStyle w:val="a0"/>
              <w:widowControl w:val="0"/>
              <w:rPr>
                <w:rFonts w:asciiTheme="minorHAnsi" w:hAnsiTheme="minorHAnsi" w:cstheme="minorHAnsi"/>
                <w:color w:val="auto"/>
                <w:szCs w:val="20"/>
              </w:rPr>
            </w:pPr>
            <w:r w:rsidRPr="00C4020C">
              <w:rPr>
                <w:rFonts w:asciiTheme="minorHAnsi" w:hAnsiTheme="minorHAnsi" w:cstheme="minorHAnsi"/>
                <w:color w:val="auto"/>
                <w:szCs w:val="20"/>
              </w:rPr>
              <w:t>1</w:t>
            </w:r>
          </w:p>
        </w:tc>
        <w:tc>
          <w:tcPr>
            <w:tcW w:w="634" w:type="pct"/>
            <w:tcBorders>
              <w:top w:val="nil"/>
              <w:left w:val="nil"/>
              <w:bottom w:val="nil"/>
              <w:right w:val="nil"/>
            </w:tcBorders>
            <w:shd w:val="clear" w:color="auto" w:fill="auto"/>
            <w:vAlign w:val="bottom"/>
            <w:hideMark/>
          </w:tcPr>
          <w:p w14:paraId="6E59A764"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w:t>
            </w:r>
          </w:p>
        </w:tc>
        <w:tc>
          <w:tcPr>
            <w:tcW w:w="488" w:type="pct"/>
            <w:tcBorders>
              <w:top w:val="nil"/>
              <w:left w:val="nil"/>
              <w:bottom w:val="nil"/>
              <w:right w:val="nil"/>
            </w:tcBorders>
            <w:shd w:val="clear" w:color="auto" w:fill="auto"/>
            <w:noWrap/>
            <w:vAlign w:val="bottom"/>
            <w:hideMark/>
          </w:tcPr>
          <w:p w14:paraId="0077ABE1"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10</w:t>
            </w:r>
          </w:p>
        </w:tc>
      </w:tr>
      <w:tr w:rsidR="0084445A" w:rsidRPr="00C4020C" w14:paraId="09AA2959" w14:textId="77777777" w:rsidTr="00084C32">
        <w:trPr>
          <w:trHeight w:val="20"/>
          <w:jc w:val="center"/>
        </w:trPr>
        <w:tc>
          <w:tcPr>
            <w:tcW w:w="2538" w:type="pct"/>
            <w:tcBorders>
              <w:top w:val="nil"/>
              <w:left w:val="nil"/>
              <w:bottom w:val="nil"/>
              <w:right w:val="nil"/>
            </w:tcBorders>
            <w:shd w:val="clear" w:color="auto" w:fill="auto"/>
            <w:noWrap/>
            <w:vAlign w:val="bottom"/>
            <w:hideMark/>
          </w:tcPr>
          <w:p w14:paraId="2CE55C30" w14:textId="77777777" w:rsidR="0084445A" w:rsidRPr="00C4020C" w:rsidRDefault="0084445A" w:rsidP="00930481">
            <w:pPr>
              <w:pStyle w:val="a"/>
              <w:rPr>
                <w:rFonts w:asciiTheme="minorHAnsi" w:hAnsiTheme="minorHAnsi" w:cstheme="minorHAnsi"/>
                <w:color w:val="auto"/>
                <w:szCs w:val="20"/>
                <w:lang w:val="bg-BG"/>
              </w:rPr>
            </w:pPr>
            <w:r w:rsidRPr="00C4020C">
              <w:rPr>
                <w:rFonts w:asciiTheme="minorHAnsi" w:hAnsiTheme="minorHAnsi" w:cstheme="minorHAnsi"/>
                <w:color w:val="auto"/>
                <w:szCs w:val="20"/>
                <w:lang w:val="bg-BG"/>
              </w:rPr>
              <w:t>Начисления за неизползван платен отпуск</w:t>
            </w:r>
          </w:p>
        </w:tc>
        <w:tc>
          <w:tcPr>
            <w:tcW w:w="488" w:type="pct"/>
            <w:tcBorders>
              <w:top w:val="nil"/>
              <w:left w:val="nil"/>
              <w:bottom w:val="nil"/>
              <w:right w:val="nil"/>
            </w:tcBorders>
            <w:shd w:val="clear" w:color="auto" w:fill="auto"/>
            <w:noWrap/>
            <w:vAlign w:val="bottom"/>
            <w:hideMark/>
          </w:tcPr>
          <w:p w14:paraId="760E6268" w14:textId="77777777" w:rsidR="0084445A" w:rsidRPr="00C4020C" w:rsidRDefault="0084445A" w:rsidP="00930481">
            <w:pPr>
              <w:pStyle w:val="a0"/>
              <w:widowControl w:val="0"/>
              <w:rPr>
                <w:rFonts w:asciiTheme="minorHAnsi" w:hAnsiTheme="minorHAnsi" w:cstheme="minorHAnsi"/>
                <w:color w:val="auto"/>
                <w:szCs w:val="20"/>
              </w:rPr>
            </w:pPr>
            <w:r w:rsidRPr="00C4020C">
              <w:rPr>
                <w:rFonts w:asciiTheme="minorHAnsi" w:hAnsiTheme="minorHAnsi" w:cstheme="minorHAnsi"/>
                <w:color w:val="auto"/>
                <w:szCs w:val="20"/>
              </w:rPr>
              <w:t>8</w:t>
            </w:r>
          </w:p>
        </w:tc>
        <w:tc>
          <w:tcPr>
            <w:tcW w:w="852" w:type="pct"/>
            <w:tcBorders>
              <w:top w:val="nil"/>
              <w:left w:val="nil"/>
              <w:bottom w:val="nil"/>
              <w:right w:val="nil"/>
            </w:tcBorders>
            <w:shd w:val="clear" w:color="auto" w:fill="auto"/>
            <w:noWrap/>
            <w:vAlign w:val="bottom"/>
            <w:hideMark/>
          </w:tcPr>
          <w:p w14:paraId="20E2247C"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rPr>
              <w:t>(1)</w:t>
            </w:r>
          </w:p>
        </w:tc>
        <w:tc>
          <w:tcPr>
            <w:tcW w:w="634" w:type="pct"/>
            <w:tcBorders>
              <w:top w:val="nil"/>
              <w:left w:val="nil"/>
              <w:bottom w:val="nil"/>
              <w:right w:val="nil"/>
            </w:tcBorders>
            <w:shd w:val="clear" w:color="auto" w:fill="auto"/>
            <w:vAlign w:val="bottom"/>
            <w:hideMark/>
          </w:tcPr>
          <w:p w14:paraId="1E9E6C1C" w14:textId="77777777" w:rsidR="0084445A" w:rsidRPr="00C4020C" w:rsidRDefault="0084445A" w:rsidP="00930481">
            <w:pPr>
              <w:pStyle w:val="a0"/>
              <w:widowControl w:val="0"/>
              <w:rPr>
                <w:rFonts w:asciiTheme="minorHAnsi" w:hAnsiTheme="minorHAnsi" w:cstheme="minorHAnsi"/>
                <w:color w:val="auto"/>
                <w:szCs w:val="20"/>
              </w:rPr>
            </w:pPr>
            <w:r w:rsidRPr="00C4020C">
              <w:rPr>
                <w:rFonts w:asciiTheme="minorHAnsi" w:hAnsiTheme="minorHAnsi" w:cstheme="minorHAnsi"/>
                <w:color w:val="auto"/>
                <w:szCs w:val="20"/>
              </w:rPr>
              <w:t>-</w:t>
            </w:r>
          </w:p>
        </w:tc>
        <w:tc>
          <w:tcPr>
            <w:tcW w:w="488" w:type="pct"/>
            <w:tcBorders>
              <w:top w:val="nil"/>
              <w:left w:val="nil"/>
              <w:bottom w:val="nil"/>
              <w:right w:val="nil"/>
            </w:tcBorders>
            <w:shd w:val="clear" w:color="auto" w:fill="auto"/>
            <w:noWrap/>
            <w:vAlign w:val="bottom"/>
            <w:hideMark/>
          </w:tcPr>
          <w:p w14:paraId="3EA63774" w14:textId="77777777" w:rsidR="0084445A" w:rsidRPr="00C4020C" w:rsidRDefault="0084445A" w:rsidP="00930481">
            <w:pPr>
              <w:pStyle w:val="a0"/>
              <w:widowControl w:val="0"/>
              <w:rPr>
                <w:rFonts w:asciiTheme="minorHAnsi" w:hAnsiTheme="minorHAnsi" w:cstheme="minorHAnsi"/>
                <w:color w:val="auto"/>
                <w:szCs w:val="20"/>
              </w:rPr>
            </w:pPr>
            <w:r w:rsidRPr="00C4020C">
              <w:rPr>
                <w:rFonts w:asciiTheme="minorHAnsi" w:hAnsiTheme="minorHAnsi" w:cstheme="minorHAnsi"/>
                <w:color w:val="auto"/>
                <w:szCs w:val="20"/>
              </w:rPr>
              <w:t>7</w:t>
            </w:r>
          </w:p>
        </w:tc>
      </w:tr>
      <w:tr w:rsidR="0084445A" w:rsidRPr="00C4020C" w14:paraId="7DC4BAA5" w14:textId="77777777" w:rsidTr="00084C32">
        <w:trPr>
          <w:trHeight w:val="20"/>
          <w:jc w:val="center"/>
        </w:trPr>
        <w:tc>
          <w:tcPr>
            <w:tcW w:w="2538" w:type="pct"/>
            <w:tcBorders>
              <w:top w:val="nil"/>
              <w:left w:val="nil"/>
              <w:bottom w:val="nil"/>
              <w:right w:val="nil"/>
            </w:tcBorders>
            <w:shd w:val="clear" w:color="auto" w:fill="auto"/>
            <w:vAlign w:val="bottom"/>
            <w:hideMark/>
          </w:tcPr>
          <w:p w14:paraId="6000E464" w14:textId="77777777" w:rsidR="0084445A" w:rsidRPr="00C4020C" w:rsidRDefault="0084445A" w:rsidP="00930481">
            <w:pPr>
              <w:pStyle w:val="a"/>
              <w:rPr>
                <w:rFonts w:asciiTheme="minorHAnsi" w:hAnsiTheme="minorHAnsi" w:cstheme="minorHAnsi"/>
                <w:color w:val="auto"/>
                <w:szCs w:val="20"/>
              </w:rPr>
            </w:pPr>
            <w:r w:rsidRPr="00C4020C">
              <w:rPr>
                <w:rFonts w:asciiTheme="minorHAnsi" w:hAnsiTheme="minorHAnsi" w:cstheme="minorHAnsi"/>
                <w:color w:val="auto"/>
                <w:szCs w:val="20"/>
                <w:lang w:val="bg-BG"/>
              </w:rPr>
              <w:t>Начисления за дългосрочни задължения към персонала</w:t>
            </w:r>
          </w:p>
        </w:tc>
        <w:tc>
          <w:tcPr>
            <w:tcW w:w="488" w:type="pct"/>
            <w:tcBorders>
              <w:top w:val="nil"/>
              <w:left w:val="nil"/>
              <w:bottom w:val="nil"/>
              <w:right w:val="nil"/>
            </w:tcBorders>
            <w:shd w:val="clear" w:color="auto" w:fill="auto"/>
            <w:noWrap/>
            <w:vAlign w:val="bottom"/>
            <w:hideMark/>
          </w:tcPr>
          <w:p w14:paraId="1D46BEDA" w14:textId="77777777" w:rsidR="0084445A" w:rsidRPr="00C4020C" w:rsidRDefault="0084445A" w:rsidP="00930481">
            <w:pPr>
              <w:pStyle w:val="a0"/>
              <w:widowControl w:val="0"/>
              <w:rPr>
                <w:rFonts w:asciiTheme="minorHAnsi" w:hAnsiTheme="minorHAnsi" w:cstheme="minorHAnsi"/>
                <w:color w:val="auto"/>
                <w:szCs w:val="20"/>
              </w:rPr>
            </w:pPr>
            <w:r w:rsidRPr="00C4020C">
              <w:rPr>
                <w:rFonts w:asciiTheme="minorHAnsi" w:hAnsiTheme="minorHAnsi" w:cstheme="minorHAnsi"/>
                <w:color w:val="auto"/>
                <w:szCs w:val="20"/>
              </w:rPr>
              <w:t>6</w:t>
            </w:r>
          </w:p>
        </w:tc>
        <w:tc>
          <w:tcPr>
            <w:tcW w:w="852" w:type="pct"/>
            <w:tcBorders>
              <w:top w:val="nil"/>
              <w:left w:val="nil"/>
              <w:bottom w:val="nil"/>
              <w:right w:val="nil"/>
            </w:tcBorders>
            <w:shd w:val="clear" w:color="auto" w:fill="auto"/>
            <w:noWrap/>
            <w:vAlign w:val="bottom"/>
            <w:hideMark/>
          </w:tcPr>
          <w:p w14:paraId="3E146199"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rPr>
              <w:t>(1)</w:t>
            </w:r>
          </w:p>
        </w:tc>
        <w:tc>
          <w:tcPr>
            <w:tcW w:w="634" w:type="pct"/>
            <w:tcBorders>
              <w:top w:val="nil"/>
              <w:left w:val="nil"/>
              <w:bottom w:val="nil"/>
              <w:right w:val="nil"/>
            </w:tcBorders>
            <w:shd w:val="clear" w:color="auto" w:fill="auto"/>
            <w:vAlign w:val="bottom"/>
            <w:hideMark/>
          </w:tcPr>
          <w:p w14:paraId="2EF11176"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w:t>
            </w:r>
          </w:p>
        </w:tc>
        <w:tc>
          <w:tcPr>
            <w:tcW w:w="488" w:type="pct"/>
            <w:tcBorders>
              <w:top w:val="nil"/>
              <w:left w:val="nil"/>
              <w:bottom w:val="nil"/>
              <w:right w:val="nil"/>
            </w:tcBorders>
            <w:shd w:val="clear" w:color="auto" w:fill="auto"/>
            <w:noWrap/>
            <w:vAlign w:val="bottom"/>
            <w:hideMark/>
          </w:tcPr>
          <w:p w14:paraId="71379E67" w14:textId="77777777" w:rsidR="0084445A" w:rsidRPr="00C4020C" w:rsidRDefault="0084445A" w:rsidP="00930481">
            <w:pPr>
              <w:pStyle w:val="a0"/>
              <w:widowControl w:val="0"/>
              <w:rPr>
                <w:rFonts w:asciiTheme="minorHAnsi" w:hAnsiTheme="minorHAnsi" w:cstheme="minorHAnsi"/>
                <w:color w:val="auto"/>
                <w:szCs w:val="20"/>
              </w:rPr>
            </w:pPr>
            <w:r w:rsidRPr="00C4020C">
              <w:rPr>
                <w:rFonts w:asciiTheme="minorHAnsi" w:hAnsiTheme="minorHAnsi" w:cstheme="minorHAnsi"/>
                <w:color w:val="auto"/>
                <w:szCs w:val="20"/>
              </w:rPr>
              <w:t>5</w:t>
            </w:r>
          </w:p>
        </w:tc>
      </w:tr>
      <w:tr w:rsidR="0084445A" w:rsidRPr="00C4020C" w14:paraId="4E5D47A5" w14:textId="77777777" w:rsidTr="00084C32">
        <w:trPr>
          <w:trHeight w:val="20"/>
          <w:jc w:val="center"/>
        </w:trPr>
        <w:tc>
          <w:tcPr>
            <w:tcW w:w="2538" w:type="pct"/>
            <w:tcBorders>
              <w:top w:val="nil"/>
              <w:left w:val="nil"/>
              <w:bottom w:val="nil"/>
              <w:right w:val="nil"/>
            </w:tcBorders>
            <w:shd w:val="clear" w:color="auto" w:fill="auto"/>
            <w:vAlign w:val="bottom"/>
            <w:hideMark/>
          </w:tcPr>
          <w:p w14:paraId="7F393510" w14:textId="77777777" w:rsidR="0084445A" w:rsidRPr="00C4020C" w:rsidRDefault="0084445A" w:rsidP="00930481">
            <w:pPr>
              <w:pStyle w:val="a"/>
              <w:rPr>
                <w:rFonts w:asciiTheme="minorHAnsi" w:hAnsiTheme="minorHAnsi" w:cstheme="minorHAnsi"/>
                <w:color w:val="auto"/>
                <w:szCs w:val="20"/>
                <w:lang w:val="bg-BG"/>
              </w:rPr>
            </w:pPr>
            <w:r w:rsidRPr="00C4020C">
              <w:rPr>
                <w:rFonts w:asciiTheme="minorHAnsi" w:hAnsiTheme="minorHAnsi" w:cstheme="minorHAnsi"/>
                <w:color w:val="auto"/>
                <w:szCs w:val="20"/>
                <w:lang w:val="bg-BG"/>
              </w:rPr>
              <w:t>Обезценка на вземане от банка в несъстоятелност</w:t>
            </w:r>
          </w:p>
        </w:tc>
        <w:tc>
          <w:tcPr>
            <w:tcW w:w="488" w:type="pct"/>
            <w:tcBorders>
              <w:top w:val="nil"/>
              <w:left w:val="nil"/>
              <w:bottom w:val="nil"/>
              <w:right w:val="nil"/>
            </w:tcBorders>
            <w:shd w:val="clear" w:color="auto" w:fill="auto"/>
            <w:noWrap/>
            <w:vAlign w:val="bottom"/>
            <w:hideMark/>
          </w:tcPr>
          <w:p w14:paraId="50B5A105"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27</w:t>
            </w:r>
          </w:p>
        </w:tc>
        <w:tc>
          <w:tcPr>
            <w:tcW w:w="852" w:type="pct"/>
            <w:tcBorders>
              <w:top w:val="nil"/>
              <w:left w:val="nil"/>
              <w:bottom w:val="nil"/>
              <w:right w:val="nil"/>
            </w:tcBorders>
            <w:shd w:val="clear" w:color="auto" w:fill="auto"/>
            <w:noWrap/>
            <w:vAlign w:val="bottom"/>
            <w:hideMark/>
          </w:tcPr>
          <w:p w14:paraId="62EF208B"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w:t>
            </w:r>
          </w:p>
        </w:tc>
        <w:tc>
          <w:tcPr>
            <w:tcW w:w="634" w:type="pct"/>
            <w:tcBorders>
              <w:top w:val="nil"/>
              <w:left w:val="nil"/>
              <w:bottom w:val="nil"/>
              <w:right w:val="nil"/>
            </w:tcBorders>
            <w:shd w:val="clear" w:color="auto" w:fill="auto"/>
            <w:vAlign w:val="bottom"/>
            <w:hideMark/>
          </w:tcPr>
          <w:p w14:paraId="0AC06BA3"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w:t>
            </w:r>
          </w:p>
        </w:tc>
        <w:tc>
          <w:tcPr>
            <w:tcW w:w="488" w:type="pct"/>
            <w:tcBorders>
              <w:top w:val="nil"/>
              <w:left w:val="nil"/>
              <w:bottom w:val="nil"/>
              <w:right w:val="nil"/>
            </w:tcBorders>
            <w:shd w:val="clear" w:color="auto" w:fill="auto"/>
            <w:noWrap/>
            <w:vAlign w:val="bottom"/>
            <w:hideMark/>
          </w:tcPr>
          <w:p w14:paraId="12EDF85A"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27</w:t>
            </w:r>
          </w:p>
        </w:tc>
      </w:tr>
      <w:tr w:rsidR="0084445A" w:rsidRPr="00C4020C" w14:paraId="43BC9DC2" w14:textId="77777777" w:rsidTr="00084C32">
        <w:trPr>
          <w:trHeight w:val="20"/>
          <w:jc w:val="center"/>
        </w:trPr>
        <w:tc>
          <w:tcPr>
            <w:tcW w:w="2538" w:type="pct"/>
            <w:tcBorders>
              <w:top w:val="nil"/>
              <w:left w:val="nil"/>
              <w:bottom w:val="nil"/>
              <w:right w:val="nil"/>
            </w:tcBorders>
            <w:shd w:val="clear" w:color="auto" w:fill="auto"/>
            <w:vAlign w:val="bottom"/>
            <w:hideMark/>
          </w:tcPr>
          <w:p w14:paraId="6B92728F" w14:textId="77777777" w:rsidR="0084445A" w:rsidRPr="00C4020C" w:rsidRDefault="0084445A" w:rsidP="00930481">
            <w:pPr>
              <w:pStyle w:val="a"/>
              <w:rPr>
                <w:rFonts w:asciiTheme="minorHAnsi" w:hAnsiTheme="minorHAnsi" w:cstheme="minorHAnsi"/>
                <w:color w:val="auto"/>
                <w:szCs w:val="20"/>
                <w:lang w:val="bg-BG"/>
              </w:rPr>
            </w:pPr>
            <w:r w:rsidRPr="00C4020C">
              <w:rPr>
                <w:rFonts w:asciiTheme="minorHAnsi" w:hAnsiTheme="minorHAnsi" w:cstheme="minorHAnsi"/>
                <w:color w:val="auto"/>
                <w:szCs w:val="20"/>
                <w:lang w:val="bg-BG"/>
              </w:rPr>
              <w:t>Обезценка на вземане по договор за цесия БЕГ АД</w:t>
            </w:r>
          </w:p>
        </w:tc>
        <w:tc>
          <w:tcPr>
            <w:tcW w:w="488" w:type="pct"/>
            <w:tcBorders>
              <w:top w:val="nil"/>
              <w:left w:val="nil"/>
              <w:bottom w:val="nil"/>
              <w:right w:val="nil"/>
            </w:tcBorders>
            <w:shd w:val="clear" w:color="auto" w:fill="auto"/>
            <w:noWrap/>
            <w:vAlign w:val="bottom"/>
            <w:hideMark/>
          </w:tcPr>
          <w:p w14:paraId="6C41CE2F"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w:t>
            </w:r>
          </w:p>
        </w:tc>
        <w:tc>
          <w:tcPr>
            <w:tcW w:w="852" w:type="pct"/>
            <w:tcBorders>
              <w:top w:val="nil"/>
              <w:left w:val="nil"/>
              <w:bottom w:val="nil"/>
              <w:right w:val="nil"/>
            </w:tcBorders>
            <w:shd w:val="clear" w:color="auto" w:fill="auto"/>
            <w:noWrap/>
            <w:vAlign w:val="bottom"/>
            <w:hideMark/>
          </w:tcPr>
          <w:p w14:paraId="338FD331"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61</w:t>
            </w:r>
          </w:p>
        </w:tc>
        <w:tc>
          <w:tcPr>
            <w:tcW w:w="634" w:type="pct"/>
            <w:tcBorders>
              <w:top w:val="nil"/>
              <w:left w:val="nil"/>
              <w:bottom w:val="nil"/>
              <w:right w:val="nil"/>
            </w:tcBorders>
            <w:shd w:val="clear" w:color="auto" w:fill="auto"/>
            <w:vAlign w:val="bottom"/>
            <w:hideMark/>
          </w:tcPr>
          <w:p w14:paraId="2FA5CADB" w14:textId="77777777" w:rsidR="0084445A" w:rsidRPr="00C4020C" w:rsidRDefault="0084445A" w:rsidP="00930481">
            <w:pPr>
              <w:pStyle w:val="a0"/>
              <w:widowControl w:val="0"/>
              <w:rPr>
                <w:rFonts w:asciiTheme="minorHAnsi" w:hAnsiTheme="minorHAnsi" w:cstheme="minorHAnsi"/>
                <w:color w:val="auto"/>
                <w:szCs w:val="20"/>
                <w:lang w:val="bg-BG"/>
              </w:rPr>
            </w:pPr>
          </w:p>
        </w:tc>
        <w:tc>
          <w:tcPr>
            <w:tcW w:w="488" w:type="pct"/>
            <w:tcBorders>
              <w:top w:val="nil"/>
              <w:left w:val="nil"/>
              <w:bottom w:val="nil"/>
              <w:right w:val="nil"/>
            </w:tcBorders>
            <w:shd w:val="clear" w:color="auto" w:fill="auto"/>
            <w:noWrap/>
            <w:vAlign w:val="bottom"/>
            <w:hideMark/>
          </w:tcPr>
          <w:p w14:paraId="0663F50D"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61</w:t>
            </w:r>
          </w:p>
        </w:tc>
      </w:tr>
      <w:tr w:rsidR="0084445A" w:rsidRPr="00C4020C" w14:paraId="7E6138C3" w14:textId="77777777" w:rsidTr="00084C32">
        <w:trPr>
          <w:trHeight w:val="20"/>
          <w:jc w:val="center"/>
        </w:trPr>
        <w:tc>
          <w:tcPr>
            <w:tcW w:w="2538" w:type="pct"/>
            <w:tcBorders>
              <w:top w:val="nil"/>
              <w:left w:val="nil"/>
              <w:bottom w:val="nil"/>
              <w:right w:val="nil"/>
            </w:tcBorders>
            <w:shd w:val="clear" w:color="auto" w:fill="auto"/>
            <w:vAlign w:val="bottom"/>
            <w:hideMark/>
          </w:tcPr>
          <w:p w14:paraId="35FCF17F" w14:textId="1AC0D8AE" w:rsidR="0084445A" w:rsidRPr="00C4020C" w:rsidRDefault="0084445A" w:rsidP="00930481">
            <w:pPr>
              <w:pStyle w:val="a"/>
              <w:rPr>
                <w:rFonts w:asciiTheme="minorHAnsi" w:hAnsiTheme="minorHAnsi" w:cstheme="minorHAnsi"/>
                <w:color w:val="auto"/>
                <w:szCs w:val="20"/>
                <w:lang w:val="bg-BG"/>
              </w:rPr>
            </w:pPr>
            <w:r w:rsidRPr="00C4020C">
              <w:rPr>
                <w:rFonts w:asciiTheme="minorHAnsi" w:hAnsiTheme="minorHAnsi" w:cstheme="minorHAnsi"/>
                <w:color w:val="auto"/>
                <w:szCs w:val="20"/>
                <w:lang w:val="bg-BG"/>
              </w:rPr>
              <w:t>Финансови активи</w:t>
            </w:r>
            <w:r w:rsidR="0064091F" w:rsidRPr="00C4020C">
              <w:rPr>
                <w:rFonts w:asciiTheme="minorHAnsi" w:hAnsiTheme="minorHAnsi" w:cstheme="minorHAnsi"/>
                <w:color w:val="auto"/>
                <w:szCs w:val="20"/>
                <w:lang w:val="bg-BG"/>
              </w:rPr>
              <w:t>, оценявани по справедлива стойност</w:t>
            </w:r>
          </w:p>
        </w:tc>
        <w:tc>
          <w:tcPr>
            <w:tcW w:w="488" w:type="pct"/>
            <w:tcBorders>
              <w:top w:val="nil"/>
              <w:left w:val="nil"/>
              <w:bottom w:val="nil"/>
              <w:right w:val="nil"/>
            </w:tcBorders>
            <w:shd w:val="clear" w:color="auto" w:fill="auto"/>
            <w:noWrap/>
            <w:vAlign w:val="bottom"/>
            <w:hideMark/>
          </w:tcPr>
          <w:p w14:paraId="43C95CB1" w14:textId="77777777" w:rsidR="0084445A" w:rsidRPr="00C4020C" w:rsidRDefault="0084445A" w:rsidP="00930481">
            <w:pPr>
              <w:pStyle w:val="a0"/>
              <w:widowControl w:val="0"/>
              <w:rPr>
                <w:rFonts w:asciiTheme="minorHAnsi" w:hAnsiTheme="minorHAnsi" w:cstheme="minorHAnsi"/>
                <w:color w:val="auto"/>
                <w:szCs w:val="20"/>
              </w:rPr>
            </w:pPr>
            <w:r w:rsidRPr="00C4020C">
              <w:rPr>
                <w:rFonts w:asciiTheme="minorHAnsi" w:hAnsiTheme="minorHAnsi" w:cstheme="minorHAnsi"/>
                <w:color w:val="auto"/>
                <w:szCs w:val="20"/>
                <w:lang w:val="bg-BG"/>
              </w:rPr>
              <w:t>(52)</w:t>
            </w:r>
          </w:p>
        </w:tc>
        <w:tc>
          <w:tcPr>
            <w:tcW w:w="852" w:type="pct"/>
            <w:tcBorders>
              <w:top w:val="nil"/>
              <w:left w:val="nil"/>
              <w:bottom w:val="nil"/>
              <w:right w:val="nil"/>
            </w:tcBorders>
            <w:shd w:val="clear" w:color="auto" w:fill="auto"/>
            <w:noWrap/>
            <w:vAlign w:val="bottom"/>
            <w:hideMark/>
          </w:tcPr>
          <w:p w14:paraId="1EF5DE0D"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w:t>
            </w:r>
          </w:p>
        </w:tc>
        <w:tc>
          <w:tcPr>
            <w:tcW w:w="634" w:type="pct"/>
            <w:tcBorders>
              <w:top w:val="nil"/>
              <w:left w:val="nil"/>
              <w:bottom w:val="nil"/>
              <w:right w:val="nil"/>
            </w:tcBorders>
            <w:shd w:val="clear" w:color="auto" w:fill="auto"/>
            <w:vAlign w:val="bottom"/>
            <w:hideMark/>
          </w:tcPr>
          <w:p w14:paraId="595453D7" w14:textId="77777777" w:rsidR="0084445A" w:rsidRPr="00C4020C" w:rsidRDefault="0084445A" w:rsidP="00930481">
            <w:pPr>
              <w:pStyle w:val="a0"/>
              <w:widowControl w:val="0"/>
              <w:rPr>
                <w:rFonts w:asciiTheme="minorHAnsi" w:hAnsiTheme="minorHAnsi" w:cstheme="minorHAnsi"/>
                <w:color w:val="auto"/>
                <w:szCs w:val="20"/>
                <w:lang w:val="bg-BG"/>
              </w:rPr>
            </w:pPr>
            <w:r w:rsidRPr="00C4020C">
              <w:rPr>
                <w:rFonts w:asciiTheme="minorHAnsi" w:hAnsiTheme="minorHAnsi" w:cstheme="minorHAnsi"/>
                <w:color w:val="auto"/>
                <w:szCs w:val="20"/>
                <w:lang w:val="bg-BG"/>
              </w:rPr>
              <w:t>4</w:t>
            </w:r>
          </w:p>
        </w:tc>
        <w:tc>
          <w:tcPr>
            <w:tcW w:w="488" w:type="pct"/>
            <w:tcBorders>
              <w:top w:val="nil"/>
              <w:left w:val="nil"/>
              <w:bottom w:val="nil"/>
              <w:right w:val="nil"/>
            </w:tcBorders>
            <w:shd w:val="clear" w:color="auto" w:fill="auto"/>
            <w:noWrap/>
            <w:vAlign w:val="bottom"/>
            <w:hideMark/>
          </w:tcPr>
          <w:p w14:paraId="13214503" w14:textId="77777777" w:rsidR="0084445A" w:rsidRPr="00C4020C" w:rsidRDefault="0084445A" w:rsidP="00930481">
            <w:pPr>
              <w:pStyle w:val="a0"/>
              <w:widowControl w:val="0"/>
              <w:rPr>
                <w:rFonts w:asciiTheme="minorHAnsi" w:hAnsiTheme="minorHAnsi" w:cstheme="minorHAnsi"/>
                <w:color w:val="auto"/>
                <w:szCs w:val="20"/>
              </w:rPr>
            </w:pPr>
            <w:r w:rsidRPr="00C4020C">
              <w:rPr>
                <w:rFonts w:asciiTheme="minorHAnsi" w:hAnsiTheme="minorHAnsi" w:cstheme="minorHAnsi"/>
                <w:color w:val="auto"/>
                <w:szCs w:val="20"/>
                <w:lang w:val="bg-BG"/>
              </w:rPr>
              <w:t>(48)</w:t>
            </w:r>
          </w:p>
        </w:tc>
      </w:tr>
      <w:tr w:rsidR="0084445A" w:rsidRPr="00741D80" w14:paraId="2CA646D2" w14:textId="77777777" w:rsidTr="00084C32">
        <w:trPr>
          <w:trHeight w:val="20"/>
          <w:jc w:val="center"/>
        </w:trPr>
        <w:tc>
          <w:tcPr>
            <w:tcW w:w="2538" w:type="pct"/>
            <w:tcBorders>
              <w:top w:val="nil"/>
              <w:left w:val="nil"/>
              <w:bottom w:val="nil"/>
              <w:right w:val="nil"/>
            </w:tcBorders>
            <w:shd w:val="clear" w:color="auto" w:fill="auto"/>
            <w:vAlign w:val="bottom"/>
            <w:hideMark/>
          </w:tcPr>
          <w:p w14:paraId="72CB8547" w14:textId="77777777" w:rsidR="0084445A" w:rsidRPr="00C4020C" w:rsidRDefault="0084445A" w:rsidP="00930481">
            <w:pPr>
              <w:pStyle w:val="a"/>
              <w:rPr>
                <w:rFonts w:asciiTheme="minorHAnsi" w:hAnsiTheme="minorHAnsi" w:cstheme="minorHAnsi"/>
                <w:b/>
                <w:color w:val="auto"/>
                <w:szCs w:val="20"/>
                <w:lang w:val="bg-BG"/>
              </w:rPr>
            </w:pPr>
            <w:r w:rsidRPr="00C4020C">
              <w:rPr>
                <w:rFonts w:asciiTheme="minorHAnsi" w:hAnsiTheme="minorHAnsi" w:cstheme="minorHAnsi"/>
                <w:b/>
                <w:color w:val="auto"/>
                <w:szCs w:val="20"/>
                <w:lang w:val="bg-BG"/>
              </w:rPr>
              <w:t>Общо</w:t>
            </w:r>
          </w:p>
        </w:tc>
        <w:tc>
          <w:tcPr>
            <w:tcW w:w="488" w:type="pct"/>
            <w:tcBorders>
              <w:top w:val="single" w:sz="4" w:space="0" w:color="auto"/>
              <w:left w:val="nil"/>
              <w:bottom w:val="double" w:sz="6" w:space="0" w:color="auto"/>
              <w:right w:val="nil"/>
            </w:tcBorders>
            <w:shd w:val="clear" w:color="auto" w:fill="auto"/>
            <w:noWrap/>
            <w:vAlign w:val="bottom"/>
            <w:hideMark/>
          </w:tcPr>
          <w:p w14:paraId="04C4D920" w14:textId="77777777" w:rsidR="0084445A" w:rsidRPr="00C4020C" w:rsidRDefault="0084445A" w:rsidP="00930481">
            <w:pPr>
              <w:pStyle w:val="a0"/>
              <w:widowControl w:val="0"/>
              <w:rPr>
                <w:rFonts w:asciiTheme="minorHAnsi" w:hAnsiTheme="minorHAnsi" w:cstheme="minorHAnsi"/>
                <w:b/>
                <w:color w:val="auto"/>
                <w:szCs w:val="20"/>
              </w:rPr>
            </w:pPr>
            <w:r w:rsidRPr="00C4020C">
              <w:rPr>
                <w:rFonts w:asciiTheme="minorHAnsi" w:hAnsiTheme="minorHAnsi" w:cstheme="minorHAnsi"/>
                <w:b/>
                <w:color w:val="auto"/>
                <w:szCs w:val="20"/>
              </w:rPr>
              <w:t>(2)</w:t>
            </w:r>
          </w:p>
        </w:tc>
        <w:tc>
          <w:tcPr>
            <w:tcW w:w="852" w:type="pct"/>
            <w:tcBorders>
              <w:top w:val="single" w:sz="4" w:space="0" w:color="auto"/>
              <w:left w:val="nil"/>
              <w:bottom w:val="double" w:sz="6" w:space="0" w:color="auto"/>
              <w:right w:val="nil"/>
            </w:tcBorders>
            <w:shd w:val="clear" w:color="auto" w:fill="auto"/>
            <w:noWrap/>
            <w:vAlign w:val="bottom"/>
            <w:hideMark/>
          </w:tcPr>
          <w:p w14:paraId="0ECA5C7F" w14:textId="77777777" w:rsidR="0084445A" w:rsidRPr="00C4020C" w:rsidRDefault="0084445A" w:rsidP="00930481">
            <w:pPr>
              <w:pStyle w:val="a0"/>
              <w:widowControl w:val="0"/>
              <w:rPr>
                <w:rFonts w:asciiTheme="minorHAnsi" w:hAnsiTheme="minorHAnsi" w:cstheme="minorHAnsi"/>
                <w:b/>
                <w:color w:val="auto"/>
                <w:szCs w:val="20"/>
                <w:lang w:val="bg-BG"/>
              </w:rPr>
            </w:pPr>
            <w:r w:rsidRPr="00C4020C">
              <w:rPr>
                <w:rFonts w:asciiTheme="minorHAnsi" w:hAnsiTheme="minorHAnsi" w:cstheme="minorHAnsi"/>
                <w:b/>
                <w:color w:val="auto"/>
                <w:szCs w:val="20"/>
                <w:lang w:val="bg-BG"/>
              </w:rPr>
              <w:t>60</w:t>
            </w:r>
          </w:p>
        </w:tc>
        <w:tc>
          <w:tcPr>
            <w:tcW w:w="634" w:type="pct"/>
            <w:tcBorders>
              <w:top w:val="single" w:sz="4" w:space="0" w:color="auto"/>
              <w:left w:val="nil"/>
              <w:bottom w:val="double" w:sz="6" w:space="0" w:color="auto"/>
              <w:right w:val="nil"/>
            </w:tcBorders>
            <w:shd w:val="clear" w:color="auto" w:fill="auto"/>
            <w:noWrap/>
            <w:vAlign w:val="bottom"/>
            <w:hideMark/>
          </w:tcPr>
          <w:p w14:paraId="044B2CA3" w14:textId="77777777" w:rsidR="0084445A" w:rsidRPr="00C4020C" w:rsidRDefault="0084445A" w:rsidP="00930481">
            <w:pPr>
              <w:pStyle w:val="a0"/>
              <w:widowControl w:val="0"/>
              <w:rPr>
                <w:rFonts w:asciiTheme="minorHAnsi" w:hAnsiTheme="minorHAnsi" w:cstheme="minorHAnsi"/>
                <w:b/>
                <w:color w:val="auto"/>
                <w:szCs w:val="20"/>
                <w:lang w:val="bg-BG"/>
              </w:rPr>
            </w:pPr>
            <w:r w:rsidRPr="00C4020C">
              <w:rPr>
                <w:rFonts w:asciiTheme="minorHAnsi" w:hAnsiTheme="minorHAnsi" w:cstheme="minorHAnsi"/>
                <w:b/>
                <w:color w:val="auto"/>
                <w:szCs w:val="20"/>
                <w:lang w:val="bg-BG"/>
              </w:rPr>
              <w:t>4</w:t>
            </w:r>
          </w:p>
        </w:tc>
        <w:tc>
          <w:tcPr>
            <w:tcW w:w="488" w:type="pct"/>
            <w:tcBorders>
              <w:top w:val="single" w:sz="4" w:space="0" w:color="auto"/>
              <w:left w:val="nil"/>
              <w:bottom w:val="double" w:sz="6" w:space="0" w:color="auto"/>
              <w:right w:val="nil"/>
            </w:tcBorders>
            <w:shd w:val="clear" w:color="auto" w:fill="auto"/>
            <w:noWrap/>
            <w:vAlign w:val="bottom"/>
            <w:hideMark/>
          </w:tcPr>
          <w:p w14:paraId="52FC1B0B" w14:textId="77777777" w:rsidR="0084445A" w:rsidRPr="00741D80" w:rsidRDefault="0084445A" w:rsidP="00930481">
            <w:pPr>
              <w:pStyle w:val="a0"/>
              <w:widowControl w:val="0"/>
              <w:rPr>
                <w:rFonts w:asciiTheme="minorHAnsi" w:hAnsiTheme="minorHAnsi" w:cstheme="minorHAnsi"/>
                <w:b/>
                <w:color w:val="auto"/>
                <w:szCs w:val="20"/>
                <w:lang w:val="bg-BG"/>
              </w:rPr>
            </w:pPr>
            <w:r w:rsidRPr="00C4020C">
              <w:rPr>
                <w:rFonts w:asciiTheme="minorHAnsi" w:hAnsiTheme="minorHAnsi" w:cstheme="minorHAnsi"/>
                <w:b/>
                <w:color w:val="auto"/>
                <w:szCs w:val="20"/>
                <w:lang w:val="bg-BG"/>
              </w:rPr>
              <w:t>62</w:t>
            </w:r>
          </w:p>
        </w:tc>
      </w:tr>
    </w:tbl>
    <w:p w14:paraId="29A72D65" w14:textId="77777777" w:rsidR="00084C32" w:rsidRDefault="00084C32">
      <w:pPr>
        <w:rPr>
          <w:rFonts w:cstheme="minorHAnsi"/>
          <w:sz w:val="12"/>
          <w:szCs w:val="12"/>
        </w:rPr>
      </w:pPr>
      <w:r>
        <w:rPr>
          <w:rFonts w:cstheme="minorHAnsi"/>
          <w:sz w:val="12"/>
          <w:szCs w:val="12"/>
        </w:rPr>
        <w:br w:type="page"/>
      </w:r>
    </w:p>
    <w:tbl>
      <w:tblPr>
        <w:tblW w:w="5366" w:type="pct"/>
        <w:tblLayout w:type="fixed"/>
        <w:tblCellMar>
          <w:left w:w="70" w:type="dxa"/>
          <w:right w:w="70" w:type="dxa"/>
        </w:tblCellMar>
        <w:tblLook w:val="04A0" w:firstRow="1" w:lastRow="0" w:firstColumn="1" w:lastColumn="0" w:noHBand="0" w:noVBand="1"/>
      </w:tblPr>
      <w:tblGrid>
        <w:gridCol w:w="5246"/>
        <w:gridCol w:w="1030"/>
        <w:gridCol w:w="1802"/>
        <w:gridCol w:w="1134"/>
        <w:gridCol w:w="1132"/>
      </w:tblGrid>
      <w:tr w:rsidR="000B211F" w:rsidRPr="00741D80" w14:paraId="1BDF9671" w14:textId="77777777" w:rsidTr="00084C32">
        <w:trPr>
          <w:trHeight w:val="170"/>
        </w:trPr>
        <w:tc>
          <w:tcPr>
            <w:tcW w:w="2535" w:type="pct"/>
            <w:tcBorders>
              <w:top w:val="nil"/>
              <w:left w:val="nil"/>
              <w:bottom w:val="nil"/>
              <w:right w:val="nil"/>
            </w:tcBorders>
            <w:shd w:val="clear" w:color="auto" w:fill="auto"/>
            <w:noWrap/>
            <w:tcMar>
              <w:left w:w="28" w:type="dxa"/>
              <w:right w:w="57" w:type="dxa"/>
            </w:tcMar>
            <w:hideMark/>
          </w:tcPr>
          <w:p w14:paraId="14D82E99"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lastRenderedPageBreak/>
              <w:t>Отсрочени данъчни активи/(пасиви)</w:t>
            </w:r>
          </w:p>
        </w:tc>
        <w:tc>
          <w:tcPr>
            <w:tcW w:w="498" w:type="pct"/>
            <w:tcBorders>
              <w:top w:val="nil"/>
              <w:left w:val="nil"/>
              <w:bottom w:val="nil"/>
              <w:right w:val="nil"/>
            </w:tcBorders>
            <w:shd w:val="clear" w:color="auto" w:fill="auto"/>
            <w:noWrap/>
            <w:tcMar>
              <w:left w:w="28" w:type="dxa"/>
              <w:right w:w="57" w:type="dxa"/>
            </w:tcMar>
            <w:hideMark/>
          </w:tcPr>
          <w:p w14:paraId="44807016" w14:textId="77777777" w:rsidR="0084445A" w:rsidRPr="00741D80" w:rsidRDefault="0084445A" w:rsidP="00084C32">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Салдо на 01.01.2017</w:t>
            </w:r>
          </w:p>
        </w:tc>
        <w:tc>
          <w:tcPr>
            <w:tcW w:w="871" w:type="pct"/>
            <w:tcBorders>
              <w:top w:val="nil"/>
              <w:left w:val="nil"/>
              <w:bottom w:val="nil"/>
              <w:right w:val="nil"/>
            </w:tcBorders>
            <w:shd w:val="clear" w:color="auto" w:fill="auto"/>
            <w:noWrap/>
            <w:tcMar>
              <w:left w:w="28" w:type="dxa"/>
              <w:right w:w="57" w:type="dxa"/>
            </w:tcMar>
            <w:hideMark/>
          </w:tcPr>
          <w:p w14:paraId="0E58D7EF" w14:textId="77777777" w:rsidR="0084445A" w:rsidRPr="00741D80" w:rsidRDefault="0084445A" w:rsidP="00084C32">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Признати в отчета за всеобхватния доход</w:t>
            </w:r>
          </w:p>
        </w:tc>
        <w:tc>
          <w:tcPr>
            <w:tcW w:w="548" w:type="pct"/>
            <w:tcBorders>
              <w:top w:val="nil"/>
              <w:left w:val="nil"/>
              <w:bottom w:val="nil"/>
              <w:right w:val="nil"/>
            </w:tcBorders>
            <w:shd w:val="clear" w:color="auto" w:fill="auto"/>
            <w:noWrap/>
            <w:tcMar>
              <w:left w:w="28" w:type="dxa"/>
              <w:right w:w="57" w:type="dxa"/>
            </w:tcMar>
            <w:hideMark/>
          </w:tcPr>
          <w:p w14:paraId="01609A6F" w14:textId="77777777" w:rsidR="0084445A" w:rsidRPr="00741D80" w:rsidRDefault="0084445A" w:rsidP="00084C32">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Признати в собствения капитал</w:t>
            </w:r>
          </w:p>
        </w:tc>
        <w:tc>
          <w:tcPr>
            <w:tcW w:w="547" w:type="pct"/>
            <w:tcBorders>
              <w:top w:val="nil"/>
              <w:left w:val="nil"/>
              <w:bottom w:val="nil"/>
              <w:right w:val="nil"/>
            </w:tcBorders>
            <w:shd w:val="clear" w:color="auto" w:fill="auto"/>
            <w:noWrap/>
            <w:tcMar>
              <w:left w:w="28" w:type="dxa"/>
              <w:right w:w="57" w:type="dxa"/>
            </w:tcMar>
            <w:hideMark/>
          </w:tcPr>
          <w:p w14:paraId="7211470C" w14:textId="77777777" w:rsidR="0084445A" w:rsidRPr="00741D80" w:rsidRDefault="0084445A" w:rsidP="00084C32">
            <w:pPr>
              <w:pStyle w:val="a"/>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Салдо на 31.12.2017</w:t>
            </w:r>
          </w:p>
        </w:tc>
      </w:tr>
      <w:tr w:rsidR="000B211F" w:rsidRPr="00741D80" w14:paraId="64EAD295" w14:textId="77777777" w:rsidTr="00084C32">
        <w:trPr>
          <w:trHeight w:val="170"/>
        </w:trPr>
        <w:tc>
          <w:tcPr>
            <w:tcW w:w="2535" w:type="pct"/>
            <w:tcBorders>
              <w:top w:val="nil"/>
              <w:left w:val="nil"/>
              <w:bottom w:val="nil"/>
              <w:right w:val="nil"/>
            </w:tcBorders>
            <w:shd w:val="clear" w:color="auto" w:fill="auto"/>
            <w:noWrap/>
            <w:tcMar>
              <w:left w:w="28" w:type="dxa"/>
              <w:right w:w="57" w:type="dxa"/>
            </w:tcMar>
            <w:vAlign w:val="bottom"/>
            <w:hideMark/>
          </w:tcPr>
          <w:p w14:paraId="6B9B2E76" w14:textId="77777777" w:rsidR="0084445A" w:rsidRPr="00741D80" w:rsidRDefault="0084445A" w:rsidP="00084C32">
            <w:pPr>
              <w:pStyle w:val="a"/>
              <w:rPr>
                <w:rFonts w:asciiTheme="minorHAnsi" w:hAnsiTheme="minorHAnsi" w:cstheme="minorHAnsi"/>
                <w:color w:val="auto"/>
                <w:szCs w:val="20"/>
                <w:lang w:val="bg-BG"/>
              </w:rPr>
            </w:pPr>
          </w:p>
        </w:tc>
        <w:tc>
          <w:tcPr>
            <w:tcW w:w="498" w:type="pct"/>
            <w:tcBorders>
              <w:top w:val="nil"/>
              <w:left w:val="nil"/>
              <w:bottom w:val="nil"/>
              <w:right w:val="nil"/>
            </w:tcBorders>
            <w:shd w:val="clear" w:color="auto" w:fill="auto"/>
            <w:noWrap/>
            <w:tcMar>
              <w:left w:w="28" w:type="dxa"/>
              <w:right w:w="57" w:type="dxa"/>
            </w:tcMar>
            <w:vAlign w:val="center"/>
            <w:hideMark/>
          </w:tcPr>
          <w:p w14:paraId="3B5254A9" w14:textId="77777777" w:rsidR="0084445A" w:rsidRPr="00741D80" w:rsidRDefault="0084445A" w:rsidP="00084C32">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871" w:type="pct"/>
            <w:tcBorders>
              <w:top w:val="nil"/>
              <w:left w:val="nil"/>
              <w:bottom w:val="nil"/>
              <w:right w:val="nil"/>
            </w:tcBorders>
            <w:shd w:val="clear" w:color="auto" w:fill="auto"/>
            <w:noWrap/>
            <w:tcMar>
              <w:left w:w="28" w:type="dxa"/>
              <w:right w:w="57" w:type="dxa"/>
            </w:tcMar>
            <w:vAlign w:val="center"/>
            <w:hideMark/>
          </w:tcPr>
          <w:p w14:paraId="6086B188" w14:textId="77777777" w:rsidR="0084445A" w:rsidRPr="00741D80" w:rsidRDefault="0084445A" w:rsidP="00084C32">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548" w:type="pct"/>
            <w:tcBorders>
              <w:top w:val="nil"/>
              <w:left w:val="nil"/>
              <w:bottom w:val="nil"/>
              <w:right w:val="nil"/>
            </w:tcBorders>
            <w:shd w:val="clear" w:color="auto" w:fill="auto"/>
            <w:noWrap/>
            <w:tcMar>
              <w:left w:w="28" w:type="dxa"/>
              <w:right w:w="57" w:type="dxa"/>
            </w:tcMar>
            <w:vAlign w:val="center"/>
            <w:hideMark/>
          </w:tcPr>
          <w:p w14:paraId="2A559BF4" w14:textId="77777777" w:rsidR="0084445A" w:rsidRPr="00741D80" w:rsidRDefault="0084445A" w:rsidP="00084C32">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547" w:type="pct"/>
            <w:tcBorders>
              <w:top w:val="nil"/>
              <w:left w:val="nil"/>
              <w:bottom w:val="nil"/>
              <w:right w:val="nil"/>
            </w:tcBorders>
            <w:shd w:val="clear" w:color="auto" w:fill="auto"/>
            <w:noWrap/>
            <w:tcMar>
              <w:left w:w="28" w:type="dxa"/>
              <w:right w:w="57" w:type="dxa"/>
            </w:tcMar>
            <w:vAlign w:val="center"/>
            <w:hideMark/>
          </w:tcPr>
          <w:p w14:paraId="314CA88C" w14:textId="77777777" w:rsidR="0084445A" w:rsidRPr="00741D80" w:rsidRDefault="0084445A" w:rsidP="00084C32">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0B211F" w:rsidRPr="00741D80" w14:paraId="2D681AC4" w14:textId="77777777" w:rsidTr="00084C32">
        <w:trPr>
          <w:trHeight w:val="170"/>
        </w:trPr>
        <w:tc>
          <w:tcPr>
            <w:tcW w:w="2535" w:type="pct"/>
            <w:tcBorders>
              <w:top w:val="nil"/>
              <w:left w:val="nil"/>
              <w:bottom w:val="nil"/>
              <w:right w:val="nil"/>
            </w:tcBorders>
            <w:shd w:val="clear" w:color="auto" w:fill="auto"/>
            <w:noWrap/>
            <w:tcMar>
              <w:left w:w="28" w:type="dxa"/>
              <w:right w:w="57" w:type="dxa"/>
            </w:tcMar>
            <w:vAlign w:val="center"/>
            <w:hideMark/>
          </w:tcPr>
          <w:p w14:paraId="1F9D8229"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Имоти, машини, оборудване</w:t>
            </w:r>
          </w:p>
        </w:tc>
        <w:tc>
          <w:tcPr>
            <w:tcW w:w="498" w:type="pct"/>
            <w:tcBorders>
              <w:top w:val="nil"/>
              <w:left w:val="nil"/>
              <w:bottom w:val="nil"/>
              <w:right w:val="nil"/>
            </w:tcBorders>
            <w:shd w:val="clear" w:color="auto" w:fill="auto"/>
            <w:noWrap/>
            <w:tcMar>
              <w:left w:w="28" w:type="dxa"/>
              <w:right w:w="57" w:type="dxa"/>
            </w:tcMar>
            <w:vAlign w:val="bottom"/>
            <w:hideMark/>
          </w:tcPr>
          <w:p w14:paraId="7897252D"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8</w:t>
            </w:r>
          </w:p>
        </w:tc>
        <w:tc>
          <w:tcPr>
            <w:tcW w:w="871" w:type="pct"/>
            <w:tcBorders>
              <w:top w:val="nil"/>
              <w:left w:val="nil"/>
              <w:bottom w:val="nil"/>
              <w:right w:val="nil"/>
            </w:tcBorders>
            <w:shd w:val="clear" w:color="auto" w:fill="auto"/>
            <w:noWrap/>
            <w:tcMar>
              <w:left w:w="28" w:type="dxa"/>
              <w:right w:w="57" w:type="dxa"/>
            </w:tcMar>
            <w:vAlign w:val="bottom"/>
            <w:hideMark/>
          </w:tcPr>
          <w:p w14:paraId="597A17B9"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1</w:t>
            </w:r>
          </w:p>
        </w:tc>
        <w:tc>
          <w:tcPr>
            <w:tcW w:w="548" w:type="pct"/>
            <w:tcBorders>
              <w:top w:val="nil"/>
              <w:left w:val="nil"/>
              <w:bottom w:val="nil"/>
              <w:right w:val="nil"/>
            </w:tcBorders>
            <w:shd w:val="clear" w:color="auto" w:fill="auto"/>
            <w:noWrap/>
            <w:tcMar>
              <w:left w:w="28" w:type="dxa"/>
              <w:right w:w="57" w:type="dxa"/>
            </w:tcMar>
            <w:vAlign w:val="bottom"/>
            <w:hideMark/>
          </w:tcPr>
          <w:p w14:paraId="3BECEF18"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w:t>
            </w:r>
          </w:p>
        </w:tc>
        <w:tc>
          <w:tcPr>
            <w:tcW w:w="547" w:type="pct"/>
            <w:tcBorders>
              <w:top w:val="nil"/>
              <w:left w:val="nil"/>
              <w:bottom w:val="nil"/>
              <w:right w:val="nil"/>
            </w:tcBorders>
            <w:shd w:val="clear" w:color="auto" w:fill="auto"/>
            <w:noWrap/>
            <w:tcMar>
              <w:left w:w="28" w:type="dxa"/>
              <w:right w:w="57" w:type="dxa"/>
            </w:tcMar>
            <w:vAlign w:val="bottom"/>
            <w:hideMark/>
          </w:tcPr>
          <w:p w14:paraId="0B9D5239"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9</w:t>
            </w:r>
          </w:p>
        </w:tc>
      </w:tr>
      <w:tr w:rsidR="000B211F" w:rsidRPr="00741D80" w14:paraId="12272B4B" w14:textId="77777777" w:rsidTr="00084C32">
        <w:trPr>
          <w:trHeight w:val="170"/>
        </w:trPr>
        <w:tc>
          <w:tcPr>
            <w:tcW w:w="2535" w:type="pct"/>
            <w:tcBorders>
              <w:top w:val="nil"/>
              <w:left w:val="nil"/>
              <w:bottom w:val="nil"/>
              <w:right w:val="nil"/>
            </w:tcBorders>
            <w:shd w:val="clear" w:color="auto" w:fill="auto"/>
            <w:noWrap/>
            <w:tcMar>
              <w:left w:w="28" w:type="dxa"/>
              <w:right w:w="57" w:type="dxa"/>
            </w:tcMar>
            <w:vAlign w:val="center"/>
            <w:hideMark/>
          </w:tcPr>
          <w:p w14:paraId="0DD7A4AD"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Начисления за неизползван платен отпуск</w:t>
            </w:r>
          </w:p>
        </w:tc>
        <w:tc>
          <w:tcPr>
            <w:tcW w:w="498" w:type="pct"/>
            <w:tcBorders>
              <w:top w:val="nil"/>
              <w:left w:val="nil"/>
              <w:bottom w:val="nil"/>
              <w:right w:val="nil"/>
            </w:tcBorders>
            <w:shd w:val="clear" w:color="auto" w:fill="auto"/>
            <w:noWrap/>
            <w:tcMar>
              <w:left w:w="28" w:type="dxa"/>
              <w:right w:w="57" w:type="dxa"/>
            </w:tcMar>
            <w:vAlign w:val="bottom"/>
            <w:hideMark/>
          </w:tcPr>
          <w:p w14:paraId="24D541AA"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8</w:t>
            </w:r>
          </w:p>
        </w:tc>
        <w:tc>
          <w:tcPr>
            <w:tcW w:w="871" w:type="pct"/>
            <w:tcBorders>
              <w:top w:val="nil"/>
              <w:left w:val="nil"/>
              <w:bottom w:val="nil"/>
              <w:right w:val="nil"/>
            </w:tcBorders>
            <w:shd w:val="clear" w:color="auto" w:fill="auto"/>
            <w:noWrap/>
            <w:tcMar>
              <w:left w:w="28" w:type="dxa"/>
              <w:right w:w="57" w:type="dxa"/>
            </w:tcMar>
            <w:vAlign w:val="bottom"/>
            <w:hideMark/>
          </w:tcPr>
          <w:p w14:paraId="2444CECE"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w:t>
            </w:r>
          </w:p>
        </w:tc>
        <w:tc>
          <w:tcPr>
            <w:tcW w:w="548" w:type="pct"/>
            <w:tcBorders>
              <w:top w:val="nil"/>
              <w:left w:val="nil"/>
              <w:bottom w:val="nil"/>
              <w:right w:val="nil"/>
            </w:tcBorders>
            <w:shd w:val="clear" w:color="auto" w:fill="auto"/>
            <w:noWrap/>
            <w:tcMar>
              <w:left w:w="28" w:type="dxa"/>
              <w:right w:w="57" w:type="dxa"/>
            </w:tcMar>
            <w:vAlign w:val="bottom"/>
            <w:hideMark/>
          </w:tcPr>
          <w:p w14:paraId="7EBE8994"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w:t>
            </w:r>
          </w:p>
        </w:tc>
        <w:tc>
          <w:tcPr>
            <w:tcW w:w="547" w:type="pct"/>
            <w:tcBorders>
              <w:top w:val="nil"/>
              <w:left w:val="nil"/>
              <w:bottom w:val="nil"/>
              <w:right w:val="nil"/>
            </w:tcBorders>
            <w:shd w:val="clear" w:color="auto" w:fill="auto"/>
            <w:noWrap/>
            <w:tcMar>
              <w:left w:w="28" w:type="dxa"/>
              <w:right w:w="57" w:type="dxa"/>
            </w:tcMar>
            <w:vAlign w:val="bottom"/>
            <w:hideMark/>
          </w:tcPr>
          <w:p w14:paraId="6EB0DD50"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8</w:t>
            </w:r>
          </w:p>
        </w:tc>
      </w:tr>
      <w:tr w:rsidR="000B211F" w:rsidRPr="00741D80" w14:paraId="3F4C3030" w14:textId="77777777" w:rsidTr="00084C32">
        <w:trPr>
          <w:trHeight w:val="170"/>
        </w:trPr>
        <w:tc>
          <w:tcPr>
            <w:tcW w:w="2535" w:type="pct"/>
            <w:tcBorders>
              <w:top w:val="nil"/>
              <w:left w:val="nil"/>
              <w:bottom w:val="nil"/>
              <w:right w:val="nil"/>
            </w:tcBorders>
            <w:shd w:val="clear" w:color="auto" w:fill="auto"/>
            <w:noWrap/>
            <w:tcMar>
              <w:left w:w="28" w:type="dxa"/>
              <w:right w:w="57" w:type="dxa"/>
            </w:tcMar>
            <w:vAlign w:val="center"/>
            <w:hideMark/>
          </w:tcPr>
          <w:p w14:paraId="03B49F03" w14:textId="77777777" w:rsidR="0084445A" w:rsidRPr="00741D80" w:rsidRDefault="0084445A" w:rsidP="00084C32">
            <w:pPr>
              <w:pStyle w:val="a"/>
              <w:rPr>
                <w:rFonts w:asciiTheme="minorHAnsi" w:hAnsiTheme="minorHAnsi" w:cstheme="minorHAnsi"/>
                <w:color w:val="auto"/>
                <w:szCs w:val="20"/>
              </w:rPr>
            </w:pPr>
            <w:r w:rsidRPr="00741D80">
              <w:rPr>
                <w:rFonts w:asciiTheme="minorHAnsi" w:hAnsiTheme="minorHAnsi" w:cstheme="minorHAnsi"/>
                <w:color w:val="auto"/>
                <w:szCs w:val="20"/>
                <w:lang w:val="bg-BG"/>
              </w:rPr>
              <w:t>Начисления за дългосрочни задължения към персонала</w:t>
            </w:r>
          </w:p>
        </w:tc>
        <w:tc>
          <w:tcPr>
            <w:tcW w:w="498" w:type="pct"/>
            <w:tcBorders>
              <w:top w:val="nil"/>
              <w:left w:val="nil"/>
              <w:bottom w:val="nil"/>
              <w:right w:val="nil"/>
            </w:tcBorders>
            <w:shd w:val="clear" w:color="auto" w:fill="auto"/>
            <w:noWrap/>
            <w:tcMar>
              <w:left w:w="28" w:type="dxa"/>
              <w:right w:w="57" w:type="dxa"/>
            </w:tcMar>
            <w:vAlign w:val="bottom"/>
            <w:hideMark/>
          </w:tcPr>
          <w:p w14:paraId="4344E37F"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6</w:t>
            </w:r>
          </w:p>
        </w:tc>
        <w:tc>
          <w:tcPr>
            <w:tcW w:w="871" w:type="pct"/>
            <w:tcBorders>
              <w:top w:val="nil"/>
              <w:left w:val="nil"/>
              <w:bottom w:val="nil"/>
              <w:right w:val="nil"/>
            </w:tcBorders>
            <w:shd w:val="clear" w:color="auto" w:fill="auto"/>
            <w:noWrap/>
            <w:tcMar>
              <w:left w:w="28" w:type="dxa"/>
              <w:right w:w="57" w:type="dxa"/>
            </w:tcMar>
            <w:vAlign w:val="bottom"/>
            <w:hideMark/>
          </w:tcPr>
          <w:p w14:paraId="44D85BD3"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w:t>
            </w:r>
          </w:p>
        </w:tc>
        <w:tc>
          <w:tcPr>
            <w:tcW w:w="548" w:type="pct"/>
            <w:tcBorders>
              <w:top w:val="nil"/>
              <w:left w:val="nil"/>
              <w:bottom w:val="nil"/>
              <w:right w:val="nil"/>
            </w:tcBorders>
            <w:shd w:val="clear" w:color="auto" w:fill="auto"/>
            <w:noWrap/>
            <w:tcMar>
              <w:left w:w="28" w:type="dxa"/>
              <w:right w:w="57" w:type="dxa"/>
            </w:tcMar>
            <w:vAlign w:val="bottom"/>
            <w:hideMark/>
          </w:tcPr>
          <w:p w14:paraId="3B477B94"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w:t>
            </w:r>
          </w:p>
        </w:tc>
        <w:tc>
          <w:tcPr>
            <w:tcW w:w="547" w:type="pct"/>
            <w:tcBorders>
              <w:top w:val="nil"/>
              <w:left w:val="nil"/>
              <w:bottom w:val="nil"/>
              <w:right w:val="nil"/>
            </w:tcBorders>
            <w:shd w:val="clear" w:color="auto" w:fill="auto"/>
            <w:noWrap/>
            <w:tcMar>
              <w:left w:w="28" w:type="dxa"/>
              <w:right w:w="57" w:type="dxa"/>
            </w:tcMar>
            <w:vAlign w:val="bottom"/>
            <w:hideMark/>
          </w:tcPr>
          <w:p w14:paraId="405CB302"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6</w:t>
            </w:r>
          </w:p>
        </w:tc>
      </w:tr>
      <w:tr w:rsidR="000B211F" w:rsidRPr="00741D80" w14:paraId="4B7490E3" w14:textId="77777777" w:rsidTr="00084C32">
        <w:trPr>
          <w:trHeight w:val="170"/>
        </w:trPr>
        <w:tc>
          <w:tcPr>
            <w:tcW w:w="2535" w:type="pct"/>
            <w:tcBorders>
              <w:top w:val="nil"/>
              <w:left w:val="nil"/>
              <w:bottom w:val="nil"/>
              <w:right w:val="nil"/>
            </w:tcBorders>
            <w:shd w:val="clear" w:color="auto" w:fill="auto"/>
            <w:noWrap/>
            <w:tcMar>
              <w:left w:w="28" w:type="dxa"/>
              <w:right w:w="57" w:type="dxa"/>
            </w:tcMar>
            <w:vAlign w:val="center"/>
            <w:hideMark/>
          </w:tcPr>
          <w:p w14:paraId="68E180D2"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Обезценка на вземания</w:t>
            </w:r>
          </w:p>
        </w:tc>
        <w:tc>
          <w:tcPr>
            <w:tcW w:w="498" w:type="pct"/>
            <w:tcBorders>
              <w:top w:val="nil"/>
              <w:left w:val="nil"/>
              <w:bottom w:val="nil"/>
              <w:right w:val="nil"/>
            </w:tcBorders>
            <w:shd w:val="clear" w:color="auto" w:fill="auto"/>
            <w:noWrap/>
            <w:tcMar>
              <w:left w:w="28" w:type="dxa"/>
              <w:right w:w="57" w:type="dxa"/>
            </w:tcMar>
            <w:vAlign w:val="bottom"/>
            <w:hideMark/>
          </w:tcPr>
          <w:p w14:paraId="2E17DAE5"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1</w:t>
            </w:r>
          </w:p>
        </w:tc>
        <w:tc>
          <w:tcPr>
            <w:tcW w:w="871" w:type="pct"/>
            <w:tcBorders>
              <w:top w:val="nil"/>
              <w:left w:val="nil"/>
              <w:bottom w:val="nil"/>
              <w:right w:val="nil"/>
            </w:tcBorders>
            <w:shd w:val="clear" w:color="auto" w:fill="auto"/>
            <w:noWrap/>
            <w:tcMar>
              <w:left w:w="28" w:type="dxa"/>
              <w:right w:w="57" w:type="dxa"/>
            </w:tcMar>
            <w:vAlign w:val="bottom"/>
            <w:hideMark/>
          </w:tcPr>
          <w:p w14:paraId="64355E87"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(1)</w:t>
            </w:r>
          </w:p>
        </w:tc>
        <w:tc>
          <w:tcPr>
            <w:tcW w:w="548" w:type="pct"/>
            <w:tcBorders>
              <w:top w:val="nil"/>
              <w:left w:val="nil"/>
              <w:bottom w:val="nil"/>
              <w:right w:val="nil"/>
            </w:tcBorders>
            <w:shd w:val="clear" w:color="auto" w:fill="auto"/>
            <w:noWrap/>
            <w:tcMar>
              <w:left w:w="28" w:type="dxa"/>
              <w:right w:w="57" w:type="dxa"/>
            </w:tcMar>
            <w:vAlign w:val="bottom"/>
            <w:hideMark/>
          </w:tcPr>
          <w:p w14:paraId="6E784AFD"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w:t>
            </w:r>
          </w:p>
        </w:tc>
        <w:tc>
          <w:tcPr>
            <w:tcW w:w="547" w:type="pct"/>
            <w:tcBorders>
              <w:top w:val="nil"/>
              <w:left w:val="nil"/>
              <w:bottom w:val="nil"/>
              <w:right w:val="nil"/>
            </w:tcBorders>
            <w:shd w:val="clear" w:color="auto" w:fill="auto"/>
            <w:noWrap/>
            <w:tcMar>
              <w:left w:w="28" w:type="dxa"/>
              <w:right w:w="57" w:type="dxa"/>
            </w:tcMar>
            <w:vAlign w:val="bottom"/>
            <w:hideMark/>
          </w:tcPr>
          <w:p w14:paraId="17E1C5F9"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w:t>
            </w:r>
          </w:p>
        </w:tc>
      </w:tr>
      <w:tr w:rsidR="000B211F" w:rsidRPr="00741D80" w14:paraId="21023B3F" w14:textId="77777777" w:rsidTr="00084C32">
        <w:trPr>
          <w:trHeight w:val="170"/>
        </w:trPr>
        <w:tc>
          <w:tcPr>
            <w:tcW w:w="2535" w:type="pct"/>
            <w:tcBorders>
              <w:top w:val="nil"/>
              <w:left w:val="nil"/>
              <w:bottom w:val="nil"/>
              <w:right w:val="nil"/>
            </w:tcBorders>
            <w:shd w:val="clear" w:color="auto" w:fill="auto"/>
            <w:noWrap/>
            <w:tcMar>
              <w:left w:w="28" w:type="dxa"/>
              <w:right w:w="57" w:type="dxa"/>
            </w:tcMar>
            <w:vAlign w:val="center"/>
            <w:hideMark/>
          </w:tcPr>
          <w:p w14:paraId="51E72D7B"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Обезценка на вземане от банка в несъстоятелност</w:t>
            </w:r>
          </w:p>
        </w:tc>
        <w:tc>
          <w:tcPr>
            <w:tcW w:w="498" w:type="pct"/>
            <w:tcBorders>
              <w:top w:val="nil"/>
              <w:left w:val="nil"/>
              <w:bottom w:val="nil"/>
              <w:right w:val="nil"/>
            </w:tcBorders>
            <w:shd w:val="clear" w:color="auto" w:fill="auto"/>
            <w:noWrap/>
            <w:tcMar>
              <w:left w:w="28" w:type="dxa"/>
              <w:right w:w="57" w:type="dxa"/>
            </w:tcMar>
            <w:vAlign w:val="bottom"/>
            <w:hideMark/>
          </w:tcPr>
          <w:p w14:paraId="2CC8996F"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27</w:t>
            </w:r>
          </w:p>
        </w:tc>
        <w:tc>
          <w:tcPr>
            <w:tcW w:w="871" w:type="pct"/>
            <w:tcBorders>
              <w:top w:val="nil"/>
              <w:left w:val="nil"/>
              <w:bottom w:val="nil"/>
              <w:right w:val="nil"/>
            </w:tcBorders>
            <w:shd w:val="clear" w:color="auto" w:fill="auto"/>
            <w:noWrap/>
            <w:tcMar>
              <w:left w:w="28" w:type="dxa"/>
              <w:right w:w="57" w:type="dxa"/>
            </w:tcMar>
            <w:vAlign w:val="bottom"/>
            <w:hideMark/>
          </w:tcPr>
          <w:p w14:paraId="26B2F152"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w:t>
            </w:r>
          </w:p>
        </w:tc>
        <w:tc>
          <w:tcPr>
            <w:tcW w:w="548" w:type="pct"/>
            <w:tcBorders>
              <w:top w:val="nil"/>
              <w:left w:val="nil"/>
              <w:bottom w:val="nil"/>
              <w:right w:val="nil"/>
            </w:tcBorders>
            <w:shd w:val="clear" w:color="auto" w:fill="auto"/>
            <w:noWrap/>
            <w:tcMar>
              <w:left w:w="28" w:type="dxa"/>
              <w:right w:w="57" w:type="dxa"/>
            </w:tcMar>
            <w:vAlign w:val="bottom"/>
            <w:hideMark/>
          </w:tcPr>
          <w:p w14:paraId="39E0A0E5"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w:t>
            </w:r>
          </w:p>
        </w:tc>
        <w:tc>
          <w:tcPr>
            <w:tcW w:w="547" w:type="pct"/>
            <w:tcBorders>
              <w:top w:val="nil"/>
              <w:left w:val="nil"/>
              <w:bottom w:val="nil"/>
              <w:right w:val="nil"/>
            </w:tcBorders>
            <w:shd w:val="clear" w:color="auto" w:fill="auto"/>
            <w:noWrap/>
            <w:tcMar>
              <w:left w:w="28" w:type="dxa"/>
              <w:right w:w="57" w:type="dxa"/>
            </w:tcMar>
            <w:vAlign w:val="bottom"/>
            <w:hideMark/>
          </w:tcPr>
          <w:p w14:paraId="79893D51"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27</w:t>
            </w:r>
          </w:p>
        </w:tc>
      </w:tr>
      <w:tr w:rsidR="000B211F" w:rsidRPr="00741D80" w14:paraId="232AD344" w14:textId="77777777" w:rsidTr="00084C32">
        <w:trPr>
          <w:trHeight w:val="170"/>
        </w:trPr>
        <w:tc>
          <w:tcPr>
            <w:tcW w:w="2535" w:type="pct"/>
            <w:tcBorders>
              <w:top w:val="nil"/>
              <w:left w:val="nil"/>
              <w:bottom w:val="nil"/>
              <w:right w:val="nil"/>
            </w:tcBorders>
            <w:shd w:val="clear" w:color="auto" w:fill="auto"/>
            <w:noWrap/>
            <w:tcMar>
              <w:left w:w="28" w:type="dxa"/>
              <w:right w:w="57" w:type="dxa"/>
            </w:tcMar>
            <w:vAlign w:val="center"/>
            <w:hideMark/>
          </w:tcPr>
          <w:p w14:paraId="6DA7AC3C" w14:textId="0D1B6651"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Финансови активи</w:t>
            </w:r>
            <w:r w:rsidR="00AB6E85">
              <w:rPr>
                <w:rFonts w:asciiTheme="minorHAnsi" w:hAnsiTheme="minorHAnsi" w:cstheme="minorHAnsi"/>
                <w:color w:val="auto"/>
                <w:szCs w:val="20"/>
                <w:lang w:val="bg-BG"/>
              </w:rPr>
              <w:t>, оценявани по справедлива стойност</w:t>
            </w:r>
          </w:p>
        </w:tc>
        <w:tc>
          <w:tcPr>
            <w:tcW w:w="498" w:type="pct"/>
            <w:tcBorders>
              <w:top w:val="nil"/>
              <w:left w:val="nil"/>
              <w:bottom w:val="nil"/>
              <w:right w:val="nil"/>
            </w:tcBorders>
            <w:shd w:val="clear" w:color="auto" w:fill="auto"/>
            <w:noWrap/>
            <w:tcMar>
              <w:left w:w="28" w:type="dxa"/>
              <w:right w:w="57" w:type="dxa"/>
            </w:tcMar>
            <w:vAlign w:val="bottom"/>
            <w:hideMark/>
          </w:tcPr>
          <w:p w14:paraId="54877D85"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(42)</w:t>
            </w:r>
          </w:p>
        </w:tc>
        <w:tc>
          <w:tcPr>
            <w:tcW w:w="871" w:type="pct"/>
            <w:tcBorders>
              <w:top w:val="nil"/>
              <w:left w:val="nil"/>
              <w:bottom w:val="nil"/>
              <w:right w:val="nil"/>
            </w:tcBorders>
            <w:shd w:val="clear" w:color="auto" w:fill="auto"/>
            <w:noWrap/>
            <w:tcMar>
              <w:left w:w="28" w:type="dxa"/>
              <w:right w:w="57" w:type="dxa"/>
            </w:tcMar>
            <w:vAlign w:val="bottom"/>
            <w:hideMark/>
          </w:tcPr>
          <w:p w14:paraId="6CE73DBE"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w:t>
            </w:r>
          </w:p>
        </w:tc>
        <w:tc>
          <w:tcPr>
            <w:tcW w:w="548" w:type="pct"/>
            <w:tcBorders>
              <w:top w:val="nil"/>
              <w:left w:val="nil"/>
              <w:bottom w:val="nil"/>
              <w:right w:val="nil"/>
            </w:tcBorders>
            <w:shd w:val="clear" w:color="auto" w:fill="auto"/>
            <w:noWrap/>
            <w:tcMar>
              <w:left w:w="28" w:type="dxa"/>
              <w:right w:w="57" w:type="dxa"/>
            </w:tcMar>
            <w:vAlign w:val="bottom"/>
            <w:hideMark/>
          </w:tcPr>
          <w:p w14:paraId="7E388779"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(10)</w:t>
            </w:r>
          </w:p>
        </w:tc>
        <w:tc>
          <w:tcPr>
            <w:tcW w:w="547" w:type="pct"/>
            <w:tcBorders>
              <w:top w:val="nil"/>
              <w:left w:val="nil"/>
              <w:bottom w:val="nil"/>
              <w:right w:val="nil"/>
            </w:tcBorders>
            <w:shd w:val="clear" w:color="auto" w:fill="auto"/>
            <w:noWrap/>
            <w:tcMar>
              <w:left w:w="28" w:type="dxa"/>
              <w:right w:w="57" w:type="dxa"/>
            </w:tcMar>
            <w:vAlign w:val="bottom"/>
            <w:hideMark/>
          </w:tcPr>
          <w:p w14:paraId="59B22B0F" w14:textId="77777777" w:rsidR="0084445A" w:rsidRPr="00741D80" w:rsidRDefault="0084445A" w:rsidP="00084C32">
            <w:pPr>
              <w:pStyle w:val="a0"/>
              <w:rPr>
                <w:rFonts w:asciiTheme="minorHAnsi" w:hAnsiTheme="minorHAnsi" w:cstheme="minorHAnsi"/>
                <w:color w:val="auto"/>
                <w:szCs w:val="20"/>
              </w:rPr>
            </w:pPr>
            <w:r w:rsidRPr="00741D80">
              <w:rPr>
                <w:rFonts w:asciiTheme="minorHAnsi" w:hAnsiTheme="minorHAnsi" w:cstheme="minorHAnsi"/>
                <w:color w:val="auto"/>
                <w:szCs w:val="20"/>
              </w:rPr>
              <w:t>(52)</w:t>
            </w:r>
          </w:p>
        </w:tc>
      </w:tr>
      <w:tr w:rsidR="000B211F" w:rsidRPr="00741D80" w14:paraId="1E132B5E" w14:textId="77777777" w:rsidTr="00084C32">
        <w:trPr>
          <w:trHeight w:val="170"/>
        </w:trPr>
        <w:tc>
          <w:tcPr>
            <w:tcW w:w="2535" w:type="pct"/>
            <w:tcBorders>
              <w:top w:val="nil"/>
              <w:left w:val="nil"/>
              <w:bottom w:val="nil"/>
              <w:right w:val="nil"/>
            </w:tcBorders>
            <w:shd w:val="clear" w:color="auto" w:fill="auto"/>
            <w:noWrap/>
            <w:tcMar>
              <w:left w:w="28" w:type="dxa"/>
              <w:right w:w="57" w:type="dxa"/>
            </w:tcMar>
            <w:vAlign w:val="center"/>
            <w:hideMark/>
          </w:tcPr>
          <w:p w14:paraId="3CF791FF" w14:textId="77777777" w:rsidR="0084445A" w:rsidRPr="00741D80" w:rsidRDefault="0084445A" w:rsidP="00084C32">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498" w:type="pct"/>
            <w:tcBorders>
              <w:top w:val="single" w:sz="8" w:space="0" w:color="auto"/>
              <w:left w:val="nil"/>
              <w:bottom w:val="double" w:sz="6" w:space="0" w:color="auto"/>
              <w:right w:val="nil"/>
            </w:tcBorders>
            <w:shd w:val="clear" w:color="auto" w:fill="auto"/>
            <w:noWrap/>
            <w:tcMar>
              <w:left w:w="28" w:type="dxa"/>
              <w:right w:w="57" w:type="dxa"/>
            </w:tcMar>
            <w:vAlign w:val="bottom"/>
            <w:hideMark/>
          </w:tcPr>
          <w:p w14:paraId="00A8C99E" w14:textId="77777777" w:rsidR="0084445A" w:rsidRPr="00741D80" w:rsidRDefault="0084445A" w:rsidP="00084C32">
            <w:pPr>
              <w:pStyle w:val="a0"/>
              <w:rPr>
                <w:rFonts w:asciiTheme="minorHAnsi" w:hAnsiTheme="minorHAnsi" w:cstheme="minorHAnsi"/>
                <w:b/>
                <w:color w:val="auto"/>
                <w:szCs w:val="20"/>
              </w:rPr>
            </w:pPr>
            <w:r w:rsidRPr="00741D80">
              <w:rPr>
                <w:rFonts w:asciiTheme="minorHAnsi" w:hAnsiTheme="minorHAnsi" w:cstheme="minorHAnsi"/>
                <w:b/>
                <w:color w:val="auto"/>
                <w:szCs w:val="20"/>
              </w:rPr>
              <w:t>7</w:t>
            </w:r>
          </w:p>
        </w:tc>
        <w:tc>
          <w:tcPr>
            <w:tcW w:w="871" w:type="pct"/>
            <w:tcBorders>
              <w:top w:val="single" w:sz="8" w:space="0" w:color="auto"/>
              <w:left w:val="nil"/>
              <w:bottom w:val="double" w:sz="6" w:space="0" w:color="auto"/>
              <w:right w:val="nil"/>
            </w:tcBorders>
            <w:shd w:val="clear" w:color="auto" w:fill="auto"/>
            <w:noWrap/>
            <w:tcMar>
              <w:left w:w="28" w:type="dxa"/>
              <w:right w:w="57" w:type="dxa"/>
            </w:tcMar>
            <w:vAlign w:val="bottom"/>
            <w:hideMark/>
          </w:tcPr>
          <w:p w14:paraId="664B6E0A" w14:textId="77777777" w:rsidR="0084445A" w:rsidRPr="00741D80" w:rsidRDefault="0084445A" w:rsidP="00084C32">
            <w:pPr>
              <w:pStyle w:val="a0"/>
              <w:rPr>
                <w:rFonts w:asciiTheme="minorHAnsi" w:hAnsiTheme="minorHAnsi" w:cstheme="minorHAnsi"/>
                <w:b/>
                <w:color w:val="auto"/>
                <w:szCs w:val="20"/>
              </w:rPr>
            </w:pPr>
            <w:r w:rsidRPr="00741D80">
              <w:rPr>
                <w:rFonts w:asciiTheme="minorHAnsi" w:hAnsiTheme="minorHAnsi" w:cstheme="minorHAnsi"/>
                <w:b/>
                <w:color w:val="auto"/>
                <w:szCs w:val="20"/>
              </w:rPr>
              <w:t>1</w:t>
            </w:r>
          </w:p>
        </w:tc>
        <w:tc>
          <w:tcPr>
            <w:tcW w:w="548" w:type="pct"/>
            <w:tcBorders>
              <w:top w:val="single" w:sz="8" w:space="0" w:color="auto"/>
              <w:left w:val="nil"/>
              <w:bottom w:val="double" w:sz="6" w:space="0" w:color="auto"/>
              <w:right w:val="nil"/>
            </w:tcBorders>
            <w:shd w:val="clear" w:color="auto" w:fill="auto"/>
            <w:noWrap/>
            <w:tcMar>
              <w:left w:w="28" w:type="dxa"/>
              <w:right w:w="57" w:type="dxa"/>
            </w:tcMar>
            <w:vAlign w:val="bottom"/>
            <w:hideMark/>
          </w:tcPr>
          <w:p w14:paraId="76C965F3" w14:textId="77777777" w:rsidR="0084445A" w:rsidRPr="00741D80" w:rsidRDefault="0084445A" w:rsidP="00084C32">
            <w:pPr>
              <w:pStyle w:val="a0"/>
              <w:rPr>
                <w:rFonts w:asciiTheme="minorHAnsi" w:hAnsiTheme="minorHAnsi" w:cstheme="minorHAnsi"/>
                <w:b/>
                <w:color w:val="auto"/>
                <w:szCs w:val="20"/>
              </w:rPr>
            </w:pPr>
            <w:r w:rsidRPr="00741D80">
              <w:rPr>
                <w:rFonts w:asciiTheme="minorHAnsi" w:hAnsiTheme="minorHAnsi" w:cstheme="minorHAnsi"/>
                <w:b/>
                <w:color w:val="auto"/>
                <w:szCs w:val="20"/>
              </w:rPr>
              <w:t>(10)</w:t>
            </w:r>
          </w:p>
        </w:tc>
        <w:tc>
          <w:tcPr>
            <w:tcW w:w="547" w:type="pct"/>
            <w:tcBorders>
              <w:top w:val="single" w:sz="8" w:space="0" w:color="auto"/>
              <w:left w:val="nil"/>
              <w:bottom w:val="double" w:sz="6" w:space="0" w:color="auto"/>
              <w:right w:val="nil"/>
            </w:tcBorders>
            <w:shd w:val="clear" w:color="auto" w:fill="auto"/>
            <w:noWrap/>
            <w:tcMar>
              <w:left w:w="28" w:type="dxa"/>
              <w:right w:w="57" w:type="dxa"/>
            </w:tcMar>
            <w:vAlign w:val="bottom"/>
            <w:hideMark/>
          </w:tcPr>
          <w:p w14:paraId="27590B4C" w14:textId="77777777" w:rsidR="0084445A" w:rsidRPr="00741D80" w:rsidRDefault="0084445A" w:rsidP="00084C32">
            <w:pPr>
              <w:pStyle w:val="a0"/>
              <w:rPr>
                <w:rFonts w:asciiTheme="minorHAnsi" w:hAnsiTheme="minorHAnsi" w:cstheme="minorHAnsi"/>
                <w:b/>
                <w:color w:val="auto"/>
                <w:szCs w:val="20"/>
              </w:rPr>
            </w:pPr>
            <w:r w:rsidRPr="00741D80">
              <w:rPr>
                <w:rFonts w:asciiTheme="minorHAnsi" w:hAnsiTheme="minorHAnsi" w:cstheme="minorHAnsi"/>
                <w:b/>
                <w:color w:val="auto"/>
                <w:szCs w:val="20"/>
              </w:rPr>
              <w:t>(2)</w:t>
            </w:r>
          </w:p>
        </w:tc>
      </w:tr>
    </w:tbl>
    <w:p w14:paraId="607376EF" w14:textId="77777777" w:rsidR="0084445A" w:rsidRPr="00741D80" w:rsidRDefault="0084445A" w:rsidP="00833465">
      <w:pPr>
        <w:pStyle w:val="Mainnumbers"/>
      </w:pPr>
      <w:bookmarkStart w:id="64" w:name="_Toc418084387"/>
      <w:bookmarkStart w:id="65" w:name="_Toc536452026"/>
      <w:r w:rsidRPr="00741D80">
        <w:t>ТЪРГОВСКИ ВЗЕМАНИЯ</w:t>
      </w:r>
      <w:bookmarkEnd w:id="64"/>
      <w:bookmarkEnd w:id="65"/>
      <w:r w:rsidRPr="00741D80">
        <w:t xml:space="preserve"> </w:t>
      </w:r>
    </w:p>
    <w:p w14:paraId="48A69B18" w14:textId="77777777" w:rsidR="0084445A" w:rsidRPr="00741D80" w:rsidRDefault="0084445A" w:rsidP="0084445A">
      <w:pPr>
        <w:rPr>
          <w:rFonts w:cstheme="minorHAnsi"/>
        </w:rPr>
      </w:pPr>
      <w:r w:rsidRPr="00741D80">
        <w:rPr>
          <w:rFonts w:cstheme="minorHAnsi"/>
        </w:rPr>
        <w:t xml:space="preserve">Търговските вземания включват: </w:t>
      </w:r>
    </w:p>
    <w:tbl>
      <w:tblPr>
        <w:tblW w:w="5000" w:type="pct"/>
        <w:tblLook w:val="04A0" w:firstRow="1" w:lastRow="0" w:firstColumn="1" w:lastColumn="0" w:noHBand="0" w:noVBand="1"/>
      </w:tblPr>
      <w:tblGrid>
        <w:gridCol w:w="6785"/>
        <w:gridCol w:w="1517"/>
        <w:gridCol w:w="1336"/>
      </w:tblGrid>
      <w:tr w:rsidR="0084445A" w:rsidRPr="00741D80" w14:paraId="2A153C43" w14:textId="77777777" w:rsidTr="00741D80">
        <w:trPr>
          <w:trHeight w:val="20"/>
        </w:trPr>
        <w:tc>
          <w:tcPr>
            <w:tcW w:w="3520" w:type="pct"/>
            <w:tcBorders>
              <w:top w:val="nil"/>
              <w:left w:val="nil"/>
              <w:bottom w:val="nil"/>
              <w:right w:val="nil"/>
            </w:tcBorders>
            <w:shd w:val="clear" w:color="auto" w:fill="auto"/>
            <w:vAlign w:val="bottom"/>
            <w:hideMark/>
          </w:tcPr>
          <w:p w14:paraId="3A98D39E" w14:textId="77777777" w:rsidR="0084445A" w:rsidRPr="00741D80" w:rsidRDefault="0084445A" w:rsidP="00084C32">
            <w:pPr>
              <w:pStyle w:val="a"/>
              <w:rPr>
                <w:rFonts w:asciiTheme="minorHAnsi" w:hAnsiTheme="minorHAnsi" w:cstheme="minorHAnsi"/>
                <w:color w:val="auto"/>
                <w:szCs w:val="20"/>
                <w:lang w:val="bg-BG"/>
              </w:rPr>
            </w:pPr>
          </w:p>
        </w:tc>
        <w:tc>
          <w:tcPr>
            <w:tcW w:w="787" w:type="pct"/>
            <w:tcBorders>
              <w:top w:val="nil"/>
              <w:left w:val="nil"/>
              <w:bottom w:val="nil"/>
              <w:right w:val="nil"/>
            </w:tcBorders>
            <w:shd w:val="clear" w:color="auto" w:fill="auto"/>
            <w:hideMark/>
          </w:tcPr>
          <w:p w14:paraId="13FB1D75"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w:t>
            </w:r>
            <w:r w:rsidRPr="00741D80">
              <w:rPr>
                <w:rFonts w:asciiTheme="minorHAnsi" w:hAnsiTheme="minorHAnsi" w:cstheme="minorHAnsi"/>
                <w:color w:val="auto"/>
                <w:szCs w:val="20"/>
              </w:rPr>
              <w:t>2018</w:t>
            </w:r>
          </w:p>
        </w:tc>
        <w:tc>
          <w:tcPr>
            <w:tcW w:w="693" w:type="pct"/>
            <w:tcBorders>
              <w:top w:val="nil"/>
              <w:left w:val="nil"/>
              <w:bottom w:val="nil"/>
              <w:right w:val="nil"/>
            </w:tcBorders>
            <w:shd w:val="clear" w:color="auto" w:fill="auto"/>
            <w:hideMark/>
          </w:tcPr>
          <w:p w14:paraId="23A5C8CE" w14:textId="77777777" w:rsidR="0084445A" w:rsidRPr="00741D80" w:rsidRDefault="0084445A" w:rsidP="00084C32">
            <w:pPr>
              <w:pStyle w:val="a1"/>
              <w:jc w:val="right"/>
              <w:rPr>
                <w:rFonts w:asciiTheme="minorHAnsi" w:hAnsiTheme="minorHAnsi" w:cstheme="minorHAnsi"/>
                <w:color w:val="auto"/>
                <w:szCs w:val="20"/>
              </w:rPr>
            </w:pPr>
            <w:r w:rsidRPr="00741D80">
              <w:rPr>
                <w:rFonts w:asciiTheme="minorHAnsi" w:hAnsiTheme="minorHAnsi" w:cstheme="minorHAnsi"/>
                <w:color w:val="auto"/>
                <w:szCs w:val="20"/>
                <w:lang w:val="bg-BG"/>
              </w:rPr>
              <w:t>31.12.</w:t>
            </w:r>
            <w:r w:rsidRPr="00741D80">
              <w:rPr>
                <w:rFonts w:asciiTheme="minorHAnsi" w:hAnsiTheme="minorHAnsi" w:cstheme="minorHAnsi"/>
                <w:color w:val="auto"/>
                <w:szCs w:val="20"/>
              </w:rPr>
              <w:t>2017</w:t>
            </w:r>
          </w:p>
        </w:tc>
      </w:tr>
      <w:tr w:rsidR="0084445A" w:rsidRPr="00741D80" w14:paraId="2474F99B" w14:textId="77777777" w:rsidTr="00741D80">
        <w:trPr>
          <w:trHeight w:val="20"/>
        </w:trPr>
        <w:tc>
          <w:tcPr>
            <w:tcW w:w="3520" w:type="pct"/>
            <w:tcBorders>
              <w:top w:val="nil"/>
              <w:left w:val="nil"/>
              <w:bottom w:val="nil"/>
              <w:right w:val="nil"/>
            </w:tcBorders>
            <w:shd w:val="clear" w:color="auto" w:fill="auto"/>
            <w:vAlign w:val="bottom"/>
            <w:hideMark/>
          </w:tcPr>
          <w:p w14:paraId="0BB59D60" w14:textId="77777777" w:rsidR="0084445A" w:rsidRPr="00741D80" w:rsidRDefault="0084445A" w:rsidP="00084C32">
            <w:pPr>
              <w:pStyle w:val="a"/>
              <w:rPr>
                <w:rFonts w:asciiTheme="minorHAnsi" w:hAnsiTheme="minorHAnsi" w:cstheme="minorHAnsi"/>
                <w:color w:val="auto"/>
                <w:szCs w:val="20"/>
                <w:lang w:val="bg-BG"/>
              </w:rPr>
            </w:pPr>
          </w:p>
        </w:tc>
        <w:tc>
          <w:tcPr>
            <w:tcW w:w="787" w:type="pct"/>
            <w:tcBorders>
              <w:top w:val="nil"/>
              <w:left w:val="nil"/>
              <w:bottom w:val="nil"/>
              <w:right w:val="nil"/>
            </w:tcBorders>
            <w:shd w:val="clear" w:color="auto" w:fill="auto"/>
            <w:noWrap/>
            <w:hideMark/>
          </w:tcPr>
          <w:p w14:paraId="516326D8" w14:textId="77777777" w:rsidR="0084445A" w:rsidRPr="00741D80" w:rsidRDefault="0084445A" w:rsidP="00084C32">
            <w:pPr>
              <w:pStyle w:val="a1"/>
              <w:widowControl w:val="0"/>
              <w:jc w:val="right"/>
              <w:rPr>
                <w:rFonts w:asciiTheme="minorHAnsi" w:hAnsiTheme="minorHAnsi" w:cstheme="minorHAnsi"/>
                <w:color w:val="auto"/>
                <w:szCs w:val="20"/>
              </w:rPr>
            </w:pPr>
            <w:r w:rsidRPr="00741D80">
              <w:rPr>
                <w:rFonts w:asciiTheme="minorHAnsi" w:hAnsiTheme="minorHAnsi" w:cstheme="minorHAnsi"/>
                <w:color w:val="auto"/>
                <w:szCs w:val="20"/>
                <w:lang w:val="bg-BG"/>
              </w:rPr>
              <w:t>BGN'000</w:t>
            </w:r>
          </w:p>
        </w:tc>
        <w:tc>
          <w:tcPr>
            <w:tcW w:w="693" w:type="pct"/>
            <w:tcBorders>
              <w:top w:val="nil"/>
              <w:left w:val="nil"/>
              <w:bottom w:val="nil"/>
              <w:right w:val="nil"/>
            </w:tcBorders>
            <w:shd w:val="clear" w:color="auto" w:fill="auto"/>
            <w:noWrap/>
            <w:hideMark/>
          </w:tcPr>
          <w:p w14:paraId="63D6046F"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3DD7477B" w14:textId="77777777" w:rsidTr="00741D80">
        <w:trPr>
          <w:trHeight w:val="20"/>
        </w:trPr>
        <w:tc>
          <w:tcPr>
            <w:tcW w:w="3520" w:type="pct"/>
            <w:tcBorders>
              <w:top w:val="nil"/>
              <w:left w:val="nil"/>
              <w:bottom w:val="nil"/>
              <w:right w:val="nil"/>
            </w:tcBorders>
            <w:shd w:val="clear" w:color="auto" w:fill="auto"/>
            <w:vAlign w:val="bottom"/>
            <w:hideMark/>
          </w:tcPr>
          <w:p w14:paraId="36987CA3"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Вземания от клиенти</w:t>
            </w:r>
          </w:p>
        </w:tc>
        <w:tc>
          <w:tcPr>
            <w:tcW w:w="787" w:type="pct"/>
            <w:tcBorders>
              <w:top w:val="nil"/>
              <w:left w:val="nil"/>
              <w:bottom w:val="nil"/>
              <w:right w:val="nil"/>
            </w:tcBorders>
            <w:shd w:val="clear" w:color="auto" w:fill="auto"/>
            <w:noWrap/>
            <w:vAlign w:val="bottom"/>
            <w:hideMark/>
          </w:tcPr>
          <w:p w14:paraId="12F23E14"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155</w:t>
            </w:r>
          </w:p>
        </w:tc>
        <w:tc>
          <w:tcPr>
            <w:tcW w:w="693" w:type="pct"/>
            <w:tcBorders>
              <w:top w:val="nil"/>
              <w:left w:val="nil"/>
              <w:bottom w:val="nil"/>
              <w:right w:val="nil"/>
            </w:tcBorders>
            <w:shd w:val="clear" w:color="auto" w:fill="auto"/>
            <w:noWrap/>
            <w:vAlign w:val="bottom"/>
            <w:hideMark/>
          </w:tcPr>
          <w:p w14:paraId="724435F7" w14:textId="77777777" w:rsidR="0084445A" w:rsidRPr="00741D80" w:rsidRDefault="0084445A" w:rsidP="00084C32">
            <w:pPr>
              <w:pStyle w:val="a0"/>
              <w:widowControl w:val="0"/>
              <w:rPr>
                <w:rFonts w:asciiTheme="minorHAnsi" w:hAnsiTheme="minorHAnsi" w:cstheme="minorHAnsi"/>
                <w:color w:val="auto"/>
                <w:szCs w:val="20"/>
              </w:rPr>
            </w:pPr>
            <w:r w:rsidRPr="00741D80">
              <w:rPr>
                <w:rFonts w:asciiTheme="minorHAnsi" w:hAnsiTheme="minorHAnsi" w:cstheme="minorHAnsi"/>
                <w:color w:val="auto"/>
                <w:szCs w:val="20"/>
              </w:rPr>
              <w:t>121</w:t>
            </w:r>
          </w:p>
        </w:tc>
      </w:tr>
      <w:tr w:rsidR="0084445A" w:rsidRPr="00741D80" w14:paraId="1BD8A992" w14:textId="77777777" w:rsidTr="00741D80">
        <w:trPr>
          <w:trHeight w:val="20"/>
        </w:trPr>
        <w:tc>
          <w:tcPr>
            <w:tcW w:w="3520" w:type="pct"/>
            <w:tcBorders>
              <w:top w:val="nil"/>
              <w:left w:val="nil"/>
              <w:bottom w:val="nil"/>
              <w:right w:val="nil"/>
            </w:tcBorders>
            <w:shd w:val="clear" w:color="auto" w:fill="auto"/>
            <w:vAlign w:val="bottom"/>
            <w:hideMark/>
          </w:tcPr>
          <w:p w14:paraId="06DE122D" w14:textId="77777777" w:rsidR="0084445A" w:rsidRPr="00741D80" w:rsidRDefault="0084445A" w:rsidP="00084C32">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787" w:type="pct"/>
            <w:tcBorders>
              <w:top w:val="single" w:sz="4" w:space="0" w:color="auto"/>
              <w:left w:val="nil"/>
              <w:bottom w:val="double" w:sz="6" w:space="0" w:color="auto"/>
              <w:right w:val="nil"/>
            </w:tcBorders>
            <w:shd w:val="clear" w:color="auto" w:fill="auto"/>
            <w:vAlign w:val="bottom"/>
            <w:hideMark/>
          </w:tcPr>
          <w:p w14:paraId="106C0FAF" w14:textId="77777777" w:rsidR="0084445A" w:rsidRPr="00741D80" w:rsidRDefault="0084445A" w:rsidP="00084C32">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155</w:t>
            </w:r>
          </w:p>
        </w:tc>
        <w:tc>
          <w:tcPr>
            <w:tcW w:w="693" w:type="pct"/>
            <w:tcBorders>
              <w:top w:val="single" w:sz="4" w:space="0" w:color="auto"/>
              <w:left w:val="nil"/>
              <w:bottom w:val="double" w:sz="6" w:space="0" w:color="auto"/>
              <w:right w:val="nil"/>
            </w:tcBorders>
            <w:shd w:val="clear" w:color="auto" w:fill="auto"/>
            <w:vAlign w:val="bottom"/>
            <w:hideMark/>
          </w:tcPr>
          <w:p w14:paraId="1CA25D0E" w14:textId="77777777" w:rsidR="0084445A" w:rsidRPr="00741D80" w:rsidRDefault="0084445A" w:rsidP="00084C32">
            <w:pPr>
              <w:pStyle w:val="a0"/>
              <w:widowControl w:val="0"/>
              <w:rPr>
                <w:rFonts w:asciiTheme="minorHAnsi" w:hAnsiTheme="minorHAnsi" w:cstheme="minorHAnsi"/>
                <w:b/>
                <w:color w:val="auto"/>
                <w:szCs w:val="20"/>
              </w:rPr>
            </w:pPr>
            <w:r w:rsidRPr="00741D80">
              <w:rPr>
                <w:rFonts w:asciiTheme="minorHAnsi" w:hAnsiTheme="minorHAnsi" w:cstheme="minorHAnsi"/>
                <w:b/>
                <w:color w:val="auto"/>
                <w:szCs w:val="20"/>
              </w:rPr>
              <w:t>121</w:t>
            </w:r>
          </w:p>
        </w:tc>
      </w:tr>
    </w:tbl>
    <w:p w14:paraId="032DBBBF" w14:textId="7E1FD9C2" w:rsidR="0084445A" w:rsidRPr="00741D80" w:rsidRDefault="0084445A" w:rsidP="00084C32">
      <w:pPr>
        <w:spacing w:after="0" w:line="276" w:lineRule="auto"/>
        <w:jc w:val="both"/>
        <w:rPr>
          <w:rFonts w:cstheme="minorHAnsi"/>
        </w:rPr>
      </w:pPr>
      <w:r w:rsidRPr="00741D80">
        <w:rPr>
          <w:rFonts w:cstheme="minorHAnsi"/>
        </w:rPr>
        <w:t>Търговските вземания са свързани с дължими такси за оказани услуги съгласно правилника на Борсата (комисиони за сделки, такси за: регистрация, интернет и он-</w:t>
      </w:r>
      <w:proofErr w:type="spellStart"/>
      <w:r w:rsidRPr="00741D80">
        <w:rPr>
          <w:rFonts w:cstheme="minorHAnsi"/>
        </w:rPr>
        <w:t>лайн</w:t>
      </w:r>
      <w:proofErr w:type="spellEnd"/>
      <w:r w:rsidRPr="00741D80">
        <w:rPr>
          <w:rFonts w:cstheme="minorHAnsi"/>
        </w:rPr>
        <w:t xml:space="preserve"> търговия и информационно обслужване), които се заплащат обичайно при получаване на услугата или в следващите 2 дни, необходими за извършване на </w:t>
      </w:r>
      <w:proofErr w:type="spellStart"/>
      <w:r w:rsidRPr="00741D80">
        <w:rPr>
          <w:rFonts w:cstheme="minorHAnsi"/>
        </w:rPr>
        <w:t>сетълмента</w:t>
      </w:r>
      <w:proofErr w:type="spellEnd"/>
      <w:r w:rsidRPr="00741D80">
        <w:rPr>
          <w:rFonts w:cstheme="minorHAnsi"/>
        </w:rPr>
        <w:t xml:space="preserve">. </w:t>
      </w:r>
    </w:p>
    <w:p w14:paraId="0C884D8E" w14:textId="77777777" w:rsidR="0084445A" w:rsidRPr="00741D80" w:rsidRDefault="0084445A" w:rsidP="00084C32">
      <w:pPr>
        <w:spacing w:after="0" w:line="276" w:lineRule="auto"/>
        <w:jc w:val="both"/>
        <w:rPr>
          <w:rFonts w:cstheme="minorHAnsi"/>
        </w:rPr>
      </w:pPr>
      <w:r w:rsidRPr="00741D80">
        <w:rPr>
          <w:rFonts w:cstheme="minorHAnsi"/>
        </w:rPr>
        <w:t xml:space="preserve">Обичайният кредитен период (обичайната </w:t>
      </w:r>
      <w:proofErr w:type="spellStart"/>
      <w:r w:rsidRPr="00741D80">
        <w:rPr>
          <w:rFonts w:cstheme="minorHAnsi"/>
        </w:rPr>
        <w:t>обр</w:t>
      </w:r>
      <w:proofErr w:type="spellEnd"/>
      <w:r w:rsidRPr="00741D80">
        <w:rPr>
          <w:rFonts w:cstheme="minorHAnsi"/>
          <w:lang w:val="en-US"/>
        </w:rPr>
        <w:t>d</w:t>
      </w:r>
      <w:proofErr w:type="spellStart"/>
      <w:r w:rsidRPr="00741D80">
        <w:rPr>
          <w:rFonts w:cstheme="minorHAnsi"/>
        </w:rPr>
        <w:t>щаемост</w:t>
      </w:r>
      <w:proofErr w:type="spellEnd"/>
      <w:r w:rsidRPr="00741D80">
        <w:rPr>
          <w:rFonts w:cstheme="minorHAnsi"/>
        </w:rPr>
        <w:t xml:space="preserve"> на вземанията) e до 30 дни. Те са безлихвени, в лева- 3 </w:t>
      </w:r>
      <w:proofErr w:type="spellStart"/>
      <w:r w:rsidRPr="00741D80">
        <w:rPr>
          <w:rFonts w:cstheme="minorHAnsi"/>
        </w:rPr>
        <w:t>х.лв</w:t>
      </w:r>
      <w:proofErr w:type="spellEnd"/>
      <w:r w:rsidRPr="00741D80">
        <w:rPr>
          <w:rFonts w:cstheme="minorHAnsi"/>
        </w:rPr>
        <w:t>. (31.12.</w:t>
      </w:r>
      <w:r w:rsidRPr="00741D80">
        <w:rPr>
          <w:rFonts w:cstheme="minorHAnsi"/>
          <w:lang w:val="en-US"/>
        </w:rPr>
        <w:t>2017</w:t>
      </w:r>
      <w:r w:rsidRPr="00741D80">
        <w:rPr>
          <w:rFonts w:cstheme="minorHAnsi"/>
        </w:rPr>
        <w:t xml:space="preserve"> г.: </w:t>
      </w:r>
      <w:r w:rsidRPr="00741D80">
        <w:rPr>
          <w:rFonts w:cstheme="minorHAnsi"/>
          <w:lang w:val="en-US"/>
        </w:rPr>
        <w:t xml:space="preserve">9 </w:t>
      </w:r>
      <w:proofErr w:type="spellStart"/>
      <w:r w:rsidRPr="00741D80">
        <w:rPr>
          <w:rFonts w:cstheme="minorHAnsi"/>
        </w:rPr>
        <w:t>х.лв</w:t>
      </w:r>
      <w:proofErr w:type="spellEnd"/>
      <w:r w:rsidRPr="00741D80">
        <w:rPr>
          <w:rFonts w:cstheme="minorHAnsi"/>
        </w:rPr>
        <w:t xml:space="preserve">.) и евро – 152 </w:t>
      </w:r>
      <w:proofErr w:type="spellStart"/>
      <w:r w:rsidRPr="00741D80">
        <w:rPr>
          <w:rFonts w:cstheme="minorHAnsi"/>
        </w:rPr>
        <w:t>х.лв</w:t>
      </w:r>
      <w:proofErr w:type="spellEnd"/>
      <w:r w:rsidRPr="00741D80">
        <w:rPr>
          <w:rFonts w:cstheme="minorHAnsi"/>
        </w:rPr>
        <w:t>. (31.12.</w:t>
      </w:r>
      <w:r w:rsidRPr="00741D80">
        <w:rPr>
          <w:rFonts w:cstheme="minorHAnsi"/>
          <w:lang w:val="en-US"/>
        </w:rPr>
        <w:t>2017</w:t>
      </w:r>
      <w:r w:rsidRPr="00741D80">
        <w:rPr>
          <w:rFonts w:cstheme="minorHAnsi"/>
        </w:rPr>
        <w:t xml:space="preserve"> г.: </w:t>
      </w:r>
      <w:r w:rsidRPr="00741D80">
        <w:rPr>
          <w:rFonts w:cstheme="minorHAnsi"/>
          <w:lang w:val="en-US"/>
        </w:rPr>
        <w:t>112</w:t>
      </w:r>
      <w:r w:rsidRPr="00741D80">
        <w:rPr>
          <w:rFonts w:cstheme="minorHAnsi"/>
        </w:rPr>
        <w:t xml:space="preserve"> </w:t>
      </w:r>
      <w:proofErr w:type="spellStart"/>
      <w:r w:rsidRPr="00741D80">
        <w:rPr>
          <w:rFonts w:cstheme="minorHAnsi"/>
        </w:rPr>
        <w:t>х.лв</w:t>
      </w:r>
      <w:proofErr w:type="spellEnd"/>
      <w:r w:rsidRPr="00741D80">
        <w:rPr>
          <w:rFonts w:cstheme="minorHAnsi"/>
        </w:rPr>
        <w:t>.).</w:t>
      </w:r>
    </w:p>
    <w:p w14:paraId="37EF6EBD" w14:textId="36C0ADAD" w:rsidR="00DA61F6" w:rsidRPr="00741D80" w:rsidRDefault="00DA61F6" w:rsidP="00084C32">
      <w:pPr>
        <w:pStyle w:val="BodyText"/>
        <w:spacing w:after="0" w:afterAutospacing="0" w:line="276" w:lineRule="auto"/>
      </w:pPr>
      <w:bookmarkStart w:id="66" w:name="_Hlk536221218"/>
      <w:r w:rsidRPr="00905F38">
        <w:t>МСФО 9 изисква от дружеството да отчита очакваните кредитни загуби по всички свои търговски и други вземания или на 12-месечна база, или в течение на техния срок. Дружеството ще прилага опростен подход и ще отрази очакваните загуби през срока на всички търговски и други вземания.</w:t>
      </w:r>
    </w:p>
    <w:bookmarkEnd w:id="66"/>
    <w:p w14:paraId="6D3C0A54" w14:textId="5CEF8221" w:rsidR="00084C32" w:rsidRDefault="0084445A" w:rsidP="00084C32">
      <w:pPr>
        <w:spacing w:after="0" w:line="276" w:lineRule="auto"/>
        <w:jc w:val="both"/>
        <w:rPr>
          <w:rFonts w:cstheme="minorHAnsi"/>
        </w:rPr>
      </w:pPr>
      <w:r w:rsidRPr="00741D80">
        <w:rPr>
          <w:rFonts w:cstheme="minorHAnsi"/>
        </w:rPr>
        <w:t>През отчетния период няма движение на коректива за обезценка на търговските вземания (2017: няма).</w:t>
      </w:r>
    </w:p>
    <w:p w14:paraId="6B60084C" w14:textId="77777777" w:rsidR="00084C32" w:rsidRDefault="00084C32">
      <w:pPr>
        <w:rPr>
          <w:rFonts w:cstheme="minorHAnsi"/>
        </w:rPr>
      </w:pPr>
      <w:r>
        <w:rPr>
          <w:rFonts w:cstheme="minorHAnsi"/>
        </w:rPr>
        <w:br w:type="page"/>
      </w:r>
    </w:p>
    <w:p w14:paraId="336528D6" w14:textId="77777777" w:rsidR="0084445A" w:rsidRPr="00741D80" w:rsidRDefault="0084445A" w:rsidP="00833465">
      <w:pPr>
        <w:pStyle w:val="Mainnumbers"/>
      </w:pPr>
      <w:bookmarkStart w:id="67" w:name="_Toc418084388"/>
      <w:bookmarkStart w:id="68" w:name="_Toc536452027"/>
      <w:bookmarkEnd w:id="62"/>
      <w:bookmarkEnd w:id="63"/>
      <w:r w:rsidRPr="00741D80">
        <w:lastRenderedPageBreak/>
        <w:t>ДРУГИ ВЗЕМАНИЯ И ПРЕДПЛАТЕНИ РАЗХОДИ</w:t>
      </w:r>
      <w:bookmarkEnd w:id="67"/>
      <w:bookmarkEnd w:id="68"/>
      <w:r w:rsidRPr="00741D80">
        <w:t xml:space="preserve"> </w:t>
      </w:r>
    </w:p>
    <w:p w14:paraId="4ADC5802" w14:textId="77777777" w:rsidR="0084445A" w:rsidRPr="00741D80" w:rsidRDefault="0084445A" w:rsidP="0084445A">
      <w:pPr>
        <w:rPr>
          <w:rFonts w:cstheme="minorHAnsi"/>
        </w:rPr>
      </w:pPr>
      <w:r w:rsidRPr="00741D80">
        <w:rPr>
          <w:rFonts w:cstheme="minorHAnsi"/>
        </w:rPr>
        <w:t>Другите вземания и предплатени разходи включват:</w:t>
      </w:r>
    </w:p>
    <w:tbl>
      <w:tblPr>
        <w:tblW w:w="5000" w:type="pct"/>
        <w:jc w:val="center"/>
        <w:tblLook w:val="04A0" w:firstRow="1" w:lastRow="0" w:firstColumn="1" w:lastColumn="0" w:noHBand="0" w:noVBand="1"/>
      </w:tblPr>
      <w:tblGrid>
        <w:gridCol w:w="7102"/>
        <w:gridCol w:w="1241"/>
        <w:gridCol w:w="1295"/>
      </w:tblGrid>
      <w:tr w:rsidR="0084445A" w:rsidRPr="00741D80" w14:paraId="1EBA1DA2" w14:textId="77777777" w:rsidTr="00741D80">
        <w:trPr>
          <w:trHeight w:val="170"/>
          <w:jc w:val="center"/>
        </w:trPr>
        <w:tc>
          <w:tcPr>
            <w:tcW w:w="3684" w:type="pct"/>
            <w:tcBorders>
              <w:top w:val="nil"/>
              <w:left w:val="nil"/>
              <w:bottom w:val="nil"/>
              <w:right w:val="nil"/>
            </w:tcBorders>
            <w:shd w:val="clear" w:color="auto" w:fill="auto"/>
            <w:vAlign w:val="bottom"/>
            <w:hideMark/>
          </w:tcPr>
          <w:p w14:paraId="02291C66" w14:textId="77777777" w:rsidR="0084445A" w:rsidRPr="00741D80" w:rsidRDefault="0084445A" w:rsidP="00AE7CF9">
            <w:pPr>
              <w:pStyle w:val="a"/>
              <w:spacing w:line="276" w:lineRule="auto"/>
              <w:rPr>
                <w:rFonts w:asciiTheme="minorHAnsi" w:hAnsiTheme="minorHAnsi" w:cstheme="minorHAnsi"/>
                <w:color w:val="auto"/>
                <w:szCs w:val="20"/>
                <w:lang w:val="bg-BG"/>
              </w:rPr>
            </w:pPr>
            <w:bookmarkStart w:id="69" w:name="_Hlk536221305"/>
          </w:p>
        </w:tc>
        <w:tc>
          <w:tcPr>
            <w:tcW w:w="644" w:type="pct"/>
            <w:tcBorders>
              <w:top w:val="nil"/>
              <w:left w:val="nil"/>
              <w:bottom w:val="nil"/>
              <w:right w:val="nil"/>
            </w:tcBorders>
            <w:shd w:val="clear" w:color="auto" w:fill="auto"/>
            <w:hideMark/>
          </w:tcPr>
          <w:p w14:paraId="7E331618" w14:textId="77777777" w:rsidR="0084445A" w:rsidRPr="00741D80" w:rsidRDefault="0084445A" w:rsidP="00AE7CF9">
            <w:pPr>
              <w:pStyle w:val="a1"/>
              <w:widowControl w:val="0"/>
              <w:spacing w:line="276" w:lineRule="auto"/>
              <w:rPr>
                <w:rFonts w:asciiTheme="minorHAnsi" w:hAnsiTheme="minorHAnsi" w:cstheme="minorHAnsi"/>
                <w:color w:val="auto"/>
                <w:szCs w:val="20"/>
              </w:rPr>
            </w:pPr>
            <w:r w:rsidRPr="00741D80">
              <w:rPr>
                <w:rFonts w:asciiTheme="minorHAnsi" w:hAnsiTheme="minorHAnsi" w:cstheme="minorHAnsi"/>
                <w:color w:val="auto"/>
                <w:szCs w:val="20"/>
                <w:lang w:val="bg-BG"/>
              </w:rPr>
              <w:t>31.12.</w:t>
            </w:r>
            <w:r w:rsidRPr="00741D80">
              <w:rPr>
                <w:rFonts w:asciiTheme="minorHAnsi" w:hAnsiTheme="minorHAnsi" w:cstheme="minorHAnsi"/>
                <w:color w:val="auto"/>
                <w:szCs w:val="20"/>
              </w:rPr>
              <w:t>2018</w:t>
            </w:r>
          </w:p>
        </w:tc>
        <w:tc>
          <w:tcPr>
            <w:tcW w:w="672" w:type="pct"/>
            <w:tcBorders>
              <w:top w:val="nil"/>
              <w:left w:val="nil"/>
              <w:bottom w:val="nil"/>
              <w:right w:val="nil"/>
            </w:tcBorders>
            <w:shd w:val="clear" w:color="auto" w:fill="auto"/>
            <w:hideMark/>
          </w:tcPr>
          <w:p w14:paraId="08E39AE6" w14:textId="77777777" w:rsidR="0084445A" w:rsidRPr="00741D80" w:rsidRDefault="0084445A" w:rsidP="00AE7CF9">
            <w:pPr>
              <w:pStyle w:val="a1"/>
              <w:spacing w:line="276" w:lineRule="auto"/>
              <w:rPr>
                <w:rFonts w:asciiTheme="minorHAnsi" w:hAnsiTheme="minorHAnsi" w:cstheme="minorHAnsi"/>
                <w:color w:val="auto"/>
                <w:szCs w:val="20"/>
              </w:rPr>
            </w:pPr>
            <w:r w:rsidRPr="00741D80">
              <w:rPr>
                <w:rFonts w:asciiTheme="minorHAnsi" w:hAnsiTheme="minorHAnsi" w:cstheme="minorHAnsi"/>
                <w:color w:val="auto"/>
                <w:szCs w:val="20"/>
                <w:lang w:val="bg-BG"/>
              </w:rPr>
              <w:t>31.12.</w:t>
            </w:r>
            <w:r w:rsidRPr="00741D80">
              <w:rPr>
                <w:rFonts w:asciiTheme="minorHAnsi" w:hAnsiTheme="minorHAnsi" w:cstheme="minorHAnsi"/>
                <w:color w:val="auto"/>
                <w:szCs w:val="20"/>
              </w:rPr>
              <w:t>2017</w:t>
            </w:r>
          </w:p>
        </w:tc>
      </w:tr>
      <w:tr w:rsidR="0084445A" w:rsidRPr="00741D80" w14:paraId="31FAF52F" w14:textId="77777777" w:rsidTr="00741D80">
        <w:trPr>
          <w:trHeight w:val="170"/>
          <w:jc w:val="center"/>
        </w:trPr>
        <w:tc>
          <w:tcPr>
            <w:tcW w:w="3684" w:type="pct"/>
            <w:tcBorders>
              <w:top w:val="nil"/>
              <w:left w:val="nil"/>
              <w:bottom w:val="nil"/>
              <w:right w:val="nil"/>
            </w:tcBorders>
            <w:shd w:val="clear" w:color="auto" w:fill="auto"/>
            <w:vAlign w:val="bottom"/>
            <w:hideMark/>
          </w:tcPr>
          <w:p w14:paraId="650F8C8B" w14:textId="77777777" w:rsidR="0084445A" w:rsidRPr="00741D80" w:rsidRDefault="0084445A" w:rsidP="00AE7CF9">
            <w:pPr>
              <w:pStyle w:val="a"/>
              <w:spacing w:line="276" w:lineRule="auto"/>
              <w:rPr>
                <w:rFonts w:asciiTheme="minorHAnsi" w:hAnsiTheme="minorHAnsi" w:cstheme="minorHAnsi"/>
                <w:color w:val="auto"/>
                <w:szCs w:val="20"/>
                <w:lang w:val="bg-BG"/>
              </w:rPr>
            </w:pPr>
          </w:p>
        </w:tc>
        <w:tc>
          <w:tcPr>
            <w:tcW w:w="644" w:type="pct"/>
            <w:tcBorders>
              <w:top w:val="nil"/>
              <w:left w:val="nil"/>
              <w:bottom w:val="nil"/>
              <w:right w:val="nil"/>
            </w:tcBorders>
            <w:shd w:val="clear" w:color="auto" w:fill="auto"/>
            <w:noWrap/>
            <w:hideMark/>
          </w:tcPr>
          <w:p w14:paraId="208F8F48"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672" w:type="pct"/>
            <w:tcBorders>
              <w:top w:val="nil"/>
              <w:left w:val="nil"/>
              <w:bottom w:val="nil"/>
              <w:right w:val="nil"/>
            </w:tcBorders>
            <w:shd w:val="clear" w:color="auto" w:fill="auto"/>
            <w:noWrap/>
            <w:hideMark/>
          </w:tcPr>
          <w:p w14:paraId="3E788E61"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1C44F4D7" w14:textId="77777777" w:rsidTr="00741D80">
        <w:trPr>
          <w:trHeight w:val="170"/>
          <w:jc w:val="center"/>
        </w:trPr>
        <w:tc>
          <w:tcPr>
            <w:tcW w:w="3684" w:type="pct"/>
            <w:tcBorders>
              <w:top w:val="nil"/>
              <w:left w:val="nil"/>
              <w:bottom w:val="nil"/>
              <w:right w:val="nil"/>
            </w:tcBorders>
            <w:shd w:val="clear" w:color="auto" w:fill="auto"/>
            <w:vAlign w:val="bottom"/>
            <w:hideMark/>
          </w:tcPr>
          <w:p w14:paraId="039CCCAB"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Вземане по цесия на депозит от банка в несъстоятелност </w:t>
            </w:r>
          </w:p>
        </w:tc>
        <w:tc>
          <w:tcPr>
            <w:tcW w:w="644" w:type="pct"/>
            <w:tcBorders>
              <w:top w:val="nil"/>
              <w:left w:val="nil"/>
              <w:bottom w:val="nil"/>
              <w:right w:val="nil"/>
            </w:tcBorders>
            <w:shd w:val="clear" w:color="auto" w:fill="auto"/>
            <w:noWrap/>
            <w:vAlign w:val="bottom"/>
            <w:hideMark/>
          </w:tcPr>
          <w:p w14:paraId="31645F44"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1,214 </w:t>
            </w:r>
          </w:p>
        </w:tc>
        <w:tc>
          <w:tcPr>
            <w:tcW w:w="672" w:type="pct"/>
            <w:tcBorders>
              <w:top w:val="nil"/>
              <w:left w:val="nil"/>
              <w:bottom w:val="nil"/>
              <w:right w:val="nil"/>
            </w:tcBorders>
            <w:shd w:val="clear" w:color="auto" w:fill="auto"/>
            <w:noWrap/>
            <w:vAlign w:val="bottom"/>
            <w:hideMark/>
          </w:tcPr>
          <w:p w14:paraId="72A76E72"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1,214</w:t>
            </w:r>
          </w:p>
        </w:tc>
      </w:tr>
      <w:tr w:rsidR="0084445A" w:rsidRPr="00741D80" w14:paraId="336BECB8" w14:textId="77777777" w:rsidTr="00741D80">
        <w:trPr>
          <w:trHeight w:val="170"/>
          <w:jc w:val="center"/>
        </w:trPr>
        <w:tc>
          <w:tcPr>
            <w:tcW w:w="3684" w:type="pct"/>
            <w:tcBorders>
              <w:top w:val="nil"/>
              <w:left w:val="nil"/>
              <w:bottom w:val="nil"/>
              <w:right w:val="nil"/>
            </w:tcBorders>
            <w:shd w:val="clear" w:color="auto" w:fill="auto"/>
            <w:vAlign w:val="bottom"/>
            <w:hideMark/>
          </w:tcPr>
          <w:p w14:paraId="1C71A576"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Обезценка на вземане по договор за цесия БЕГ АД</w:t>
            </w:r>
          </w:p>
        </w:tc>
        <w:tc>
          <w:tcPr>
            <w:tcW w:w="644" w:type="pct"/>
            <w:tcBorders>
              <w:top w:val="nil"/>
              <w:left w:val="nil"/>
              <w:bottom w:val="single" w:sz="4" w:space="0" w:color="auto"/>
              <w:right w:val="nil"/>
            </w:tcBorders>
            <w:shd w:val="clear" w:color="auto" w:fill="auto"/>
            <w:noWrap/>
            <w:vAlign w:val="bottom"/>
            <w:hideMark/>
          </w:tcPr>
          <w:p w14:paraId="4EE57309" w14:textId="77777777" w:rsidR="0084445A" w:rsidRPr="00741D80" w:rsidRDefault="0084445A" w:rsidP="00AE7CF9">
            <w:pPr>
              <w:pStyle w:val="a0"/>
              <w:widowControl w:val="0"/>
              <w:spacing w:line="276" w:lineRule="auto"/>
              <w:rPr>
                <w:rFonts w:asciiTheme="minorHAnsi" w:hAnsiTheme="minorHAnsi" w:cstheme="minorHAnsi"/>
                <w:color w:val="auto"/>
                <w:szCs w:val="20"/>
              </w:rPr>
            </w:pPr>
            <w:r w:rsidRPr="00741D80">
              <w:rPr>
                <w:rFonts w:asciiTheme="minorHAnsi" w:hAnsiTheme="minorHAnsi" w:cstheme="minorHAnsi"/>
                <w:color w:val="auto"/>
                <w:szCs w:val="20"/>
              </w:rPr>
              <w:t>(607)</w:t>
            </w:r>
          </w:p>
        </w:tc>
        <w:tc>
          <w:tcPr>
            <w:tcW w:w="672" w:type="pct"/>
            <w:tcBorders>
              <w:top w:val="nil"/>
              <w:left w:val="nil"/>
              <w:bottom w:val="single" w:sz="4" w:space="0" w:color="auto"/>
              <w:right w:val="nil"/>
            </w:tcBorders>
            <w:shd w:val="clear" w:color="auto" w:fill="auto"/>
            <w:noWrap/>
            <w:vAlign w:val="bottom"/>
            <w:hideMark/>
          </w:tcPr>
          <w:p w14:paraId="537B11EF"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r>
      <w:tr w:rsidR="0084445A" w:rsidRPr="00741D80" w14:paraId="7FF12D2C" w14:textId="77777777" w:rsidTr="00741D80">
        <w:trPr>
          <w:trHeight w:val="170"/>
          <w:jc w:val="center"/>
        </w:trPr>
        <w:tc>
          <w:tcPr>
            <w:tcW w:w="3684" w:type="pct"/>
            <w:tcBorders>
              <w:top w:val="nil"/>
              <w:left w:val="nil"/>
              <w:bottom w:val="nil"/>
              <w:right w:val="nil"/>
            </w:tcBorders>
            <w:shd w:val="clear" w:color="auto" w:fill="auto"/>
            <w:noWrap/>
            <w:vAlign w:val="bottom"/>
          </w:tcPr>
          <w:p w14:paraId="4E652217" w14:textId="77777777" w:rsidR="0084445A" w:rsidRPr="00741D80" w:rsidRDefault="0084445A" w:rsidP="00AE7CF9">
            <w:pPr>
              <w:pStyle w:val="a"/>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Вземане по цесия, нетно</w:t>
            </w:r>
          </w:p>
        </w:tc>
        <w:tc>
          <w:tcPr>
            <w:tcW w:w="644" w:type="pct"/>
            <w:tcBorders>
              <w:top w:val="single" w:sz="4" w:space="0" w:color="auto"/>
              <w:left w:val="nil"/>
              <w:bottom w:val="single" w:sz="4" w:space="0" w:color="auto"/>
              <w:right w:val="nil"/>
            </w:tcBorders>
            <w:shd w:val="clear" w:color="auto" w:fill="auto"/>
            <w:noWrap/>
            <w:vAlign w:val="bottom"/>
          </w:tcPr>
          <w:p w14:paraId="18D99EA1" w14:textId="77777777" w:rsidR="0084445A" w:rsidRPr="00741D80" w:rsidRDefault="0084445A" w:rsidP="00AE7CF9">
            <w:pPr>
              <w:pStyle w:val="a0"/>
              <w:widowControl w:val="0"/>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607</w:t>
            </w:r>
          </w:p>
        </w:tc>
        <w:tc>
          <w:tcPr>
            <w:tcW w:w="672" w:type="pct"/>
            <w:tcBorders>
              <w:top w:val="single" w:sz="4" w:space="0" w:color="auto"/>
              <w:left w:val="nil"/>
              <w:bottom w:val="single" w:sz="4" w:space="0" w:color="auto"/>
              <w:right w:val="nil"/>
            </w:tcBorders>
            <w:shd w:val="clear" w:color="auto" w:fill="auto"/>
            <w:noWrap/>
            <w:vAlign w:val="bottom"/>
          </w:tcPr>
          <w:p w14:paraId="6FA74AE5" w14:textId="77777777" w:rsidR="0084445A" w:rsidRPr="00741D80" w:rsidRDefault="0084445A" w:rsidP="00AE7CF9">
            <w:pPr>
              <w:pStyle w:val="a0"/>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w:t>
            </w:r>
          </w:p>
        </w:tc>
      </w:tr>
      <w:tr w:rsidR="0084445A" w:rsidRPr="00741D80" w14:paraId="7F2D7D91" w14:textId="77777777" w:rsidTr="00741D80">
        <w:trPr>
          <w:trHeight w:val="170"/>
          <w:jc w:val="center"/>
        </w:trPr>
        <w:tc>
          <w:tcPr>
            <w:tcW w:w="3684" w:type="pct"/>
            <w:tcBorders>
              <w:top w:val="nil"/>
              <w:left w:val="nil"/>
              <w:bottom w:val="nil"/>
              <w:right w:val="nil"/>
            </w:tcBorders>
            <w:shd w:val="clear" w:color="auto" w:fill="auto"/>
            <w:noWrap/>
            <w:vAlign w:val="bottom"/>
          </w:tcPr>
          <w:p w14:paraId="625EE618" w14:textId="77777777" w:rsidR="0084445A" w:rsidRPr="00741D80" w:rsidRDefault="0084445A" w:rsidP="00AE7CF9">
            <w:pPr>
              <w:pStyle w:val="a"/>
              <w:spacing w:line="276" w:lineRule="auto"/>
              <w:rPr>
                <w:rFonts w:asciiTheme="minorHAnsi" w:hAnsiTheme="minorHAnsi" w:cstheme="minorHAnsi"/>
                <w:i/>
                <w:color w:val="auto"/>
                <w:szCs w:val="20"/>
                <w:lang w:val="bg-BG"/>
              </w:rPr>
            </w:pPr>
            <w:r w:rsidRPr="00741D80">
              <w:rPr>
                <w:rFonts w:asciiTheme="minorHAnsi" w:hAnsiTheme="minorHAnsi" w:cstheme="minorHAnsi"/>
                <w:i/>
                <w:color w:val="auto"/>
                <w:szCs w:val="20"/>
                <w:lang w:val="bg-BG"/>
              </w:rPr>
              <w:t>Вземане от банка в несъстоятелност</w:t>
            </w:r>
          </w:p>
        </w:tc>
        <w:tc>
          <w:tcPr>
            <w:tcW w:w="644" w:type="pct"/>
            <w:tcBorders>
              <w:top w:val="single" w:sz="4" w:space="0" w:color="auto"/>
              <w:left w:val="nil"/>
              <w:bottom w:val="nil"/>
              <w:right w:val="nil"/>
            </w:tcBorders>
            <w:shd w:val="clear" w:color="auto" w:fill="auto"/>
            <w:noWrap/>
            <w:vAlign w:val="bottom"/>
          </w:tcPr>
          <w:p w14:paraId="6DAE2352" w14:textId="77777777" w:rsidR="0084445A" w:rsidRPr="00741D80" w:rsidRDefault="0084445A" w:rsidP="00AE7CF9">
            <w:pPr>
              <w:pStyle w:val="a0"/>
              <w:widowControl w:val="0"/>
              <w:spacing w:line="276" w:lineRule="auto"/>
              <w:rPr>
                <w:rFonts w:asciiTheme="minorHAnsi" w:hAnsiTheme="minorHAnsi" w:cstheme="minorHAnsi"/>
                <w:i/>
                <w:color w:val="auto"/>
                <w:szCs w:val="20"/>
                <w:lang w:val="bg-BG"/>
              </w:rPr>
            </w:pPr>
            <w:r w:rsidRPr="00741D80">
              <w:rPr>
                <w:rFonts w:asciiTheme="minorHAnsi" w:hAnsiTheme="minorHAnsi" w:cstheme="minorHAnsi"/>
                <w:i/>
                <w:color w:val="auto"/>
                <w:szCs w:val="20"/>
                <w:lang w:val="bg-BG"/>
              </w:rPr>
              <w:t>265</w:t>
            </w:r>
          </w:p>
        </w:tc>
        <w:tc>
          <w:tcPr>
            <w:tcW w:w="672" w:type="pct"/>
            <w:tcBorders>
              <w:top w:val="single" w:sz="4" w:space="0" w:color="auto"/>
              <w:left w:val="nil"/>
              <w:bottom w:val="nil"/>
              <w:right w:val="nil"/>
            </w:tcBorders>
            <w:shd w:val="clear" w:color="auto" w:fill="auto"/>
            <w:noWrap/>
            <w:vAlign w:val="bottom"/>
          </w:tcPr>
          <w:p w14:paraId="4C8E039D" w14:textId="77777777" w:rsidR="0084445A" w:rsidRPr="00741D80" w:rsidRDefault="0084445A" w:rsidP="00AE7CF9">
            <w:pPr>
              <w:pStyle w:val="a0"/>
              <w:spacing w:line="276" w:lineRule="auto"/>
              <w:rPr>
                <w:rFonts w:asciiTheme="minorHAnsi" w:hAnsiTheme="minorHAnsi" w:cstheme="minorHAnsi"/>
                <w:i/>
                <w:color w:val="auto"/>
                <w:szCs w:val="20"/>
                <w:lang w:val="bg-BG"/>
              </w:rPr>
            </w:pPr>
            <w:r w:rsidRPr="00741D80">
              <w:rPr>
                <w:rFonts w:asciiTheme="minorHAnsi" w:hAnsiTheme="minorHAnsi" w:cstheme="minorHAnsi"/>
                <w:i/>
                <w:color w:val="auto"/>
                <w:szCs w:val="20"/>
                <w:lang w:val="bg-BG"/>
              </w:rPr>
              <w:t>265</w:t>
            </w:r>
          </w:p>
        </w:tc>
      </w:tr>
      <w:tr w:rsidR="0084445A" w:rsidRPr="00741D80" w14:paraId="7FFB1065" w14:textId="77777777" w:rsidTr="00741D80">
        <w:trPr>
          <w:trHeight w:val="170"/>
          <w:jc w:val="center"/>
        </w:trPr>
        <w:tc>
          <w:tcPr>
            <w:tcW w:w="3684" w:type="pct"/>
            <w:tcBorders>
              <w:top w:val="nil"/>
              <w:left w:val="nil"/>
              <w:bottom w:val="nil"/>
              <w:right w:val="nil"/>
            </w:tcBorders>
            <w:shd w:val="clear" w:color="auto" w:fill="auto"/>
            <w:noWrap/>
            <w:vAlign w:val="bottom"/>
          </w:tcPr>
          <w:p w14:paraId="0F371439" w14:textId="77777777" w:rsidR="0084445A" w:rsidRPr="00741D80" w:rsidRDefault="0084445A" w:rsidP="00AE7CF9">
            <w:pPr>
              <w:pStyle w:val="a"/>
              <w:spacing w:line="276" w:lineRule="auto"/>
              <w:rPr>
                <w:rFonts w:asciiTheme="minorHAnsi" w:hAnsiTheme="minorHAnsi" w:cstheme="minorHAnsi"/>
                <w:i/>
                <w:color w:val="auto"/>
                <w:szCs w:val="20"/>
                <w:lang w:val="bg-BG"/>
              </w:rPr>
            </w:pPr>
            <w:r w:rsidRPr="00741D80">
              <w:rPr>
                <w:rFonts w:asciiTheme="minorHAnsi" w:hAnsiTheme="minorHAnsi" w:cstheme="minorHAnsi"/>
                <w:i/>
                <w:color w:val="auto"/>
                <w:szCs w:val="20"/>
                <w:lang w:val="bg-BG"/>
              </w:rPr>
              <w:t>Обезценка на вземане от банка в несъстоятелност (Приложение 2.23)</w:t>
            </w:r>
          </w:p>
        </w:tc>
        <w:tc>
          <w:tcPr>
            <w:tcW w:w="644" w:type="pct"/>
            <w:tcBorders>
              <w:top w:val="nil"/>
              <w:left w:val="nil"/>
              <w:bottom w:val="single" w:sz="4" w:space="0" w:color="auto"/>
              <w:right w:val="nil"/>
            </w:tcBorders>
            <w:shd w:val="clear" w:color="auto" w:fill="auto"/>
            <w:noWrap/>
            <w:vAlign w:val="bottom"/>
          </w:tcPr>
          <w:p w14:paraId="4F0F7B97" w14:textId="77777777" w:rsidR="0084445A" w:rsidRPr="00741D80" w:rsidRDefault="0084445A" w:rsidP="00AE7CF9">
            <w:pPr>
              <w:pStyle w:val="a0"/>
              <w:widowControl w:val="0"/>
              <w:spacing w:line="276" w:lineRule="auto"/>
              <w:rPr>
                <w:rFonts w:asciiTheme="minorHAnsi" w:hAnsiTheme="minorHAnsi" w:cstheme="minorHAnsi"/>
                <w:i/>
                <w:color w:val="auto"/>
                <w:szCs w:val="20"/>
                <w:lang w:val="bg-BG"/>
              </w:rPr>
            </w:pPr>
            <w:r w:rsidRPr="00741D80">
              <w:rPr>
                <w:rFonts w:asciiTheme="minorHAnsi" w:hAnsiTheme="minorHAnsi" w:cstheme="minorHAnsi"/>
                <w:i/>
                <w:color w:val="auto"/>
                <w:szCs w:val="20"/>
                <w:lang w:val="bg-BG"/>
              </w:rPr>
              <w:t>(265)</w:t>
            </w:r>
          </w:p>
        </w:tc>
        <w:tc>
          <w:tcPr>
            <w:tcW w:w="672" w:type="pct"/>
            <w:tcBorders>
              <w:top w:val="nil"/>
              <w:left w:val="nil"/>
              <w:bottom w:val="single" w:sz="4" w:space="0" w:color="auto"/>
              <w:right w:val="nil"/>
            </w:tcBorders>
            <w:shd w:val="clear" w:color="auto" w:fill="auto"/>
            <w:noWrap/>
            <w:vAlign w:val="bottom"/>
          </w:tcPr>
          <w:p w14:paraId="20052221" w14:textId="77777777" w:rsidR="0084445A" w:rsidRPr="00741D80" w:rsidRDefault="0084445A" w:rsidP="00AE7CF9">
            <w:pPr>
              <w:pStyle w:val="a0"/>
              <w:spacing w:line="276" w:lineRule="auto"/>
              <w:rPr>
                <w:rFonts w:asciiTheme="minorHAnsi" w:hAnsiTheme="minorHAnsi" w:cstheme="minorHAnsi"/>
                <w:i/>
                <w:color w:val="auto"/>
                <w:szCs w:val="20"/>
                <w:lang w:val="bg-BG"/>
              </w:rPr>
            </w:pPr>
            <w:r w:rsidRPr="00741D80">
              <w:rPr>
                <w:rFonts w:asciiTheme="minorHAnsi" w:hAnsiTheme="minorHAnsi" w:cstheme="minorHAnsi"/>
                <w:i/>
                <w:color w:val="auto"/>
                <w:szCs w:val="20"/>
                <w:lang w:val="bg-BG"/>
              </w:rPr>
              <w:t>(265)</w:t>
            </w:r>
          </w:p>
        </w:tc>
      </w:tr>
      <w:tr w:rsidR="0084445A" w:rsidRPr="00741D80" w14:paraId="4565E13E" w14:textId="77777777" w:rsidTr="00741D80">
        <w:trPr>
          <w:trHeight w:val="170"/>
          <w:jc w:val="center"/>
        </w:trPr>
        <w:tc>
          <w:tcPr>
            <w:tcW w:w="3684" w:type="pct"/>
            <w:tcBorders>
              <w:top w:val="nil"/>
              <w:left w:val="nil"/>
              <w:bottom w:val="nil"/>
              <w:right w:val="nil"/>
            </w:tcBorders>
            <w:shd w:val="clear" w:color="auto" w:fill="auto"/>
            <w:noWrap/>
            <w:vAlign w:val="bottom"/>
          </w:tcPr>
          <w:p w14:paraId="5DB0ECAC" w14:textId="77777777" w:rsidR="0084445A" w:rsidRPr="00741D80" w:rsidRDefault="0084445A" w:rsidP="00AE7CF9">
            <w:pPr>
              <w:pStyle w:val="a"/>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Вземане от банка в несъстоятелност, нетно</w:t>
            </w:r>
          </w:p>
        </w:tc>
        <w:tc>
          <w:tcPr>
            <w:tcW w:w="644" w:type="pct"/>
            <w:tcBorders>
              <w:top w:val="single" w:sz="4" w:space="0" w:color="auto"/>
              <w:left w:val="nil"/>
              <w:bottom w:val="single" w:sz="4" w:space="0" w:color="auto"/>
              <w:right w:val="nil"/>
            </w:tcBorders>
            <w:shd w:val="clear" w:color="auto" w:fill="auto"/>
            <w:noWrap/>
            <w:vAlign w:val="bottom"/>
          </w:tcPr>
          <w:p w14:paraId="67747798" w14:textId="77777777" w:rsidR="0084445A" w:rsidRPr="00741D80" w:rsidRDefault="0084445A" w:rsidP="00AE7CF9">
            <w:pPr>
              <w:pStyle w:val="a0"/>
              <w:widowControl w:val="0"/>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w:t>
            </w:r>
          </w:p>
        </w:tc>
        <w:tc>
          <w:tcPr>
            <w:tcW w:w="672" w:type="pct"/>
            <w:tcBorders>
              <w:top w:val="single" w:sz="4" w:space="0" w:color="auto"/>
              <w:left w:val="nil"/>
              <w:bottom w:val="single" w:sz="4" w:space="0" w:color="auto"/>
              <w:right w:val="nil"/>
            </w:tcBorders>
            <w:shd w:val="clear" w:color="auto" w:fill="auto"/>
            <w:noWrap/>
            <w:vAlign w:val="bottom"/>
          </w:tcPr>
          <w:p w14:paraId="7A1CFEBF" w14:textId="77777777" w:rsidR="0084445A" w:rsidRPr="00741D80" w:rsidRDefault="0084445A" w:rsidP="00AE7CF9">
            <w:pPr>
              <w:pStyle w:val="a0"/>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w:t>
            </w:r>
          </w:p>
        </w:tc>
      </w:tr>
      <w:tr w:rsidR="0084445A" w:rsidRPr="00741D80" w14:paraId="712004C6" w14:textId="77777777" w:rsidTr="00741D80">
        <w:trPr>
          <w:trHeight w:val="170"/>
          <w:jc w:val="center"/>
        </w:trPr>
        <w:tc>
          <w:tcPr>
            <w:tcW w:w="3684" w:type="pct"/>
            <w:tcBorders>
              <w:top w:val="nil"/>
              <w:left w:val="nil"/>
              <w:bottom w:val="nil"/>
              <w:right w:val="nil"/>
            </w:tcBorders>
            <w:shd w:val="clear" w:color="auto" w:fill="auto"/>
            <w:noWrap/>
            <w:vAlign w:val="bottom"/>
            <w:hideMark/>
          </w:tcPr>
          <w:p w14:paraId="707EEB1A" w14:textId="77777777" w:rsidR="0084445A" w:rsidRPr="00741D80" w:rsidRDefault="0084445A" w:rsidP="00AE7CF9">
            <w:pPr>
              <w:pStyle w:val="a"/>
              <w:widowControl w:val="0"/>
              <w:spacing w:line="276" w:lineRule="auto"/>
              <w:rPr>
                <w:rFonts w:asciiTheme="minorHAnsi" w:hAnsiTheme="minorHAnsi" w:cstheme="minorHAnsi"/>
                <w:i/>
                <w:color w:val="auto"/>
                <w:szCs w:val="20"/>
                <w:lang w:val="bg-BG"/>
              </w:rPr>
            </w:pPr>
            <w:r w:rsidRPr="00741D80">
              <w:rPr>
                <w:rFonts w:asciiTheme="minorHAnsi" w:hAnsiTheme="minorHAnsi" w:cstheme="minorHAnsi"/>
                <w:i/>
                <w:color w:val="auto"/>
                <w:szCs w:val="20"/>
                <w:lang w:val="bg-BG"/>
              </w:rPr>
              <w:t>Вземания по данъци за възстановяване</w:t>
            </w:r>
          </w:p>
        </w:tc>
        <w:tc>
          <w:tcPr>
            <w:tcW w:w="644" w:type="pct"/>
            <w:tcBorders>
              <w:top w:val="nil"/>
              <w:left w:val="nil"/>
              <w:bottom w:val="nil"/>
              <w:right w:val="nil"/>
            </w:tcBorders>
            <w:shd w:val="clear" w:color="auto" w:fill="auto"/>
            <w:noWrap/>
            <w:vAlign w:val="bottom"/>
            <w:hideMark/>
          </w:tcPr>
          <w:p w14:paraId="500E2DA5" w14:textId="77777777" w:rsidR="0084445A" w:rsidRPr="00741D80" w:rsidRDefault="0084445A" w:rsidP="00AE7CF9">
            <w:pPr>
              <w:pStyle w:val="a0"/>
              <w:widowControl w:val="0"/>
              <w:spacing w:line="276" w:lineRule="auto"/>
              <w:rPr>
                <w:rFonts w:asciiTheme="minorHAnsi" w:hAnsiTheme="minorHAnsi" w:cstheme="minorHAnsi"/>
                <w:i/>
                <w:color w:val="auto"/>
                <w:szCs w:val="20"/>
                <w:lang w:val="bg-BG"/>
              </w:rPr>
            </w:pPr>
            <w:r w:rsidRPr="00741D80">
              <w:rPr>
                <w:rFonts w:asciiTheme="minorHAnsi" w:hAnsiTheme="minorHAnsi" w:cstheme="minorHAnsi"/>
                <w:i/>
                <w:color w:val="auto"/>
                <w:szCs w:val="20"/>
                <w:lang w:val="bg-BG"/>
              </w:rPr>
              <w:t>2</w:t>
            </w:r>
          </w:p>
        </w:tc>
        <w:tc>
          <w:tcPr>
            <w:tcW w:w="672" w:type="pct"/>
            <w:tcBorders>
              <w:top w:val="nil"/>
              <w:left w:val="nil"/>
              <w:bottom w:val="nil"/>
              <w:right w:val="nil"/>
            </w:tcBorders>
            <w:shd w:val="clear" w:color="auto" w:fill="auto"/>
            <w:noWrap/>
            <w:vAlign w:val="bottom"/>
            <w:hideMark/>
          </w:tcPr>
          <w:p w14:paraId="4AF9EDAE" w14:textId="77777777" w:rsidR="0084445A" w:rsidRPr="00741D80" w:rsidRDefault="0084445A" w:rsidP="00AE7CF9">
            <w:pPr>
              <w:pStyle w:val="a0"/>
              <w:widowControl w:val="0"/>
              <w:spacing w:line="276" w:lineRule="auto"/>
              <w:rPr>
                <w:rFonts w:asciiTheme="minorHAnsi" w:hAnsiTheme="minorHAnsi" w:cstheme="minorHAnsi"/>
                <w:i/>
                <w:color w:val="auto"/>
                <w:szCs w:val="20"/>
              </w:rPr>
            </w:pPr>
            <w:r w:rsidRPr="00741D80">
              <w:rPr>
                <w:rFonts w:asciiTheme="minorHAnsi" w:hAnsiTheme="minorHAnsi" w:cstheme="minorHAnsi"/>
                <w:i/>
                <w:color w:val="auto"/>
                <w:szCs w:val="20"/>
              </w:rPr>
              <w:t>-</w:t>
            </w:r>
          </w:p>
        </w:tc>
      </w:tr>
      <w:tr w:rsidR="0084445A" w:rsidRPr="00741D80" w14:paraId="5BA376CC" w14:textId="77777777" w:rsidTr="00741D80">
        <w:trPr>
          <w:trHeight w:val="170"/>
          <w:jc w:val="center"/>
        </w:trPr>
        <w:tc>
          <w:tcPr>
            <w:tcW w:w="3684" w:type="pct"/>
            <w:tcBorders>
              <w:top w:val="nil"/>
              <w:left w:val="nil"/>
              <w:bottom w:val="nil"/>
              <w:right w:val="nil"/>
            </w:tcBorders>
            <w:shd w:val="clear" w:color="auto" w:fill="auto"/>
            <w:noWrap/>
            <w:vAlign w:val="bottom"/>
            <w:hideMark/>
          </w:tcPr>
          <w:p w14:paraId="74641497" w14:textId="77777777" w:rsidR="0084445A" w:rsidRPr="00741D80" w:rsidRDefault="0084445A" w:rsidP="00AE7CF9">
            <w:pPr>
              <w:pStyle w:val="a"/>
              <w:spacing w:line="276" w:lineRule="auto"/>
              <w:rPr>
                <w:rFonts w:asciiTheme="minorHAnsi" w:hAnsiTheme="minorHAnsi" w:cstheme="minorHAnsi"/>
                <w:i/>
                <w:color w:val="auto"/>
                <w:szCs w:val="20"/>
                <w:lang w:val="bg-BG"/>
              </w:rPr>
            </w:pPr>
            <w:r w:rsidRPr="00741D80">
              <w:rPr>
                <w:rFonts w:asciiTheme="minorHAnsi" w:hAnsiTheme="minorHAnsi" w:cstheme="minorHAnsi"/>
                <w:i/>
                <w:color w:val="auto"/>
                <w:szCs w:val="20"/>
                <w:lang w:val="bg-BG"/>
              </w:rPr>
              <w:t>Други вземания</w:t>
            </w:r>
          </w:p>
        </w:tc>
        <w:tc>
          <w:tcPr>
            <w:tcW w:w="644" w:type="pct"/>
            <w:tcBorders>
              <w:top w:val="nil"/>
              <w:left w:val="nil"/>
              <w:bottom w:val="nil"/>
              <w:right w:val="nil"/>
            </w:tcBorders>
            <w:shd w:val="clear" w:color="auto" w:fill="auto"/>
            <w:noWrap/>
            <w:vAlign w:val="bottom"/>
            <w:hideMark/>
          </w:tcPr>
          <w:p w14:paraId="3E76DE04" w14:textId="3D664DDB" w:rsidR="0084445A" w:rsidRPr="00741D80" w:rsidRDefault="00721377" w:rsidP="00AE7CF9">
            <w:pPr>
              <w:pStyle w:val="a0"/>
              <w:widowControl w:val="0"/>
              <w:spacing w:line="276" w:lineRule="auto"/>
              <w:rPr>
                <w:rFonts w:asciiTheme="minorHAnsi" w:hAnsiTheme="minorHAnsi" w:cstheme="minorHAnsi"/>
                <w:i/>
                <w:color w:val="auto"/>
                <w:szCs w:val="20"/>
                <w:lang w:val="bg-BG"/>
              </w:rPr>
            </w:pPr>
            <w:r>
              <w:rPr>
                <w:rFonts w:asciiTheme="minorHAnsi" w:hAnsiTheme="minorHAnsi" w:cstheme="minorHAnsi"/>
                <w:i/>
                <w:color w:val="auto"/>
                <w:szCs w:val="20"/>
                <w:lang w:val="bg-BG"/>
              </w:rPr>
              <w:t>2</w:t>
            </w:r>
          </w:p>
        </w:tc>
        <w:tc>
          <w:tcPr>
            <w:tcW w:w="672" w:type="pct"/>
            <w:tcBorders>
              <w:top w:val="nil"/>
              <w:left w:val="nil"/>
              <w:bottom w:val="nil"/>
              <w:right w:val="nil"/>
            </w:tcBorders>
            <w:shd w:val="clear" w:color="auto" w:fill="auto"/>
            <w:noWrap/>
            <w:vAlign w:val="bottom"/>
            <w:hideMark/>
          </w:tcPr>
          <w:p w14:paraId="71300E5A" w14:textId="77777777" w:rsidR="0084445A" w:rsidRPr="00741D80" w:rsidRDefault="0084445A" w:rsidP="00AE7CF9">
            <w:pPr>
              <w:pStyle w:val="a0"/>
              <w:widowControl w:val="0"/>
              <w:spacing w:line="276" w:lineRule="auto"/>
              <w:rPr>
                <w:rFonts w:asciiTheme="minorHAnsi" w:hAnsiTheme="minorHAnsi" w:cstheme="minorHAnsi"/>
                <w:i/>
                <w:color w:val="auto"/>
                <w:szCs w:val="20"/>
              </w:rPr>
            </w:pPr>
            <w:r w:rsidRPr="00741D80">
              <w:rPr>
                <w:rFonts w:asciiTheme="minorHAnsi" w:hAnsiTheme="minorHAnsi" w:cstheme="minorHAnsi"/>
                <w:i/>
                <w:color w:val="auto"/>
                <w:szCs w:val="20"/>
              </w:rPr>
              <w:t>10</w:t>
            </w:r>
          </w:p>
        </w:tc>
      </w:tr>
      <w:tr w:rsidR="0084445A" w:rsidRPr="00741D80" w14:paraId="6B1E4B18" w14:textId="77777777" w:rsidTr="00741D80">
        <w:trPr>
          <w:trHeight w:val="170"/>
          <w:jc w:val="center"/>
        </w:trPr>
        <w:tc>
          <w:tcPr>
            <w:tcW w:w="3684" w:type="pct"/>
            <w:tcBorders>
              <w:top w:val="nil"/>
              <w:left w:val="nil"/>
              <w:bottom w:val="nil"/>
              <w:right w:val="nil"/>
            </w:tcBorders>
            <w:shd w:val="clear" w:color="auto" w:fill="auto"/>
            <w:vAlign w:val="bottom"/>
            <w:hideMark/>
          </w:tcPr>
          <w:p w14:paraId="291163BA" w14:textId="77777777" w:rsidR="0084445A" w:rsidRPr="00741D80" w:rsidRDefault="0084445A" w:rsidP="00AE7CF9">
            <w:pPr>
              <w:pStyle w:val="a"/>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Други вземания, нетно</w:t>
            </w:r>
          </w:p>
        </w:tc>
        <w:tc>
          <w:tcPr>
            <w:tcW w:w="644" w:type="pct"/>
            <w:tcBorders>
              <w:top w:val="single" w:sz="4" w:space="0" w:color="auto"/>
              <w:left w:val="nil"/>
              <w:bottom w:val="single" w:sz="4" w:space="0" w:color="auto"/>
              <w:right w:val="nil"/>
            </w:tcBorders>
            <w:shd w:val="clear" w:color="auto" w:fill="auto"/>
            <w:vAlign w:val="bottom"/>
            <w:hideMark/>
          </w:tcPr>
          <w:p w14:paraId="1B2B9477" w14:textId="723DA358" w:rsidR="0084445A" w:rsidRPr="00741D80" w:rsidRDefault="00721377" w:rsidP="00AE7CF9">
            <w:pPr>
              <w:pStyle w:val="a0"/>
              <w:widowControl w:val="0"/>
              <w:spacing w:line="276" w:lineRule="auto"/>
              <w:rPr>
                <w:rFonts w:asciiTheme="minorHAnsi" w:hAnsiTheme="minorHAnsi" w:cstheme="minorHAnsi"/>
                <w:b/>
                <w:color w:val="auto"/>
                <w:szCs w:val="20"/>
                <w:lang w:val="bg-BG"/>
              </w:rPr>
            </w:pPr>
            <w:r>
              <w:rPr>
                <w:rFonts w:asciiTheme="minorHAnsi" w:hAnsiTheme="minorHAnsi" w:cstheme="minorHAnsi"/>
                <w:b/>
                <w:color w:val="auto"/>
                <w:szCs w:val="20"/>
                <w:lang w:val="bg-BG"/>
              </w:rPr>
              <w:t>4</w:t>
            </w:r>
          </w:p>
        </w:tc>
        <w:tc>
          <w:tcPr>
            <w:tcW w:w="672" w:type="pct"/>
            <w:tcBorders>
              <w:top w:val="single" w:sz="4" w:space="0" w:color="auto"/>
              <w:left w:val="nil"/>
              <w:bottom w:val="single" w:sz="4" w:space="0" w:color="auto"/>
              <w:right w:val="nil"/>
            </w:tcBorders>
            <w:shd w:val="clear" w:color="auto" w:fill="auto"/>
            <w:vAlign w:val="bottom"/>
            <w:hideMark/>
          </w:tcPr>
          <w:p w14:paraId="71EB4E0D" w14:textId="77777777" w:rsidR="0084445A" w:rsidRPr="00741D80" w:rsidRDefault="0084445A" w:rsidP="00AE7CF9">
            <w:pPr>
              <w:pStyle w:val="a0"/>
              <w:widowControl w:val="0"/>
              <w:spacing w:line="276" w:lineRule="auto"/>
              <w:rPr>
                <w:rFonts w:asciiTheme="minorHAnsi" w:hAnsiTheme="minorHAnsi" w:cstheme="minorHAnsi"/>
                <w:b/>
                <w:color w:val="auto"/>
                <w:szCs w:val="20"/>
              </w:rPr>
            </w:pPr>
            <w:r w:rsidRPr="00741D80">
              <w:rPr>
                <w:rFonts w:asciiTheme="minorHAnsi" w:hAnsiTheme="minorHAnsi" w:cstheme="minorHAnsi"/>
                <w:b/>
                <w:color w:val="auto"/>
                <w:szCs w:val="20"/>
              </w:rPr>
              <w:t>10</w:t>
            </w:r>
          </w:p>
        </w:tc>
      </w:tr>
      <w:tr w:rsidR="0084445A" w:rsidRPr="00741D80" w14:paraId="3E0402C7" w14:textId="77777777" w:rsidTr="00741D80">
        <w:trPr>
          <w:trHeight w:val="170"/>
          <w:jc w:val="center"/>
        </w:trPr>
        <w:tc>
          <w:tcPr>
            <w:tcW w:w="3684" w:type="pct"/>
            <w:tcBorders>
              <w:top w:val="nil"/>
              <w:left w:val="nil"/>
              <w:bottom w:val="nil"/>
              <w:right w:val="nil"/>
            </w:tcBorders>
            <w:shd w:val="clear" w:color="auto" w:fill="auto"/>
            <w:vAlign w:val="bottom"/>
          </w:tcPr>
          <w:p w14:paraId="0433DA06" w14:textId="77777777" w:rsidR="0084445A" w:rsidRPr="00741D80" w:rsidRDefault="0084445A" w:rsidP="00AE7CF9">
            <w:pPr>
              <w:pStyle w:val="a"/>
              <w:spacing w:line="276" w:lineRule="auto"/>
              <w:rPr>
                <w:rFonts w:asciiTheme="minorHAnsi" w:hAnsiTheme="minorHAnsi" w:cstheme="minorHAnsi"/>
                <w:b/>
                <w:color w:val="auto"/>
                <w:szCs w:val="20"/>
                <w:lang w:val="bg-BG"/>
              </w:rPr>
            </w:pPr>
          </w:p>
        </w:tc>
        <w:tc>
          <w:tcPr>
            <w:tcW w:w="644" w:type="pct"/>
            <w:tcBorders>
              <w:top w:val="nil"/>
              <w:left w:val="nil"/>
              <w:bottom w:val="nil"/>
              <w:right w:val="nil"/>
            </w:tcBorders>
            <w:shd w:val="clear" w:color="auto" w:fill="auto"/>
          </w:tcPr>
          <w:p w14:paraId="543FC6DC" w14:textId="77777777" w:rsidR="0084445A" w:rsidRPr="00741D80" w:rsidRDefault="0084445A" w:rsidP="00AE7CF9">
            <w:pPr>
              <w:pStyle w:val="a0"/>
              <w:widowControl w:val="0"/>
              <w:spacing w:line="276" w:lineRule="auto"/>
              <w:jc w:val="both"/>
              <w:rPr>
                <w:rFonts w:asciiTheme="minorHAnsi" w:hAnsiTheme="minorHAnsi" w:cstheme="minorHAnsi"/>
                <w:b/>
                <w:color w:val="auto"/>
                <w:szCs w:val="20"/>
                <w:lang w:val="bg-BG"/>
              </w:rPr>
            </w:pPr>
          </w:p>
        </w:tc>
        <w:tc>
          <w:tcPr>
            <w:tcW w:w="672" w:type="pct"/>
            <w:tcBorders>
              <w:top w:val="nil"/>
              <w:left w:val="nil"/>
              <w:bottom w:val="nil"/>
              <w:right w:val="nil"/>
            </w:tcBorders>
            <w:shd w:val="clear" w:color="auto" w:fill="auto"/>
          </w:tcPr>
          <w:p w14:paraId="2DBCC5FB" w14:textId="77777777" w:rsidR="0084445A" w:rsidRPr="00741D80" w:rsidRDefault="0084445A" w:rsidP="00AE7CF9">
            <w:pPr>
              <w:pStyle w:val="a0"/>
              <w:spacing w:line="276" w:lineRule="auto"/>
              <w:rPr>
                <w:rFonts w:asciiTheme="minorHAnsi" w:hAnsiTheme="minorHAnsi" w:cstheme="minorHAnsi"/>
                <w:b/>
                <w:color w:val="auto"/>
                <w:szCs w:val="20"/>
                <w:lang w:val="bg-BG"/>
              </w:rPr>
            </w:pPr>
          </w:p>
        </w:tc>
      </w:tr>
      <w:tr w:rsidR="0084445A" w:rsidRPr="00741D80" w14:paraId="249E61EB" w14:textId="77777777" w:rsidTr="00741D80">
        <w:trPr>
          <w:trHeight w:val="170"/>
          <w:jc w:val="center"/>
        </w:trPr>
        <w:tc>
          <w:tcPr>
            <w:tcW w:w="3684" w:type="pct"/>
            <w:tcBorders>
              <w:top w:val="nil"/>
              <w:left w:val="nil"/>
              <w:bottom w:val="nil"/>
              <w:right w:val="nil"/>
            </w:tcBorders>
            <w:shd w:val="clear" w:color="auto" w:fill="auto"/>
            <w:vAlign w:val="bottom"/>
          </w:tcPr>
          <w:p w14:paraId="3AEB68E8" w14:textId="77777777" w:rsidR="0084445A" w:rsidRPr="00741D80" w:rsidRDefault="0084445A" w:rsidP="00AE7CF9">
            <w:pPr>
              <w:pStyle w:val="a"/>
              <w:spacing w:line="276" w:lineRule="auto"/>
              <w:rPr>
                <w:rFonts w:asciiTheme="minorHAnsi" w:hAnsiTheme="minorHAnsi" w:cstheme="minorHAnsi"/>
                <w:b/>
                <w:color w:val="auto"/>
                <w:szCs w:val="20"/>
                <w:lang w:val="bg-BG"/>
              </w:rPr>
            </w:pPr>
          </w:p>
        </w:tc>
        <w:tc>
          <w:tcPr>
            <w:tcW w:w="644" w:type="pct"/>
            <w:tcBorders>
              <w:top w:val="nil"/>
              <w:left w:val="nil"/>
              <w:bottom w:val="nil"/>
              <w:right w:val="nil"/>
            </w:tcBorders>
            <w:shd w:val="clear" w:color="auto" w:fill="auto"/>
          </w:tcPr>
          <w:p w14:paraId="7424533C" w14:textId="77777777" w:rsidR="0084445A" w:rsidRPr="00741D80" w:rsidRDefault="0084445A" w:rsidP="00AE7CF9">
            <w:pPr>
              <w:pStyle w:val="a0"/>
              <w:widowControl w:val="0"/>
              <w:spacing w:line="276" w:lineRule="auto"/>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31.12.</w:t>
            </w:r>
            <w:r w:rsidRPr="00741D80">
              <w:rPr>
                <w:rFonts w:asciiTheme="minorHAnsi" w:hAnsiTheme="minorHAnsi" w:cstheme="minorHAnsi"/>
                <w:b/>
                <w:color w:val="auto"/>
                <w:szCs w:val="20"/>
              </w:rPr>
              <w:t>201</w:t>
            </w:r>
            <w:r w:rsidRPr="00741D80">
              <w:rPr>
                <w:rFonts w:asciiTheme="minorHAnsi" w:hAnsiTheme="minorHAnsi" w:cstheme="minorHAnsi"/>
                <w:b/>
                <w:color w:val="auto"/>
                <w:szCs w:val="20"/>
                <w:lang w:val="bg-BG"/>
              </w:rPr>
              <w:t>8</w:t>
            </w:r>
          </w:p>
        </w:tc>
        <w:tc>
          <w:tcPr>
            <w:tcW w:w="672" w:type="pct"/>
            <w:tcBorders>
              <w:top w:val="nil"/>
              <w:left w:val="nil"/>
              <w:bottom w:val="nil"/>
              <w:right w:val="nil"/>
            </w:tcBorders>
            <w:shd w:val="clear" w:color="auto" w:fill="auto"/>
          </w:tcPr>
          <w:p w14:paraId="309A2586" w14:textId="77777777" w:rsidR="0084445A" w:rsidRPr="00741D80" w:rsidRDefault="0084445A" w:rsidP="00AE7CF9">
            <w:pPr>
              <w:pStyle w:val="a0"/>
              <w:spacing w:line="276" w:lineRule="auto"/>
              <w:jc w:val="center"/>
              <w:rPr>
                <w:rFonts w:asciiTheme="minorHAnsi" w:hAnsiTheme="minorHAnsi" w:cstheme="minorHAnsi"/>
                <w:b/>
                <w:color w:val="auto"/>
                <w:szCs w:val="20"/>
              </w:rPr>
            </w:pPr>
            <w:r w:rsidRPr="00741D80">
              <w:rPr>
                <w:rFonts w:asciiTheme="minorHAnsi" w:hAnsiTheme="minorHAnsi" w:cstheme="minorHAnsi"/>
                <w:b/>
                <w:color w:val="auto"/>
                <w:szCs w:val="20"/>
                <w:lang w:val="bg-BG"/>
              </w:rPr>
              <w:t>31.12.</w:t>
            </w:r>
            <w:r w:rsidRPr="00741D80">
              <w:rPr>
                <w:rFonts w:asciiTheme="minorHAnsi" w:hAnsiTheme="minorHAnsi" w:cstheme="minorHAnsi"/>
                <w:b/>
                <w:color w:val="auto"/>
                <w:szCs w:val="20"/>
              </w:rPr>
              <w:t>2017</w:t>
            </w:r>
          </w:p>
        </w:tc>
      </w:tr>
      <w:tr w:rsidR="0084445A" w:rsidRPr="00741D80" w14:paraId="3D4C98F5" w14:textId="77777777" w:rsidTr="00741D80">
        <w:trPr>
          <w:trHeight w:val="170"/>
          <w:jc w:val="center"/>
        </w:trPr>
        <w:tc>
          <w:tcPr>
            <w:tcW w:w="3684" w:type="pct"/>
            <w:tcBorders>
              <w:top w:val="nil"/>
              <w:left w:val="nil"/>
              <w:bottom w:val="nil"/>
              <w:right w:val="nil"/>
            </w:tcBorders>
            <w:shd w:val="clear" w:color="auto" w:fill="auto"/>
            <w:vAlign w:val="bottom"/>
          </w:tcPr>
          <w:p w14:paraId="6B1F3ED9" w14:textId="77777777" w:rsidR="0084445A" w:rsidRPr="00741D80" w:rsidRDefault="0084445A" w:rsidP="00AE7CF9">
            <w:pPr>
              <w:pStyle w:val="a"/>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Предплатени разходи</w:t>
            </w:r>
          </w:p>
        </w:tc>
        <w:tc>
          <w:tcPr>
            <w:tcW w:w="644" w:type="pct"/>
            <w:tcBorders>
              <w:top w:val="nil"/>
              <w:left w:val="nil"/>
              <w:bottom w:val="nil"/>
              <w:right w:val="nil"/>
            </w:tcBorders>
            <w:shd w:val="clear" w:color="auto" w:fill="auto"/>
          </w:tcPr>
          <w:p w14:paraId="28BAF9CD" w14:textId="77777777" w:rsidR="0084445A" w:rsidRPr="00741D80" w:rsidRDefault="0084445A" w:rsidP="00AE7CF9">
            <w:pPr>
              <w:pStyle w:val="a0"/>
              <w:widowControl w:val="0"/>
              <w:spacing w:line="276" w:lineRule="auto"/>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BGN'000</w:t>
            </w:r>
          </w:p>
        </w:tc>
        <w:tc>
          <w:tcPr>
            <w:tcW w:w="672" w:type="pct"/>
            <w:tcBorders>
              <w:top w:val="nil"/>
              <w:left w:val="nil"/>
              <w:bottom w:val="nil"/>
              <w:right w:val="nil"/>
            </w:tcBorders>
            <w:shd w:val="clear" w:color="auto" w:fill="auto"/>
          </w:tcPr>
          <w:p w14:paraId="280E07C3" w14:textId="77777777" w:rsidR="0084445A" w:rsidRPr="00741D80" w:rsidRDefault="0084445A" w:rsidP="00AE7CF9">
            <w:pPr>
              <w:pStyle w:val="a0"/>
              <w:spacing w:line="276" w:lineRule="auto"/>
              <w:jc w:val="center"/>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BGN'000</w:t>
            </w:r>
          </w:p>
        </w:tc>
      </w:tr>
      <w:tr w:rsidR="0084445A" w:rsidRPr="00741D80" w14:paraId="3A7D0B95" w14:textId="77777777" w:rsidTr="00741D80">
        <w:trPr>
          <w:trHeight w:val="170"/>
          <w:jc w:val="center"/>
        </w:trPr>
        <w:tc>
          <w:tcPr>
            <w:tcW w:w="3684" w:type="pct"/>
            <w:tcBorders>
              <w:top w:val="nil"/>
              <w:left w:val="nil"/>
              <w:bottom w:val="nil"/>
              <w:right w:val="nil"/>
            </w:tcBorders>
            <w:shd w:val="clear" w:color="auto" w:fill="auto"/>
            <w:vAlign w:val="bottom"/>
            <w:hideMark/>
          </w:tcPr>
          <w:p w14:paraId="3E94D608"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 Абонамент </w:t>
            </w:r>
          </w:p>
        </w:tc>
        <w:tc>
          <w:tcPr>
            <w:tcW w:w="644" w:type="pct"/>
            <w:tcBorders>
              <w:top w:val="nil"/>
              <w:left w:val="nil"/>
              <w:bottom w:val="nil"/>
              <w:right w:val="nil"/>
            </w:tcBorders>
            <w:shd w:val="clear" w:color="auto" w:fill="auto"/>
            <w:vAlign w:val="bottom"/>
            <w:hideMark/>
          </w:tcPr>
          <w:p w14:paraId="6EE3C160"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8</w:t>
            </w:r>
          </w:p>
        </w:tc>
        <w:tc>
          <w:tcPr>
            <w:tcW w:w="672" w:type="pct"/>
            <w:tcBorders>
              <w:top w:val="nil"/>
              <w:left w:val="nil"/>
              <w:bottom w:val="nil"/>
              <w:right w:val="nil"/>
            </w:tcBorders>
            <w:shd w:val="clear" w:color="auto" w:fill="auto"/>
            <w:vAlign w:val="bottom"/>
            <w:hideMark/>
          </w:tcPr>
          <w:p w14:paraId="327E833A"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8</w:t>
            </w:r>
          </w:p>
        </w:tc>
      </w:tr>
      <w:tr w:rsidR="0084445A" w:rsidRPr="00741D80" w14:paraId="0B8708F7" w14:textId="77777777" w:rsidTr="00741D80">
        <w:trPr>
          <w:trHeight w:val="170"/>
          <w:jc w:val="center"/>
        </w:trPr>
        <w:tc>
          <w:tcPr>
            <w:tcW w:w="3684" w:type="pct"/>
            <w:tcBorders>
              <w:top w:val="nil"/>
              <w:left w:val="nil"/>
              <w:bottom w:val="nil"/>
              <w:right w:val="nil"/>
            </w:tcBorders>
            <w:shd w:val="clear" w:color="auto" w:fill="auto"/>
            <w:vAlign w:val="bottom"/>
            <w:hideMark/>
          </w:tcPr>
          <w:p w14:paraId="6A321FDA"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 Застраховки</w:t>
            </w:r>
          </w:p>
        </w:tc>
        <w:tc>
          <w:tcPr>
            <w:tcW w:w="644" w:type="pct"/>
            <w:tcBorders>
              <w:top w:val="nil"/>
              <w:left w:val="nil"/>
              <w:bottom w:val="nil"/>
              <w:right w:val="nil"/>
            </w:tcBorders>
            <w:shd w:val="clear" w:color="auto" w:fill="auto"/>
            <w:vAlign w:val="bottom"/>
            <w:hideMark/>
          </w:tcPr>
          <w:p w14:paraId="1FFCEE66"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5</w:t>
            </w:r>
          </w:p>
        </w:tc>
        <w:tc>
          <w:tcPr>
            <w:tcW w:w="672" w:type="pct"/>
            <w:tcBorders>
              <w:top w:val="nil"/>
              <w:left w:val="nil"/>
              <w:bottom w:val="nil"/>
              <w:right w:val="nil"/>
            </w:tcBorders>
            <w:shd w:val="clear" w:color="auto" w:fill="auto"/>
            <w:vAlign w:val="bottom"/>
            <w:hideMark/>
          </w:tcPr>
          <w:p w14:paraId="455290BA" w14:textId="77777777" w:rsidR="0084445A" w:rsidRPr="00741D80" w:rsidRDefault="0084445A" w:rsidP="00AE7CF9">
            <w:pPr>
              <w:pStyle w:val="a0"/>
              <w:widowControl w:val="0"/>
              <w:spacing w:line="276" w:lineRule="auto"/>
              <w:rPr>
                <w:rFonts w:asciiTheme="minorHAnsi" w:hAnsiTheme="minorHAnsi" w:cstheme="minorHAnsi"/>
                <w:color w:val="auto"/>
                <w:szCs w:val="20"/>
              </w:rPr>
            </w:pPr>
            <w:r w:rsidRPr="00741D80">
              <w:rPr>
                <w:rFonts w:asciiTheme="minorHAnsi" w:hAnsiTheme="minorHAnsi" w:cstheme="minorHAnsi"/>
                <w:color w:val="auto"/>
                <w:szCs w:val="20"/>
              </w:rPr>
              <w:t>5</w:t>
            </w:r>
          </w:p>
        </w:tc>
      </w:tr>
      <w:tr w:rsidR="0084445A" w:rsidRPr="00741D80" w14:paraId="70373034" w14:textId="77777777" w:rsidTr="00741D80">
        <w:trPr>
          <w:trHeight w:val="170"/>
          <w:jc w:val="center"/>
        </w:trPr>
        <w:tc>
          <w:tcPr>
            <w:tcW w:w="3684" w:type="pct"/>
            <w:tcBorders>
              <w:top w:val="nil"/>
              <w:left w:val="nil"/>
              <w:bottom w:val="nil"/>
              <w:right w:val="nil"/>
            </w:tcBorders>
            <w:shd w:val="clear" w:color="auto" w:fill="auto"/>
            <w:vAlign w:val="bottom"/>
            <w:hideMark/>
          </w:tcPr>
          <w:p w14:paraId="566F9397"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 Допълнително здравно застраховане</w:t>
            </w:r>
          </w:p>
        </w:tc>
        <w:tc>
          <w:tcPr>
            <w:tcW w:w="644" w:type="pct"/>
            <w:tcBorders>
              <w:top w:val="nil"/>
              <w:left w:val="nil"/>
              <w:bottom w:val="nil"/>
              <w:right w:val="nil"/>
            </w:tcBorders>
            <w:shd w:val="clear" w:color="auto" w:fill="auto"/>
            <w:vAlign w:val="bottom"/>
            <w:hideMark/>
          </w:tcPr>
          <w:p w14:paraId="117DF9F9"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2</w:t>
            </w:r>
            <w:r w:rsidRPr="00741D80">
              <w:rPr>
                <w:rFonts w:asciiTheme="minorHAnsi" w:hAnsiTheme="minorHAnsi" w:cstheme="minorHAnsi"/>
                <w:color w:val="auto"/>
                <w:szCs w:val="20"/>
              </w:rPr>
              <w:t xml:space="preserve"> </w:t>
            </w:r>
          </w:p>
        </w:tc>
        <w:tc>
          <w:tcPr>
            <w:tcW w:w="672" w:type="pct"/>
            <w:tcBorders>
              <w:top w:val="nil"/>
              <w:left w:val="nil"/>
              <w:bottom w:val="nil"/>
              <w:right w:val="nil"/>
            </w:tcBorders>
            <w:shd w:val="clear" w:color="auto" w:fill="auto"/>
            <w:vAlign w:val="bottom"/>
            <w:hideMark/>
          </w:tcPr>
          <w:p w14:paraId="28EB9170" w14:textId="77777777" w:rsidR="0084445A" w:rsidRPr="00741D80" w:rsidRDefault="0084445A" w:rsidP="00AE7CF9">
            <w:pPr>
              <w:pStyle w:val="a0"/>
              <w:widowControl w:val="0"/>
              <w:spacing w:line="276" w:lineRule="auto"/>
              <w:rPr>
                <w:rFonts w:asciiTheme="minorHAnsi" w:hAnsiTheme="minorHAnsi" w:cstheme="minorHAnsi"/>
                <w:color w:val="auto"/>
                <w:szCs w:val="20"/>
              </w:rPr>
            </w:pPr>
            <w:r w:rsidRPr="00741D80">
              <w:rPr>
                <w:rFonts w:asciiTheme="minorHAnsi" w:hAnsiTheme="minorHAnsi" w:cstheme="minorHAnsi"/>
                <w:color w:val="auto"/>
                <w:szCs w:val="20"/>
              </w:rPr>
              <w:t>2</w:t>
            </w:r>
          </w:p>
        </w:tc>
      </w:tr>
      <w:tr w:rsidR="0084445A" w:rsidRPr="00741D80" w14:paraId="083BE4AD" w14:textId="77777777" w:rsidTr="00741D80">
        <w:trPr>
          <w:trHeight w:val="170"/>
          <w:jc w:val="center"/>
        </w:trPr>
        <w:tc>
          <w:tcPr>
            <w:tcW w:w="3684" w:type="pct"/>
            <w:tcBorders>
              <w:top w:val="nil"/>
              <w:left w:val="nil"/>
              <w:bottom w:val="nil"/>
              <w:right w:val="nil"/>
            </w:tcBorders>
            <w:shd w:val="clear" w:color="auto" w:fill="auto"/>
            <w:vAlign w:val="bottom"/>
            <w:hideMark/>
          </w:tcPr>
          <w:p w14:paraId="104135C7" w14:textId="77777777" w:rsidR="0084445A" w:rsidRPr="00741D80" w:rsidRDefault="0084445A" w:rsidP="00AE7CF9">
            <w:pPr>
              <w:pStyle w:val="a"/>
              <w:widowControl w:val="0"/>
              <w:spacing w:line="276" w:lineRule="auto"/>
              <w:rPr>
                <w:rFonts w:asciiTheme="minorHAnsi" w:hAnsiTheme="minorHAnsi" w:cstheme="minorHAnsi"/>
                <w:color w:val="auto"/>
                <w:szCs w:val="20"/>
              </w:rPr>
            </w:pPr>
            <w:r w:rsidRPr="00741D80">
              <w:rPr>
                <w:rFonts w:asciiTheme="minorHAnsi" w:hAnsiTheme="minorHAnsi" w:cstheme="minorHAnsi"/>
                <w:color w:val="auto"/>
                <w:szCs w:val="20"/>
                <w:lang w:val="bg-BG"/>
              </w:rPr>
              <w:t xml:space="preserve"> Аванси за услуги </w:t>
            </w:r>
          </w:p>
        </w:tc>
        <w:tc>
          <w:tcPr>
            <w:tcW w:w="644" w:type="pct"/>
            <w:tcBorders>
              <w:top w:val="nil"/>
              <w:left w:val="nil"/>
              <w:bottom w:val="nil"/>
              <w:right w:val="nil"/>
            </w:tcBorders>
            <w:shd w:val="clear" w:color="auto" w:fill="auto"/>
            <w:vAlign w:val="bottom"/>
            <w:hideMark/>
          </w:tcPr>
          <w:p w14:paraId="30B8C293"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22</w:t>
            </w:r>
          </w:p>
        </w:tc>
        <w:tc>
          <w:tcPr>
            <w:tcW w:w="672" w:type="pct"/>
            <w:tcBorders>
              <w:top w:val="nil"/>
              <w:left w:val="nil"/>
              <w:bottom w:val="nil"/>
              <w:right w:val="nil"/>
            </w:tcBorders>
            <w:shd w:val="clear" w:color="auto" w:fill="auto"/>
            <w:vAlign w:val="bottom"/>
            <w:hideMark/>
          </w:tcPr>
          <w:p w14:paraId="3B0D4C7B" w14:textId="77777777" w:rsidR="0084445A" w:rsidRPr="00741D80" w:rsidRDefault="0084445A" w:rsidP="00AE7CF9">
            <w:pPr>
              <w:pStyle w:val="a0"/>
              <w:widowControl w:val="0"/>
              <w:spacing w:line="276" w:lineRule="auto"/>
              <w:rPr>
                <w:rFonts w:asciiTheme="minorHAnsi" w:hAnsiTheme="minorHAnsi" w:cstheme="minorHAnsi"/>
                <w:color w:val="auto"/>
                <w:szCs w:val="20"/>
              </w:rPr>
            </w:pPr>
            <w:r w:rsidRPr="00741D80">
              <w:rPr>
                <w:rFonts w:asciiTheme="minorHAnsi" w:hAnsiTheme="minorHAnsi" w:cstheme="minorHAnsi"/>
                <w:color w:val="auto"/>
                <w:szCs w:val="20"/>
              </w:rPr>
              <w:t>21</w:t>
            </w:r>
          </w:p>
        </w:tc>
      </w:tr>
      <w:tr w:rsidR="0084445A" w:rsidRPr="00741D80" w14:paraId="633058C7" w14:textId="77777777" w:rsidTr="00741D80">
        <w:trPr>
          <w:trHeight w:val="170"/>
          <w:jc w:val="center"/>
        </w:trPr>
        <w:tc>
          <w:tcPr>
            <w:tcW w:w="3684" w:type="pct"/>
            <w:tcBorders>
              <w:top w:val="nil"/>
              <w:left w:val="nil"/>
              <w:bottom w:val="nil"/>
              <w:right w:val="nil"/>
            </w:tcBorders>
            <w:shd w:val="clear" w:color="auto" w:fill="auto"/>
            <w:vAlign w:val="bottom"/>
            <w:hideMark/>
          </w:tcPr>
          <w:p w14:paraId="7CC07A17" w14:textId="77777777" w:rsidR="0084445A" w:rsidRPr="00741D80" w:rsidRDefault="0084445A" w:rsidP="00AE7CF9">
            <w:pPr>
              <w:pStyle w:val="a"/>
              <w:spacing w:line="276" w:lineRule="auto"/>
              <w:rPr>
                <w:rFonts w:asciiTheme="minorHAnsi" w:hAnsiTheme="minorHAnsi" w:cstheme="minorHAnsi"/>
                <w:color w:val="auto"/>
                <w:szCs w:val="20"/>
                <w:lang w:val="bg-BG"/>
              </w:rPr>
            </w:pPr>
          </w:p>
        </w:tc>
        <w:tc>
          <w:tcPr>
            <w:tcW w:w="644" w:type="pct"/>
            <w:tcBorders>
              <w:top w:val="single" w:sz="4" w:space="0" w:color="auto"/>
              <w:left w:val="nil"/>
              <w:bottom w:val="single" w:sz="4" w:space="0" w:color="auto"/>
              <w:right w:val="nil"/>
            </w:tcBorders>
            <w:shd w:val="clear" w:color="auto" w:fill="auto"/>
            <w:vAlign w:val="bottom"/>
            <w:hideMark/>
          </w:tcPr>
          <w:p w14:paraId="7F18BBDD"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b/>
                <w:bCs/>
                <w:color w:val="auto"/>
                <w:szCs w:val="20"/>
                <w:lang w:val="bg-BG"/>
              </w:rPr>
              <w:t>37</w:t>
            </w:r>
          </w:p>
        </w:tc>
        <w:tc>
          <w:tcPr>
            <w:tcW w:w="672" w:type="pct"/>
            <w:tcBorders>
              <w:top w:val="single" w:sz="4" w:space="0" w:color="auto"/>
              <w:left w:val="nil"/>
              <w:bottom w:val="single" w:sz="4" w:space="0" w:color="auto"/>
              <w:right w:val="nil"/>
            </w:tcBorders>
            <w:shd w:val="clear" w:color="auto" w:fill="auto"/>
            <w:vAlign w:val="bottom"/>
            <w:hideMark/>
          </w:tcPr>
          <w:p w14:paraId="72EC02B2" w14:textId="77777777" w:rsidR="0084445A" w:rsidRPr="00741D80" w:rsidRDefault="0084445A" w:rsidP="00AE7CF9">
            <w:pPr>
              <w:pStyle w:val="a0"/>
              <w:widowControl w:val="0"/>
              <w:spacing w:line="276" w:lineRule="auto"/>
              <w:rPr>
                <w:rFonts w:asciiTheme="minorHAnsi" w:hAnsiTheme="minorHAnsi" w:cstheme="minorHAnsi"/>
                <w:b/>
                <w:color w:val="auto"/>
                <w:szCs w:val="20"/>
              </w:rPr>
            </w:pPr>
            <w:r w:rsidRPr="00741D80">
              <w:rPr>
                <w:rFonts w:asciiTheme="minorHAnsi" w:hAnsiTheme="minorHAnsi" w:cstheme="minorHAnsi"/>
                <w:b/>
                <w:color w:val="auto"/>
                <w:szCs w:val="20"/>
              </w:rPr>
              <w:t>36</w:t>
            </w:r>
          </w:p>
        </w:tc>
      </w:tr>
      <w:tr w:rsidR="0084445A" w:rsidRPr="00741D80" w14:paraId="5429C2C5" w14:textId="77777777" w:rsidTr="00741D80">
        <w:trPr>
          <w:trHeight w:val="170"/>
          <w:jc w:val="center"/>
        </w:trPr>
        <w:tc>
          <w:tcPr>
            <w:tcW w:w="3684" w:type="pct"/>
            <w:tcBorders>
              <w:top w:val="nil"/>
              <w:left w:val="nil"/>
              <w:bottom w:val="nil"/>
              <w:right w:val="nil"/>
            </w:tcBorders>
            <w:shd w:val="clear" w:color="auto" w:fill="auto"/>
            <w:vAlign w:val="bottom"/>
            <w:hideMark/>
          </w:tcPr>
          <w:p w14:paraId="50CABCB5" w14:textId="77777777" w:rsidR="0084445A" w:rsidRPr="00741D80" w:rsidRDefault="0084445A" w:rsidP="00AE7CF9">
            <w:pPr>
              <w:pStyle w:val="a"/>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644" w:type="pct"/>
            <w:tcBorders>
              <w:top w:val="nil"/>
              <w:left w:val="nil"/>
              <w:bottom w:val="double" w:sz="6" w:space="0" w:color="auto"/>
              <w:right w:val="nil"/>
            </w:tcBorders>
            <w:shd w:val="clear" w:color="auto" w:fill="auto"/>
            <w:vAlign w:val="bottom"/>
            <w:hideMark/>
          </w:tcPr>
          <w:p w14:paraId="0CB6539C" w14:textId="2EC8E1DF" w:rsidR="0084445A" w:rsidRPr="00741D80" w:rsidRDefault="00721377" w:rsidP="00AE7CF9">
            <w:pPr>
              <w:pStyle w:val="a0"/>
              <w:widowControl w:val="0"/>
              <w:spacing w:line="276" w:lineRule="auto"/>
              <w:rPr>
                <w:rFonts w:asciiTheme="minorHAnsi" w:hAnsiTheme="minorHAnsi" w:cstheme="minorHAnsi"/>
                <w:b/>
                <w:color w:val="auto"/>
                <w:szCs w:val="20"/>
                <w:lang w:val="bg-BG"/>
              </w:rPr>
            </w:pPr>
            <w:r>
              <w:rPr>
                <w:rFonts w:asciiTheme="minorHAnsi" w:hAnsiTheme="minorHAnsi" w:cstheme="minorHAnsi"/>
                <w:b/>
                <w:bCs/>
                <w:color w:val="auto"/>
                <w:szCs w:val="20"/>
                <w:lang w:val="bg-BG"/>
              </w:rPr>
              <w:t>648</w:t>
            </w:r>
          </w:p>
        </w:tc>
        <w:tc>
          <w:tcPr>
            <w:tcW w:w="672" w:type="pct"/>
            <w:tcBorders>
              <w:top w:val="nil"/>
              <w:left w:val="nil"/>
              <w:bottom w:val="double" w:sz="6" w:space="0" w:color="auto"/>
              <w:right w:val="nil"/>
            </w:tcBorders>
            <w:shd w:val="clear" w:color="auto" w:fill="auto"/>
            <w:vAlign w:val="bottom"/>
            <w:hideMark/>
          </w:tcPr>
          <w:p w14:paraId="49B231B5" w14:textId="77777777" w:rsidR="0084445A" w:rsidRPr="00741D80" w:rsidRDefault="0084445A" w:rsidP="00AE7CF9">
            <w:pPr>
              <w:pStyle w:val="a0"/>
              <w:widowControl w:val="0"/>
              <w:spacing w:line="276" w:lineRule="auto"/>
              <w:rPr>
                <w:rFonts w:asciiTheme="minorHAnsi" w:hAnsiTheme="minorHAnsi" w:cstheme="minorHAnsi"/>
                <w:b/>
                <w:color w:val="auto"/>
                <w:szCs w:val="20"/>
              </w:rPr>
            </w:pPr>
            <w:r w:rsidRPr="00741D80">
              <w:rPr>
                <w:rFonts w:asciiTheme="minorHAnsi" w:hAnsiTheme="minorHAnsi" w:cstheme="minorHAnsi"/>
                <w:b/>
                <w:color w:val="auto"/>
                <w:szCs w:val="20"/>
              </w:rPr>
              <w:t>1,260</w:t>
            </w:r>
          </w:p>
        </w:tc>
      </w:tr>
      <w:bookmarkEnd w:id="69"/>
    </w:tbl>
    <w:p w14:paraId="5E087391" w14:textId="77777777" w:rsidR="00741D80" w:rsidRPr="00741D80" w:rsidRDefault="00741D80" w:rsidP="0084445A">
      <w:pPr>
        <w:rPr>
          <w:rFonts w:cstheme="minorHAnsi"/>
          <w:lang w:val="en-US"/>
        </w:rPr>
      </w:pPr>
    </w:p>
    <w:p w14:paraId="6DA099CB" w14:textId="77777777" w:rsidR="0084445A" w:rsidRPr="00741D80" w:rsidRDefault="0084445A" w:rsidP="0084445A">
      <w:pPr>
        <w:rPr>
          <w:rFonts w:cstheme="minorHAnsi"/>
          <w:lang w:val="en-US"/>
        </w:rPr>
      </w:pPr>
      <w:r w:rsidRPr="00741D80">
        <w:rPr>
          <w:rFonts w:cstheme="minorHAnsi"/>
        </w:rPr>
        <w:t>Движението на коректива за обезценка на другите вземания е представен в таблицата по-долу:</w:t>
      </w:r>
    </w:p>
    <w:tbl>
      <w:tblPr>
        <w:tblW w:w="5000" w:type="pct"/>
        <w:jc w:val="center"/>
        <w:tblCellMar>
          <w:left w:w="6" w:type="dxa"/>
          <w:right w:w="57" w:type="dxa"/>
        </w:tblCellMar>
        <w:tblLook w:val="04A0" w:firstRow="1" w:lastRow="0" w:firstColumn="1" w:lastColumn="0" w:noHBand="0" w:noVBand="1"/>
      </w:tblPr>
      <w:tblGrid>
        <w:gridCol w:w="6895"/>
        <w:gridCol w:w="1361"/>
        <w:gridCol w:w="1382"/>
      </w:tblGrid>
      <w:tr w:rsidR="0084445A" w:rsidRPr="00741D80" w14:paraId="0B5F0F1B" w14:textId="77777777" w:rsidTr="00084C32">
        <w:trPr>
          <w:trHeight w:val="170"/>
          <w:jc w:val="center"/>
        </w:trPr>
        <w:tc>
          <w:tcPr>
            <w:tcW w:w="3577" w:type="pct"/>
            <w:tcBorders>
              <w:top w:val="nil"/>
              <w:left w:val="nil"/>
              <w:bottom w:val="nil"/>
              <w:right w:val="nil"/>
            </w:tcBorders>
            <w:shd w:val="clear" w:color="auto" w:fill="auto"/>
            <w:vAlign w:val="bottom"/>
            <w:hideMark/>
          </w:tcPr>
          <w:p w14:paraId="4538E23A" w14:textId="77777777" w:rsidR="0084445A" w:rsidRPr="00741D80" w:rsidRDefault="0084445A" w:rsidP="00AE7CF9">
            <w:pPr>
              <w:pStyle w:val="a"/>
              <w:spacing w:line="276" w:lineRule="auto"/>
              <w:rPr>
                <w:rFonts w:asciiTheme="minorHAnsi" w:hAnsiTheme="minorHAnsi" w:cstheme="minorHAnsi"/>
                <w:color w:val="auto"/>
                <w:szCs w:val="20"/>
                <w:lang w:val="bg-BG"/>
              </w:rPr>
            </w:pPr>
          </w:p>
        </w:tc>
        <w:tc>
          <w:tcPr>
            <w:tcW w:w="706" w:type="pct"/>
            <w:tcBorders>
              <w:top w:val="nil"/>
              <w:left w:val="nil"/>
              <w:bottom w:val="nil"/>
              <w:right w:val="nil"/>
            </w:tcBorders>
            <w:shd w:val="clear" w:color="auto" w:fill="auto"/>
            <w:hideMark/>
          </w:tcPr>
          <w:p w14:paraId="324BB10D" w14:textId="77777777" w:rsidR="0084445A" w:rsidRPr="00741D80" w:rsidRDefault="0084445A" w:rsidP="00AE7CF9">
            <w:pPr>
              <w:pStyle w:val="a1"/>
              <w:widowControl w:val="0"/>
              <w:spacing w:line="276" w:lineRule="auto"/>
              <w:jc w:val="right"/>
              <w:rPr>
                <w:rFonts w:asciiTheme="minorHAnsi" w:hAnsiTheme="minorHAnsi" w:cstheme="minorHAnsi"/>
                <w:color w:val="auto"/>
                <w:szCs w:val="20"/>
              </w:rPr>
            </w:pPr>
            <w:r w:rsidRPr="00741D80">
              <w:rPr>
                <w:rFonts w:asciiTheme="minorHAnsi" w:hAnsiTheme="minorHAnsi" w:cstheme="minorHAnsi"/>
                <w:color w:val="auto"/>
                <w:szCs w:val="20"/>
              </w:rPr>
              <w:t>2018</w:t>
            </w:r>
          </w:p>
        </w:tc>
        <w:tc>
          <w:tcPr>
            <w:tcW w:w="717" w:type="pct"/>
            <w:tcBorders>
              <w:top w:val="nil"/>
              <w:left w:val="nil"/>
              <w:bottom w:val="nil"/>
              <w:right w:val="nil"/>
            </w:tcBorders>
          </w:tcPr>
          <w:p w14:paraId="1CD3FB5E" w14:textId="77777777" w:rsidR="0084445A" w:rsidRPr="00741D80" w:rsidRDefault="0084445A" w:rsidP="00AE7CF9">
            <w:pPr>
              <w:pStyle w:val="a1"/>
              <w:widowControl w:val="0"/>
              <w:spacing w:line="276" w:lineRule="auto"/>
              <w:jc w:val="right"/>
              <w:rPr>
                <w:rFonts w:asciiTheme="minorHAnsi" w:hAnsiTheme="minorHAnsi" w:cstheme="minorHAnsi"/>
                <w:color w:val="auto"/>
                <w:szCs w:val="20"/>
              </w:rPr>
            </w:pPr>
            <w:r w:rsidRPr="00741D80">
              <w:rPr>
                <w:rFonts w:asciiTheme="minorHAnsi" w:hAnsiTheme="minorHAnsi" w:cstheme="minorHAnsi"/>
                <w:color w:val="auto"/>
                <w:szCs w:val="20"/>
              </w:rPr>
              <w:t>2017</w:t>
            </w:r>
          </w:p>
        </w:tc>
      </w:tr>
      <w:tr w:rsidR="0084445A" w:rsidRPr="00741D80" w14:paraId="47620C05" w14:textId="77777777" w:rsidTr="00084C32">
        <w:trPr>
          <w:trHeight w:val="170"/>
          <w:jc w:val="center"/>
        </w:trPr>
        <w:tc>
          <w:tcPr>
            <w:tcW w:w="3577" w:type="pct"/>
            <w:tcBorders>
              <w:top w:val="nil"/>
              <w:left w:val="nil"/>
              <w:bottom w:val="nil"/>
              <w:right w:val="nil"/>
            </w:tcBorders>
            <w:shd w:val="clear" w:color="auto" w:fill="auto"/>
            <w:vAlign w:val="bottom"/>
            <w:hideMark/>
          </w:tcPr>
          <w:p w14:paraId="58D33CFF" w14:textId="77777777" w:rsidR="0084445A" w:rsidRPr="00741D80" w:rsidRDefault="0084445A" w:rsidP="00AE7CF9">
            <w:pPr>
              <w:pStyle w:val="a"/>
              <w:spacing w:line="276" w:lineRule="auto"/>
              <w:rPr>
                <w:rFonts w:asciiTheme="minorHAnsi" w:hAnsiTheme="minorHAnsi" w:cstheme="minorHAnsi"/>
                <w:color w:val="auto"/>
                <w:szCs w:val="20"/>
                <w:lang w:val="bg-BG"/>
              </w:rPr>
            </w:pPr>
          </w:p>
        </w:tc>
        <w:tc>
          <w:tcPr>
            <w:tcW w:w="706" w:type="pct"/>
            <w:tcBorders>
              <w:top w:val="nil"/>
              <w:left w:val="nil"/>
              <w:bottom w:val="nil"/>
              <w:right w:val="nil"/>
            </w:tcBorders>
            <w:shd w:val="clear" w:color="auto" w:fill="auto"/>
            <w:noWrap/>
            <w:hideMark/>
          </w:tcPr>
          <w:p w14:paraId="3AD7F9B3" w14:textId="77777777" w:rsidR="0084445A" w:rsidRPr="00741D80" w:rsidRDefault="0084445A" w:rsidP="00AE7CF9">
            <w:pPr>
              <w:pStyle w:val="a1"/>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717" w:type="pct"/>
            <w:tcBorders>
              <w:top w:val="nil"/>
              <w:left w:val="nil"/>
              <w:bottom w:val="nil"/>
              <w:right w:val="nil"/>
            </w:tcBorders>
          </w:tcPr>
          <w:p w14:paraId="0A93138F" w14:textId="77777777" w:rsidR="0084445A" w:rsidRPr="00741D80" w:rsidRDefault="0084445A" w:rsidP="00AE7CF9">
            <w:pPr>
              <w:pStyle w:val="a1"/>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13096C67" w14:textId="77777777" w:rsidTr="00084C32">
        <w:trPr>
          <w:trHeight w:val="170"/>
          <w:jc w:val="center"/>
        </w:trPr>
        <w:tc>
          <w:tcPr>
            <w:tcW w:w="3577" w:type="pct"/>
            <w:tcBorders>
              <w:top w:val="nil"/>
              <w:left w:val="nil"/>
              <w:bottom w:val="nil"/>
              <w:right w:val="nil"/>
            </w:tcBorders>
            <w:shd w:val="clear" w:color="auto" w:fill="auto"/>
            <w:vAlign w:val="bottom"/>
            <w:hideMark/>
          </w:tcPr>
          <w:p w14:paraId="17740911" w14:textId="77777777" w:rsidR="0084445A" w:rsidRPr="00741D80" w:rsidRDefault="0084445A" w:rsidP="00AE7CF9">
            <w:pPr>
              <w:pStyle w:val="a"/>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Салдо в началото на годината</w:t>
            </w:r>
          </w:p>
        </w:tc>
        <w:tc>
          <w:tcPr>
            <w:tcW w:w="706" w:type="pct"/>
            <w:tcBorders>
              <w:top w:val="nil"/>
              <w:left w:val="nil"/>
              <w:bottom w:val="single" w:sz="4" w:space="0" w:color="auto"/>
              <w:right w:val="nil"/>
            </w:tcBorders>
            <w:shd w:val="clear" w:color="auto" w:fill="auto"/>
            <w:vAlign w:val="bottom"/>
            <w:hideMark/>
          </w:tcPr>
          <w:p w14:paraId="598C7E35" w14:textId="77777777" w:rsidR="0084445A" w:rsidRPr="00741D80" w:rsidRDefault="0084445A" w:rsidP="00AE7CF9">
            <w:pPr>
              <w:pStyle w:val="a0"/>
              <w:widowControl w:val="0"/>
              <w:spacing w:line="276" w:lineRule="auto"/>
              <w:rPr>
                <w:rFonts w:asciiTheme="minorHAnsi" w:hAnsiTheme="minorHAnsi" w:cstheme="minorHAnsi"/>
                <w:b/>
                <w:color w:val="auto"/>
                <w:szCs w:val="20"/>
              </w:rPr>
            </w:pPr>
            <w:r w:rsidRPr="00741D80">
              <w:rPr>
                <w:rFonts w:asciiTheme="minorHAnsi" w:hAnsiTheme="minorHAnsi" w:cstheme="minorHAnsi"/>
                <w:b/>
                <w:color w:val="auto"/>
                <w:szCs w:val="20"/>
              </w:rPr>
              <w:t>-</w:t>
            </w:r>
          </w:p>
        </w:tc>
        <w:tc>
          <w:tcPr>
            <w:tcW w:w="717" w:type="pct"/>
            <w:tcBorders>
              <w:top w:val="nil"/>
              <w:left w:val="nil"/>
              <w:bottom w:val="single" w:sz="4" w:space="0" w:color="auto"/>
              <w:right w:val="nil"/>
            </w:tcBorders>
            <w:vAlign w:val="bottom"/>
          </w:tcPr>
          <w:p w14:paraId="7DD29775" w14:textId="77777777" w:rsidR="0084445A" w:rsidRPr="00741D80" w:rsidRDefault="0084445A" w:rsidP="00AE7CF9">
            <w:pPr>
              <w:pStyle w:val="a0"/>
              <w:spacing w:line="276" w:lineRule="auto"/>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(10)</w:t>
            </w:r>
          </w:p>
        </w:tc>
      </w:tr>
      <w:tr w:rsidR="0084445A" w:rsidRPr="00741D80" w14:paraId="3F702F37" w14:textId="77777777" w:rsidTr="00905F38">
        <w:trPr>
          <w:trHeight w:val="170"/>
          <w:jc w:val="center"/>
        </w:trPr>
        <w:tc>
          <w:tcPr>
            <w:tcW w:w="3577" w:type="pct"/>
            <w:tcBorders>
              <w:top w:val="nil"/>
              <w:left w:val="nil"/>
              <w:bottom w:val="nil"/>
              <w:right w:val="nil"/>
            </w:tcBorders>
            <w:shd w:val="clear" w:color="auto" w:fill="auto"/>
            <w:vAlign w:val="bottom"/>
            <w:hideMark/>
          </w:tcPr>
          <w:p w14:paraId="6B90597F" w14:textId="77777777" w:rsidR="0084445A" w:rsidRPr="00905F38" w:rsidRDefault="0084445A" w:rsidP="00AE7CF9">
            <w:pPr>
              <w:pStyle w:val="a"/>
              <w:spacing w:line="276" w:lineRule="auto"/>
              <w:rPr>
                <w:rFonts w:asciiTheme="minorHAnsi" w:hAnsiTheme="minorHAnsi" w:cstheme="minorHAnsi"/>
                <w:color w:val="auto"/>
                <w:szCs w:val="20"/>
                <w:lang w:val="bg-BG"/>
              </w:rPr>
            </w:pPr>
            <w:r w:rsidRPr="00905F38">
              <w:rPr>
                <w:rFonts w:asciiTheme="minorHAnsi" w:hAnsiTheme="minorHAnsi" w:cstheme="minorHAnsi"/>
                <w:color w:val="auto"/>
                <w:szCs w:val="20"/>
                <w:lang w:val="bg-BG"/>
              </w:rPr>
              <w:t xml:space="preserve">Начислена през периода обезценка </w:t>
            </w:r>
          </w:p>
        </w:tc>
        <w:tc>
          <w:tcPr>
            <w:tcW w:w="706" w:type="pct"/>
            <w:tcBorders>
              <w:top w:val="nil"/>
              <w:left w:val="nil"/>
              <w:bottom w:val="single" w:sz="4" w:space="0" w:color="auto"/>
              <w:right w:val="nil"/>
            </w:tcBorders>
            <w:shd w:val="clear" w:color="auto" w:fill="auto"/>
            <w:vAlign w:val="bottom"/>
            <w:hideMark/>
          </w:tcPr>
          <w:p w14:paraId="1BC6522D" w14:textId="77777777" w:rsidR="0084445A" w:rsidRPr="00905F38" w:rsidRDefault="0084445A" w:rsidP="00AE7CF9">
            <w:pPr>
              <w:pStyle w:val="a0"/>
              <w:widowControl w:val="0"/>
              <w:spacing w:line="276" w:lineRule="auto"/>
              <w:rPr>
                <w:rFonts w:asciiTheme="minorHAnsi" w:hAnsiTheme="minorHAnsi" w:cstheme="minorHAnsi"/>
                <w:color w:val="auto"/>
                <w:szCs w:val="20"/>
              </w:rPr>
            </w:pPr>
            <w:r w:rsidRPr="00905F38">
              <w:rPr>
                <w:rFonts w:asciiTheme="minorHAnsi" w:hAnsiTheme="minorHAnsi" w:cstheme="minorHAnsi"/>
                <w:color w:val="auto"/>
                <w:szCs w:val="20"/>
              </w:rPr>
              <w:t>(607)</w:t>
            </w:r>
          </w:p>
        </w:tc>
        <w:tc>
          <w:tcPr>
            <w:tcW w:w="717" w:type="pct"/>
            <w:tcBorders>
              <w:top w:val="nil"/>
              <w:left w:val="nil"/>
              <w:bottom w:val="single" w:sz="4" w:space="0" w:color="auto"/>
              <w:right w:val="nil"/>
            </w:tcBorders>
            <w:shd w:val="clear" w:color="auto" w:fill="auto"/>
            <w:vAlign w:val="bottom"/>
          </w:tcPr>
          <w:p w14:paraId="224B57B3" w14:textId="77777777" w:rsidR="0084445A" w:rsidRPr="00741D80" w:rsidRDefault="0084445A" w:rsidP="00AE7CF9">
            <w:pPr>
              <w:pStyle w:val="a0"/>
              <w:widowControl w:val="0"/>
              <w:spacing w:line="276" w:lineRule="auto"/>
              <w:rPr>
                <w:rFonts w:asciiTheme="minorHAnsi" w:hAnsiTheme="minorHAnsi" w:cstheme="minorHAnsi"/>
                <w:color w:val="auto"/>
                <w:szCs w:val="20"/>
              </w:rPr>
            </w:pPr>
            <w:r w:rsidRPr="00905F38">
              <w:rPr>
                <w:rFonts w:asciiTheme="minorHAnsi" w:hAnsiTheme="minorHAnsi" w:cstheme="minorHAnsi"/>
                <w:color w:val="auto"/>
                <w:szCs w:val="20"/>
              </w:rPr>
              <w:t>10</w:t>
            </w:r>
          </w:p>
        </w:tc>
      </w:tr>
      <w:tr w:rsidR="0084445A" w:rsidRPr="00741D80" w14:paraId="4DF4848A" w14:textId="77777777" w:rsidTr="00084C32">
        <w:trPr>
          <w:trHeight w:val="170"/>
          <w:jc w:val="center"/>
        </w:trPr>
        <w:tc>
          <w:tcPr>
            <w:tcW w:w="3577" w:type="pct"/>
            <w:tcBorders>
              <w:top w:val="nil"/>
              <w:left w:val="nil"/>
              <w:bottom w:val="nil"/>
              <w:right w:val="nil"/>
            </w:tcBorders>
            <w:shd w:val="clear" w:color="auto" w:fill="auto"/>
            <w:vAlign w:val="bottom"/>
            <w:hideMark/>
          </w:tcPr>
          <w:p w14:paraId="4DD02BDE" w14:textId="77777777" w:rsidR="0084445A" w:rsidRPr="00741D80" w:rsidRDefault="0084445A" w:rsidP="00AE7CF9">
            <w:pPr>
              <w:pStyle w:val="a"/>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Салдо в края на периода/годината</w:t>
            </w:r>
          </w:p>
        </w:tc>
        <w:tc>
          <w:tcPr>
            <w:tcW w:w="706" w:type="pct"/>
            <w:tcBorders>
              <w:top w:val="nil"/>
              <w:left w:val="nil"/>
              <w:bottom w:val="double" w:sz="6" w:space="0" w:color="auto"/>
              <w:right w:val="nil"/>
            </w:tcBorders>
            <w:shd w:val="clear" w:color="auto" w:fill="auto"/>
            <w:vAlign w:val="bottom"/>
            <w:hideMark/>
          </w:tcPr>
          <w:p w14:paraId="462FCA26" w14:textId="77777777" w:rsidR="0084445A" w:rsidRPr="00741D80" w:rsidRDefault="0084445A" w:rsidP="00AE7CF9">
            <w:pPr>
              <w:pStyle w:val="a0"/>
              <w:widowControl w:val="0"/>
              <w:spacing w:line="276" w:lineRule="auto"/>
              <w:rPr>
                <w:rFonts w:asciiTheme="minorHAnsi" w:hAnsiTheme="minorHAnsi" w:cstheme="minorHAnsi"/>
                <w:b/>
                <w:color w:val="auto"/>
                <w:szCs w:val="20"/>
              </w:rPr>
            </w:pPr>
            <w:r w:rsidRPr="00741D80">
              <w:rPr>
                <w:rFonts w:asciiTheme="minorHAnsi" w:hAnsiTheme="minorHAnsi" w:cstheme="minorHAnsi"/>
                <w:b/>
                <w:color w:val="auto"/>
                <w:szCs w:val="20"/>
              </w:rPr>
              <w:t>(607)</w:t>
            </w:r>
          </w:p>
        </w:tc>
        <w:tc>
          <w:tcPr>
            <w:tcW w:w="717" w:type="pct"/>
            <w:tcBorders>
              <w:top w:val="nil"/>
              <w:left w:val="nil"/>
              <w:bottom w:val="double" w:sz="6" w:space="0" w:color="auto"/>
              <w:right w:val="nil"/>
            </w:tcBorders>
            <w:vAlign w:val="bottom"/>
          </w:tcPr>
          <w:p w14:paraId="326B003A" w14:textId="77777777" w:rsidR="0084445A" w:rsidRPr="00741D80" w:rsidRDefault="0084445A" w:rsidP="00AE7CF9">
            <w:pPr>
              <w:pStyle w:val="a0"/>
              <w:widowControl w:val="0"/>
              <w:spacing w:line="276" w:lineRule="auto"/>
              <w:rPr>
                <w:rFonts w:asciiTheme="minorHAnsi" w:hAnsiTheme="minorHAnsi" w:cstheme="minorHAnsi"/>
                <w:b/>
                <w:color w:val="auto"/>
                <w:szCs w:val="20"/>
              </w:rPr>
            </w:pPr>
            <w:r w:rsidRPr="00741D80">
              <w:rPr>
                <w:rFonts w:asciiTheme="minorHAnsi" w:hAnsiTheme="minorHAnsi" w:cstheme="minorHAnsi"/>
                <w:b/>
                <w:color w:val="auto"/>
                <w:szCs w:val="20"/>
              </w:rPr>
              <w:t>-</w:t>
            </w:r>
          </w:p>
        </w:tc>
      </w:tr>
    </w:tbl>
    <w:p w14:paraId="28D97A1C" w14:textId="77777777" w:rsidR="0084445A" w:rsidRPr="00741D80" w:rsidRDefault="0084445A" w:rsidP="00084C32">
      <w:pPr>
        <w:spacing w:after="0"/>
        <w:jc w:val="both"/>
        <w:rPr>
          <w:rFonts w:cstheme="minorHAnsi"/>
          <w:lang w:val="en-US"/>
        </w:rPr>
      </w:pPr>
      <w:bookmarkStart w:id="70" w:name="_Toc418084389"/>
      <w:r w:rsidRPr="00741D80">
        <w:rPr>
          <w:rFonts w:cstheme="minorHAnsi"/>
        </w:rPr>
        <w:t xml:space="preserve">На 24 октомври 2014 г. дружеството е сключило Договор за прехвърляне на вземане, по силата на който Борсата като цедент е прехвърлила на цесионера своето вземане по депозит в банка в размер на 1 752 </w:t>
      </w:r>
      <w:proofErr w:type="spellStart"/>
      <w:r w:rsidRPr="00741D80">
        <w:rPr>
          <w:rFonts w:cstheme="minorHAnsi"/>
        </w:rPr>
        <w:t>х.лв</w:t>
      </w:r>
      <w:proofErr w:type="spellEnd"/>
      <w:r w:rsidRPr="00741D80">
        <w:rPr>
          <w:rFonts w:cstheme="minorHAnsi"/>
        </w:rPr>
        <w:t xml:space="preserve">. с </w:t>
      </w:r>
      <w:proofErr w:type="spellStart"/>
      <w:r w:rsidRPr="00741D80">
        <w:rPr>
          <w:rFonts w:cstheme="minorHAnsi"/>
        </w:rPr>
        <w:t>дисконт</w:t>
      </w:r>
      <w:proofErr w:type="spellEnd"/>
      <w:r w:rsidRPr="00741D80">
        <w:rPr>
          <w:rFonts w:cstheme="minorHAnsi"/>
        </w:rPr>
        <w:t xml:space="preserve"> от 25 % (438 </w:t>
      </w:r>
      <w:proofErr w:type="spellStart"/>
      <w:r w:rsidRPr="00741D80">
        <w:rPr>
          <w:rFonts w:cstheme="minorHAnsi"/>
        </w:rPr>
        <w:t>х.лв</w:t>
      </w:r>
      <w:proofErr w:type="spellEnd"/>
      <w:r w:rsidRPr="00741D80">
        <w:rPr>
          <w:rFonts w:cstheme="minorHAnsi"/>
        </w:rPr>
        <w:t xml:space="preserve">.) на цена определена в размер на 1 314 </w:t>
      </w:r>
      <w:proofErr w:type="spellStart"/>
      <w:r w:rsidRPr="00741D80">
        <w:rPr>
          <w:rFonts w:cstheme="minorHAnsi"/>
        </w:rPr>
        <w:t>х.лв</w:t>
      </w:r>
      <w:proofErr w:type="spellEnd"/>
      <w:r w:rsidRPr="00741D80">
        <w:rPr>
          <w:rFonts w:cstheme="minorHAnsi"/>
        </w:rPr>
        <w:t xml:space="preserve">. Договорът съдържа </w:t>
      </w:r>
      <w:proofErr w:type="spellStart"/>
      <w:r w:rsidRPr="00741D80">
        <w:rPr>
          <w:rFonts w:cstheme="minorHAnsi"/>
        </w:rPr>
        <w:t>прекратителни</w:t>
      </w:r>
      <w:proofErr w:type="spellEnd"/>
      <w:r w:rsidRPr="00741D80">
        <w:rPr>
          <w:rFonts w:cstheme="minorHAnsi"/>
        </w:rPr>
        <w:t xml:space="preserve"> условия, зависещи от бъдещи събития, които биха могли да настъпят във връзка с промяна на статута на банката и евентуално оспорване и отмяна на извършените цесии и прихващания.</w:t>
      </w:r>
    </w:p>
    <w:p w14:paraId="3A2E58EB" w14:textId="77777777" w:rsidR="0084445A" w:rsidRPr="00741D80" w:rsidRDefault="0084445A" w:rsidP="00084C32">
      <w:pPr>
        <w:spacing w:after="0"/>
        <w:jc w:val="both"/>
        <w:rPr>
          <w:rFonts w:cstheme="minorHAnsi"/>
          <w:lang w:val="en-US"/>
        </w:rPr>
      </w:pPr>
      <w:r w:rsidRPr="00741D80">
        <w:rPr>
          <w:rFonts w:cstheme="minorHAnsi"/>
        </w:rPr>
        <w:t xml:space="preserve">Подробна информация за Договора за прехвърляне на вземане може да намерите в Годишния отчет на „Българска фондова борса“ АД за 2017 година, публикуван на уебсайта на дружеството и електронната медиа </w:t>
      </w:r>
      <w:r w:rsidRPr="00741D80">
        <w:rPr>
          <w:rFonts w:cstheme="minorHAnsi"/>
          <w:lang w:val="en-US"/>
        </w:rPr>
        <w:t>X3 News</w:t>
      </w:r>
      <w:r w:rsidRPr="00741D80">
        <w:rPr>
          <w:rFonts w:cstheme="minorHAnsi"/>
        </w:rPr>
        <w:t>.</w:t>
      </w:r>
    </w:p>
    <w:p w14:paraId="282D73AA" w14:textId="1E08A13E" w:rsidR="0084445A" w:rsidRPr="00741D80" w:rsidRDefault="0084445A" w:rsidP="00084C32">
      <w:pPr>
        <w:spacing w:after="0"/>
        <w:jc w:val="both"/>
        <w:rPr>
          <w:rFonts w:cstheme="minorHAnsi"/>
        </w:rPr>
      </w:pPr>
      <w:bookmarkStart w:id="71" w:name="_Hlk536221575"/>
      <w:r w:rsidRPr="00084C32">
        <w:rPr>
          <w:rFonts w:cstheme="minorHAnsi"/>
        </w:rPr>
        <w:t>Съгласно решение на Съвета на директорите на Борсата от 17.12.2019 година, е направена</w:t>
      </w:r>
      <w:r w:rsidR="00FD518A" w:rsidRPr="00084C32">
        <w:rPr>
          <w:rFonts w:cstheme="minorHAnsi"/>
        </w:rPr>
        <w:t xml:space="preserve"> </w:t>
      </w:r>
      <w:r w:rsidRPr="00084C32">
        <w:rPr>
          <w:rFonts w:cstheme="minorHAnsi"/>
        </w:rPr>
        <w:t>обезценка на 50% от вземането от КТБ АД в размер на 1,214,245.57 лева.</w:t>
      </w:r>
    </w:p>
    <w:p w14:paraId="72BB1BDE" w14:textId="77777777" w:rsidR="0084445A" w:rsidRPr="00741D80" w:rsidRDefault="0084445A" w:rsidP="00833465">
      <w:pPr>
        <w:pStyle w:val="Mainnumbers"/>
      </w:pPr>
      <w:bookmarkStart w:id="72" w:name="_Toc418084390"/>
      <w:bookmarkStart w:id="73" w:name="_Toc536452028"/>
      <w:bookmarkEnd w:id="70"/>
      <w:bookmarkEnd w:id="71"/>
      <w:r w:rsidRPr="00741D80">
        <w:t>ПАРИЧНИ СРЕДСТВА И ПАРИЧНИ ЕКВИВАЛЕНТИ</w:t>
      </w:r>
      <w:bookmarkEnd w:id="72"/>
      <w:bookmarkEnd w:id="73"/>
      <w:r w:rsidRPr="00741D80">
        <w:t xml:space="preserve"> </w:t>
      </w:r>
    </w:p>
    <w:tbl>
      <w:tblPr>
        <w:tblW w:w="5000" w:type="pct"/>
        <w:jc w:val="center"/>
        <w:tblLook w:val="04A0" w:firstRow="1" w:lastRow="0" w:firstColumn="1" w:lastColumn="0" w:noHBand="0" w:noVBand="1"/>
      </w:tblPr>
      <w:tblGrid>
        <w:gridCol w:w="6132"/>
        <w:gridCol w:w="1719"/>
        <w:gridCol w:w="1787"/>
      </w:tblGrid>
      <w:tr w:rsidR="0084445A" w:rsidRPr="00741D80" w14:paraId="695D4BC5" w14:textId="77777777" w:rsidTr="00AE7CF9">
        <w:trPr>
          <w:trHeight w:val="170"/>
          <w:jc w:val="center"/>
        </w:trPr>
        <w:tc>
          <w:tcPr>
            <w:tcW w:w="3181" w:type="pct"/>
            <w:tcBorders>
              <w:top w:val="nil"/>
              <w:left w:val="nil"/>
              <w:bottom w:val="nil"/>
              <w:right w:val="nil"/>
            </w:tcBorders>
            <w:shd w:val="clear" w:color="auto" w:fill="auto"/>
            <w:noWrap/>
            <w:tcMar>
              <w:left w:w="57" w:type="dxa"/>
              <w:right w:w="57" w:type="dxa"/>
            </w:tcMar>
            <w:vAlign w:val="bottom"/>
            <w:hideMark/>
          </w:tcPr>
          <w:p w14:paraId="0F290F0F"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Паричните средства и паричните еквиваленти включват:</w:t>
            </w:r>
          </w:p>
        </w:tc>
        <w:tc>
          <w:tcPr>
            <w:tcW w:w="892" w:type="pct"/>
            <w:tcBorders>
              <w:top w:val="nil"/>
              <w:left w:val="nil"/>
              <w:bottom w:val="nil"/>
              <w:right w:val="nil"/>
            </w:tcBorders>
            <w:shd w:val="clear" w:color="auto" w:fill="auto"/>
            <w:tcMar>
              <w:left w:w="57" w:type="dxa"/>
              <w:right w:w="57" w:type="dxa"/>
            </w:tcMar>
            <w:hideMark/>
          </w:tcPr>
          <w:p w14:paraId="35336C38"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rPr>
              <w:t>31.12</w:t>
            </w:r>
            <w:r w:rsidRPr="00741D80">
              <w:rPr>
                <w:rFonts w:asciiTheme="minorHAnsi" w:hAnsiTheme="minorHAnsi" w:cstheme="minorHAnsi"/>
                <w:color w:val="auto"/>
                <w:szCs w:val="20"/>
                <w:lang w:val="bg-BG"/>
              </w:rPr>
              <w:t>.2018</w:t>
            </w:r>
          </w:p>
        </w:tc>
        <w:tc>
          <w:tcPr>
            <w:tcW w:w="927" w:type="pct"/>
            <w:tcBorders>
              <w:top w:val="nil"/>
              <w:left w:val="nil"/>
              <w:bottom w:val="nil"/>
              <w:right w:val="nil"/>
            </w:tcBorders>
            <w:shd w:val="clear" w:color="auto" w:fill="auto"/>
            <w:tcMar>
              <w:left w:w="57" w:type="dxa"/>
              <w:right w:w="57" w:type="dxa"/>
            </w:tcMar>
            <w:hideMark/>
          </w:tcPr>
          <w:p w14:paraId="10CB7BE9"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5398995D" w14:textId="77777777" w:rsidTr="00AE7CF9">
        <w:trPr>
          <w:trHeight w:val="170"/>
          <w:jc w:val="center"/>
        </w:trPr>
        <w:tc>
          <w:tcPr>
            <w:tcW w:w="3181" w:type="pct"/>
            <w:tcBorders>
              <w:top w:val="nil"/>
              <w:left w:val="nil"/>
              <w:bottom w:val="nil"/>
              <w:right w:val="nil"/>
            </w:tcBorders>
            <w:shd w:val="clear" w:color="auto" w:fill="auto"/>
            <w:noWrap/>
            <w:tcMar>
              <w:left w:w="57" w:type="dxa"/>
              <w:right w:w="57" w:type="dxa"/>
            </w:tcMar>
            <w:vAlign w:val="bottom"/>
            <w:hideMark/>
          </w:tcPr>
          <w:p w14:paraId="3B30B243" w14:textId="77777777" w:rsidR="0084445A" w:rsidRPr="00741D80" w:rsidRDefault="0084445A" w:rsidP="00084C32">
            <w:pPr>
              <w:pStyle w:val="a"/>
              <w:rPr>
                <w:rFonts w:asciiTheme="minorHAnsi" w:hAnsiTheme="minorHAnsi" w:cstheme="minorHAnsi"/>
                <w:color w:val="auto"/>
                <w:szCs w:val="20"/>
                <w:lang w:val="bg-BG"/>
              </w:rPr>
            </w:pPr>
          </w:p>
        </w:tc>
        <w:tc>
          <w:tcPr>
            <w:tcW w:w="892" w:type="pct"/>
            <w:tcBorders>
              <w:top w:val="nil"/>
              <w:left w:val="nil"/>
              <w:bottom w:val="nil"/>
              <w:right w:val="nil"/>
            </w:tcBorders>
            <w:shd w:val="clear" w:color="auto" w:fill="auto"/>
            <w:noWrap/>
            <w:tcMar>
              <w:left w:w="57" w:type="dxa"/>
              <w:right w:w="57" w:type="dxa"/>
            </w:tcMar>
            <w:hideMark/>
          </w:tcPr>
          <w:p w14:paraId="56338B2E"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927" w:type="pct"/>
            <w:tcBorders>
              <w:top w:val="nil"/>
              <w:left w:val="nil"/>
              <w:bottom w:val="nil"/>
              <w:right w:val="nil"/>
            </w:tcBorders>
            <w:shd w:val="clear" w:color="auto" w:fill="auto"/>
            <w:noWrap/>
            <w:tcMar>
              <w:left w:w="57" w:type="dxa"/>
              <w:right w:w="57" w:type="dxa"/>
            </w:tcMar>
            <w:hideMark/>
          </w:tcPr>
          <w:p w14:paraId="126F518F"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4509448F" w14:textId="77777777" w:rsidTr="00AE7CF9">
        <w:trPr>
          <w:trHeight w:val="170"/>
          <w:jc w:val="center"/>
        </w:trPr>
        <w:tc>
          <w:tcPr>
            <w:tcW w:w="3181" w:type="pct"/>
            <w:tcBorders>
              <w:top w:val="nil"/>
              <w:left w:val="nil"/>
              <w:bottom w:val="nil"/>
              <w:right w:val="nil"/>
            </w:tcBorders>
            <w:shd w:val="clear" w:color="auto" w:fill="auto"/>
            <w:noWrap/>
            <w:tcMar>
              <w:left w:w="57" w:type="dxa"/>
              <w:right w:w="57" w:type="dxa"/>
            </w:tcMar>
            <w:vAlign w:val="bottom"/>
            <w:hideMark/>
          </w:tcPr>
          <w:p w14:paraId="20406A64"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Парични средства по текущи разплащателни сметки</w:t>
            </w:r>
          </w:p>
        </w:tc>
        <w:tc>
          <w:tcPr>
            <w:tcW w:w="892" w:type="pct"/>
            <w:tcBorders>
              <w:top w:val="nil"/>
              <w:left w:val="nil"/>
              <w:bottom w:val="nil"/>
              <w:right w:val="nil"/>
            </w:tcBorders>
            <w:shd w:val="clear" w:color="auto" w:fill="auto"/>
            <w:noWrap/>
            <w:tcMar>
              <w:left w:w="57" w:type="dxa"/>
              <w:right w:w="57" w:type="dxa"/>
            </w:tcMar>
            <w:vAlign w:val="bottom"/>
            <w:hideMark/>
          </w:tcPr>
          <w:p w14:paraId="623E3D7E"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2,024</w:t>
            </w:r>
          </w:p>
        </w:tc>
        <w:tc>
          <w:tcPr>
            <w:tcW w:w="927" w:type="pct"/>
            <w:tcBorders>
              <w:top w:val="nil"/>
              <w:left w:val="nil"/>
              <w:bottom w:val="nil"/>
              <w:right w:val="nil"/>
            </w:tcBorders>
            <w:shd w:val="clear" w:color="auto" w:fill="auto"/>
            <w:noWrap/>
            <w:tcMar>
              <w:left w:w="57" w:type="dxa"/>
              <w:right w:w="57" w:type="dxa"/>
            </w:tcMar>
            <w:vAlign w:val="bottom"/>
            <w:hideMark/>
          </w:tcPr>
          <w:p w14:paraId="08C9E956"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1,506</w:t>
            </w:r>
          </w:p>
        </w:tc>
      </w:tr>
      <w:tr w:rsidR="0084445A" w:rsidRPr="00741D80" w14:paraId="55085D75" w14:textId="77777777" w:rsidTr="00AE7CF9">
        <w:trPr>
          <w:trHeight w:val="170"/>
          <w:jc w:val="center"/>
        </w:trPr>
        <w:tc>
          <w:tcPr>
            <w:tcW w:w="3181" w:type="pct"/>
            <w:tcBorders>
              <w:top w:val="nil"/>
              <w:left w:val="nil"/>
              <w:bottom w:val="nil"/>
              <w:right w:val="nil"/>
            </w:tcBorders>
            <w:shd w:val="clear" w:color="auto" w:fill="auto"/>
            <w:noWrap/>
            <w:tcMar>
              <w:left w:w="57" w:type="dxa"/>
              <w:right w:w="57" w:type="dxa"/>
            </w:tcMar>
            <w:vAlign w:val="bottom"/>
            <w:hideMark/>
          </w:tcPr>
          <w:p w14:paraId="0F980442"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Парични средства в каса</w:t>
            </w:r>
          </w:p>
        </w:tc>
        <w:tc>
          <w:tcPr>
            <w:tcW w:w="892" w:type="pct"/>
            <w:tcBorders>
              <w:top w:val="nil"/>
              <w:left w:val="nil"/>
              <w:bottom w:val="nil"/>
              <w:right w:val="nil"/>
            </w:tcBorders>
            <w:shd w:val="clear" w:color="auto" w:fill="auto"/>
            <w:noWrap/>
            <w:tcMar>
              <w:left w:w="57" w:type="dxa"/>
              <w:right w:w="57" w:type="dxa"/>
            </w:tcMar>
            <w:vAlign w:val="bottom"/>
            <w:hideMark/>
          </w:tcPr>
          <w:p w14:paraId="55E81771"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w:t>
            </w:r>
          </w:p>
        </w:tc>
        <w:tc>
          <w:tcPr>
            <w:tcW w:w="927" w:type="pct"/>
            <w:tcBorders>
              <w:top w:val="nil"/>
              <w:left w:val="nil"/>
              <w:bottom w:val="nil"/>
              <w:right w:val="nil"/>
            </w:tcBorders>
            <w:shd w:val="clear" w:color="auto" w:fill="auto"/>
            <w:noWrap/>
            <w:tcMar>
              <w:left w:w="57" w:type="dxa"/>
              <w:right w:w="57" w:type="dxa"/>
            </w:tcMar>
            <w:vAlign w:val="bottom"/>
            <w:hideMark/>
          </w:tcPr>
          <w:p w14:paraId="43D81E1F"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5</w:t>
            </w:r>
          </w:p>
        </w:tc>
      </w:tr>
      <w:tr w:rsidR="0084445A" w:rsidRPr="00741D80" w14:paraId="69067F49" w14:textId="77777777" w:rsidTr="00AE7CF9">
        <w:trPr>
          <w:trHeight w:val="170"/>
          <w:jc w:val="center"/>
        </w:trPr>
        <w:tc>
          <w:tcPr>
            <w:tcW w:w="3181" w:type="pct"/>
            <w:tcBorders>
              <w:top w:val="nil"/>
              <w:left w:val="nil"/>
              <w:bottom w:val="nil"/>
              <w:right w:val="nil"/>
            </w:tcBorders>
            <w:shd w:val="clear" w:color="auto" w:fill="auto"/>
            <w:noWrap/>
            <w:tcMar>
              <w:left w:w="57" w:type="dxa"/>
              <w:right w:w="57" w:type="dxa"/>
            </w:tcMar>
            <w:vAlign w:val="bottom"/>
            <w:hideMark/>
          </w:tcPr>
          <w:p w14:paraId="3CF6354F" w14:textId="77777777" w:rsidR="0084445A" w:rsidRPr="00741D80" w:rsidRDefault="0084445A" w:rsidP="00084C32">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892" w:type="pct"/>
            <w:tcBorders>
              <w:top w:val="single" w:sz="4" w:space="0" w:color="auto"/>
              <w:left w:val="nil"/>
              <w:bottom w:val="double" w:sz="6" w:space="0" w:color="auto"/>
              <w:right w:val="nil"/>
            </w:tcBorders>
            <w:shd w:val="clear" w:color="auto" w:fill="auto"/>
            <w:noWrap/>
            <w:tcMar>
              <w:left w:w="57" w:type="dxa"/>
              <w:right w:w="57" w:type="dxa"/>
            </w:tcMar>
            <w:vAlign w:val="bottom"/>
            <w:hideMark/>
          </w:tcPr>
          <w:p w14:paraId="4C67EF71" w14:textId="77777777" w:rsidR="0084445A" w:rsidRPr="00741D80" w:rsidRDefault="0084445A" w:rsidP="00084C32">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2, 025</w:t>
            </w:r>
          </w:p>
        </w:tc>
        <w:tc>
          <w:tcPr>
            <w:tcW w:w="927" w:type="pct"/>
            <w:tcBorders>
              <w:top w:val="single" w:sz="4" w:space="0" w:color="auto"/>
              <w:left w:val="nil"/>
              <w:bottom w:val="double" w:sz="6" w:space="0" w:color="auto"/>
              <w:right w:val="nil"/>
            </w:tcBorders>
            <w:shd w:val="clear" w:color="auto" w:fill="auto"/>
            <w:noWrap/>
            <w:tcMar>
              <w:left w:w="57" w:type="dxa"/>
              <w:right w:w="57" w:type="dxa"/>
            </w:tcMar>
            <w:vAlign w:val="bottom"/>
            <w:hideMark/>
          </w:tcPr>
          <w:p w14:paraId="4A59906D" w14:textId="77777777" w:rsidR="0084445A" w:rsidRPr="00741D80" w:rsidRDefault="0084445A" w:rsidP="00084C32">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1,511</w:t>
            </w:r>
          </w:p>
        </w:tc>
      </w:tr>
    </w:tbl>
    <w:p w14:paraId="394DFD9E" w14:textId="77777777" w:rsidR="0084445A" w:rsidRPr="00741D80" w:rsidRDefault="0084445A" w:rsidP="0084445A">
      <w:pPr>
        <w:rPr>
          <w:rFonts w:cstheme="minorHAnsi"/>
        </w:rPr>
      </w:pPr>
      <w:bookmarkStart w:id="74" w:name="_Toc439746830"/>
      <w:bookmarkStart w:id="75" w:name="_Toc128275765"/>
    </w:p>
    <w:tbl>
      <w:tblPr>
        <w:tblW w:w="5000" w:type="pct"/>
        <w:jc w:val="center"/>
        <w:tblCellMar>
          <w:left w:w="6" w:type="dxa"/>
          <w:right w:w="6" w:type="dxa"/>
        </w:tblCellMar>
        <w:tblLook w:val="04A0" w:firstRow="1" w:lastRow="0" w:firstColumn="1" w:lastColumn="0" w:noHBand="0" w:noVBand="1"/>
      </w:tblPr>
      <w:tblGrid>
        <w:gridCol w:w="6276"/>
        <w:gridCol w:w="1683"/>
        <w:gridCol w:w="1679"/>
      </w:tblGrid>
      <w:tr w:rsidR="0084445A" w:rsidRPr="00741D80" w14:paraId="5B49B784" w14:textId="77777777" w:rsidTr="00AE7CF9">
        <w:trPr>
          <w:trHeight w:val="170"/>
          <w:jc w:val="center"/>
        </w:trPr>
        <w:tc>
          <w:tcPr>
            <w:tcW w:w="3256" w:type="pct"/>
            <w:tcBorders>
              <w:top w:val="nil"/>
              <w:left w:val="nil"/>
              <w:bottom w:val="nil"/>
              <w:right w:val="nil"/>
            </w:tcBorders>
            <w:shd w:val="clear" w:color="auto" w:fill="auto"/>
            <w:noWrap/>
            <w:tcMar>
              <w:left w:w="57" w:type="dxa"/>
              <w:right w:w="57" w:type="dxa"/>
            </w:tcMar>
            <w:vAlign w:val="bottom"/>
            <w:hideMark/>
          </w:tcPr>
          <w:p w14:paraId="00077809" w14:textId="77777777" w:rsidR="0084445A" w:rsidRPr="00741D80" w:rsidRDefault="0084445A" w:rsidP="00084C32">
            <w:pPr>
              <w:pStyle w:val="a"/>
              <w:rPr>
                <w:rFonts w:asciiTheme="minorHAnsi" w:hAnsiTheme="minorHAnsi" w:cstheme="minorHAnsi"/>
                <w:color w:val="auto"/>
                <w:szCs w:val="20"/>
                <w:lang w:val="bg-BG"/>
              </w:rPr>
            </w:pPr>
          </w:p>
        </w:tc>
        <w:tc>
          <w:tcPr>
            <w:tcW w:w="873" w:type="pct"/>
            <w:tcBorders>
              <w:top w:val="nil"/>
              <w:left w:val="nil"/>
              <w:bottom w:val="nil"/>
              <w:right w:val="nil"/>
            </w:tcBorders>
            <w:shd w:val="clear" w:color="auto" w:fill="auto"/>
            <w:tcMar>
              <w:left w:w="57" w:type="dxa"/>
              <w:right w:w="57" w:type="dxa"/>
            </w:tcMar>
            <w:hideMark/>
          </w:tcPr>
          <w:p w14:paraId="39949862"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871" w:type="pct"/>
            <w:tcBorders>
              <w:top w:val="nil"/>
              <w:left w:val="nil"/>
              <w:bottom w:val="nil"/>
              <w:right w:val="nil"/>
            </w:tcBorders>
            <w:shd w:val="clear" w:color="auto" w:fill="auto"/>
            <w:tcMar>
              <w:left w:w="57" w:type="dxa"/>
              <w:right w:w="57" w:type="dxa"/>
            </w:tcMar>
            <w:hideMark/>
          </w:tcPr>
          <w:p w14:paraId="14A6BA67"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3E6692A5" w14:textId="77777777" w:rsidTr="00AE7CF9">
        <w:trPr>
          <w:trHeight w:val="170"/>
          <w:jc w:val="center"/>
        </w:trPr>
        <w:tc>
          <w:tcPr>
            <w:tcW w:w="3256" w:type="pct"/>
            <w:tcBorders>
              <w:top w:val="nil"/>
              <w:left w:val="nil"/>
              <w:bottom w:val="nil"/>
              <w:right w:val="nil"/>
            </w:tcBorders>
            <w:shd w:val="clear" w:color="auto" w:fill="auto"/>
            <w:noWrap/>
            <w:tcMar>
              <w:left w:w="57" w:type="dxa"/>
              <w:right w:w="57" w:type="dxa"/>
            </w:tcMar>
            <w:vAlign w:val="bottom"/>
            <w:hideMark/>
          </w:tcPr>
          <w:p w14:paraId="36122256" w14:textId="77777777" w:rsidR="0084445A" w:rsidRPr="00741D80" w:rsidRDefault="0084445A" w:rsidP="00084C32">
            <w:pPr>
              <w:pStyle w:val="a"/>
              <w:rPr>
                <w:rFonts w:asciiTheme="minorHAnsi" w:hAnsiTheme="minorHAnsi" w:cstheme="minorHAnsi"/>
                <w:color w:val="auto"/>
                <w:szCs w:val="20"/>
                <w:lang w:val="bg-BG"/>
              </w:rPr>
            </w:pPr>
          </w:p>
        </w:tc>
        <w:tc>
          <w:tcPr>
            <w:tcW w:w="873" w:type="pct"/>
            <w:tcBorders>
              <w:top w:val="nil"/>
              <w:left w:val="nil"/>
              <w:bottom w:val="nil"/>
              <w:right w:val="nil"/>
            </w:tcBorders>
            <w:shd w:val="clear" w:color="auto" w:fill="auto"/>
            <w:noWrap/>
            <w:tcMar>
              <w:left w:w="57" w:type="dxa"/>
              <w:right w:w="57" w:type="dxa"/>
            </w:tcMar>
            <w:hideMark/>
          </w:tcPr>
          <w:p w14:paraId="70BC1FD8"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871" w:type="pct"/>
            <w:tcBorders>
              <w:top w:val="nil"/>
              <w:left w:val="nil"/>
              <w:bottom w:val="nil"/>
              <w:right w:val="nil"/>
            </w:tcBorders>
            <w:shd w:val="clear" w:color="auto" w:fill="auto"/>
            <w:noWrap/>
            <w:tcMar>
              <w:left w:w="57" w:type="dxa"/>
              <w:right w:w="57" w:type="dxa"/>
            </w:tcMar>
            <w:hideMark/>
          </w:tcPr>
          <w:p w14:paraId="7C1EA32B"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05446095" w14:textId="77777777" w:rsidTr="00AE7CF9">
        <w:trPr>
          <w:trHeight w:val="170"/>
          <w:jc w:val="center"/>
        </w:trPr>
        <w:tc>
          <w:tcPr>
            <w:tcW w:w="3256" w:type="pct"/>
            <w:tcBorders>
              <w:top w:val="nil"/>
              <w:left w:val="nil"/>
              <w:bottom w:val="nil"/>
              <w:right w:val="nil"/>
            </w:tcBorders>
            <w:shd w:val="clear" w:color="auto" w:fill="auto"/>
            <w:noWrap/>
            <w:tcMar>
              <w:left w:w="57" w:type="dxa"/>
              <w:right w:w="57" w:type="dxa"/>
            </w:tcMar>
            <w:vAlign w:val="bottom"/>
            <w:hideMark/>
          </w:tcPr>
          <w:p w14:paraId="00149EAF"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Парични средства и парични еквиваленти</w:t>
            </w:r>
          </w:p>
        </w:tc>
        <w:tc>
          <w:tcPr>
            <w:tcW w:w="873" w:type="pct"/>
            <w:tcBorders>
              <w:top w:val="nil"/>
              <w:left w:val="nil"/>
              <w:bottom w:val="nil"/>
              <w:right w:val="nil"/>
            </w:tcBorders>
            <w:shd w:val="clear" w:color="auto" w:fill="auto"/>
            <w:tcMar>
              <w:left w:w="57" w:type="dxa"/>
              <w:right w:w="57" w:type="dxa"/>
            </w:tcMar>
            <w:vAlign w:val="bottom"/>
            <w:hideMark/>
          </w:tcPr>
          <w:p w14:paraId="321851C7" w14:textId="77777777" w:rsidR="0084445A" w:rsidRPr="00741D80" w:rsidRDefault="0084445A" w:rsidP="00084C32">
            <w:pPr>
              <w:pStyle w:val="a0"/>
              <w:rPr>
                <w:rFonts w:asciiTheme="minorHAnsi" w:hAnsiTheme="minorHAnsi" w:cstheme="minorHAnsi"/>
                <w:color w:val="auto"/>
                <w:szCs w:val="20"/>
                <w:lang w:val="bg-BG"/>
              </w:rPr>
            </w:pPr>
          </w:p>
        </w:tc>
        <w:tc>
          <w:tcPr>
            <w:tcW w:w="871" w:type="pct"/>
            <w:tcBorders>
              <w:top w:val="nil"/>
              <w:left w:val="nil"/>
              <w:bottom w:val="nil"/>
              <w:right w:val="nil"/>
            </w:tcBorders>
            <w:shd w:val="clear" w:color="auto" w:fill="auto"/>
            <w:tcMar>
              <w:left w:w="57" w:type="dxa"/>
              <w:right w:w="57" w:type="dxa"/>
            </w:tcMar>
            <w:vAlign w:val="bottom"/>
            <w:hideMark/>
          </w:tcPr>
          <w:p w14:paraId="6A060D98" w14:textId="77777777" w:rsidR="0084445A" w:rsidRPr="00741D80" w:rsidRDefault="0084445A" w:rsidP="00084C32">
            <w:pPr>
              <w:pStyle w:val="a0"/>
              <w:rPr>
                <w:rFonts w:asciiTheme="minorHAnsi" w:hAnsiTheme="minorHAnsi" w:cstheme="minorHAnsi"/>
                <w:color w:val="auto"/>
                <w:szCs w:val="20"/>
                <w:lang w:val="bg-BG"/>
              </w:rPr>
            </w:pPr>
          </w:p>
        </w:tc>
      </w:tr>
      <w:tr w:rsidR="0084445A" w:rsidRPr="00741D80" w14:paraId="5F670F0C" w14:textId="77777777" w:rsidTr="00AE7CF9">
        <w:trPr>
          <w:trHeight w:val="170"/>
          <w:jc w:val="center"/>
        </w:trPr>
        <w:tc>
          <w:tcPr>
            <w:tcW w:w="3256" w:type="pct"/>
            <w:tcBorders>
              <w:top w:val="nil"/>
              <w:left w:val="nil"/>
              <w:bottom w:val="nil"/>
              <w:right w:val="nil"/>
            </w:tcBorders>
            <w:shd w:val="clear" w:color="auto" w:fill="auto"/>
            <w:noWrap/>
            <w:tcMar>
              <w:left w:w="57" w:type="dxa"/>
              <w:right w:w="57" w:type="dxa"/>
            </w:tcMar>
            <w:vAlign w:val="bottom"/>
            <w:hideMark/>
          </w:tcPr>
          <w:p w14:paraId="2B39D7DF"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в лева</w:t>
            </w:r>
          </w:p>
        </w:tc>
        <w:tc>
          <w:tcPr>
            <w:tcW w:w="873" w:type="pct"/>
            <w:tcBorders>
              <w:top w:val="nil"/>
              <w:left w:val="nil"/>
              <w:bottom w:val="nil"/>
              <w:right w:val="nil"/>
            </w:tcBorders>
            <w:shd w:val="clear" w:color="auto" w:fill="auto"/>
            <w:tcMar>
              <w:left w:w="57" w:type="dxa"/>
              <w:right w:w="57" w:type="dxa"/>
            </w:tcMar>
            <w:vAlign w:val="bottom"/>
            <w:hideMark/>
          </w:tcPr>
          <w:p w14:paraId="651B5223"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1,450</w:t>
            </w:r>
          </w:p>
        </w:tc>
        <w:tc>
          <w:tcPr>
            <w:tcW w:w="871" w:type="pct"/>
            <w:tcBorders>
              <w:top w:val="nil"/>
              <w:left w:val="nil"/>
              <w:bottom w:val="nil"/>
              <w:right w:val="nil"/>
            </w:tcBorders>
            <w:shd w:val="clear" w:color="auto" w:fill="auto"/>
            <w:tcMar>
              <w:left w:w="57" w:type="dxa"/>
              <w:right w:w="57" w:type="dxa"/>
            </w:tcMar>
            <w:vAlign w:val="bottom"/>
            <w:hideMark/>
          </w:tcPr>
          <w:p w14:paraId="642AF788"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1,064</w:t>
            </w:r>
          </w:p>
        </w:tc>
      </w:tr>
      <w:tr w:rsidR="0084445A" w:rsidRPr="00741D80" w14:paraId="51CD2845" w14:textId="77777777" w:rsidTr="00AE7CF9">
        <w:trPr>
          <w:trHeight w:val="170"/>
          <w:jc w:val="center"/>
        </w:trPr>
        <w:tc>
          <w:tcPr>
            <w:tcW w:w="3256" w:type="pct"/>
            <w:tcBorders>
              <w:top w:val="nil"/>
              <w:left w:val="nil"/>
              <w:bottom w:val="nil"/>
              <w:right w:val="nil"/>
            </w:tcBorders>
            <w:shd w:val="clear" w:color="auto" w:fill="auto"/>
            <w:noWrap/>
            <w:tcMar>
              <w:left w:w="57" w:type="dxa"/>
              <w:right w:w="57" w:type="dxa"/>
            </w:tcMar>
            <w:vAlign w:val="bottom"/>
            <w:hideMark/>
          </w:tcPr>
          <w:p w14:paraId="0FB915C1"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във валута</w:t>
            </w:r>
          </w:p>
        </w:tc>
        <w:tc>
          <w:tcPr>
            <w:tcW w:w="873" w:type="pct"/>
            <w:tcBorders>
              <w:top w:val="nil"/>
              <w:left w:val="nil"/>
              <w:bottom w:val="nil"/>
              <w:right w:val="nil"/>
            </w:tcBorders>
            <w:shd w:val="clear" w:color="auto" w:fill="auto"/>
            <w:tcMar>
              <w:left w:w="57" w:type="dxa"/>
              <w:right w:w="57" w:type="dxa"/>
            </w:tcMar>
            <w:vAlign w:val="bottom"/>
            <w:hideMark/>
          </w:tcPr>
          <w:p w14:paraId="4A845126"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575</w:t>
            </w:r>
          </w:p>
        </w:tc>
        <w:tc>
          <w:tcPr>
            <w:tcW w:w="871" w:type="pct"/>
            <w:tcBorders>
              <w:top w:val="nil"/>
              <w:left w:val="nil"/>
              <w:bottom w:val="nil"/>
              <w:right w:val="nil"/>
            </w:tcBorders>
            <w:shd w:val="clear" w:color="auto" w:fill="auto"/>
            <w:noWrap/>
            <w:tcMar>
              <w:left w:w="57" w:type="dxa"/>
              <w:right w:w="57" w:type="dxa"/>
            </w:tcMar>
            <w:vAlign w:val="bottom"/>
            <w:hideMark/>
          </w:tcPr>
          <w:p w14:paraId="5129F5F2"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447</w:t>
            </w:r>
          </w:p>
        </w:tc>
      </w:tr>
      <w:tr w:rsidR="0084445A" w:rsidRPr="00741D80" w14:paraId="0A94E935" w14:textId="77777777" w:rsidTr="00AE7CF9">
        <w:trPr>
          <w:trHeight w:val="170"/>
          <w:jc w:val="center"/>
        </w:trPr>
        <w:tc>
          <w:tcPr>
            <w:tcW w:w="3256" w:type="pct"/>
            <w:tcBorders>
              <w:top w:val="nil"/>
              <w:left w:val="nil"/>
              <w:bottom w:val="nil"/>
              <w:right w:val="nil"/>
            </w:tcBorders>
            <w:shd w:val="clear" w:color="auto" w:fill="auto"/>
            <w:noWrap/>
            <w:tcMar>
              <w:left w:w="57" w:type="dxa"/>
              <w:right w:w="57" w:type="dxa"/>
            </w:tcMar>
            <w:vAlign w:val="bottom"/>
            <w:hideMark/>
          </w:tcPr>
          <w:p w14:paraId="468EB35C" w14:textId="77777777" w:rsidR="0084445A" w:rsidRPr="00741D80" w:rsidRDefault="0084445A" w:rsidP="00084C32">
            <w:pPr>
              <w:pStyle w:val="a"/>
              <w:widowControl w:val="0"/>
              <w:rPr>
                <w:rFonts w:asciiTheme="minorHAnsi" w:hAnsiTheme="minorHAnsi" w:cstheme="minorHAnsi"/>
                <w:color w:val="auto"/>
                <w:szCs w:val="20"/>
                <w:lang w:val="bg-BG"/>
              </w:rPr>
            </w:pPr>
          </w:p>
        </w:tc>
        <w:tc>
          <w:tcPr>
            <w:tcW w:w="873" w:type="pct"/>
            <w:tcBorders>
              <w:top w:val="single" w:sz="4" w:space="0" w:color="auto"/>
              <w:left w:val="nil"/>
              <w:bottom w:val="double" w:sz="6" w:space="0" w:color="auto"/>
              <w:right w:val="nil"/>
            </w:tcBorders>
            <w:shd w:val="clear" w:color="auto" w:fill="auto"/>
            <w:noWrap/>
            <w:tcMar>
              <w:left w:w="57" w:type="dxa"/>
              <w:right w:w="57" w:type="dxa"/>
            </w:tcMar>
            <w:vAlign w:val="bottom"/>
            <w:hideMark/>
          </w:tcPr>
          <w:p w14:paraId="6B83B785" w14:textId="77777777" w:rsidR="0084445A" w:rsidRPr="00741D80" w:rsidRDefault="0084445A" w:rsidP="00084C32">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2,025</w:t>
            </w:r>
          </w:p>
        </w:tc>
        <w:tc>
          <w:tcPr>
            <w:tcW w:w="871" w:type="pct"/>
            <w:tcBorders>
              <w:top w:val="single" w:sz="4" w:space="0" w:color="auto"/>
              <w:left w:val="nil"/>
              <w:bottom w:val="double" w:sz="6" w:space="0" w:color="auto"/>
              <w:right w:val="nil"/>
            </w:tcBorders>
            <w:shd w:val="clear" w:color="auto" w:fill="auto"/>
            <w:noWrap/>
            <w:tcMar>
              <w:left w:w="57" w:type="dxa"/>
              <w:right w:w="57" w:type="dxa"/>
            </w:tcMar>
            <w:vAlign w:val="bottom"/>
            <w:hideMark/>
          </w:tcPr>
          <w:p w14:paraId="3724671F" w14:textId="77777777" w:rsidR="0084445A" w:rsidRPr="00741D80" w:rsidRDefault="0084445A" w:rsidP="00084C32">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1,511</w:t>
            </w:r>
          </w:p>
        </w:tc>
      </w:tr>
    </w:tbl>
    <w:p w14:paraId="15AE969A" w14:textId="77777777" w:rsidR="0084445A" w:rsidRPr="00741D80" w:rsidRDefault="0084445A" w:rsidP="00084C32">
      <w:pPr>
        <w:spacing w:after="0" w:line="276" w:lineRule="auto"/>
        <w:jc w:val="both"/>
        <w:rPr>
          <w:rFonts w:cstheme="minorHAnsi"/>
        </w:rPr>
      </w:pPr>
      <w:r w:rsidRPr="00741D80">
        <w:rPr>
          <w:rFonts w:cstheme="minorHAnsi"/>
        </w:rPr>
        <w:t xml:space="preserve">Предоставените към 31.12.2018 г. парични средства и парични еквиваленти в банки са в лева 1,450 </w:t>
      </w:r>
      <w:proofErr w:type="spellStart"/>
      <w:r w:rsidRPr="00741D80">
        <w:rPr>
          <w:rFonts w:cstheme="minorHAnsi"/>
        </w:rPr>
        <w:t>х.лв</w:t>
      </w:r>
      <w:proofErr w:type="spellEnd"/>
      <w:r w:rsidRPr="00741D80">
        <w:rPr>
          <w:rFonts w:cstheme="minorHAnsi"/>
        </w:rPr>
        <w:t xml:space="preserve">. и в евро – 575 </w:t>
      </w:r>
      <w:proofErr w:type="spellStart"/>
      <w:r w:rsidRPr="00741D80">
        <w:rPr>
          <w:rFonts w:cstheme="minorHAnsi"/>
        </w:rPr>
        <w:t>х.лв</w:t>
      </w:r>
      <w:proofErr w:type="spellEnd"/>
      <w:r w:rsidRPr="00741D80">
        <w:rPr>
          <w:rFonts w:cstheme="minorHAnsi"/>
        </w:rPr>
        <w:t xml:space="preserve">. Лихвените равнища по разплащателните сметки са до 0.10 % в зависимост от сумите по разплащателните сметки, вида на валутата и пазарните условия. </w:t>
      </w:r>
    </w:p>
    <w:p w14:paraId="65D45BAC" w14:textId="77777777" w:rsidR="0084445A" w:rsidRPr="00741D80" w:rsidRDefault="0084445A" w:rsidP="00084C32">
      <w:pPr>
        <w:spacing w:after="0" w:line="276" w:lineRule="auto"/>
        <w:jc w:val="both"/>
        <w:rPr>
          <w:rFonts w:cstheme="minorHAnsi"/>
        </w:rPr>
      </w:pPr>
      <w:r w:rsidRPr="00741D80">
        <w:rPr>
          <w:rFonts w:cstheme="minorHAnsi"/>
        </w:rPr>
        <w:t>Наличните към 31.12.2018 г. парични средства са по текущи сметки на дружеството в следните банки: Юробанк България АД, ОББ АД, Тексим банк АД.</w:t>
      </w:r>
    </w:p>
    <w:p w14:paraId="1ECDCB80" w14:textId="77777777" w:rsidR="0084445A" w:rsidRPr="00741D80" w:rsidRDefault="0084445A" w:rsidP="00084C32">
      <w:pPr>
        <w:spacing w:after="0" w:line="276" w:lineRule="auto"/>
        <w:jc w:val="both"/>
        <w:rPr>
          <w:rFonts w:cstheme="minorHAnsi"/>
        </w:rPr>
      </w:pPr>
      <w:r w:rsidRPr="00741D80">
        <w:rPr>
          <w:rFonts w:cstheme="minorHAnsi"/>
        </w:rPr>
        <w:t xml:space="preserve">Предоставените към 31.12.2017 г. парични средства и парични еквиваленти в банки са в лева 1,064 </w:t>
      </w:r>
      <w:proofErr w:type="spellStart"/>
      <w:r w:rsidRPr="00741D80">
        <w:rPr>
          <w:rFonts w:cstheme="minorHAnsi"/>
        </w:rPr>
        <w:t>х.лв</w:t>
      </w:r>
      <w:proofErr w:type="spellEnd"/>
      <w:r w:rsidRPr="00741D80">
        <w:rPr>
          <w:rFonts w:cstheme="minorHAnsi"/>
        </w:rPr>
        <w:t xml:space="preserve">. и в евро – 447 </w:t>
      </w:r>
      <w:proofErr w:type="spellStart"/>
      <w:r w:rsidRPr="00741D80">
        <w:rPr>
          <w:rFonts w:cstheme="minorHAnsi"/>
        </w:rPr>
        <w:t>х.лв</w:t>
      </w:r>
      <w:proofErr w:type="spellEnd"/>
      <w:r w:rsidRPr="00741D80">
        <w:rPr>
          <w:rFonts w:cstheme="minorHAnsi"/>
        </w:rPr>
        <w:t xml:space="preserve">. Лихвените равнища по разплащателните сметки са от 0.10 % в зависимост от сумите по разплащателните сметки, вида на валутата и пазарните условия. </w:t>
      </w:r>
    </w:p>
    <w:p w14:paraId="5804A432" w14:textId="5B679209" w:rsidR="0084445A" w:rsidRDefault="0084445A" w:rsidP="00084C32">
      <w:pPr>
        <w:spacing w:after="0" w:line="276" w:lineRule="auto"/>
        <w:jc w:val="both"/>
        <w:rPr>
          <w:rFonts w:cstheme="minorHAnsi"/>
        </w:rPr>
      </w:pPr>
      <w:r w:rsidRPr="00741D80">
        <w:rPr>
          <w:rFonts w:cstheme="minorHAnsi"/>
        </w:rPr>
        <w:t>Наличните към 31.12.2017 г. парични средства са по текущи сметки на дружеството в следните банки: Юробанк България АД, СИБанк АД.</w:t>
      </w:r>
    </w:p>
    <w:p w14:paraId="2F5A4F3E" w14:textId="134C8599" w:rsidR="00CA3848" w:rsidRPr="00CA3848" w:rsidRDefault="00CA3848" w:rsidP="00084C32">
      <w:pPr>
        <w:spacing w:after="0" w:line="276" w:lineRule="auto"/>
        <w:jc w:val="both"/>
        <w:rPr>
          <w:rFonts w:cstheme="minorHAnsi"/>
        </w:rPr>
      </w:pPr>
      <w:bookmarkStart w:id="76" w:name="_Hlk536222365"/>
      <w:r w:rsidRPr="0010694E">
        <w:rPr>
          <w:rFonts w:cstheme="minorHAnsi"/>
        </w:rPr>
        <w:t>Паричните средства са в банки с добър кредитен рейтинг. Очакваната кредитна загуба е много ниска, поради, което не е</w:t>
      </w:r>
      <w:r w:rsidR="00FD518A" w:rsidRPr="0010694E">
        <w:rPr>
          <w:rFonts w:cstheme="minorHAnsi"/>
          <w:lang w:val="en-US"/>
        </w:rPr>
        <w:t xml:space="preserve"> </w:t>
      </w:r>
      <w:r w:rsidRPr="0010694E">
        <w:rPr>
          <w:rFonts w:cstheme="minorHAnsi"/>
        </w:rPr>
        <w:t>отразена в счетоводните регистри на Дружеството.</w:t>
      </w:r>
    </w:p>
    <w:p w14:paraId="451C02EE" w14:textId="77777777" w:rsidR="0084445A" w:rsidRPr="00741D80" w:rsidRDefault="0084445A" w:rsidP="00833465">
      <w:pPr>
        <w:pStyle w:val="Mainnumbers"/>
      </w:pPr>
      <w:bookmarkStart w:id="77" w:name="_Toc418084391"/>
      <w:bookmarkStart w:id="78" w:name="_Toc536452029"/>
      <w:bookmarkEnd w:id="76"/>
      <w:r w:rsidRPr="00741D80">
        <w:t>КАПИТАЛ</w:t>
      </w:r>
      <w:bookmarkEnd w:id="74"/>
      <w:r w:rsidRPr="00741D80">
        <w:t xml:space="preserve"> И РЕЗЕРВИ</w:t>
      </w:r>
      <w:bookmarkEnd w:id="75"/>
      <w:bookmarkEnd w:id="77"/>
      <w:bookmarkEnd w:id="78"/>
    </w:p>
    <w:tbl>
      <w:tblPr>
        <w:tblW w:w="5000" w:type="pct"/>
        <w:jc w:val="center"/>
        <w:tblLook w:val="04A0" w:firstRow="1" w:lastRow="0" w:firstColumn="1" w:lastColumn="0" w:noHBand="0" w:noVBand="1"/>
      </w:tblPr>
      <w:tblGrid>
        <w:gridCol w:w="6520"/>
        <w:gridCol w:w="1667"/>
        <w:gridCol w:w="1451"/>
      </w:tblGrid>
      <w:tr w:rsidR="0084445A" w:rsidRPr="00741D80" w14:paraId="4CF5D16D" w14:textId="77777777" w:rsidTr="00741D80">
        <w:trPr>
          <w:trHeight w:val="170"/>
          <w:jc w:val="center"/>
        </w:trPr>
        <w:tc>
          <w:tcPr>
            <w:tcW w:w="3382" w:type="pct"/>
            <w:tcBorders>
              <w:top w:val="nil"/>
              <w:left w:val="nil"/>
              <w:bottom w:val="nil"/>
              <w:right w:val="nil"/>
            </w:tcBorders>
            <w:shd w:val="clear" w:color="auto" w:fill="auto"/>
            <w:vAlign w:val="bottom"/>
            <w:hideMark/>
          </w:tcPr>
          <w:p w14:paraId="5EA94C76" w14:textId="77777777" w:rsidR="0084445A" w:rsidRPr="00741D80" w:rsidRDefault="0084445A" w:rsidP="00084C32">
            <w:pPr>
              <w:pStyle w:val="a"/>
              <w:rPr>
                <w:rFonts w:asciiTheme="minorHAnsi" w:hAnsiTheme="minorHAnsi" w:cstheme="minorHAnsi"/>
                <w:color w:val="auto"/>
                <w:szCs w:val="20"/>
                <w:lang w:val="bg-BG"/>
              </w:rPr>
            </w:pPr>
          </w:p>
        </w:tc>
        <w:tc>
          <w:tcPr>
            <w:tcW w:w="865" w:type="pct"/>
            <w:tcBorders>
              <w:top w:val="nil"/>
              <w:left w:val="nil"/>
              <w:bottom w:val="nil"/>
              <w:right w:val="nil"/>
            </w:tcBorders>
            <w:shd w:val="clear" w:color="auto" w:fill="auto"/>
            <w:hideMark/>
          </w:tcPr>
          <w:p w14:paraId="1FE72934"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753" w:type="pct"/>
            <w:tcBorders>
              <w:top w:val="nil"/>
              <w:left w:val="nil"/>
              <w:bottom w:val="nil"/>
              <w:right w:val="nil"/>
            </w:tcBorders>
            <w:shd w:val="clear" w:color="auto" w:fill="auto"/>
            <w:hideMark/>
          </w:tcPr>
          <w:p w14:paraId="02247DAC"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7C8FB39E" w14:textId="77777777" w:rsidTr="00741D80">
        <w:trPr>
          <w:trHeight w:val="170"/>
          <w:jc w:val="center"/>
        </w:trPr>
        <w:tc>
          <w:tcPr>
            <w:tcW w:w="3382" w:type="pct"/>
            <w:tcBorders>
              <w:top w:val="nil"/>
              <w:left w:val="nil"/>
              <w:bottom w:val="nil"/>
              <w:right w:val="nil"/>
            </w:tcBorders>
            <w:shd w:val="clear" w:color="auto" w:fill="auto"/>
            <w:vAlign w:val="bottom"/>
            <w:hideMark/>
          </w:tcPr>
          <w:p w14:paraId="0D70274F" w14:textId="77777777" w:rsidR="0084445A" w:rsidRPr="00741D80" w:rsidRDefault="0084445A" w:rsidP="00084C32">
            <w:pPr>
              <w:pStyle w:val="a"/>
              <w:rPr>
                <w:rFonts w:asciiTheme="minorHAnsi" w:hAnsiTheme="minorHAnsi" w:cstheme="minorHAnsi"/>
                <w:color w:val="auto"/>
                <w:szCs w:val="20"/>
                <w:lang w:val="bg-BG"/>
              </w:rPr>
            </w:pPr>
          </w:p>
        </w:tc>
        <w:tc>
          <w:tcPr>
            <w:tcW w:w="865" w:type="pct"/>
            <w:tcBorders>
              <w:top w:val="nil"/>
              <w:left w:val="nil"/>
              <w:bottom w:val="nil"/>
              <w:right w:val="nil"/>
            </w:tcBorders>
            <w:shd w:val="clear" w:color="auto" w:fill="auto"/>
            <w:noWrap/>
            <w:hideMark/>
          </w:tcPr>
          <w:p w14:paraId="22A0AA9D"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753" w:type="pct"/>
            <w:tcBorders>
              <w:top w:val="nil"/>
              <w:left w:val="nil"/>
              <w:bottom w:val="nil"/>
              <w:right w:val="nil"/>
            </w:tcBorders>
            <w:shd w:val="clear" w:color="auto" w:fill="auto"/>
            <w:noWrap/>
            <w:hideMark/>
          </w:tcPr>
          <w:p w14:paraId="08BE0342" w14:textId="77777777" w:rsidR="0084445A" w:rsidRPr="00741D80" w:rsidRDefault="0084445A" w:rsidP="00084C32">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40F2DDC1" w14:textId="77777777" w:rsidTr="00741D80">
        <w:trPr>
          <w:trHeight w:val="170"/>
          <w:jc w:val="center"/>
        </w:trPr>
        <w:tc>
          <w:tcPr>
            <w:tcW w:w="3382" w:type="pct"/>
            <w:tcBorders>
              <w:top w:val="nil"/>
              <w:left w:val="nil"/>
              <w:bottom w:val="nil"/>
              <w:right w:val="nil"/>
            </w:tcBorders>
            <w:shd w:val="clear" w:color="auto" w:fill="auto"/>
            <w:vAlign w:val="bottom"/>
            <w:hideMark/>
          </w:tcPr>
          <w:p w14:paraId="2FEAC0E4"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Основен акционерен капитал</w:t>
            </w:r>
          </w:p>
        </w:tc>
        <w:tc>
          <w:tcPr>
            <w:tcW w:w="865" w:type="pct"/>
            <w:tcBorders>
              <w:top w:val="nil"/>
              <w:left w:val="nil"/>
              <w:bottom w:val="nil"/>
              <w:right w:val="nil"/>
            </w:tcBorders>
            <w:shd w:val="clear" w:color="auto" w:fill="auto"/>
            <w:vAlign w:val="bottom"/>
            <w:hideMark/>
          </w:tcPr>
          <w:p w14:paraId="5BF6B47B"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6,583</w:t>
            </w:r>
          </w:p>
        </w:tc>
        <w:tc>
          <w:tcPr>
            <w:tcW w:w="753" w:type="pct"/>
            <w:tcBorders>
              <w:top w:val="nil"/>
              <w:left w:val="nil"/>
              <w:bottom w:val="nil"/>
              <w:right w:val="nil"/>
            </w:tcBorders>
            <w:shd w:val="clear" w:color="auto" w:fill="auto"/>
            <w:vAlign w:val="bottom"/>
            <w:hideMark/>
          </w:tcPr>
          <w:p w14:paraId="2276C1BB"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6,583</w:t>
            </w:r>
          </w:p>
        </w:tc>
      </w:tr>
      <w:tr w:rsidR="0084445A" w:rsidRPr="00741D80" w14:paraId="3E0C0B95" w14:textId="77777777" w:rsidTr="00741D80">
        <w:trPr>
          <w:trHeight w:val="170"/>
          <w:jc w:val="center"/>
        </w:trPr>
        <w:tc>
          <w:tcPr>
            <w:tcW w:w="3382" w:type="pct"/>
            <w:tcBorders>
              <w:top w:val="nil"/>
              <w:left w:val="nil"/>
              <w:bottom w:val="nil"/>
              <w:right w:val="nil"/>
            </w:tcBorders>
            <w:shd w:val="clear" w:color="auto" w:fill="auto"/>
            <w:vAlign w:val="bottom"/>
            <w:hideMark/>
          </w:tcPr>
          <w:p w14:paraId="4031FF25"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Други резерви</w:t>
            </w:r>
          </w:p>
        </w:tc>
        <w:tc>
          <w:tcPr>
            <w:tcW w:w="865" w:type="pct"/>
            <w:tcBorders>
              <w:top w:val="nil"/>
              <w:left w:val="nil"/>
              <w:bottom w:val="nil"/>
              <w:right w:val="nil"/>
            </w:tcBorders>
            <w:shd w:val="clear" w:color="auto" w:fill="auto"/>
            <w:vAlign w:val="bottom"/>
            <w:hideMark/>
          </w:tcPr>
          <w:p w14:paraId="5915F399"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3,145</w:t>
            </w:r>
          </w:p>
        </w:tc>
        <w:tc>
          <w:tcPr>
            <w:tcW w:w="753" w:type="pct"/>
            <w:tcBorders>
              <w:top w:val="nil"/>
              <w:left w:val="nil"/>
              <w:bottom w:val="nil"/>
              <w:right w:val="nil"/>
            </w:tcBorders>
            <w:shd w:val="clear" w:color="auto" w:fill="auto"/>
            <w:vAlign w:val="bottom"/>
            <w:hideMark/>
          </w:tcPr>
          <w:p w14:paraId="3A2F2786"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3,042</w:t>
            </w:r>
          </w:p>
        </w:tc>
      </w:tr>
      <w:tr w:rsidR="0084445A" w:rsidRPr="00741D80" w14:paraId="40C00C85" w14:textId="77777777" w:rsidTr="00741D80">
        <w:trPr>
          <w:trHeight w:val="170"/>
          <w:jc w:val="center"/>
        </w:trPr>
        <w:tc>
          <w:tcPr>
            <w:tcW w:w="3382" w:type="pct"/>
            <w:tcBorders>
              <w:top w:val="nil"/>
              <w:left w:val="nil"/>
              <w:bottom w:val="nil"/>
              <w:right w:val="nil"/>
            </w:tcBorders>
            <w:shd w:val="clear" w:color="auto" w:fill="auto"/>
            <w:vAlign w:val="bottom"/>
            <w:hideMark/>
          </w:tcPr>
          <w:p w14:paraId="6F252D0A"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Резерв по финансови активи на разположение за продажба</w:t>
            </w:r>
          </w:p>
        </w:tc>
        <w:tc>
          <w:tcPr>
            <w:tcW w:w="865" w:type="pct"/>
            <w:tcBorders>
              <w:top w:val="nil"/>
              <w:left w:val="nil"/>
              <w:bottom w:val="nil"/>
              <w:right w:val="nil"/>
            </w:tcBorders>
            <w:shd w:val="clear" w:color="auto" w:fill="auto"/>
            <w:vAlign w:val="bottom"/>
            <w:hideMark/>
          </w:tcPr>
          <w:p w14:paraId="003DD7A4"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426</w:t>
            </w:r>
          </w:p>
        </w:tc>
        <w:tc>
          <w:tcPr>
            <w:tcW w:w="753" w:type="pct"/>
            <w:tcBorders>
              <w:top w:val="nil"/>
              <w:left w:val="nil"/>
              <w:bottom w:val="nil"/>
              <w:right w:val="nil"/>
            </w:tcBorders>
            <w:shd w:val="clear" w:color="auto" w:fill="auto"/>
            <w:vAlign w:val="bottom"/>
            <w:hideMark/>
          </w:tcPr>
          <w:p w14:paraId="5F865D8E"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463</w:t>
            </w:r>
          </w:p>
        </w:tc>
      </w:tr>
      <w:tr w:rsidR="0084445A" w:rsidRPr="00741D80" w14:paraId="318F7C83" w14:textId="77777777" w:rsidTr="00741D80">
        <w:trPr>
          <w:trHeight w:val="170"/>
          <w:jc w:val="center"/>
        </w:trPr>
        <w:tc>
          <w:tcPr>
            <w:tcW w:w="3382" w:type="pct"/>
            <w:tcBorders>
              <w:top w:val="nil"/>
              <w:left w:val="nil"/>
              <w:bottom w:val="nil"/>
              <w:right w:val="nil"/>
            </w:tcBorders>
            <w:shd w:val="clear" w:color="auto" w:fill="auto"/>
            <w:vAlign w:val="bottom"/>
            <w:hideMark/>
          </w:tcPr>
          <w:p w14:paraId="22AD1CD1"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Неразпределени печалби </w:t>
            </w:r>
          </w:p>
        </w:tc>
        <w:tc>
          <w:tcPr>
            <w:tcW w:w="865" w:type="pct"/>
            <w:tcBorders>
              <w:top w:val="nil"/>
              <w:left w:val="nil"/>
              <w:bottom w:val="nil"/>
              <w:right w:val="nil"/>
            </w:tcBorders>
            <w:shd w:val="clear" w:color="auto" w:fill="auto"/>
            <w:vAlign w:val="bottom"/>
            <w:hideMark/>
          </w:tcPr>
          <w:p w14:paraId="663730E0" w14:textId="4622BF8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37</w:t>
            </w:r>
            <w:r w:rsidR="00721377">
              <w:rPr>
                <w:rFonts w:asciiTheme="minorHAnsi" w:hAnsiTheme="minorHAnsi" w:cstheme="minorHAnsi"/>
                <w:color w:val="auto"/>
                <w:szCs w:val="20"/>
                <w:lang w:val="bg-BG"/>
              </w:rPr>
              <w:t>7</w:t>
            </w:r>
          </w:p>
        </w:tc>
        <w:tc>
          <w:tcPr>
            <w:tcW w:w="753" w:type="pct"/>
            <w:tcBorders>
              <w:top w:val="nil"/>
              <w:left w:val="nil"/>
              <w:bottom w:val="nil"/>
              <w:right w:val="nil"/>
            </w:tcBorders>
            <w:shd w:val="clear" w:color="auto" w:fill="auto"/>
            <w:vAlign w:val="bottom"/>
            <w:hideMark/>
          </w:tcPr>
          <w:p w14:paraId="6E5AEEFE"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169</w:t>
            </w:r>
          </w:p>
        </w:tc>
      </w:tr>
      <w:tr w:rsidR="0084445A" w:rsidRPr="00741D80" w14:paraId="66E4EAA0" w14:textId="77777777" w:rsidTr="00741D80">
        <w:trPr>
          <w:trHeight w:val="170"/>
          <w:jc w:val="center"/>
        </w:trPr>
        <w:tc>
          <w:tcPr>
            <w:tcW w:w="3382" w:type="pct"/>
            <w:tcBorders>
              <w:top w:val="nil"/>
              <w:left w:val="nil"/>
              <w:bottom w:val="nil"/>
              <w:right w:val="nil"/>
            </w:tcBorders>
            <w:shd w:val="clear" w:color="auto" w:fill="auto"/>
            <w:vAlign w:val="bottom"/>
            <w:hideMark/>
          </w:tcPr>
          <w:p w14:paraId="68A87957" w14:textId="77777777" w:rsidR="0084445A" w:rsidRPr="00741D80" w:rsidRDefault="0084445A" w:rsidP="00084C32">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865" w:type="pct"/>
            <w:tcBorders>
              <w:top w:val="single" w:sz="4" w:space="0" w:color="auto"/>
              <w:left w:val="nil"/>
              <w:bottom w:val="double" w:sz="6" w:space="0" w:color="auto"/>
              <w:right w:val="nil"/>
            </w:tcBorders>
            <w:shd w:val="clear" w:color="auto" w:fill="auto"/>
            <w:vAlign w:val="bottom"/>
            <w:hideMark/>
          </w:tcPr>
          <w:p w14:paraId="2243F0F3" w14:textId="168D40C3" w:rsidR="0084445A" w:rsidRPr="00741D80" w:rsidRDefault="0084445A" w:rsidP="00084C32">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10,53</w:t>
            </w:r>
            <w:r w:rsidR="00721377">
              <w:rPr>
                <w:rFonts w:asciiTheme="minorHAnsi" w:hAnsiTheme="minorHAnsi" w:cstheme="minorHAnsi"/>
                <w:b/>
                <w:color w:val="auto"/>
                <w:szCs w:val="20"/>
                <w:lang w:val="bg-BG"/>
              </w:rPr>
              <w:t>1</w:t>
            </w:r>
          </w:p>
        </w:tc>
        <w:tc>
          <w:tcPr>
            <w:tcW w:w="753" w:type="pct"/>
            <w:tcBorders>
              <w:top w:val="single" w:sz="4" w:space="0" w:color="auto"/>
              <w:left w:val="nil"/>
              <w:bottom w:val="double" w:sz="6" w:space="0" w:color="auto"/>
              <w:right w:val="nil"/>
            </w:tcBorders>
            <w:shd w:val="clear" w:color="auto" w:fill="auto"/>
            <w:vAlign w:val="bottom"/>
            <w:hideMark/>
          </w:tcPr>
          <w:p w14:paraId="237F54CC" w14:textId="77777777" w:rsidR="0084445A" w:rsidRPr="00741D80" w:rsidRDefault="0084445A" w:rsidP="00084C32">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10,257</w:t>
            </w:r>
          </w:p>
        </w:tc>
      </w:tr>
    </w:tbl>
    <w:p w14:paraId="7709F821" w14:textId="77777777" w:rsidR="0084445A" w:rsidRPr="00741D80" w:rsidRDefault="0084445A" w:rsidP="0084445A">
      <w:pPr>
        <w:pStyle w:val="NormalBoldItalic"/>
        <w:rPr>
          <w:lang w:val="bg-BG"/>
        </w:rPr>
      </w:pPr>
      <w:r w:rsidRPr="00741D80">
        <w:t>Основен капитал</w:t>
      </w:r>
    </w:p>
    <w:p w14:paraId="5480FB6E" w14:textId="77777777" w:rsidR="0084445A" w:rsidRPr="00741D80" w:rsidRDefault="0084445A" w:rsidP="00084C32">
      <w:pPr>
        <w:spacing w:after="0"/>
        <w:jc w:val="both"/>
        <w:rPr>
          <w:rFonts w:cstheme="minorHAnsi"/>
        </w:rPr>
      </w:pPr>
      <w:r w:rsidRPr="00741D80">
        <w:rPr>
          <w:rFonts w:cstheme="minorHAnsi"/>
        </w:rPr>
        <w:t>Към 31.12.</w:t>
      </w:r>
      <w:r w:rsidRPr="00741D80">
        <w:rPr>
          <w:rFonts w:cstheme="minorHAnsi"/>
          <w:lang w:val="en-US"/>
        </w:rPr>
        <w:t>2018</w:t>
      </w:r>
      <w:r w:rsidRPr="00741D80">
        <w:rPr>
          <w:rFonts w:cstheme="minorHAnsi"/>
        </w:rPr>
        <w:t xml:space="preserve"> г. регистрираният акционерен капитал на Българска фондова борса АД възлиза на 6,583 </w:t>
      </w:r>
      <w:proofErr w:type="spellStart"/>
      <w:r w:rsidRPr="00741D80">
        <w:rPr>
          <w:rFonts w:cstheme="minorHAnsi"/>
        </w:rPr>
        <w:t>х.лв</w:t>
      </w:r>
      <w:proofErr w:type="spellEnd"/>
      <w:r w:rsidRPr="00741D80">
        <w:rPr>
          <w:rFonts w:cstheme="minorHAnsi"/>
        </w:rPr>
        <w:t>. (31.12.</w:t>
      </w:r>
      <w:r w:rsidRPr="00741D80">
        <w:rPr>
          <w:rFonts w:cstheme="minorHAnsi"/>
          <w:lang w:val="en-US"/>
        </w:rPr>
        <w:t>2017</w:t>
      </w:r>
      <w:r w:rsidRPr="00741D80">
        <w:rPr>
          <w:rFonts w:cstheme="minorHAnsi"/>
        </w:rPr>
        <w:t xml:space="preserve"> г.: 6,583 </w:t>
      </w:r>
      <w:proofErr w:type="spellStart"/>
      <w:r w:rsidRPr="00741D80">
        <w:rPr>
          <w:rFonts w:cstheme="minorHAnsi"/>
        </w:rPr>
        <w:t>х.лв</w:t>
      </w:r>
      <w:proofErr w:type="spellEnd"/>
      <w:r w:rsidRPr="00741D80">
        <w:rPr>
          <w:rFonts w:cstheme="minorHAnsi"/>
        </w:rPr>
        <w:t xml:space="preserve">.), разпределен в 6,582,860 напълно платени обикновени поименни акции с право на глас с номинална стойност на акция - 1 лев. </w:t>
      </w:r>
    </w:p>
    <w:p w14:paraId="733A8519" w14:textId="77777777" w:rsidR="0084445A" w:rsidRPr="00741D80" w:rsidRDefault="0084445A" w:rsidP="00084C32">
      <w:pPr>
        <w:spacing w:after="0"/>
        <w:jc w:val="both"/>
        <w:rPr>
          <w:rFonts w:cstheme="minorHAnsi"/>
        </w:rPr>
      </w:pPr>
      <w:r w:rsidRPr="00741D80">
        <w:rPr>
          <w:rFonts w:cstheme="minorHAnsi"/>
        </w:rPr>
        <w:t>Акциите на дружеството са регистрирани за търговия на Българска фондова борса АД.</w:t>
      </w:r>
    </w:p>
    <w:p w14:paraId="2710FDA1" w14:textId="77777777" w:rsidR="0084445A" w:rsidRPr="00741D80" w:rsidRDefault="0084445A" w:rsidP="00084C32">
      <w:pPr>
        <w:spacing w:after="0"/>
        <w:jc w:val="both"/>
        <w:rPr>
          <w:rFonts w:cstheme="minorHAnsi"/>
        </w:rPr>
      </w:pPr>
      <w:r w:rsidRPr="00741D80">
        <w:rPr>
          <w:rFonts w:cstheme="minorHAnsi"/>
        </w:rPr>
        <w:t>Към 31.12</w:t>
      </w:r>
      <w:r w:rsidRPr="00741D80">
        <w:rPr>
          <w:rFonts w:cstheme="minorHAnsi"/>
          <w:lang w:val="en-US"/>
        </w:rPr>
        <w:t>.2018</w:t>
      </w:r>
      <w:r w:rsidRPr="00741D80">
        <w:rPr>
          <w:rFonts w:cstheme="minorHAnsi"/>
        </w:rPr>
        <w:t xml:space="preserve"> г. издадените и напълно платени обикновени акции на дружеството са 6,582,860 бр. (31.12.</w:t>
      </w:r>
      <w:r w:rsidRPr="00741D80">
        <w:rPr>
          <w:rFonts w:cstheme="minorHAnsi"/>
          <w:lang w:val="en-US"/>
        </w:rPr>
        <w:t>2017</w:t>
      </w:r>
      <w:r w:rsidRPr="00741D80">
        <w:rPr>
          <w:rFonts w:cstheme="minorHAnsi"/>
        </w:rPr>
        <w:t xml:space="preserve">г.: 6,582,860 бр.) , а стойността на основния капитал – 6,583 </w:t>
      </w:r>
      <w:proofErr w:type="spellStart"/>
      <w:r w:rsidRPr="00741D80">
        <w:rPr>
          <w:rFonts w:cstheme="minorHAnsi"/>
        </w:rPr>
        <w:t>х.лв</w:t>
      </w:r>
      <w:proofErr w:type="spellEnd"/>
      <w:r w:rsidRPr="00741D80">
        <w:rPr>
          <w:rFonts w:cstheme="minorHAnsi"/>
        </w:rPr>
        <w:t>. (31.12.</w:t>
      </w:r>
      <w:r w:rsidRPr="00741D80">
        <w:rPr>
          <w:rFonts w:cstheme="minorHAnsi"/>
          <w:lang w:val="en-US"/>
        </w:rPr>
        <w:t>2017</w:t>
      </w:r>
      <w:r w:rsidRPr="00741D80">
        <w:rPr>
          <w:rFonts w:cstheme="minorHAnsi"/>
        </w:rPr>
        <w:t xml:space="preserve"> г.: 6,583 </w:t>
      </w:r>
      <w:proofErr w:type="spellStart"/>
      <w:r w:rsidRPr="00741D80">
        <w:rPr>
          <w:rFonts w:cstheme="minorHAnsi"/>
        </w:rPr>
        <w:t>х.лв</w:t>
      </w:r>
      <w:proofErr w:type="spellEnd"/>
      <w:r w:rsidRPr="00741D80">
        <w:rPr>
          <w:rFonts w:cstheme="minorHAnsi"/>
        </w:rPr>
        <w:t>.).</w:t>
      </w:r>
    </w:p>
    <w:p w14:paraId="51DED28B" w14:textId="77777777" w:rsidR="0084445A" w:rsidRPr="00741D80" w:rsidRDefault="0084445A" w:rsidP="00084C32">
      <w:pPr>
        <w:spacing w:after="0"/>
        <w:jc w:val="both"/>
        <w:rPr>
          <w:rFonts w:cstheme="minorHAnsi"/>
        </w:rPr>
      </w:pPr>
      <w:r w:rsidRPr="00741D80">
        <w:rPr>
          <w:rFonts w:cstheme="minorHAnsi"/>
        </w:rPr>
        <w:t xml:space="preserve">С решение на извънредното Общо събрание на акционерите на Българска фондова борса -АД от 13.09.2010 г. капиталът на дружеството е увеличен със 715,000 лева срещу парична вноска, чрез издаване на нови 715,000 броя акции, с номинал 1 лев. Капиталът е записан и изцяло внесен от акционера Министерство на финансите. В резултат на това увеличение, участието на държавата чрез Министерството на финансите в капитала на Борсата се е увеличило от 44 % на 50.05 %. </w:t>
      </w:r>
    </w:p>
    <w:p w14:paraId="6DB96651" w14:textId="054674D8" w:rsidR="0084445A" w:rsidRPr="00741D80" w:rsidRDefault="0084445A" w:rsidP="00084C32">
      <w:pPr>
        <w:spacing w:after="0"/>
        <w:jc w:val="both"/>
        <w:rPr>
          <w:rFonts w:cstheme="minorHAnsi"/>
        </w:rPr>
      </w:pPr>
      <w:r w:rsidRPr="00741D80">
        <w:rPr>
          <w:rFonts w:cstheme="minorHAnsi"/>
        </w:rPr>
        <w:t>Към 31.12.</w:t>
      </w:r>
      <w:r w:rsidRPr="00741D80">
        <w:rPr>
          <w:rFonts w:cstheme="minorHAnsi"/>
          <w:lang w:val="en-US"/>
        </w:rPr>
        <w:t>2018</w:t>
      </w:r>
      <w:r w:rsidRPr="00741D80">
        <w:rPr>
          <w:rFonts w:cstheme="minorHAnsi"/>
        </w:rPr>
        <w:t xml:space="preserve"> г. основният капитал на Българска фондова борса АД е в размер на 6,582,860 лв., като от тях 3,295,000 лв. се притежават от Министерство на финансите. </w:t>
      </w:r>
    </w:p>
    <w:p w14:paraId="7C971EE5" w14:textId="77777777" w:rsidR="0084445A" w:rsidRPr="00741D80" w:rsidRDefault="0084445A" w:rsidP="0010694E">
      <w:pPr>
        <w:spacing w:after="0"/>
        <w:rPr>
          <w:rFonts w:cstheme="minorHAnsi"/>
        </w:rPr>
      </w:pPr>
      <w:r w:rsidRPr="00741D80">
        <w:rPr>
          <w:rFonts w:cstheme="minorHAnsi"/>
          <w:i/>
        </w:rPr>
        <w:t>Резервите</w:t>
      </w:r>
      <w:r w:rsidRPr="00741D80">
        <w:rPr>
          <w:rFonts w:cstheme="minorHAnsi"/>
        </w:rPr>
        <w:t xml:space="preserve"> на дружеството са обобщено представени в таблицата по-долу:</w:t>
      </w:r>
    </w:p>
    <w:tbl>
      <w:tblPr>
        <w:tblW w:w="5000" w:type="pct"/>
        <w:jc w:val="center"/>
        <w:tblLook w:val="04A0" w:firstRow="1" w:lastRow="0" w:firstColumn="1" w:lastColumn="0" w:noHBand="0" w:noVBand="1"/>
      </w:tblPr>
      <w:tblGrid>
        <w:gridCol w:w="6736"/>
        <w:gridCol w:w="1451"/>
        <w:gridCol w:w="1451"/>
      </w:tblGrid>
      <w:tr w:rsidR="0084445A" w:rsidRPr="0010694E" w14:paraId="41DC01FC" w14:textId="77777777" w:rsidTr="00AE7CF9">
        <w:trPr>
          <w:trHeight w:val="20"/>
          <w:jc w:val="center"/>
        </w:trPr>
        <w:tc>
          <w:tcPr>
            <w:tcW w:w="3494" w:type="pct"/>
            <w:tcBorders>
              <w:top w:val="nil"/>
              <w:left w:val="nil"/>
              <w:bottom w:val="nil"/>
              <w:right w:val="nil"/>
            </w:tcBorders>
            <w:shd w:val="clear" w:color="auto" w:fill="auto"/>
            <w:noWrap/>
            <w:hideMark/>
          </w:tcPr>
          <w:p w14:paraId="4C891F91" w14:textId="77777777" w:rsidR="0084445A" w:rsidRPr="0010694E" w:rsidRDefault="0084445A" w:rsidP="0010694E">
            <w:pPr>
              <w:pStyle w:val="a"/>
              <w:rPr>
                <w:rFonts w:asciiTheme="minorHAnsi" w:hAnsiTheme="minorHAnsi" w:cstheme="minorHAnsi"/>
                <w:color w:val="auto"/>
                <w:sz w:val="22"/>
                <w:szCs w:val="22"/>
                <w:lang w:val="bg-BG"/>
              </w:rPr>
            </w:pPr>
          </w:p>
        </w:tc>
        <w:tc>
          <w:tcPr>
            <w:tcW w:w="753" w:type="pct"/>
            <w:tcBorders>
              <w:top w:val="nil"/>
              <w:left w:val="nil"/>
              <w:bottom w:val="nil"/>
              <w:right w:val="nil"/>
            </w:tcBorders>
            <w:shd w:val="clear" w:color="auto" w:fill="auto"/>
            <w:hideMark/>
          </w:tcPr>
          <w:p w14:paraId="438CD890" w14:textId="77777777" w:rsidR="0084445A" w:rsidRPr="0010694E" w:rsidRDefault="0084445A" w:rsidP="0010694E">
            <w:pPr>
              <w:pStyle w:val="a1"/>
              <w:jc w:val="right"/>
              <w:rPr>
                <w:rFonts w:asciiTheme="minorHAnsi" w:hAnsiTheme="minorHAnsi" w:cstheme="minorHAnsi"/>
                <w:color w:val="auto"/>
                <w:sz w:val="22"/>
                <w:szCs w:val="22"/>
              </w:rPr>
            </w:pPr>
            <w:r w:rsidRPr="0010694E">
              <w:rPr>
                <w:rFonts w:asciiTheme="minorHAnsi" w:hAnsiTheme="minorHAnsi" w:cstheme="minorHAnsi"/>
                <w:color w:val="auto"/>
                <w:sz w:val="22"/>
                <w:szCs w:val="22"/>
                <w:lang w:val="bg-BG"/>
              </w:rPr>
              <w:t>31.12.</w:t>
            </w:r>
            <w:r w:rsidRPr="0010694E">
              <w:rPr>
                <w:rFonts w:asciiTheme="minorHAnsi" w:hAnsiTheme="minorHAnsi" w:cstheme="minorHAnsi"/>
                <w:color w:val="auto"/>
                <w:sz w:val="22"/>
                <w:szCs w:val="22"/>
              </w:rPr>
              <w:t>2018</w:t>
            </w:r>
          </w:p>
        </w:tc>
        <w:tc>
          <w:tcPr>
            <w:tcW w:w="753" w:type="pct"/>
            <w:tcBorders>
              <w:top w:val="nil"/>
              <w:left w:val="nil"/>
              <w:bottom w:val="nil"/>
              <w:right w:val="nil"/>
            </w:tcBorders>
            <w:shd w:val="clear" w:color="auto" w:fill="auto"/>
            <w:hideMark/>
          </w:tcPr>
          <w:p w14:paraId="0D5CF2D1" w14:textId="77777777" w:rsidR="0084445A" w:rsidRPr="0010694E" w:rsidRDefault="0084445A" w:rsidP="0010694E">
            <w:pPr>
              <w:pStyle w:val="a1"/>
              <w:jc w:val="right"/>
              <w:rPr>
                <w:rFonts w:asciiTheme="minorHAnsi" w:hAnsiTheme="minorHAnsi" w:cstheme="minorHAnsi"/>
                <w:color w:val="auto"/>
                <w:sz w:val="22"/>
                <w:szCs w:val="22"/>
              </w:rPr>
            </w:pPr>
            <w:r w:rsidRPr="0010694E">
              <w:rPr>
                <w:rFonts w:asciiTheme="minorHAnsi" w:hAnsiTheme="minorHAnsi" w:cstheme="minorHAnsi"/>
                <w:color w:val="auto"/>
                <w:sz w:val="22"/>
                <w:szCs w:val="22"/>
                <w:lang w:val="bg-BG"/>
              </w:rPr>
              <w:t>31.12.</w:t>
            </w:r>
            <w:r w:rsidRPr="0010694E">
              <w:rPr>
                <w:rFonts w:asciiTheme="minorHAnsi" w:hAnsiTheme="minorHAnsi" w:cstheme="minorHAnsi"/>
                <w:color w:val="auto"/>
                <w:sz w:val="22"/>
                <w:szCs w:val="22"/>
              </w:rPr>
              <w:t>2017</w:t>
            </w:r>
          </w:p>
        </w:tc>
      </w:tr>
      <w:tr w:rsidR="0084445A" w:rsidRPr="0010694E" w14:paraId="1665D64D" w14:textId="77777777" w:rsidTr="00AE7CF9">
        <w:trPr>
          <w:trHeight w:val="20"/>
          <w:jc w:val="center"/>
        </w:trPr>
        <w:tc>
          <w:tcPr>
            <w:tcW w:w="3494" w:type="pct"/>
            <w:tcBorders>
              <w:top w:val="nil"/>
              <w:left w:val="nil"/>
              <w:bottom w:val="nil"/>
              <w:right w:val="nil"/>
            </w:tcBorders>
            <w:shd w:val="clear" w:color="auto" w:fill="auto"/>
            <w:noWrap/>
            <w:hideMark/>
          </w:tcPr>
          <w:p w14:paraId="3044F405" w14:textId="77777777" w:rsidR="0084445A" w:rsidRPr="0010694E" w:rsidRDefault="0084445A" w:rsidP="0010694E">
            <w:pPr>
              <w:pStyle w:val="a"/>
              <w:rPr>
                <w:rFonts w:asciiTheme="minorHAnsi" w:hAnsiTheme="minorHAnsi" w:cstheme="minorHAnsi"/>
                <w:color w:val="auto"/>
                <w:sz w:val="22"/>
                <w:szCs w:val="22"/>
                <w:lang w:val="bg-BG"/>
              </w:rPr>
            </w:pPr>
          </w:p>
        </w:tc>
        <w:tc>
          <w:tcPr>
            <w:tcW w:w="753" w:type="pct"/>
            <w:tcBorders>
              <w:top w:val="nil"/>
              <w:left w:val="nil"/>
              <w:bottom w:val="nil"/>
              <w:right w:val="nil"/>
            </w:tcBorders>
            <w:shd w:val="clear" w:color="auto" w:fill="auto"/>
            <w:noWrap/>
            <w:hideMark/>
          </w:tcPr>
          <w:p w14:paraId="605224A1" w14:textId="77777777" w:rsidR="0084445A" w:rsidRPr="0010694E" w:rsidRDefault="0084445A" w:rsidP="0010694E">
            <w:pPr>
              <w:pStyle w:val="a1"/>
              <w:jc w:val="right"/>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BGN'000</w:t>
            </w:r>
          </w:p>
        </w:tc>
        <w:tc>
          <w:tcPr>
            <w:tcW w:w="753" w:type="pct"/>
            <w:tcBorders>
              <w:top w:val="nil"/>
              <w:left w:val="nil"/>
              <w:bottom w:val="nil"/>
              <w:right w:val="nil"/>
            </w:tcBorders>
            <w:shd w:val="clear" w:color="auto" w:fill="auto"/>
            <w:noWrap/>
            <w:hideMark/>
          </w:tcPr>
          <w:p w14:paraId="4A5412E6" w14:textId="77777777" w:rsidR="0084445A" w:rsidRPr="0010694E" w:rsidRDefault="0084445A" w:rsidP="0010694E">
            <w:pPr>
              <w:pStyle w:val="a1"/>
              <w:jc w:val="right"/>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BGN'000</w:t>
            </w:r>
          </w:p>
        </w:tc>
      </w:tr>
      <w:tr w:rsidR="0084445A" w:rsidRPr="0010694E" w14:paraId="3928DA10" w14:textId="77777777" w:rsidTr="00AE7CF9">
        <w:trPr>
          <w:trHeight w:val="20"/>
          <w:jc w:val="center"/>
        </w:trPr>
        <w:tc>
          <w:tcPr>
            <w:tcW w:w="3494" w:type="pct"/>
            <w:tcBorders>
              <w:top w:val="nil"/>
              <w:left w:val="nil"/>
              <w:bottom w:val="nil"/>
              <w:right w:val="nil"/>
            </w:tcBorders>
            <w:shd w:val="clear" w:color="auto" w:fill="auto"/>
            <w:vAlign w:val="bottom"/>
            <w:hideMark/>
          </w:tcPr>
          <w:p w14:paraId="5BDB0C28" w14:textId="77777777" w:rsidR="0084445A" w:rsidRPr="0010694E" w:rsidRDefault="0084445A" w:rsidP="0010694E">
            <w:pPr>
              <w:pStyle w:val="a"/>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Законови резерви</w:t>
            </w:r>
          </w:p>
        </w:tc>
        <w:tc>
          <w:tcPr>
            <w:tcW w:w="753" w:type="pct"/>
            <w:tcBorders>
              <w:top w:val="nil"/>
              <w:left w:val="nil"/>
              <w:bottom w:val="nil"/>
              <w:right w:val="nil"/>
            </w:tcBorders>
            <w:shd w:val="clear" w:color="auto" w:fill="auto"/>
            <w:vAlign w:val="bottom"/>
            <w:hideMark/>
          </w:tcPr>
          <w:p w14:paraId="7D6E3F9B" w14:textId="77777777" w:rsidR="0084445A" w:rsidRPr="0010694E" w:rsidRDefault="0084445A" w:rsidP="0010694E">
            <w:pPr>
              <w:pStyle w:val="a0"/>
              <w:widowControl w:val="0"/>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658</w:t>
            </w:r>
          </w:p>
        </w:tc>
        <w:tc>
          <w:tcPr>
            <w:tcW w:w="753" w:type="pct"/>
            <w:tcBorders>
              <w:top w:val="nil"/>
              <w:left w:val="nil"/>
              <w:bottom w:val="nil"/>
              <w:right w:val="nil"/>
            </w:tcBorders>
            <w:shd w:val="clear" w:color="auto" w:fill="auto"/>
            <w:vAlign w:val="bottom"/>
            <w:hideMark/>
          </w:tcPr>
          <w:p w14:paraId="098B1ECA" w14:textId="77777777" w:rsidR="0084445A" w:rsidRPr="0010694E" w:rsidRDefault="0084445A" w:rsidP="0010694E">
            <w:pPr>
              <w:pStyle w:val="a0"/>
              <w:widowControl w:val="0"/>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658</w:t>
            </w:r>
          </w:p>
        </w:tc>
      </w:tr>
      <w:tr w:rsidR="0084445A" w:rsidRPr="0010694E" w14:paraId="7DA9CC8F" w14:textId="77777777" w:rsidTr="00AE7CF9">
        <w:trPr>
          <w:trHeight w:val="20"/>
          <w:jc w:val="center"/>
        </w:trPr>
        <w:tc>
          <w:tcPr>
            <w:tcW w:w="3494" w:type="pct"/>
            <w:tcBorders>
              <w:top w:val="nil"/>
              <w:left w:val="nil"/>
              <w:bottom w:val="nil"/>
              <w:right w:val="nil"/>
            </w:tcBorders>
            <w:shd w:val="clear" w:color="auto" w:fill="auto"/>
            <w:vAlign w:val="bottom"/>
            <w:hideMark/>
          </w:tcPr>
          <w:p w14:paraId="6F4277DE" w14:textId="77777777" w:rsidR="0084445A" w:rsidRPr="0010694E" w:rsidRDefault="0084445A" w:rsidP="0010694E">
            <w:pPr>
              <w:pStyle w:val="a"/>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Допълнителни резерви</w:t>
            </w:r>
          </w:p>
        </w:tc>
        <w:tc>
          <w:tcPr>
            <w:tcW w:w="753" w:type="pct"/>
            <w:tcBorders>
              <w:top w:val="nil"/>
              <w:left w:val="nil"/>
              <w:bottom w:val="nil"/>
              <w:right w:val="nil"/>
            </w:tcBorders>
            <w:shd w:val="clear" w:color="auto" w:fill="auto"/>
            <w:vAlign w:val="bottom"/>
            <w:hideMark/>
          </w:tcPr>
          <w:p w14:paraId="63FD7A9B" w14:textId="77777777" w:rsidR="0084445A" w:rsidRPr="0010694E" w:rsidRDefault="0084445A" w:rsidP="0010694E">
            <w:pPr>
              <w:pStyle w:val="a0"/>
              <w:widowControl w:val="0"/>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2,487</w:t>
            </w:r>
          </w:p>
        </w:tc>
        <w:tc>
          <w:tcPr>
            <w:tcW w:w="753" w:type="pct"/>
            <w:tcBorders>
              <w:top w:val="nil"/>
              <w:left w:val="nil"/>
              <w:bottom w:val="nil"/>
              <w:right w:val="nil"/>
            </w:tcBorders>
            <w:shd w:val="clear" w:color="auto" w:fill="auto"/>
            <w:vAlign w:val="bottom"/>
            <w:hideMark/>
          </w:tcPr>
          <w:p w14:paraId="0E556900" w14:textId="77777777" w:rsidR="0084445A" w:rsidRPr="0010694E" w:rsidRDefault="0084445A" w:rsidP="0010694E">
            <w:pPr>
              <w:pStyle w:val="a0"/>
              <w:widowControl w:val="0"/>
              <w:rPr>
                <w:rFonts w:asciiTheme="minorHAnsi" w:hAnsiTheme="minorHAnsi" w:cstheme="minorHAnsi"/>
                <w:color w:val="auto"/>
                <w:sz w:val="22"/>
                <w:szCs w:val="22"/>
              </w:rPr>
            </w:pPr>
            <w:r w:rsidRPr="0010694E">
              <w:rPr>
                <w:rFonts w:asciiTheme="minorHAnsi" w:hAnsiTheme="minorHAnsi" w:cstheme="minorHAnsi"/>
                <w:color w:val="auto"/>
                <w:sz w:val="22"/>
                <w:szCs w:val="22"/>
              </w:rPr>
              <w:t>2,384</w:t>
            </w:r>
          </w:p>
        </w:tc>
      </w:tr>
      <w:tr w:rsidR="0084445A" w:rsidRPr="0010694E" w14:paraId="1ABAA665" w14:textId="77777777" w:rsidTr="00AE7CF9">
        <w:trPr>
          <w:trHeight w:val="20"/>
          <w:jc w:val="center"/>
        </w:trPr>
        <w:tc>
          <w:tcPr>
            <w:tcW w:w="3494" w:type="pct"/>
            <w:tcBorders>
              <w:top w:val="nil"/>
              <w:left w:val="nil"/>
              <w:bottom w:val="nil"/>
              <w:right w:val="nil"/>
            </w:tcBorders>
            <w:shd w:val="clear" w:color="auto" w:fill="auto"/>
            <w:vAlign w:val="bottom"/>
            <w:hideMark/>
          </w:tcPr>
          <w:p w14:paraId="7619868D" w14:textId="77777777" w:rsidR="0084445A" w:rsidRPr="0010694E" w:rsidRDefault="0084445A" w:rsidP="0010694E">
            <w:pPr>
              <w:pStyle w:val="a"/>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Резерв по финансови активи на разположение за продажба</w:t>
            </w:r>
          </w:p>
        </w:tc>
        <w:tc>
          <w:tcPr>
            <w:tcW w:w="753" w:type="pct"/>
            <w:tcBorders>
              <w:top w:val="nil"/>
              <w:left w:val="nil"/>
              <w:bottom w:val="nil"/>
              <w:right w:val="nil"/>
            </w:tcBorders>
            <w:shd w:val="clear" w:color="auto" w:fill="auto"/>
            <w:vAlign w:val="bottom"/>
            <w:hideMark/>
          </w:tcPr>
          <w:p w14:paraId="4C4BD21F" w14:textId="77777777" w:rsidR="0084445A" w:rsidRPr="0010694E" w:rsidRDefault="0084445A" w:rsidP="0010694E">
            <w:pPr>
              <w:pStyle w:val="a0"/>
              <w:widowControl w:val="0"/>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426</w:t>
            </w:r>
          </w:p>
        </w:tc>
        <w:tc>
          <w:tcPr>
            <w:tcW w:w="753" w:type="pct"/>
            <w:tcBorders>
              <w:top w:val="nil"/>
              <w:left w:val="nil"/>
              <w:bottom w:val="nil"/>
              <w:right w:val="nil"/>
            </w:tcBorders>
            <w:shd w:val="clear" w:color="auto" w:fill="auto"/>
            <w:vAlign w:val="bottom"/>
            <w:hideMark/>
          </w:tcPr>
          <w:p w14:paraId="13C8D5B1" w14:textId="77777777" w:rsidR="0084445A" w:rsidRPr="0010694E" w:rsidRDefault="0084445A" w:rsidP="0010694E">
            <w:pPr>
              <w:pStyle w:val="a0"/>
              <w:widowControl w:val="0"/>
              <w:rPr>
                <w:rFonts w:asciiTheme="minorHAnsi" w:hAnsiTheme="minorHAnsi" w:cstheme="minorHAnsi"/>
                <w:color w:val="auto"/>
                <w:sz w:val="22"/>
                <w:szCs w:val="22"/>
              </w:rPr>
            </w:pPr>
            <w:r w:rsidRPr="0010694E">
              <w:rPr>
                <w:rFonts w:asciiTheme="minorHAnsi" w:hAnsiTheme="minorHAnsi" w:cstheme="minorHAnsi"/>
                <w:color w:val="auto"/>
                <w:sz w:val="22"/>
                <w:szCs w:val="22"/>
              </w:rPr>
              <w:t>463</w:t>
            </w:r>
          </w:p>
        </w:tc>
      </w:tr>
      <w:tr w:rsidR="0084445A" w:rsidRPr="0010694E" w14:paraId="6EB5225B" w14:textId="77777777" w:rsidTr="00AE7CF9">
        <w:trPr>
          <w:trHeight w:val="20"/>
          <w:jc w:val="center"/>
        </w:trPr>
        <w:tc>
          <w:tcPr>
            <w:tcW w:w="3494" w:type="pct"/>
            <w:tcBorders>
              <w:top w:val="nil"/>
              <w:left w:val="nil"/>
              <w:bottom w:val="nil"/>
              <w:right w:val="nil"/>
            </w:tcBorders>
            <w:shd w:val="clear" w:color="auto" w:fill="auto"/>
            <w:vAlign w:val="bottom"/>
            <w:hideMark/>
          </w:tcPr>
          <w:p w14:paraId="058E21EC" w14:textId="77777777" w:rsidR="0084445A" w:rsidRPr="0010694E" w:rsidRDefault="0084445A" w:rsidP="0010694E">
            <w:pPr>
              <w:pStyle w:val="a"/>
              <w:rPr>
                <w:rFonts w:asciiTheme="minorHAnsi" w:hAnsiTheme="minorHAnsi" w:cstheme="minorHAnsi"/>
                <w:b/>
                <w:color w:val="auto"/>
                <w:sz w:val="22"/>
                <w:szCs w:val="22"/>
                <w:lang w:val="bg-BG"/>
              </w:rPr>
            </w:pPr>
            <w:r w:rsidRPr="0010694E">
              <w:rPr>
                <w:rFonts w:asciiTheme="minorHAnsi" w:hAnsiTheme="minorHAnsi" w:cstheme="minorHAnsi"/>
                <w:b/>
                <w:color w:val="auto"/>
                <w:sz w:val="22"/>
                <w:szCs w:val="22"/>
                <w:lang w:val="bg-BG"/>
              </w:rPr>
              <w:t>Общо</w:t>
            </w:r>
          </w:p>
        </w:tc>
        <w:tc>
          <w:tcPr>
            <w:tcW w:w="753" w:type="pct"/>
            <w:tcBorders>
              <w:top w:val="single" w:sz="4" w:space="0" w:color="auto"/>
              <w:left w:val="nil"/>
              <w:bottom w:val="double" w:sz="6" w:space="0" w:color="auto"/>
              <w:right w:val="nil"/>
            </w:tcBorders>
            <w:shd w:val="clear" w:color="auto" w:fill="auto"/>
            <w:vAlign w:val="bottom"/>
            <w:hideMark/>
          </w:tcPr>
          <w:p w14:paraId="38B81B2C" w14:textId="77777777" w:rsidR="0084445A" w:rsidRPr="0010694E" w:rsidRDefault="0084445A" w:rsidP="0010694E">
            <w:pPr>
              <w:pStyle w:val="a0"/>
              <w:widowControl w:val="0"/>
              <w:rPr>
                <w:rFonts w:asciiTheme="minorHAnsi" w:hAnsiTheme="minorHAnsi" w:cstheme="minorHAnsi"/>
                <w:b/>
                <w:color w:val="auto"/>
                <w:sz w:val="22"/>
                <w:szCs w:val="22"/>
                <w:lang w:val="bg-BG"/>
              </w:rPr>
            </w:pPr>
            <w:r w:rsidRPr="0010694E">
              <w:rPr>
                <w:rFonts w:asciiTheme="minorHAnsi" w:hAnsiTheme="minorHAnsi" w:cstheme="minorHAnsi"/>
                <w:b/>
                <w:color w:val="auto"/>
                <w:sz w:val="22"/>
                <w:szCs w:val="22"/>
                <w:lang w:val="bg-BG"/>
              </w:rPr>
              <w:t>3,571</w:t>
            </w:r>
          </w:p>
        </w:tc>
        <w:tc>
          <w:tcPr>
            <w:tcW w:w="753" w:type="pct"/>
            <w:tcBorders>
              <w:top w:val="single" w:sz="4" w:space="0" w:color="auto"/>
              <w:left w:val="nil"/>
              <w:bottom w:val="double" w:sz="6" w:space="0" w:color="auto"/>
              <w:right w:val="nil"/>
            </w:tcBorders>
            <w:shd w:val="clear" w:color="auto" w:fill="auto"/>
            <w:vAlign w:val="bottom"/>
            <w:hideMark/>
          </w:tcPr>
          <w:p w14:paraId="09F748EB" w14:textId="77777777" w:rsidR="0084445A" w:rsidRPr="0010694E" w:rsidRDefault="0084445A" w:rsidP="0010694E">
            <w:pPr>
              <w:pStyle w:val="a0"/>
              <w:widowControl w:val="0"/>
              <w:rPr>
                <w:rFonts w:asciiTheme="minorHAnsi" w:hAnsiTheme="minorHAnsi" w:cstheme="minorHAnsi"/>
                <w:b/>
                <w:color w:val="auto"/>
                <w:sz w:val="22"/>
                <w:szCs w:val="22"/>
              </w:rPr>
            </w:pPr>
            <w:r w:rsidRPr="0010694E">
              <w:rPr>
                <w:rFonts w:asciiTheme="minorHAnsi" w:hAnsiTheme="minorHAnsi" w:cstheme="minorHAnsi"/>
                <w:b/>
                <w:color w:val="auto"/>
                <w:sz w:val="22"/>
                <w:szCs w:val="22"/>
              </w:rPr>
              <w:t>3,505</w:t>
            </w:r>
          </w:p>
        </w:tc>
      </w:tr>
    </w:tbl>
    <w:p w14:paraId="35F3E5BC" w14:textId="77777777" w:rsidR="0084445A" w:rsidRPr="00741D80" w:rsidRDefault="0084445A" w:rsidP="0084445A">
      <w:pPr>
        <w:rPr>
          <w:rFonts w:cstheme="minorHAnsi"/>
        </w:rPr>
      </w:pPr>
      <w:r w:rsidRPr="00741D80">
        <w:rPr>
          <w:rFonts w:cstheme="minorHAnsi"/>
          <w:b/>
        </w:rPr>
        <w:t>Законовите резерви</w:t>
      </w:r>
      <w:r w:rsidRPr="00741D80">
        <w:rPr>
          <w:rFonts w:cstheme="minorHAnsi"/>
        </w:rPr>
        <w:t xml:space="preserve"> в размер на 658 </w:t>
      </w:r>
      <w:proofErr w:type="spellStart"/>
      <w:r w:rsidRPr="00741D80">
        <w:rPr>
          <w:rFonts w:cstheme="minorHAnsi"/>
        </w:rPr>
        <w:t>х.лв</w:t>
      </w:r>
      <w:proofErr w:type="spellEnd"/>
      <w:r w:rsidRPr="00741D80">
        <w:rPr>
          <w:rFonts w:cstheme="minorHAnsi"/>
        </w:rPr>
        <w:t xml:space="preserve">. (31.12. </w:t>
      </w:r>
      <w:r w:rsidRPr="00741D80">
        <w:rPr>
          <w:rFonts w:cstheme="minorHAnsi"/>
          <w:lang w:val="en-US"/>
        </w:rPr>
        <w:t>2017</w:t>
      </w:r>
      <w:r w:rsidRPr="00741D80">
        <w:rPr>
          <w:rFonts w:cstheme="minorHAnsi"/>
        </w:rPr>
        <w:t xml:space="preserve"> г: 658 </w:t>
      </w:r>
      <w:proofErr w:type="spellStart"/>
      <w:r w:rsidRPr="00741D80">
        <w:rPr>
          <w:rFonts w:cstheme="minorHAnsi"/>
        </w:rPr>
        <w:t>х.лв</w:t>
      </w:r>
      <w:proofErr w:type="spellEnd"/>
      <w:r w:rsidRPr="00741D80">
        <w:rPr>
          <w:rFonts w:cstheme="minorHAnsi"/>
        </w:rPr>
        <w:t>.) включват изцяло сумите за фонд „Резервен“, формирани от разпределение на печалбата на дружеството.</w:t>
      </w:r>
    </w:p>
    <w:p w14:paraId="68C12DB1" w14:textId="77777777" w:rsidR="0084445A" w:rsidRPr="00741D80" w:rsidRDefault="0084445A" w:rsidP="00084C32">
      <w:pPr>
        <w:jc w:val="both"/>
        <w:rPr>
          <w:rFonts w:cstheme="minorHAnsi"/>
        </w:rPr>
      </w:pPr>
      <w:r w:rsidRPr="00741D80">
        <w:rPr>
          <w:rFonts w:cstheme="minorHAnsi"/>
          <w:b/>
        </w:rPr>
        <w:lastRenderedPageBreak/>
        <w:t>Допълнителните резерви</w:t>
      </w:r>
      <w:r w:rsidRPr="00741D80">
        <w:rPr>
          <w:rFonts w:cstheme="minorHAnsi"/>
        </w:rPr>
        <w:t xml:space="preserve"> в размер на 2,487 </w:t>
      </w:r>
      <w:proofErr w:type="spellStart"/>
      <w:r w:rsidRPr="00741D80">
        <w:rPr>
          <w:rFonts w:cstheme="minorHAnsi"/>
        </w:rPr>
        <w:t>х.лв</w:t>
      </w:r>
      <w:proofErr w:type="spellEnd"/>
      <w:r w:rsidRPr="00741D80">
        <w:rPr>
          <w:rFonts w:cstheme="minorHAnsi"/>
        </w:rPr>
        <w:t>. (31.12.</w:t>
      </w:r>
      <w:r w:rsidRPr="00741D80">
        <w:rPr>
          <w:rFonts w:cstheme="minorHAnsi"/>
          <w:lang w:val="en-US"/>
        </w:rPr>
        <w:t>2017</w:t>
      </w:r>
      <w:r w:rsidRPr="00741D80">
        <w:rPr>
          <w:rFonts w:cstheme="minorHAnsi"/>
        </w:rPr>
        <w:t xml:space="preserve"> г.: </w:t>
      </w:r>
      <w:r w:rsidRPr="00741D80">
        <w:rPr>
          <w:rFonts w:cstheme="minorHAnsi"/>
          <w:lang w:val="en-US"/>
        </w:rPr>
        <w:t>2,384</w:t>
      </w:r>
      <w:r w:rsidRPr="00741D80">
        <w:rPr>
          <w:rFonts w:cstheme="minorHAnsi"/>
        </w:rPr>
        <w:t xml:space="preserve"> </w:t>
      </w:r>
      <w:proofErr w:type="spellStart"/>
      <w:r w:rsidRPr="00741D80">
        <w:rPr>
          <w:rFonts w:cstheme="minorHAnsi"/>
        </w:rPr>
        <w:t>х.лв</w:t>
      </w:r>
      <w:proofErr w:type="spellEnd"/>
      <w:r w:rsidRPr="00741D80">
        <w:rPr>
          <w:rFonts w:cstheme="minorHAnsi"/>
        </w:rPr>
        <w:t>.) са формирани от разпределение на печалбите по решение на акционерите и могат да бъдат използвани за разпределение на дивиденти, както и за увеличение на основния капитал и за покриване на загуби.</w:t>
      </w:r>
    </w:p>
    <w:p w14:paraId="5602DBAE" w14:textId="77777777" w:rsidR="0084445A" w:rsidRPr="00741D80" w:rsidRDefault="0084445A" w:rsidP="00084C32">
      <w:pPr>
        <w:spacing w:after="0"/>
        <w:jc w:val="both"/>
        <w:rPr>
          <w:rFonts w:cstheme="minorHAnsi"/>
        </w:rPr>
      </w:pPr>
      <w:r w:rsidRPr="00741D80">
        <w:rPr>
          <w:rFonts w:cstheme="minorHAnsi"/>
        </w:rPr>
        <w:t>Дружеството разпределя и изплаща дивиденти на основание отмяна на забраната за разпределяне на дивидент от отменения чл.21, ал.2 от ЗППЦК (ДВ бр.86 от 2006 г.) и промяна в Устава на дружеството и по решение на Общото събрание.</w:t>
      </w:r>
    </w:p>
    <w:tbl>
      <w:tblPr>
        <w:tblW w:w="5000" w:type="pct"/>
        <w:jc w:val="center"/>
        <w:tblCellMar>
          <w:left w:w="6" w:type="dxa"/>
          <w:right w:w="6" w:type="dxa"/>
        </w:tblCellMar>
        <w:tblLook w:val="04A0" w:firstRow="1" w:lastRow="0" w:firstColumn="1" w:lastColumn="0" w:noHBand="0" w:noVBand="1"/>
      </w:tblPr>
      <w:tblGrid>
        <w:gridCol w:w="6686"/>
        <w:gridCol w:w="1265"/>
        <w:gridCol w:w="1687"/>
      </w:tblGrid>
      <w:tr w:rsidR="0084445A" w:rsidRPr="0010694E" w14:paraId="58764733" w14:textId="77777777" w:rsidTr="00AE7CF9">
        <w:trPr>
          <w:trHeight w:val="20"/>
          <w:jc w:val="center"/>
        </w:trPr>
        <w:tc>
          <w:tcPr>
            <w:tcW w:w="3469" w:type="pct"/>
            <w:tcBorders>
              <w:top w:val="nil"/>
              <w:left w:val="nil"/>
              <w:bottom w:val="nil"/>
              <w:right w:val="nil"/>
            </w:tcBorders>
            <w:shd w:val="clear" w:color="auto" w:fill="auto"/>
            <w:vAlign w:val="bottom"/>
            <w:hideMark/>
          </w:tcPr>
          <w:p w14:paraId="4B502DBC" w14:textId="77777777" w:rsidR="0084445A" w:rsidRPr="0010694E" w:rsidRDefault="0084445A" w:rsidP="00084C32">
            <w:pPr>
              <w:pStyle w:val="a"/>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Допълнителни резерви</w:t>
            </w:r>
          </w:p>
        </w:tc>
        <w:tc>
          <w:tcPr>
            <w:tcW w:w="656" w:type="pct"/>
            <w:tcBorders>
              <w:top w:val="nil"/>
              <w:left w:val="nil"/>
              <w:bottom w:val="nil"/>
              <w:right w:val="nil"/>
            </w:tcBorders>
            <w:shd w:val="clear" w:color="auto" w:fill="auto"/>
            <w:vAlign w:val="bottom"/>
            <w:hideMark/>
          </w:tcPr>
          <w:p w14:paraId="5DF766C7" w14:textId="77777777" w:rsidR="0084445A" w:rsidRPr="0010694E" w:rsidRDefault="0084445A" w:rsidP="00084C32">
            <w:pPr>
              <w:pStyle w:val="a1"/>
              <w:jc w:val="right"/>
              <w:rPr>
                <w:rFonts w:asciiTheme="minorHAnsi" w:hAnsiTheme="minorHAnsi" w:cstheme="minorHAnsi"/>
                <w:color w:val="auto"/>
                <w:sz w:val="22"/>
                <w:szCs w:val="22"/>
              </w:rPr>
            </w:pPr>
            <w:r w:rsidRPr="0010694E">
              <w:rPr>
                <w:rFonts w:asciiTheme="minorHAnsi" w:hAnsiTheme="minorHAnsi" w:cstheme="minorHAnsi"/>
                <w:color w:val="auto"/>
                <w:sz w:val="22"/>
                <w:szCs w:val="22"/>
                <w:lang w:val="bg-BG"/>
              </w:rPr>
              <w:t>31.12.</w:t>
            </w:r>
            <w:r w:rsidRPr="0010694E">
              <w:rPr>
                <w:rFonts w:asciiTheme="minorHAnsi" w:hAnsiTheme="minorHAnsi" w:cstheme="minorHAnsi"/>
                <w:color w:val="auto"/>
                <w:sz w:val="22"/>
                <w:szCs w:val="22"/>
              </w:rPr>
              <w:t>2018</w:t>
            </w:r>
          </w:p>
        </w:tc>
        <w:tc>
          <w:tcPr>
            <w:tcW w:w="875" w:type="pct"/>
            <w:tcBorders>
              <w:top w:val="nil"/>
              <w:left w:val="nil"/>
              <w:bottom w:val="nil"/>
              <w:right w:val="nil"/>
            </w:tcBorders>
            <w:shd w:val="clear" w:color="auto" w:fill="auto"/>
            <w:vAlign w:val="bottom"/>
            <w:hideMark/>
          </w:tcPr>
          <w:p w14:paraId="772EC631" w14:textId="77777777" w:rsidR="0084445A" w:rsidRPr="0010694E" w:rsidRDefault="0084445A" w:rsidP="00084C32">
            <w:pPr>
              <w:pStyle w:val="a1"/>
              <w:jc w:val="right"/>
              <w:rPr>
                <w:rFonts w:asciiTheme="minorHAnsi" w:hAnsiTheme="minorHAnsi" w:cstheme="minorHAnsi"/>
                <w:color w:val="auto"/>
                <w:sz w:val="22"/>
                <w:szCs w:val="22"/>
              </w:rPr>
            </w:pPr>
            <w:r w:rsidRPr="0010694E">
              <w:rPr>
                <w:rFonts w:asciiTheme="minorHAnsi" w:hAnsiTheme="minorHAnsi" w:cstheme="minorHAnsi"/>
                <w:color w:val="auto"/>
                <w:sz w:val="22"/>
                <w:szCs w:val="22"/>
                <w:lang w:val="bg-BG"/>
              </w:rPr>
              <w:t>31.12.</w:t>
            </w:r>
            <w:r w:rsidRPr="0010694E">
              <w:rPr>
                <w:rFonts w:asciiTheme="minorHAnsi" w:hAnsiTheme="minorHAnsi" w:cstheme="minorHAnsi"/>
                <w:color w:val="auto"/>
                <w:sz w:val="22"/>
                <w:szCs w:val="22"/>
              </w:rPr>
              <w:t>2017</w:t>
            </w:r>
          </w:p>
        </w:tc>
      </w:tr>
      <w:tr w:rsidR="0084445A" w:rsidRPr="0010694E" w14:paraId="3507A29F" w14:textId="77777777" w:rsidTr="00AE7CF9">
        <w:trPr>
          <w:trHeight w:val="20"/>
          <w:jc w:val="center"/>
        </w:trPr>
        <w:tc>
          <w:tcPr>
            <w:tcW w:w="3469" w:type="pct"/>
            <w:tcBorders>
              <w:top w:val="nil"/>
              <w:left w:val="nil"/>
              <w:bottom w:val="nil"/>
              <w:right w:val="nil"/>
            </w:tcBorders>
            <w:shd w:val="clear" w:color="auto" w:fill="auto"/>
            <w:noWrap/>
            <w:vAlign w:val="bottom"/>
            <w:hideMark/>
          </w:tcPr>
          <w:p w14:paraId="4C96640A" w14:textId="77777777" w:rsidR="0084445A" w:rsidRPr="0010694E" w:rsidRDefault="0084445A" w:rsidP="00084C32">
            <w:pPr>
              <w:pStyle w:val="a"/>
              <w:rPr>
                <w:rFonts w:asciiTheme="minorHAnsi" w:hAnsiTheme="minorHAnsi" w:cstheme="minorHAnsi"/>
                <w:color w:val="auto"/>
                <w:sz w:val="22"/>
                <w:szCs w:val="22"/>
                <w:lang w:val="bg-BG"/>
              </w:rPr>
            </w:pPr>
          </w:p>
        </w:tc>
        <w:tc>
          <w:tcPr>
            <w:tcW w:w="656" w:type="pct"/>
            <w:tcBorders>
              <w:top w:val="nil"/>
              <w:left w:val="nil"/>
              <w:bottom w:val="nil"/>
              <w:right w:val="nil"/>
            </w:tcBorders>
            <w:shd w:val="clear" w:color="auto" w:fill="auto"/>
            <w:noWrap/>
            <w:hideMark/>
          </w:tcPr>
          <w:p w14:paraId="4088BEC8" w14:textId="77777777" w:rsidR="0084445A" w:rsidRPr="0010694E" w:rsidRDefault="0084445A" w:rsidP="00084C32">
            <w:pPr>
              <w:pStyle w:val="a1"/>
              <w:jc w:val="right"/>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BGN'000</w:t>
            </w:r>
          </w:p>
        </w:tc>
        <w:tc>
          <w:tcPr>
            <w:tcW w:w="875" w:type="pct"/>
            <w:tcBorders>
              <w:top w:val="nil"/>
              <w:left w:val="nil"/>
              <w:bottom w:val="nil"/>
              <w:right w:val="nil"/>
            </w:tcBorders>
            <w:shd w:val="clear" w:color="auto" w:fill="auto"/>
            <w:noWrap/>
            <w:hideMark/>
          </w:tcPr>
          <w:p w14:paraId="590BCEC1" w14:textId="77777777" w:rsidR="0084445A" w:rsidRPr="0010694E" w:rsidRDefault="0084445A" w:rsidP="00084C32">
            <w:pPr>
              <w:pStyle w:val="a1"/>
              <w:jc w:val="right"/>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BGN'000</w:t>
            </w:r>
          </w:p>
        </w:tc>
      </w:tr>
      <w:tr w:rsidR="0084445A" w:rsidRPr="0010694E" w14:paraId="21B4B83F" w14:textId="77777777" w:rsidTr="00AE7CF9">
        <w:trPr>
          <w:trHeight w:val="20"/>
          <w:jc w:val="center"/>
        </w:trPr>
        <w:tc>
          <w:tcPr>
            <w:tcW w:w="3469" w:type="pct"/>
            <w:tcBorders>
              <w:top w:val="nil"/>
              <w:left w:val="nil"/>
              <w:bottom w:val="nil"/>
              <w:right w:val="nil"/>
            </w:tcBorders>
            <w:shd w:val="clear" w:color="auto" w:fill="auto"/>
            <w:vAlign w:val="bottom"/>
            <w:hideMark/>
          </w:tcPr>
          <w:p w14:paraId="00F685CE" w14:textId="77777777" w:rsidR="0084445A" w:rsidRPr="0010694E" w:rsidRDefault="0084445A" w:rsidP="00084C32">
            <w:pPr>
              <w:pStyle w:val="a"/>
              <w:rPr>
                <w:rFonts w:asciiTheme="minorHAnsi" w:hAnsiTheme="minorHAnsi" w:cstheme="minorHAnsi"/>
                <w:b/>
                <w:color w:val="auto"/>
                <w:sz w:val="22"/>
                <w:szCs w:val="22"/>
                <w:lang w:val="bg-BG"/>
              </w:rPr>
            </w:pPr>
            <w:r w:rsidRPr="0010694E">
              <w:rPr>
                <w:rFonts w:asciiTheme="minorHAnsi" w:hAnsiTheme="minorHAnsi" w:cstheme="minorHAnsi"/>
                <w:b/>
                <w:color w:val="auto"/>
                <w:sz w:val="22"/>
                <w:szCs w:val="22"/>
                <w:lang w:val="bg-BG"/>
              </w:rPr>
              <w:t>Салдо на 1 януари</w:t>
            </w:r>
          </w:p>
        </w:tc>
        <w:tc>
          <w:tcPr>
            <w:tcW w:w="656" w:type="pct"/>
            <w:tcBorders>
              <w:top w:val="single" w:sz="4" w:space="0" w:color="auto"/>
              <w:left w:val="nil"/>
              <w:bottom w:val="single" w:sz="4" w:space="0" w:color="auto"/>
              <w:right w:val="nil"/>
            </w:tcBorders>
            <w:shd w:val="clear" w:color="auto" w:fill="auto"/>
            <w:noWrap/>
            <w:vAlign w:val="bottom"/>
            <w:hideMark/>
          </w:tcPr>
          <w:p w14:paraId="0C77F3B9" w14:textId="77777777" w:rsidR="0084445A" w:rsidRPr="0010694E" w:rsidRDefault="0084445A" w:rsidP="00084C32">
            <w:pPr>
              <w:pStyle w:val="a0"/>
              <w:widowControl w:val="0"/>
              <w:rPr>
                <w:rFonts w:asciiTheme="minorHAnsi" w:hAnsiTheme="minorHAnsi" w:cstheme="minorHAnsi"/>
                <w:b/>
                <w:color w:val="auto"/>
                <w:sz w:val="22"/>
                <w:szCs w:val="22"/>
              </w:rPr>
            </w:pPr>
            <w:r w:rsidRPr="0010694E">
              <w:rPr>
                <w:rFonts w:asciiTheme="minorHAnsi" w:hAnsiTheme="minorHAnsi" w:cstheme="minorHAnsi"/>
                <w:b/>
                <w:color w:val="auto"/>
                <w:sz w:val="22"/>
                <w:szCs w:val="22"/>
              </w:rPr>
              <w:t>2,384</w:t>
            </w:r>
          </w:p>
        </w:tc>
        <w:tc>
          <w:tcPr>
            <w:tcW w:w="875" w:type="pct"/>
            <w:tcBorders>
              <w:top w:val="single" w:sz="4" w:space="0" w:color="auto"/>
              <w:left w:val="nil"/>
              <w:bottom w:val="single" w:sz="4" w:space="0" w:color="auto"/>
              <w:right w:val="nil"/>
            </w:tcBorders>
            <w:shd w:val="clear" w:color="auto" w:fill="auto"/>
            <w:noWrap/>
            <w:vAlign w:val="bottom"/>
            <w:hideMark/>
          </w:tcPr>
          <w:p w14:paraId="70CDC969" w14:textId="77777777" w:rsidR="0084445A" w:rsidRPr="0010694E" w:rsidRDefault="0084445A" w:rsidP="00084C32">
            <w:pPr>
              <w:pStyle w:val="a0"/>
              <w:widowControl w:val="0"/>
              <w:rPr>
                <w:rFonts w:asciiTheme="minorHAnsi" w:hAnsiTheme="minorHAnsi" w:cstheme="minorHAnsi"/>
                <w:b/>
                <w:bCs/>
                <w:color w:val="auto"/>
                <w:sz w:val="22"/>
                <w:szCs w:val="22"/>
              </w:rPr>
            </w:pPr>
            <w:r w:rsidRPr="0010694E">
              <w:rPr>
                <w:rFonts w:asciiTheme="minorHAnsi" w:hAnsiTheme="minorHAnsi" w:cstheme="minorHAnsi"/>
                <w:b/>
                <w:color w:val="auto"/>
                <w:sz w:val="22"/>
                <w:szCs w:val="22"/>
              </w:rPr>
              <w:t>2,353</w:t>
            </w:r>
          </w:p>
        </w:tc>
      </w:tr>
      <w:tr w:rsidR="0084445A" w:rsidRPr="0010694E" w14:paraId="2AA0E821" w14:textId="77777777" w:rsidTr="00AE7CF9">
        <w:trPr>
          <w:trHeight w:val="20"/>
          <w:jc w:val="center"/>
        </w:trPr>
        <w:tc>
          <w:tcPr>
            <w:tcW w:w="3469" w:type="pct"/>
            <w:tcBorders>
              <w:top w:val="nil"/>
              <w:left w:val="nil"/>
              <w:bottom w:val="nil"/>
              <w:right w:val="nil"/>
            </w:tcBorders>
            <w:shd w:val="clear" w:color="auto" w:fill="auto"/>
            <w:noWrap/>
            <w:vAlign w:val="bottom"/>
          </w:tcPr>
          <w:p w14:paraId="2D0D04C2" w14:textId="77777777" w:rsidR="0084445A" w:rsidRPr="0010694E" w:rsidRDefault="0084445A" w:rsidP="00084C32">
            <w:pPr>
              <w:pStyle w:val="a"/>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Увеличение на фонд Резервен по решение на ОСА 18.06.2018 г.</w:t>
            </w:r>
          </w:p>
        </w:tc>
        <w:tc>
          <w:tcPr>
            <w:tcW w:w="656" w:type="pct"/>
            <w:tcBorders>
              <w:top w:val="nil"/>
              <w:left w:val="nil"/>
              <w:bottom w:val="nil"/>
              <w:right w:val="nil"/>
            </w:tcBorders>
            <w:shd w:val="clear" w:color="auto" w:fill="auto"/>
            <w:vAlign w:val="bottom"/>
          </w:tcPr>
          <w:p w14:paraId="677C3EF8" w14:textId="77777777" w:rsidR="0084445A" w:rsidRPr="0010694E" w:rsidRDefault="0084445A" w:rsidP="00084C32">
            <w:pPr>
              <w:pStyle w:val="a0"/>
              <w:widowControl w:val="0"/>
              <w:rPr>
                <w:rFonts w:asciiTheme="minorHAnsi" w:hAnsiTheme="minorHAnsi" w:cstheme="minorHAnsi"/>
                <w:color w:val="auto"/>
                <w:sz w:val="22"/>
                <w:szCs w:val="22"/>
                <w:lang w:val="bg-BG"/>
              </w:rPr>
            </w:pPr>
            <w:r w:rsidRPr="0010694E">
              <w:rPr>
                <w:rFonts w:asciiTheme="minorHAnsi" w:hAnsiTheme="minorHAnsi" w:cstheme="minorHAnsi"/>
                <w:color w:val="auto"/>
                <w:sz w:val="22"/>
                <w:szCs w:val="22"/>
                <w:lang w:val="bg-BG"/>
              </w:rPr>
              <w:t>103</w:t>
            </w:r>
          </w:p>
        </w:tc>
        <w:tc>
          <w:tcPr>
            <w:tcW w:w="875" w:type="pct"/>
            <w:tcBorders>
              <w:top w:val="nil"/>
              <w:left w:val="nil"/>
              <w:bottom w:val="nil"/>
              <w:right w:val="nil"/>
            </w:tcBorders>
            <w:shd w:val="clear" w:color="auto" w:fill="auto"/>
            <w:vAlign w:val="bottom"/>
          </w:tcPr>
          <w:p w14:paraId="2488AEA6" w14:textId="77777777" w:rsidR="0084445A" w:rsidRPr="0010694E" w:rsidRDefault="0084445A" w:rsidP="00084C32">
            <w:pPr>
              <w:pStyle w:val="a0"/>
              <w:widowControl w:val="0"/>
              <w:rPr>
                <w:rFonts w:asciiTheme="minorHAnsi" w:hAnsiTheme="minorHAnsi" w:cstheme="minorHAnsi"/>
                <w:color w:val="auto"/>
                <w:sz w:val="22"/>
                <w:szCs w:val="22"/>
              </w:rPr>
            </w:pPr>
            <w:r w:rsidRPr="0010694E">
              <w:rPr>
                <w:rFonts w:asciiTheme="minorHAnsi" w:hAnsiTheme="minorHAnsi" w:cstheme="minorHAnsi"/>
                <w:color w:val="auto"/>
                <w:sz w:val="22"/>
                <w:szCs w:val="22"/>
              </w:rPr>
              <w:t>31</w:t>
            </w:r>
          </w:p>
        </w:tc>
      </w:tr>
      <w:tr w:rsidR="0084445A" w:rsidRPr="0010694E" w14:paraId="7842FB3C" w14:textId="77777777" w:rsidTr="00AE7CF9">
        <w:trPr>
          <w:trHeight w:val="20"/>
          <w:jc w:val="center"/>
        </w:trPr>
        <w:tc>
          <w:tcPr>
            <w:tcW w:w="3469" w:type="pct"/>
            <w:tcBorders>
              <w:top w:val="nil"/>
              <w:left w:val="nil"/>
              <w:bottom w:val="nil"/>
              <w:right w:val="nil"/>
            </w:tcBorders>
            <w:shd w:val="clear" w:color="auto" w:fill="auto"/>
            <w:vAlign w:val="bottom"/>
            <w:hideMark/>
          </w:tcPr>
          <w:p w14:paraId="79F5FAF3" w14:textId="77777777" w:rsidR="0084445A" w:rsidRPr="0010694E" w:rsidRDefault="0084445A" w:rsidP="00084C32">
            <w:pPr>
              <w:pStyle w:val="a"/>
              <w:rPr>
                <w:rFonts w:asciiTheme="minorHAnsi" w:hAnsiTheme="minorHAnsi" w:cstheme="minorHAnsi"/>
                <w:b/>
                <w:bCs/>
                <w:color w:val="auto"/>
                <w:sz w:val="22"/>
                <w:szCs w:val="22"/>
                <w:lang w:val="bg-BG"/>
              </w:rPr>
            </w:pPr>
            <w:r w:rsidRPr="0010694E">
              <w:rPr>
                <w:rFonts w:asciiTheme="minorHAnsi" w:hAnsiTheme="minorHAnsi" w:cstheme="minorHAnsi"/>
                <w:b/>
                <w:color w:val="auto"/>
                <w:sz w:val="22"/>
                <w:szCs w:val="22"/>
                <w:lang w:val="bg-BG"/>
              </w:rPr>
              <w:t>Салдо на 31 декември</w:t>
            </w:r>
          </w:p>
        </w:tc>
        <w:tc>
          <w:tcPr>
            <w:tcW w:w="656" w:type="pct"/>
            <w:tcBorders>
              <w:top w:val="single" w:sz="4" w:space="0" w:color="auto"/>
              <w:left w:val="nil"/>
              <w:bottom w:val="single" w:sz="4" w:space="0" w:color="auto"/>
              <w:right w:val="nil"/>
            </w:tcBorders>
            <w:shd w:val="clear" w:color="auto" w:fill="auto"/>
            <w:vAlign w:val="bottom"/>
            <w:hideMark/>
          </w:tcPr>
          <w:p w14:paraId="6CA9289F" w14:textId="77777777" w:rsidR="0084445A" w:rsidRPr="0010694E" w:rsidRDefault="0084445A" w:rsidP="00084C32">
            <w:pPr>
              <w:pStyle w:val="a0"/>
              <w:widowControl w:val="0"/>
              <w:rPr>
                <w:rFonts w:asciiTheme="minorHAnsi" w:hAnsiTheme="minorHAnsi" w:cstheme="minorHAnsi"/>
                <w:b/>
                <w:color w:val="auto"/>
                <w:sz w:val="22"/>
                <w:szCs w:val="22"/>
                <w:lang w:val="bg-BG"/>
              </w:rPr>
            </w:pPr>
            <w:r w:rsidRPr="0010694E">
              <w:rPr>
                <w:rFonts w:asciiTheme="minorHAnsi" w:hAnsiTheme="minorHAnsi" w:cstheme="minorHAnsi"/>
                <w:b/>
                <w:color w:val="auto"/>
                <w:sz w:val="22"/>
                <w:szCs w:val="22"/>
                <w:lang w:val="bg-BG"/>
              </w:rPr>
              <w:t>2,487</w:t>
            </w:r>
          </w:p>
        </w:tc>
        <w:tc>
          <w:tcPr>
            <w:tcW w:w="875" w:type="pct"/>
            <w:tcBorders>
              <w:top w:val="single" w:sz="4" w:space="0" w:color="auto"/>
              <w:left w:val="nil"/>
              <w:bottom w:val="single" w:sz="4" w:space="0" w:color="auto"/>
              <w:right w:val="nil"/>
            </w:tcBorders>
            <w:shd w:val="clear" w:color="auto" w:fill="auto"/>
            <w:vAlign w:val="bottom"/>
            <w:hideMark/>
          </w:tcPr>
          <w:p w14:paraId="30884EC7" w14:textId="77777777" w:rsidR="0084445A" w:rsidRPr="0010694E" w:rsidRDefault="0084445A" w:rsidP="00084C32">
            <w:pPr>
              <w:pStyle w:val="a0"/>
              <w:widowControl w:val="0"/>
              <w:ind w:left="556"/>
              <w:rPr>
                <w:rFonts w:asciiTheme="minorHAnsi" w:hAnsiTheme="minorHAnsi" w:cstheme="minorHAnsi"/>
                <w:b/>
                <w:bCs/>
                <w:color w:val="auto"/>
                <w:sz w:val="22"/>
                <w:szCs w:val="22"/>
              </w:rPr>
            </w:pPr>
            <w:r w:rsidRPr="0010694E">
              <w:rPr>
                <w:rFonts w:asciiTheme="minorHAnsi" w:hAnsiTheme="minorHAnsi" w:cstheme="minorHAnsi"/>
                <w:b/>
                <w:color w:val="auto"/>
                <w:sz w:val="22"/>
                <w:szCs w:val="22"/>
              </w:rPr>
              <w:t>2,384</w:t>
            </w:r>
          </w:p>
        </w:tc>
      </w:tr>
    </w:tbl>
    <w:p w14:paraId="5B1445C7" w14:textId="1748860F" w:rsidR="0084445A" w:rsidRPr="00741D80" w:rsidRDefault="0084445A" w:rsidP="00084C32">
      <w:pPr>
        <w:spacing w:before="240" w:after="0"/>
        <w:rPr>
          <w:rFonts w:cstheme="minorHAnsi"/>
        </w:rPr>
      </w:pPr>
      <w:r w:rsidRPr="0010694E">
        <w:rPr>
          <w:rFonts w:cstheme="minorHAnsi"/>
          <w:b/>
        </w:rPr>
        <w:t>Резервът по финансови активи</w:t>
      </w:r>
      <w:r w:rsidR="00F12DDD" w:rsidRPr="0010694E">
        <w:rPr>
          <w:rFonts w:cstheme="minorHAnsi"/>
          <w:b/>
        </w:rPr>
        <w:t>, оценявани по справедлива стойност през друг всеобхватен доход</w:t>
      </w:r>
      <w:r w:rsidR="00F12DDD">
        <w:rPr>
          <w:rFonts w:cstheme="minorHAnsi"/>
          <w:b/>
        </w:rPr>
        <w:t xml:space="preserve"> </w:t>
      </w:r>
      <w:r w:rsidRPr="00741D80">
        <w:rPr>
          <w:rFonts w:cstheme="minorHAnsi"/>
        </w:rPr>
        <w:t>към 31.12.</w:t>
      </w:r>
      <w:r w:rsidRPr="00741D80">
        <w:rPr>
          <w:rFonts w:cstheme="minorHAnsi"/>
          <w:lang w:val="en-US"/>
        </w:rPr>
        <w:t>2018</w:t>
      </w:r>
      <w:r w:rsidRPr="00741D80">
        <w:rPr>
          <w:rFonts w:cstheme="minorHAnsi"/>
        </w:rPr>
        <w:t xml:space="preserve"> г. е положителна величина в размер на 426 </w:t>
      </w:r>
      <w:proofErr w:type="spellStart"/>
      <w:r w:rsidRPr="00741D80">
        <w:rPr>
          <w:rFonts w:cstheme="minorHAnsi"/>
        </w:rPr>
        <w:t>х.лв</w:t>
      </w:r>
      <w:proofErr w:type="spellEnd"/>
      <w:r w:rsidRPr="00741D80">
        <w:rPr>
          <w:rFonts w:cstheme="minorHAnsi"/>
        </w:rPr>
        <w:t>. (31.12.</w:t>
      </w:r>
      <w:r w:rsidRPr="00741D80">
        <w:rPr>
          <w:rFonts w:cstheme="minorHAnsi"/>
          <w:lang w:val="en-US"/>
        </w:rPr>
        <w:t>2017</w:t>
      </w:r>
      <w:r w:rsidRPr="00741D80">
        <w:rPr>
          <w:rFonts w:cstheme="minorHAnsi"/>
        </w:rPr>
        <w:t xml:space="preserve"> г.: </w:t>
      </w:r>
      <w:r w:rsidRPr="00741D80">
        <w:rPr>
          <w:rFonts w:cstheme="minorHAnsi"/>
          <w:lang w:val="en-US"/>
        </w:rPr>
        <w:t>463</w:t>
      </w:r>
      <w:r w:rsidRPr="00741D80">
        <w:rPr>
          <w:rFonts w:cstheme="minorHAnsi"/>
        </w:rPr>
        <w:t xml:space="preserve"> </w:t>
      </w:r>
      <w:proofErr w:type="spellStart"/>
      <w:r w:rsidRPr="00741D80">
        <w:rPr>
          <w:rFonts w:cstheme="minorHAnsi"/>
        </w:rPr>
        <w:t>х.лв</w:t>
      </w:r>
      <w:proofErr w:type="spellEnd"/>
      <w:r w:rsidRPr="00741D80">
        <w:rPr>
          <w:rFonts w:cstheme="minorHAnsi"/>
        </w:rPr>
        <w:t xml:space="preserve">.) и е формиран от ефектите от последваща оценка на инвестициите за разположение и продажба по справедлива стойност. </w:t>
      </w:r>
    </w:p>
    <w:p w14:paraId="33C5C35A" w14:textId="5C647AA4" w:rsidR="0084445A" w:rsidRPr="00F12DDD" w:rsidRDefault="0084445A" w:rsidP="00084C32">
      <w:pPr>
        <w:spacing w:after="0" w:line="276" w:lineRule="auto"/>
        <w:rPr>
          <w:rFonts w:cstheme="minorHAnsi"/>
        </w:rPr>
      </w:pPr>
      <w:r w:rsidRPr="00741D80">
        <w:rPr>
          <w:rFonts w:cstheme="minorHAnsi"/>
        </w:rPr>
        <w:t>Движението на резерва по финансови активи</w:t>
      </w:r>
      <w:r w:rsidR="00F12DDD">
        <w:rPr>
          <w:rFonts w:cstheme="minorHAnsi"/>
        </w:rPr>
        <w:t>,</w:t>
      </w:r>
      <w:r w:rsidRPr="00741D80">
        <w:rPr>
          <w:rFonts w:cstheme="minorHAnsi"/>
        </w:rPr>
        <w:t xml:space="preserve"> </w:t>
      </w:r>
      <w:r w:rsidR="00F12DDD" w:rsidRPr="00F12DDD">
        <w:rPr>
          <w:rFonts w:cstheme="minorHAnsi"/>
        </w:rPr>
        <w:t>оценявани по справедлива стойност през друг всеобхватен доход</w:t>
      </w:r>
      <w:r w:rsidRPr="00F12DDD">
        <w:rPr>
          <w:rFonts w:cstheme="minorHAnsi"/>
        </w:rPr>
        <w:t xml:space="preserve"> е както следва:</w:t>
      </w:r>
    </w:p>
    <w:tbl>
      <w:tblPr>
        <w:tblW w:w="5074" w:type="pct"/>
        <w:jc w:val="center"/>
        <w:tblLook w:val="04A0" w:firstRow="1" w:lastRow="0" w:firstColumn="1" w:lastColumn="0" w:noHBand="0" w:noVBand="1"/>
      </w:tblPr>
      <w:tblGrid>
        <w:gridCol w:w="7513"/>
        <w:gridCol w:w="1135"/>
        <w:gridCol w:w="1133"/>
      </w:tblGrid>
      <w:tr w:rsidR="0084445A" w:rsidRPr="00741D80" w14:paraId="7F423927" w14:textId="77777777" w:rsidTr="00084C32">
        <w:trPr>
          <w:trHeight w:val="170"/>
          <w:jc w:val="center"/>
        </w:trPr>
        <w:tc>
          <w:tcPr>
            <w:tcW w:w="3841" w:type="pct"/>
            <w:tcBorders>
              <w:top w:val="nil"/>
              <w:left w:val="nil"/>
              <w:bottom w:val="nil"/>
              <w:right w:val="nil"/>
            </w:tcBorders>
            <w:shd w:val="clear" w:color="auto" w:fill="auto"/>
            <w:noWrap/>
            <w:tcMar>
              <w:left w:w="28" w:type="dxa"/>
              <w:right w:w="57" w:type="dxa"/>
            </w:tcMar>
            <w:vAlign w:val="bottom"/>
            <w:hideMark/>
          </w:tcPr>
          <w:p w14:paraId="44E4284A" w14:textId="77777777" w:rsidR="0084445A" w:rsidRPr="00741D80" w:rsidRDefault="0084445A" w:rsidP="00084C32">
            <w:pPr>
              <w:pStyle w:val="a"/>
              <w:rPr>
                <w:rFonts w:asciiTheme="minorHAnsi" w:hAnsiTheme="minorHAnsi" w:cstheme="minorHAnsi"/>
                <w:color w:val="auto"/>
                <w:szCs w:val="20"/>
                <w:lang w:val="bg-BG"/>
              </w:rPr>
            </w:pPr>
          </w:p>
        </w:tc>
        <w:tc>
          <w:tcPr>
            <w:tcW w:w="580" w:type="pct"/>
            <w:tcBorders>
              <w:top w:val="nil"/>
              <w:left w:val="nil"/>
              <w:bottom w:val="nil"/>
              <w:right w:val="nil"/>
            </w:tcBorders>
            <w:shd w:val="clear" w:color="auto" w:fill="auto"/>
            <w:tcMar>
              <w:left w:w="28" w:type="dxa"/>
              <w:right w:w="57" w:type="dxa"/>
            </w:tcMar>
            <w:vAlign w:val="bottom"/>
            <w:hideMark/>
          </w:tcPr>
          <w:p w14:paraId="7FEA7B7E" w14:textId="77777777" w:rsidR="0084445A" w:rsidRPr="00741D80" w:rsidRDefault="0084445A" w:rsidP="00084C32">
            <w:pPr>
              <w:pStyle w:val="a1"/>
              <w:rPr>
                <w:rFonts w:asciiTheme="minorHAnsi" w:hAnsiTheme="minorHAnsi" w:cstheme="minorHAnsi"/>
                <w:color w:val="auto"/>
                <w:szCs w:val="20"/>
              </w:rPr>
            </w:pPr>
            <w:r w:rsidRPr="00741D80">
              <w:rPr>
                <w:rFonts w:asciiTheme="minorHAnsi" w:hAnsiTheme="minorHAnsi" w:cstheme="minorHAnsi"/>
                <w:color w:val="auto"/>
                <w:szCs w:val="20"/>
                <w:lang w:val="bg-BG"/>
              </w:rPr>
              <w:t>31.12.</w:t>
            </w:r>
            <w:r w:rsidRPr="00741D80">
              <w:rPr>
                <w:rFonts w:asciiTheme="minorHAnsi" w:hAnsiTheme="minorHAnsi" w:cstheme="minorHAnsi"/>
                <w:color w:val="auto"/>
                <w:szCs w:val="20"/>
              </w:rPr>
              <w:t>2018</w:t>
            </w:r>
          </w:p>
        </w:tc>
        <w:tc>
          <w:tcPr>
            <w:tcW w:w="579" w:type="pct"/>
            <w:tcBorders>
              <w:top w:val="nil"/>
              <w:left w:val="nil"/>
              <w:bottom w:val="nil"/>
              <w:right w:val="nil"/>
            </w:tcBorders>
            <w:shd w:val="clear" w:color="auto" w:fill="auto"/>
            <w:tcMar>
              <w:left w:w="28" w:type="dxa"/>
              <w:right w:w="57" w:type="dxa"/>
            </w:tcMar>
            <w:vAlign w:val="bottom"/>
            <w:hideMark/>
          </w:tcPr>
          <w:p w14:paraId="61907E18" w14:textId="77777777" w:rsidR="0084445A" w:rsidRPr="00741D80" w:rsidRDefault="0084445A" w:rsidP="00084C32">
            <w:pPr>
              <w:pStyle w:val="a1"/>
              <w:rPr>
                <w:rFonts w:asciiTheme="minorHAnsi" w:hAnsiTheme="minorHAnsi" w:cstheme="minorHAnsi"/>
                <w:color w:val="auto"/>
                <w:szCs w:val="20"/>
              </w:rPr>
            </w:pPr>
            <w:r w:rsidRPr="00741D80">
              <w:rPr>
                <w:rFonts w:asciiTheme="minorHAnsi" w:hAnsiTheme="minorHAnsi" w:cstheme="minorHAnsi"/>
                <w:color w:val="auto"/>
                <w:szCs w:val="20"/>
                <w:lang w:val="bg-BG"/>
              </w:rPr>
              <w:t>31.12.</w:t>
            </w:r>
            <w:r w:rsidRPr="00741D80">
              <w:rPr>
                <w:rFonts w:asciiTheme="minorHAnsi" w:hAnsiTheme="minorHAnsi" w:cstheme="minorHAnsi"/>
                <w:color w:val="auto"/>
                <w:szCs w:val="20"/>
              </w:rPr>
              <w:t>2017</w:t>
            </w:r>
          </w:p>
        </w:tc>
      </w:tr>
      <w:tr w:rsidR="0084445A" w:rsidRPr="00741D80" w14:paraId="7D19932C" w14:textId="77777777" w:rsidTr="00084C32">
        <w:trPr>
          <w:trHeight w:val="170"/>
          <w:jc w:val="center"/>
        </w:trPr>
        <w:tc>
          <w:tcPr>
            <w:tcW w:w="3841" w:type="pct"/>
            <w:tcBorders>
              <w:top w:val="nil"/>
              <w:left w:val="nil"/>
              <w:bottom w:val="nil"/>
              <w:right w:val="nil"/>
            </w:tcBorders>
            <w:shd w:val="clear" w:color="auto" w:fill="auto"/>
            <w:noWrap/>
            <w:tcMar>
              <w:left w:w="28" w:type="dxa"/>
              <w:right w:w="57" w:type="dxa"/>
            </w:tcMar>
            <w:vAlign w:val="bottom"/>
            <w:hideMark/>
          </w:tcPr>
          <w:p w14:paraId="2A979697" w14:textId="77777777" w:rsidR="0084445A" w:rsidRPr="00741D80" w:rsidRDefault="0084445A" w:rsidP="00084C32">
            <w:pPr>
              <w:pStyle w:val="a"/>
              <w:rPr>
                <w:rFonts w:asciiTheme="minorHAnsi" w:hAnsiTheme="minorHAnsi" w:cstheme="minorHAnsi"/>
                <w:color w:val="auto"/>
                <w:szCs w:val="20"/>
                <w:lang w:val="bg-BG"/>
              </w:rPr>
            </w:pPr>
          </w:p>
        </w:tc>
        <w:tc>
          <w:tcPr>
            <w:tcW w:w="580" w:type="pct"/>
            <w:tcBorders>
              <w:top w:val="nil"/>
              <w:left w:val="nil"/>
              <w:bottom w:val="nil"/>
              <w:right w:val="nil"/>
            </w:tcBorders>
            <w:shd w:val="clear" w:color="auto" w:fill="auto"/>
            <w:noWrap/>
            <w:tcMar>
              <w:left w:w="28" w:type="dxa"/>
              <w:right w:w="57" w:type="dxa"/>
            </w:tcMar>
            <w:hideMark/>
          </w:tcPr>
          <w:p w14:paraId="1478D76E" w14:textId="77777777" w:rsidR="0084445A" w:rsidRPr="00741D80" w:rsidRDefault="0084445A" w:rsidP="00084C32">
            <w:pPr>
              <w:pStyle w:val="a1"/>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579" w:type="pct"/>
            <w:tcBorders>
              <w:top w:val="nil"/>
              <w:left w:val="nil"/>
              <w:bottom w:val="nil"/>
              <w:right w:val="nil"/>
            </w:tcBorders>
            <w:shd w:val="clear" w:color="auto" w:fill="auto"/>
            <w:noWrap/>
            <w:tcMar>
              <w:left w:w="28" w:type="dxa"/>
              <w:right w:w="57" w:type="dxa"/>
            </w:tcMar>
            <w:hideMark/>
          </w:tcPr>
          <w:p w14:paraId="7AED4FC1" w14:textId="77777777" w:rsidR="0084445A" w:rsidRPr="00741D80" w:rsidRDefault="0084445A" w:rsidP="00084C32">
            <w:pPr>
              <w:pStyle w:val="a1"/>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7BC36724" w14:textId="77777777" w:rsidTr="00084C32">
        <w:trPr>
          <w:trHeight w:val="170"/>
          <w:jc w:val="center"/>
        </w:trPr>
        <w:tc>
          <w:tcPr>
            <w:tcW w:w="3841" w:type="pct"/>
            <w:tcBorders>
              <w:top w:val="nil"/>
              <w:left w:val="nil"/>
              <w:bottom w:val="nil"/>
              <w:right w:val="nil"/>
            </w:tcBorders>
            <w:shd w:val="clear" w:color="auto" w:fill="auto"/>
            <w:noWrap/>
            <w:tcMar>
              <w:left w:w="28" w:type="dxa"/>
              <w:right w:w="57" w:type="dxa"/>
            </w:tcMar>
            <w:vAlign w:val="bottom"/>
            <w:hideMark/>
          </w:tcPr>
          <w:p w14:paraId="59300D1F" w14:textId="77777777" w:rsidR="0084445A" w:rsidRPr="00741D80" w:rsidRDefault="0084445A" w:rsidP="00084C32">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Салдо на 1 януари</w:t>
            </w:r>
          </w:p>
        </w:tc>
        <w:tc>
          <w:tcPr>
            <w:tcW w:w="580" w:type="pct"/>
            <w:tcBorders>
              <w:top w:val="single" w:sz="4" w:space="0" w:color="auto"/>
              <w:left w:val="nil"/>
              <w:bottom w:val="single" w:sz="4" w:space="0" w:color="auto"/>
              <w:right w:val="nil"/>
            </w:tcBorders>
            <w:shd w:val="clear" w:color="auto" w:fill="auto"/>
            <w:noWrap/>
            <w:tcMar>
              <w:left w:w="28" w:type="dxa"/>
              <w:right w:w="57" w:type="dxa"/>
            </w:tcMar>
            <w:vAlign w:val="bottom"/>
            <w:hideMark/>
          </w:tcPr>
          <w:p w14:paraId="23744E22" w14:textId="77777777" w:rsidR="0084445A" w:rsidRPr="00741D80" w:rsidRDefault="0084445A" w:rsidP="00084C32">
            <w:pPr>
              <w:pStyle w:val="a0"/>
              <w:widowControl w:val="0"/>
              <w:rPr>
                <w:rFonts w:asciiTheme="minorHAnsi" w:hAnsiTheme="minorHAnsi" w:cstheme="minorHAnsi"/>
                <w:b/>
                <w:color w:val="auto"/>
                <w:szCs w:val="20"/>
              </w:rPr>
            </w:pPr>
            <w:r w:rsidRPr="00741D80">
              <w:rPr>
                <w:rFonts w:asciiTheme="minorHAnsi" w:hAnsiTheme="minorHAnsi" w:cstheme="minorHAnsi"/>
                <w:b/>
                <w:color w:val="auto"/>
                <w:szCs w:val="20"/>
              </w:rPr>
              <w:t>463</w:t>
            </w:r>
          </w:p>
        </w:tc>
        <w:tc>
          <w:tcPr>
            <w:tcW w:w="579" w:type="pct"/>
            <w:tcBorders>
              <w:top w:val="single" w:sz="4" w:space="0" w:color="auto"/>
              <w:left w:val="nil"/>
              <w:bottom w:val="single" w:sz="4" w:space="0" w:color="auto"/>
              <w:right w:val="nil"/>
            </w:tcBorders>
            <w:shd w:val="clear" w:color="auto" w:fill="auto"/>
            <w:noWrap/>
            <w:tcMar>
              <w:left w:w="28" w:type="dxa"/>
              <w:right w:w="57" w:type="dxa"/>
            </w:tcMar>
            <w:vAlign w:val="bottom"/>
            <w:hideMark/>
          </w:tcPr>
          <w:p w14:paraId="3FE62918" w14:textId="77777777" w:rsidR="0084445A" w:rsidRPr="00741D80" w:rsidRDefault="0084445A" w:rsidP="00084C32">
            <w:pPr>
              <w:pStyle w:val="a0"/>
              <w:widowControl w:val="0"/>
              <w:rPr>
                <w:rFonts w:asciiTheme="minorHAnsi" w:hAnsiTheme="minorHAnsi" w:cstheme="minorHAnsi"/>
                <w:b/>
                <w:color w:val="auto"/>
                <w:szCs w:val="20"/>
              </w:rPr>
            </w:pPr>
            <w:r w:rsidRPr="00741D80">
              <w:rPr>
                <w:rFonts w:asciiTheme="minorHAnsi" w:hAnsiTheme="minorHAnsi" w:cstheme="minorHAnsi"/>
                <w:b/>
                <w:color w:val="auto"/>
                <w:szCs w:val="20"/>
              </w:rPr>
              <w:t>376</w:t>
            </w:r>
          </w:p>
        </w:tc>
      </w:tr>
      <w:tr w:rsidR="0084445A" w:rsidRPr="00130F78" w14:paraId="23A52421" w14:textId="77777777" w:rsidTr="00084C32">
        <w:trPr>
          <w:trHeight w:val="170"/>
          <w:jc w:val="center"/>
        </w:trPr>
        <w:tc>
          <w:tcPr>
            <w:tcW w:w="3841" w:type="pct"/>
            <w:tcBorders>
              <w:top w:val="nil"/>
              <w:left w:val="nil"/>
              <w:bottom w:val="nil"/>
              <w:right w:val="nil"/>
            </w:tcBorders>
            <w:shd w:val="clear" w:color="auto" w:fill="auto"/>
            <w:tcMar>
              <w:left w:w="28" w:type="dxa"/>
              <w:right w:w="57" w:type="dxa"/>
            </w:tcMar>
            <w:vAlign w:val="bottom"/>
            <w:hideMark/>
          </w:tcPr>
          <w:p w14:paraId="1258BFB9" w14:textId="6F901181" w:rsidR="0084445A" w:rsidRPr="00130F78" w:rsidRDefault="0084445A" w:rsidP="00084C32">
            <w:pPr>
              <w:pStyle w:val="a"/>
              <w:rPr>
                <w:rFonts w:asciiTheme="minorHAnsi" w:hAnsiTheme="minorHAnsi" w:cstheme="minorHAnsi"/>
                <w:color w:val="auto"/>
                <w:szCs w:val="20"/>
                <w:lang w:val="bg-BG"/>
              </w:rPr>
            </w:pPr>
            <w:r w:rsidRPr="00130F78">
              <w:rPr>
                <w:rFonts w:asciiTheme="minorHAnsi" w:hAnsiTheme="minorHAnsi" w:cstheme="minorHAnsi"/>
                <w:color w:val="auto"/>
                <w:szCs w:val="20"/>
                <w:lang w:val="bg-BG"/>
              </w:rPr>
              <w:t>Нетен доход от преоценки на финансови активи</w:t>
            </w:r>
            <w:r w:rsidR="00F12DDD" w:rsidRPr="00130F78">
              <w:rPr>
                <w:rFonts w:asciiTheme="minorHAnsi" w:hAnsiTheme="minorHAnsi" w:cstheme="minorHAnsi"/>
                <w:color w:val="auto"/>
                <w:szCs w:val="20"/>
                <w:lang w:val="bg-BG"/>
              </w:rPr>
              <w:t>, о</w:t>
            </w:r>
            <w:bookmarkStart w:id="79" w:name="_GoBack"/>
            <w:bookmarkEnd w:id="79"/>
            <w:r w:rsidR="00F12DDD" w:rsidRPr="00130F78">
              <w:rPr>
                <w:rFonts w:asciiTheme="minorHAnsi" w:hAnsiTheme="minorHAnsi" w:cstheme="minorHAnsi"/>
                <w:color w:val="auto"/>
                <w:szCs w:val="20"/>
                <w:lang w:val="bg-BG"/>
              </w:rPr>
              <w:t>ценявани по справедлива стойн</w:t>
            </w:r>
            <w:r w:rsidR="00007959" w:rsidRPr="00130F78">
              <w:rPr>
                <w:rFonts w:asciiTheme="minorHAnsi" w:hAnsiTheme="minorHAnsi" w:cstheme="minorHAnsi"/>
                <w:color w:val="auto"/>
                <w:szCs w:val="20"/>
                <w:lang w:val="bg-BG"/>
              </w:rPr>
              <w:t>о</w:t>
            </w:r>
            <w:r w:rsidR="00F12DDD" w:rsidRPr="00130F78">
              <w:rPr>
                <w:rFonts w:asciiTheme="minorHAnsi" w:hAnsiTheme="minorHAnsi" w:cstheme="minorHAnsi"/>
                <w:color w:val="auto"/>
                <w:szCs w:val="20"/>
                <w:lang w:val="bg-BG"/>
              </w:rPr>
              <w:t>ст</w:t>
            </w:r>
          </w:p>
        </w:tc>
        <w:tc>
          <w:tcPr>
            <w:tcW w:w="580" w:type="pct"/>
            <w:tcBorders>
              <w:top w:val="nil"/>
              <w:left w:val="nil"/>
              <w:bottom w:val="nil"/>
              <w:right w:val="nil"/>
            </w:tcBorders>
            <w:shd w:val="clear" w:color="auto" w:fill="auto"/>
            <w:noWrap/>
            <w:tcMar>
              <w:left w:w="28" w:type="dxa"/>
              <w:right w:w="57" w:type="dxa"/>
            </w:tcMar>
            <w:vAlign w:val="bottom"/>
            <w:hideMark/>
          </w:tcPr>
          <w:p w14:paraId="71BFE88E" w14:textId="77777777" w:rsidR="0084445A" w:rsidRPr="00130F78" w:rsidRDefault="0084445A" w:rsidP="00084C32">
            <w:pPr>
              <w:pStyle w:val="a0"/>
              <w:widowControl w:val="0"/>
              <w:rPr>
                <w:rFonts w:asciiTheme="minorHAnsi" w:hAnsiTheme="minorHAnsi" w:cstheme="minorHAnsi"/>
                <w:color w:val="auto"/>
                <w:szCs w:val="20"/>
              </w:rPr>
            </w:pPr>
            <w:r w:rsidRPr="00130F78">
              <w:rPr>
                <w:rFonts w:asciiTheme="minorHAnsi" w:hAnsiTheme="minorHAnsi" w:cstheme="minorHAnsi"/>
                <w:color w:val="auto"/>
                <w:szCs w:val="20"/>
              </w:rPr>
              <w:t>(</w:t>
            </w:r>
            <w:r w:rsidRPr="00130F78">
              <w:rPr>
                <w:rFonts w:asciiTheme="minorHAnsi" w:hAnsiTheme="minorHAnsi" w:cstheme="minorHAnsi"/>
                <w:color w:val="auto"/>
                <w:szCs w:val="20"/>
                <w:lang w:val="bg-BG"/>
              </w:rPr>
              <w:t>41</w:t>
            </w:r>
            <w:r w:rsidRPr="00130F78">
              <w:rPr>
                <w:rFonts w:asciiTheme="minorHAnsi" w:hAnsiTheme="minorHAnsi" w:cstheme="minorHAnsi"/>
                <w:color w:val="auto"/>
                <w:szCs w:val="20"/>
              </w:rPr>
              <w:t>)</w:t>
            </w:r>
          </w:p>
        </w:tc>
        <w:tc>
          <w:tcPr>
            <w:tcW w:w="579" w:type="pct"/>
            <w:tcBorders>
              <w:top w:val="nil"/>
              <w:left w:val="nil"/>
              <w:bottom w:val="nil"/>
              <w:right w:val="nil"/>
            </w:tcBorders>
            <w:shd w:val="clear" w:color="auto" w:fill="auto"/>
            <w:noWrap/>
            <w:tcMar>
              <w:left w:w="28" w:type="dxa"/>
              <w:right w:w="57" w:type="dxa"/>
            </w:tcMar>
            <w:vAlign w:val="bottom"/>
            <w:hideMark/>
          </w:tcPr>
          <w:p w14:paraId="6A49934F" w14:textId="77777777" w:rsidR="0084445A" w:rsidRPr="00130F78" w:rsidRDefault="0084445A" w:rsidP="00084C32">
            <w:pPr>
              <w:pStyle w:val="a0"/>
              <w:widowControl w:val="0"/>
              <w:rPr>
                <w:rFonts w:asciiTheme="minorHAnsi" w:hAnsiTheme="minorHAnsi" w:cstheme="minorHAnsi"/>
                <w:color w:val="auto"/>
                <w:szCs w:val="20"/>
              </w:rPr>
            </w:pPr>
            <w:r w:rsidRPr="00130F78">
              <w:rPr>
                <w:rFonts w:asciiTheme="minorHAnsi" w:hAnsiTheme="minorHAnsi" w:cstheme="minorHAnsi"/>
                <w:color w:val="auto"/>
                <w:szCs w:val="20"/>
              </w:rPr>
              <w:t>97</w:t>
            </w:r>
          </w:p>
        </w:tc>
      </w:tr>
      <w:tr w:rsidR="0084445A" w:rsidRPr="00741D80" w14:paraId="2662625B" w14:textId="77777777" w:rsidTr="00084C32">
        <w:trPr>
          <w:trHeight w:val="170"/>
          <w:jc w:val="center"/>
        </w:trPr>
        <w:tc>
          <w:tcPr>
            <w:tcW w:w="3841" w:type="pct"/>
            <w:tcBorders>
              <w:top w:val="nil"/>
              <w:left w:val="nil"/>
              <w:bottom w:val="nil"/>
              <w:right w:val="nil"/>
            </w:tcBorders>
            <w:shd w:val="clear" w:color="auto" w:fill="auto"/>
            <w:tcMar>
              <w:left w:w="28" w:type="dxa"/>
              <w:right w:w="57" w:type="dxa"/>
            </w:tcMar>
            <w:vAlign w:val="bottom"/>
            <w:hideMark/>
          </w:tcPr>
          <w:p w14:paraId="1167C515" w14:textId="1C19EB9B" w:rsidR="0084445A" w:rsidRPr="00130F78" w:rsidRDefault="0084445A" w:rsidP="00084C32">
            <w:pPr>
              <w:pStyle w:val="a"/>
              <w:rPr>
                <w:rFonts w:asciiTheme="minorHAnsi" w:hAnsiTheme="minorHAnsi" w:cstheme="minorHAnsi"/>
                <w:color w:val="auto"/>
                <w:szCs w:val="20"/>
                <w:lang w:val="bg-BG"/>
              </w:rPr>
            </w:pPr>
            <w:r w:rsidRPr="00130F78">
              <w:rPr>
                <w:rFonts w:asciiTheme="minorHAnsi" w:hAnsiTheme="minorHAnsi" w:cstheme="minorHAnsi"/>
                <w:color w:val="auto"/>
                <w:szCs w:val="20"/>
                <w:lang w:val="bg-BG"/>
              </w:rPr>
              <w:t>Данък върху дохода по преоценките на финансови активи</w:t>
            </w:r>
            <w:r w:rsidR="00F12DDD" w:rsidRPr="00130F78">
              <w:rPr>
                <w:rFonts w:asciiTheme="minorHAnsi" w:hAnsiTheme="minorHAnsi" w:cstheme="minorHAnsi"/>
                <w:color w:val="auto"/>
                <w:szCs w:val="20"/>
                <w:lang w:val="bg-BG"/>
              </w:rPr>
              <w:t>,</w:t>
            </w:r>
            <w:r w:rsidRPr="00130F78">
              <w:rPr>
                <w:rFonts w:asciiTheme="minorHAnsi" w:hAnsiTheme="minorHAnsi" w:cstheme="minorHAnsi"/>
                <w:color w:val="auto"/>
                <w:szCs w:val="20"/>
                <w:lang w:val="bg-BG"/>
              </w:rPr>
              <w:t xml:space="preserve"> </w:t>
            </w:r>
            <w:r w:rsidR="00F12DDD" w:rsidRPr="00130F78">
              <w:rPr>
                <w:rFonts w:asciiTheme="minorHAnsi" w:hAnsiTheme="minorHAnsi" w:cstheme="minorHAnsi"/>
                <w:color w:val="auto"/>
                <w:szCs w:val="20"/>
                <w:lang w:val="bg-BG"/>
              </w:rPr>
              <w:t xml:space="preserve">оценявани по справедлива </w:t>
            </w:r>
            <w:proofErr w:type="spellStart"/>
            <w:r w:rsidR="00F12DDD" w:rsidRPr="00130F78">
              <w:rPr>
                <w:rFonts w:asciiTheme="minorHAnsi" w:hAnsiTheme="minorHAnsi" w:cstheme="minorHAnsi"/>
                <w:color w:val="auto"/>
                <w:szCs w:val="20"/>
                <w:lang w:val="bg-BG"/>
              </w:rPr>
              <w:t>стойнст</w:t>
            </w:r>
            <w:proofErr w:type="spellEnd"/>
            <w:r w:rsidR="00F12DDD" w:rsidRPr="00130F78">
              <w:rPr>
                <w:rFonts w:asciiTheme="minorHAnsi" w:hAnsiTheme="minorHAnsi" w:cstheme="minorHAnsi"/>
                <w:color w:val="auto"/>
                <w:szCs w:val="20"/>
                <w:lang w:val="bg-BG"/>
              </w:rPr>
              <w:t xml:space="preserve"> </w:t>
            </w:r>
          </w:p>
        </w:tc>
        <w:tc>
          <w:tcPr>
            <w:tcW w:w="580" w:type="pct"/>
            <w:tcBorders>
              <w:top w:val="nil"/>
              <w:left w:val="nil"/>
              <w:bottom w:val="nil"/>
              <w:right w:val="nil"/>
            </w:tcBorders>
            <w:shd w:val="clear" w:color="auto" w:fill="auto"/>
            <w:noWrap/>
            <w:tcMar>
              <w:left w:w="28" w:type="dxa"/>
              <w:right w:w="57" w:type="dxa"/>
            </w:tcMar>
            <w:vAlign w:val="bottom"/>
            <w:hideMark/>
          </w:tcPr>
          <w:p w14:paraId="550067DB" w14:textId="77777777" w:rsidR="0084445A" w:rsidRPr="00130F78" w:rsidRDefault="0084445A" w:rsidP="00084C32">
            <w:pPr>
              <w:pStyle w:val="a0"/>
              <w:widowControl w:val="0"/>
              <w:rPr>
                <w:rFonts w:asciiTheme="minorHAnsi" w:hAnsiTheme="minorHAnsi" w:cstheme="minorHAnsi"/>
                <w:color w:val="auto"/>
                <w:szCs w:val="20"/>
                <w:lang w:val="bg-BG"/>
              </w:rPr>
            </w:pPr>
            <w:r w:rsidRPr="00130F78">
              <w:rPr>
                <w:rFonts w:asciiTheme="minorHAnsi" w:hAnsiTheme="minorHAnsi" w:cstheme="minorHAnsi"/>
                <w:color w:val="auto"/>
                <w:szCs w:val="20"/>
                <w:lang w:val="bg-BG"/>
              </w:rPr>
              <w:t>4</w:t>
            </w:r>
          </w:p>
        </w:tc>
        <w:tc>
          <w:tcPr>
            <w:tcW w:w="579" w:type="pct"/>
            <w:tcBorders>
              <w:top w:val="nil"/>
              <w:left w:val="nil"/>
              <w:bottom w:val="nil"/>
              <w:right w:val="nil"/>
            </w:tcBorders>
            <w:shd w:val="clear" w:color="auto" w:fill="auto"/>
            <w:noWrap/>
            <w:tcMar>
              <w:left w:w="28" w:type="dxa"/>
              <w:right w:w="57" w:type="dxa"/>
            </w:tcMar>
            <w:vAlign w:val="bottom"/>
            <w:hideMark/>
          </w:tcPr>
          <w:p w14:paraId="0B9D235D" w14:textId="77777777" w:rsidR="0084445A" w:rsidRPr="00741D80" w:rsidRDefault="0084445A" w:rsidP="00084C32">
            <w:pPr>
              <w:pStyle w:val="a0"/>
              <w:rPr>
                <w:rFonts w:asciiTheme="minorHAnsi" w:hAnsiTheme="minorHAnsi" w:cstheme="minorHAnsi"/>
                <w:bCs/>
                <w:color w:val="auto"/>
                <w:szCs w:val="20"/>
                <w:lang w:val="bg-BG"/>
              </w:rPr>
            </w:pPr>
            <w:r w:rsidRPr="00130F78">
              <w:rPr>
                <w:rFonts w:asciiTheme="minorHAnsi" w:hAnsiTheme="minorHAnsi" w:cstheme="minorHAnsi"/>
                <w:color w:val="auto"/>
                <w:szCs w:val="20"/>
                <w:lang w:val="bg-BG"/>
              </w:rPr>
              <w:t>(</w:t>
            </w:r>
            <w:r w:rsidRPr="00130F78">
              <w:rPr>
                <w:rFonts w:asciiTheme="minorHAnsi" w:hAnsiTheme="minorHAnsi" w:cstheme="minorHAnsi"/>
                <w:color w:val="auto"/>
                <w:szCs w:val="20"/>
              </w:rPr>
              <w:t>10</w:t>
            </w:r>
            <w:r w:rsidRPr="00130F78">
              <w:rPr>
                <w:rFonts w:asciiTheme="minorHAnsi" w:hAnsiTheme="minorHAnsi" w:cstheme="minorHAnsi"/>
                <w:color w:val="auto"/>
                <w:szCs w:val="20"/>
                <w:lang w:val="bg-BG"/>
              </w:rPr>
              <w:t>)</w:t>
            </w:r>
          </w:p>
        </w:tc>
      </w:tr>
      <w:tr w:rsidR="0084445A" w:rsidRPr="00741D80" w14:paraId="06ABD041" w14:textId="77777777" w:rsidTr="00084C32">
        <w:trPr>
          <w:trHeight w:val="170"/>
          <w:jc w:val="center"/>
        </w:trPr>
        <w:tc>
          <w:tcPr>
            <w:tcW w:w="3841" w:type="pct"/>
            <w:tcBorders>
              <w:top w:val="nil"/>
              <w:left w:val="nil"/>
              <w:bottom w:val="nil"/>
              <w:right w:val="nil"/>
            </w:tcBorders>
            <w:shd w:val="clear" w:color="auto" w:fill="auto"/>
            <w:noWrap/>
            <w:tcMar>
              <w:left w:w="28" w:type="dxa"/>
              <w:right w:w="57" w:type="dxa"/>
            </w:tcMar>
            <w:vAlign w:val="bottom"/>
            <w:hideMark/>
          </w:tcPr>
          <w:p w14:paraId="2764000C" w14:textId="77777777" w:rsidR="0084445A" w:rsidRPr="00741D80" w:rsidRDefault="0084445A" w:rsidP="00084C32">
            <w:pPr>
              <w:pStyle w:val="a"/>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Салдо на 31 декември</w:t>
            </w:r>
          </w:p>
        </w:tc>
        <w:tc>
          <w:tcPr>
            <w:tcW w:w="580" w:type="pct"/>
            <w:tcBorders>
              <w:top w:val="single" w:sz="4" w:space="0" w:color="auto"/>
              <w:left w:val="nil"/>
              <w:bottom w:val="single" w:sz="4" w:space="0" w:color="auto"/>
              <w:right w:val="nil"/>
            </w:tcBorders>
            <w:shd w:val="clear" w:color="auto" w:fill="auto"/>
            <w:noWrap/>
            <w:tcMar>
              <w:left w:w="28" w:type="dxa"/>
              <w:right w:w="57" w:type="dxa"/>
            </w:tcMar>
            <w:vAlign w:val="bottom"/>
            <w:hideMark/>
          </w:tcPr>
          <w:p w14:paraId="42628EAC" w14:textId="77777777" w:rsidR="0084445A" w:rsidRPr="00741D80" w:rsidRDefault="0084445A" w:rsidP="00084C32">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426</w:t>
            </w:r>
          </w:p>
        </w:tc>
        <w:tc>
          <w:tcPr>
            <w:tcW w:w="579" w:type="pct"/>
            <w:tcBorders>
              <w:top w:val="single" w:sz="4" w:space="0" w:color="auto"/>
              <w:left w:val="nil"/>
              <w:bottom w:val="single" w:sz="4" w:space="0" w:color="auto"/>
              <w:right w:val="nil"/>
            </w:tcBorders>
            <w:shd w:val="clear" w:color="auto" w:fill="auto"/>
            <w:noWrap/>
            <w:tcMar>
              <w:left w:w="28" w:type="dxa"/>
              <w:right w:w="57" w:type="dxa"/>
            </w:tcMar>
            <w:vAlign w:val="bottom"/>
            <w:hideMark/>
          </w:tcPr>
          <w:p w14:paraId="5A082CCE" w14:textId="77777777" w:rsidR="0084445A" w:rsidRPr="00741D80" w:rsidRDefault="0084445A" w:rsidP="00084C32">
            <w:pPr>
              <w:pStyle w:val="a0"/>
              <w:widowControl w:val="0"/>
              <w:rPr>
                <w:rFonts w:asciiTheme="minorHAnsi" w:hAnsiTheme="minorHAnsi" w:cstheme="minorHAnsi"/>
                <w:b/>
                <w:color w:val="auto"/>
                <w:szCs w:val="20"/>
              </w:rPr>
            </w:pPr>
            <w:r w:rsidRPr="00741D80">
              <w:rPr>
                <w:rFonts w:asciiTheme="minorHAnsi" w:hAnsiTheme="minorHAnsi" w:cstheme="minorHAnsi"/>
                <w:b/>
                <w:color w:val="auto"/>
                <w:szCs w:val="20"/>
              </w:rPr>
              <w:t>463</w:t>
            </w:r>
          </w:p>
        </w:tc>
      </w:tr>
    </w:tbl>
    <w:p w14:paraId="0A545979" w14:textId="5462FC6C" w:rsidR="0084445A" w:rsidRPr="00741D80" w:rsidRDefault="0084445A" w:rsidP="00084C32">
      <w:pPr>
        <w:spacing w:before="240" w:after="0"/>
        <w:jc w:val="both"/>
        <w:rPr>
          <w:rFonts w:cstheme="minorHAnsi"/>
        </w:rPr>
      </w:pPr>
      <w:r w:rsidRPr="00741D80">
        <w:rPr>
          <w:rFonts w:cstheme="minorHAnsi"/>
        </w:rPr>
        <w:t>Към 31 декември компонентът „натрупана печалба ” е в размер на</w:t>
      </w:r>
      <w:r w:rsidRPr="00741D80">
        <w:rPr>
          <w:rFonts w:cstheme="minorHAnsi"/>
          <w:lang w:val="en-US"/>
        </w:rPr>
        <w:t xml:space="preserve"> </w:t>
      </w:r>
      <w:r w:rsidRPr="00741D80">
        <w:rPr>
          <w:rFonts w:cstheme="minorHAnsi"/>
        </w:rPr>
        <w:t>37</w:t>
      </w:r>
      <w:r w:rsidR="00007959">
        <w:rPr>
          <w:rFonts w:cstheme="minorHAnsi"/>
          <w:lang w:val="en-US"/>
        </w:rPr>
        <w:t>7</w:t>
      </w:r>
      <w:r w:rsidRPr="00741D80">
        <w:rPr>
          <w:rFonts w:cstheme="minorHAnsi"/>
        </w:rPr>
        <w:t xml:space="preserve"> </w:t>
      </w:r>
      <w:proofErr w:type="spellStart"/>
      <w:r w:rsidRPr="00741D80">
        <w:rPr>
          <w:rFonts w:cstheme="minorHAnsi"/>
        </w:rPr>
        <w:t>х.лв</w:t>
      </w:r>
      <w:proofErr w:type="spellEnd"/>
      <w:r w:rsidRPr="00741D80">
        <w:rPr>
          <w:rFonts w:cstheme="minorHAnsi"/>
        </w:rPr>
        <w:t>.</w:t>
      </w:r>
      <w:r w:rsidRPr="00741D80">
        <w:rPr>
          <w:rFonts w:cstheme="minorHAnsi"/>
          <w:lang w:val="en-US"/>
        </w:rPr>
        <w:t xml:space="preserve"> </w:t>
      </w:r>
      <w:r w:rsidRPr="00741D80">
        <w:rPr>
          <w:rFonts w:cstheme="minorHAnsi"/>
        </w:rPr>
        <w:t xml:space="preserve">(31.12.2017 г: натрупана печалба – 169 </w:t>
      </w:r>
      <w:proofErr w:type="spellStart"/>
      <w:r w:rsidRPr="00741D80">
        <w:rPr>
          <w:rFonts w:cstheme="minorHAnsi"/>
        </w:rPr>
        <w:t>х.лв</w:t>
      </w:r>
      <w:proofErr w:type="spellEnd"/>
      <w:r w:rsidRPr="00741D80">
        <w:rPr>
          <w:rFonts w:cstheme="minorHAnsi"/>
        </w:rPr>
        <w:t>.), включва и признатата натрупана актюерска загуба в размер на 36</w:t>
      </w:r>
      <w:r w:rsidRPr="00741D80">
        <w:rPr>
          <w:rFonts w:cstheme="minorHAnsi"/>
          <w:lang w:val="en-US"/>
        </w:rPr>
        <w:t xml:space="preserve"> </w:t>
      </w:r>
      <w:proofErr w:type="spellStart"/>
      <w:r w:rsidRPr="00741D80">
        <w:rPr>
          <w:rFonts w:cstheme="minorHAnsi"/>
        </w:rPr>
        <w:t>х.лв</w:t>
      </w:r>
      <w:proofErr w:type="spellEnd"/>
      <w:r w:rsidRPr="00741D80">
        <w:rPr>
          <w:rFonts w:cstheme="minorHAnsi"/>
        </w:rPr>
        <w:t xml:space="preserve">. (31.12.2017 г.: 37 </w:t>
      </w:r>
      <w:proofErr w:type="spellStart"/>
      <w:r w:rsidRPr="00741D80">
        <w:rPr>
          <w:rFonts w:cstheme="minorHAnsi"/>
        </w:rPr>
        <w:t>х.лв</w:t>
      </w:r>
      <w:proofErr w:type="spellEnd"/>
      <w:r w:rsidRPr="00741D80">
        <w:rPr>
          <w:rFonts w:cstheme="minorHAnsi"/>
        </w:rPr>
        <w:t>.), отчетена при последващи оценки на планове с дефинирани пенсионни доходи във връзка с МСС 19 Пенсионни и други доходи на наети лица.</w:t>
      </w:r>
    </w:p>
    <w:p w14:paraId="60F93598" w14:textId="77777777" w:rsidR="0084445A" w:rsidRPr="00741D80" w:rsidRDefault="0084445A" w:rsidP="00084C32">
      <w:pPr>
        <w:jc w:val="both"/>
        <w:rPr>
          <w:rFonts w:cstheme="minorHAnsi"/>
        </w:rPr>
      </w:pPr>
      <w:r w:rsidRPr="00741D80">
        <w:rPr>
          <w:rFonts w:cstheme="minorHAnsi"/>
        </w:rPr>
        <w:t>Движението на компонента „натрупани (загуби)/ печалби” е както следва:</w:t>
      </w:r>
    </w:p>
    <w:tbl>
      <w:tblPr>
        <w:tblW w:w="5055" w:type="pct"/>
        <w:jc w:val="center"/>
        <w:tblLook w:val="04A0" w:firstRow="1" w:lastRow="0" w:firstColumn="1" w:lastColumn="0" w:noHBand="0" w:noVBand="1"/>
      </w:tblPr>
      <w:tblGrid>
        <w:gridCol w:w="7743"/>
        <w:gridCol w:w="1134"/>
        <w:gridCol w:w="1134"/>
      </w:tblGrid>
      <w:tr w:rsidR="0084445A" w:rsidRPr="00741D80" w14:paraId="492B92C5" w14:textId="77777777" w:rsidTr="00007959">
        <w:trPr>
          <w:trHeight w:val="170"/>
          <w:jc w:val="center"/>
        </w:trPr>
        <w:tc>
          <w:tcPr>
            <w:tcW w:w="3820" w:type="pct"/>
            <w:tcBorders>
              <w:top w:val="nil"/>
              <w:left w:val="nil"/>
              <w:bottom w:val="nil"/>
              <w:right w:val="nil"/>
            </w:tcBorders>
            <w:shd w:val="clear" w:color="auto" w:fill="auto"/>
            <w:hideMark/>
          </w:tcPr>
          <w:p w14:paraId="709772BB"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Натрупани (загуби)/печалби</w:t>
            </w:r>
          </w:p>
        </w:tc>
        <w:tc>
          <w:tcPr>
            <w:tcW w:w="617" w:type="pct"/>
            <w:tcBorders>
              <w:top w:val="nil"/>
              <w:left w:val="nil"/>
              <w:bottom w:val="nil"/>
              <w:right w:val="nil"/>
            </w:tcBorders>
            <w:shd w:val="clear" w:color="auto" w:fill="auto"/>
            <w:vAlign w:val="bottom"/>
            <w:hideMark/>
          </w:tcPr>
          <w:p w14:paraId="7D1975FA"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563" w:type="pct"/>
            <w:tcBorders>
              <w:top w:val="nil"/>
              <w:left w:val="nil"/>
              <w:bottom w:val="nil"/>
              <w:right w:val="nil"/>
            </w:tcBorders>
            <w:shd w:val="clear" w:color="auto" w:fill="auto"/>
            <w:vAlign w:val="bottom"/>
            <w:hideMark/>
          </w:tcPr>
          <w:p w14:paraId="54CFF660"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03F411FE" w14:textId="77777777" w:rsidTr="00007959">
        <w:trPr>
          <w:trHeight w:val="170"/>
          <w:jc w:val="center"/>
        </w:trPr>
        <w:tc>
          <w:tcPr>
            <w:tcW w:w="3820" w:type="pct"/>
            <w:tcBorders>
              <w:top w:val="nil"/>
              <w:left w:val="nil"/>
              <w:bottom w:val="nil"/>
              <w:right w:val="nil"/>
            </w:tcBorders>
            <w:shd w:val="clear" w:color="auto" w:fill="auto"/>
            <w:noWrap/>
            <w:hideMark/>
          </w:tcPr>
          <w:p w14:paraId="27AA7DDD" w14:textId="77777777" w:rsidR="0084445A" w:rsidRPr="00741D80" w:rsidRDefault="0084445A" w:rsidP="00AE7CF9">
            <w:pPr>
              <w:pStyle w:val="a"/>
              <w:spacing w:line="276" w:lineRule="auto"/>
              <w:rPr>
                <w:rFonts w:asciiTheme="minorHAnsi" w:hAnsiTheme="minorHAnsi" w:cstheme="minorHAnsi"/>
                <w:color w:val="auto"/>
                <w:szCs w:val="20"/>
                <w:lang w:val="bg-BG"/>
              </w:rPr>
            </w:pPr>
          </w:p>
        </w:tc>
        <w:tc>
          <w:tcPr>
            <w:tcW w:w="617" w:type="pct"/>
            <w:tcBorders>
              <w:top w:val="nil"/>
              <w:left w:val="nil"/>
              <w:bottom w:val="nil"/>
              <w:right w:val="nil"/>
            </w:tcBorders>
            <w:shd w:val="clear" w:color="auto" w:fill="auto"/>
            <w:noWrap/>
            <w:hideMark/>
          </w:tcPr>
          <w:p w14:paraId="52AB4925"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563" w:type="pct"/>
            <w:tcBorders>
              <w:top w:val="nil"/>
              <w:left w:val="nil"/>
              <w:bottom w:val="nil"/>
              <w:right w:val="nil"/>
            </w:tcBorders>
            <w:shd w:val="clear" w:color="auto" w:fill="auto"/>
            <w:noWrap/>
            <w:hideMark/>
          </w:tcPr>
          <w:p w14:paraId="102203AF" w14:textId="77777777" w:rsidR="0084445A" w:rsidRPr="00741D80" w:rsidRDefault="0084445A" w:rsidP="00AE7CF9">
            <w:pPr>
              <w:pStyle w:val="a1"/>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19295319" w14:textId="77777777" w:rsidTr="00007959">
        <w:trPr>
          <w:trHeight w:val="170"/>
          <w:jc w:val="center"/>
        </w:trPr>
        <w:tc>
          <w:tcPr>
            <w:tcW w:w="3820" w:type="pct"/>
            <w:tcBorders>
              <w:top w:val="nil"/>
              <w:left w:val="nil"/>
              <w:bottom w:val="nil"/>
              <w:right w:val="nil"/>
            </w:tcBorders>
            <w:shd w:val="clear" w:color="auto" w:fill="auto"/>
            <w:noWrap/>
            <w:hideMark/>
          </w:tcPr>
          <w:p w14:paraId="4562E057" w14:textId="77777777" w:rsidR="0084445A" w:rsidRPr="00741D80" w:rsidRDefault="0084445A" w:rsidP="00AE7CF9">
            <w:pPr>
              <w:pStyle w:val="a"/>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Салдо на 1 януари</w:t>
            </w:r>
          </w:p>
        </w:tc>
        <w:tc>
          <w:tcPr>
            <w:tcW w:w="617" w:type="pct"/>
            <w:tcBorders>
              <w:top w:val="single" w:sz="4" w:space="0" w:color="auto"/>
              <w:left w:val="nil"/>
              <w:bottom w:val="single" w:sz="4" w:space="0" w:color="auto"/>
              <w:right w:val="nil"/>
            </w:tcBorders>
            <w:shd w:val="clear" w:color="auto" w:fill="auto"/>
            <w:noWrap/>
            <w:hideMark/>
          </w:tcPr>
          <w:p w14:paraId="7D4543BE" w14:textId="77777777" w:rsidR="0084445A" w:rsidRPr="00741D80" w:rsidRDefault="0084445A" w:rsidP="00AE7CF9">
            <w:pPr>
              <w:pStyle w:val="a0"/>
              <w:widowControl w:val="0"/>
              <w:spacing w:line="276" w:lineRule="auto"/>
              <w:rPr>
                <w:rFonts w:asciiTheme="minorHAnsi" w:hAnsiTheme="minorHAnsi" w:cstheme="minorHAnsi"/>
                <w:b/>
                <w:color w:val="auto"/>
                <w:szCs w:val="20"/>
              </w:rPr>
            </w:pPr>
            <w:r w:rsidRPr="00741D80">
              <w:rPr>
                <w:rFonts w:asciiTheme="minorHAnsi" w:hAnsiTheme="minorHAnsi" w:cstheme="minorHAnsi"/>
                <w:b/>
                <w:color w:val="auto"/>
                <w:szCs w:val="20"/>
              </w:rPr>
              <w:t>169</w:t>
            </w:r>
          </w:p>
        </w:tc>
        <w:tc>
          <w:tcPr>
            <w:tcW w:w="563" w:type="pct"/>
            <w:tcBorders>
              <w:top w:val="single" w:sz="4" w:space="0" w:color="auto"/>
              <w:left w:val="nil"/>
              <w:bottom w:val="single" w:sz="4" w:space="0" w:color="auto"/>
              <w:right w:val="nil"/>
            </w:tcBorders>
            <w:shd w:val="clear" w:color="auto" w:fill="auto"/>
            <w:noWrap/>
            <w:hideMark/>
          </w:tcPr>
          <w:p w14:paraId="6544BD91" w14:textId="77777777" w:rsidR="0084445A" w:rsidRPr="00741D80" w:rsidRDefault="0084445A" w:rsidP="00AE7CF9">
            <w:pPr>
              <w:pStyle w:val="a0"/>
              <w:spacing w:line="276" w:lineRule="auto"/>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44</w:t>
            </w:r>
          </w:p>
        </w:tc>
      </w:tr>
      <w:tr w:rsidR="0084445A" w:rsidRPr="00741D80" w14:paraId="0A31EDBD" w14:textId="77777777" w:rsidTr="00007959">
        <w:trPr>
          <w:trHeight w:val="170"/>
          <w:jc w:val="center"/>
        </w:trPr>
        <w:tc>
          <w:tcPr>
            <w:tcW w:w="3820" w:type="pct"/>
            <w:tcBorders>
              <w:top w:val="nil"/>
              <w:left w:val="nil"/>
              <w:bottom w:val="nil"/>
              <w:right w:val="nil"/>
            </w:tcBorders>
            <w:shd w:val="clear" w:color="auto" w:fill="auto"/>
            <w:noWrap/>
            <w:vAlign w:val="bottom"/>
          </w:tcPr>
          <w:p w14:paraId="61659D61"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Разпределение на печалбата за 2017 г. към допълнителните резерви </w:t>
            </w:r>
          </w:p>
        </w:tc>
        <w:tc>
          <w:tcPr>
            <w:tcW w:w="617" w:type="pct"/>
            <w:tcBorders>
              <w:top w:val="nil"/>
              <w:left w:val="nil"/>
              <w:bottom w:val="nil"/>
              <w:right w:val="nil"/>
            </w:tcBorders>
            <w:shd w:val="clear" w:color="auto" w:fill="auto"/>
          </w:tcPr>
          <w:p w14:paraId="12536E07" w14:textId="77777777" w:rsidR="0084445A" w:rsidRPr="00741D80" w:rsidRDefault="0084445A" w:rsidP="00AE7CF9">
            <w:pPr>
              <w:pStyle w:val="a0"/>
              <w:widowControl w:val="0"/>
              <w:spacing w:line="276" w:lineRule="auto"/>
              <w:rPr>
                <w:rFonts w:asciiTheme="minorHAnsi" w:hAnsiTheme="minorHAnsi" w:cstheme="minorHAnsi"/>
                <w:color w:val="auto"/>
                <w:szCs w:val="20"/>
              </w:rPr>
            </w:pPr>
            <w:r w:rsidRPr="00741D80">
              <w:rPr>
                <w:rFonts w:asciiTheme="minorHAnsi" w:hAnsiTheme="minorHAnsi" w:cstheme="minorHAnsi"/>
                <w:color w:val="auto"/>
                <w:szCs w:val="20"/>
              </w:rPr>
              <w:t>(103)</w:t>
            </w:r>
          </w:p>
        </w:tc>
        <w:tc>
          <w:tcPr>
            <w:tcW w:w="563" w:type="pct"/>
            <w:tcBorders>
              <w:top w:val="nil"/>
              <w:left w:val="nil"/>
              <w:bottom w:val="nil"/>
              <w:right w:val="nil"/>
            </w:tcBorders>
            <w:shd w:val="clear" w:color="auto" w:fill="auto"/>
          </w:tcPr>
          <w:p w14:paraId="25B0C994" w14:textId="77777777" w:rsidR="0084445A" w:rsidRPr="00741D80" w:rsidRDefault="0084445A" w:rsidP="00AE7CF9">
            <w:pPr>
              <w:pStyle w:val="a0"/>
              <w:widowControl w:val="0"/>
              <w:spacing w:line="276" w:lineRule="auto"/>
              <w:rPr>
                <w:rFonts w:asciiTheme="minorHAnsi" w:hAnsiTheme="minorHAnsi" w:cstheme="minorHAnsi"/>
                <w:color w:val="auto"/>
                <w:szCs w:val="20"/>
              </w:rPr>
            </w:pPr>
            <w:r w:rsidRPr="00741D80">
              <w:rPr>
                <w:rFonts w:asciiTheme="minorHAnsi" w:hAnsiTheme="minorHAnsi" w:cstheme="minorHAnsi"/>
                <w:color w:val="auto"/>
                <w:szCs w:val="20"/>
              </w:rPr>
              <w:t>(31)</w:t>
            </w:r>
          </w:p>
        </w:tc>
      </w:tr>
      <w:tr w:rsidR="0084445A" w:rsidRPr="00741D80" w14:paraId="54485A37" w14:textId="77777777" w:rsidTr="00007959">
        <w:trPr>
          <w:trHeight w:val="170"/>
          <w:jc w:val="center"/>
        </w:trPr>
        <w:tc>
          <w:tcPr>
            <w:tcW w:w="3820" w:type="pct"/>
            <w:tcBorders>
              <w:top w:val="nil"/>
              <w:left w:val="nil"/>
              <w:bottom w:val="nil"/>
              <w:right w:val="nil"/>
            </w:tcBorders>
            <w:shd w:val="clear" w:color="auto" w:fill="auto"/>
            <w:noWrap/>
            <w:vAlign w:val="bottom"/>
          </w:tcPr>
          <w:p w14:paraId="387A1D43" w14:textId="247DD5C6" w:rsidR="0084445A" w:rsidRPr="00741D80" w:rsidRDefault="0084445A" w:rsidP="0000795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Разпределение на печалбата за 201</w:t>
            </w:r>
            <w:r w:rsidRPr="00741D80">
              <w:rPr>
                <w:rFonts w:asciiTheme="minorHAnsi" w:hAnsiTheme="minorHAnsi" w:cstheme="minorHAnsi"/>
                <w:color w:val="auto"/>
                <w:szCs w:val="20"/>
              </w:rPr>
              <w:t>7</w:t>
            </w:r>
            <w:r w:rsidRPr="00741D80">
              <w:rPr>
                <w:rFonts w:asciiTheme="minorHAnsi" w:hAnsiTheme="minorHAnsi" w:cstheme="minorHAnsi"/>
                <w:color w:val="auto"/>
                <w:szCs w:val="20"/>
                <w:lang w:val="bg-BG"/>
              </w:rPr>
              <w:t xml:space="preserve"> г. за дивидент, по решение на ОСА от </w:t>
            </w:r>
            <w:r w:rsidRPr="00741D80">
              <w:rPr>
                <w:rFonts w:asciiTheme="minorHAnsi" w:hAnsiTheme="minorHAnsi" w:cstheme="minorHAnsi"/>
                <w:color w:val="auto"/>
                <w:szCs w:val="20"/>
              </w:rPr>
              <w:t>18.06.2018</w:t>
            </w:r>
            <w:r w:rsidRPr="00741D80">
              <w:rPr>
                <w:rFonts w:asciiTheme="minorHAnsi" w:hAnsiTheme="minorHAnsi" w:cstheme="minorHAnsi"/>
                <w:color w:val="auto"/>
                <w:szCs w:val="20"/>
                <w:lang w:val="bg-BG"/>
              </w:rPr>
              <w:t xml:space="preserve"> г.</w:t>
            </w:r>
          </w:p>
        </w:tc>
        <w:tc>
          <w:tcPr>
            <w:tcW w:w="617" w:type="pct"/>
            <w:tcBorders>
              <w:top w:val="nil"/>
              <w:left w:val="nil"/>
              <w:bottom w:val="nil"/>
              <w:right w:val="nil"/>
            </w:tcBorders>
            <w:shd w:val="clear" w:color="auto" w:fill="auto"/>
            <w:vAlign w:val="center"/>
          </w:tcPr>
          <w:p w14:paraId="3FC1769F" w14:textId="77777777" w:rsidR="0084445A" w:rsidRPr="00741D80" w:rsidRDefault="0084445A" w:rsidP="00741D80">
            <w:pPr>
              <w:pStyle w:val="a0"/>
              <w:widowControl w:val="0"/>
              <w:spacing w:line="276" w:lineRule="auto"/>
              <w:rPr>
                <w:rFonts w:asciiTheme="minorHAnsi" w:hAnsiTheme="minorHAnsi" w:cstheme="minorHAnsi"/>
                <w:color w:val="auto"/>
                <w:szCs w:val="20"/>
              </w:rPr>
            </w:pPr>
            <w:r w:rsidRPr="00741D80">
              <w:rPr>
                <w:rFonts w:asciiTheme="minorHAnsi" w:hAnsiTheme="minorHAnsi" w:cstheme="minorHAnsi"/>
                <w:color w:val="auto"/>
                <w:szCs w:val="20"/>
              </w:rPr>
              <w:t>(103)</w:t>
            </w:r>
          </w:p>
        </w:tc>
        <w:tc>
          <w:tcPr>
            <w:tcW w:w="563" w:type="pct"/>
            <w:tcBorders>
              <w:top w:val="nil"/>
              <w:left w:val="nil"/>
              <w:bottom w:val="nil"/>
              <w:right w:val="nil"/>
            </w:tcBorders>
            <w:shd w:val="clear" w:color="auto" w:fill="auto"/>
            <w:vAlign w:val="center"/>
          </w:tcPr>
          <w:p w14:paraId="7BF07F16" w14:textId="77777777" w:rsidR="0084445A" w:rsidRPr="00741D80" w:rsidRDefault="0084445A" w:rsidP="00741D80">
            <w:pPr>
              <w:pStyle w:val="a0"/>
              <w:widowControl w:val="0"/>
              <w:spacing w:line="276" w:lineRule="auto"/>
              <w:rPr>
                <w:rFonts w:asciiTheme="minorHAnsi" w:hAnsiTheme="minorHAnsi" w:cstheme="minorHAnsi"/>
                <w:color w:val="auto"/>
                <w:szCs w:val="20"/>
              </w:rPr>
            </w:pPr>
            <w:r w:rsidRPr="00741D80">
              <w:rPr>
                <w:rFonts w:asciiTheme="minorHAnsi" w:hAnsiTheme="minorHAnsi" w:cstheme="minorHAnsi"/>
                <w:color w:val="auto"/>
                <w:szCs w:val="20"/>
              </w:rPr>
              <w:t>(32)</w:t>
            </w:r>
          </w:p>
        </w:tc>
      </w:tr>
      <w:tr w:rsidR="0084445A" w:rsidRPr="00741D80" w14:paraId="06DAB526" w14:textId="77777777" w:rsidTr="00007959">
        <w:trPr>
          <w:trHeight w:val="170"/>
          <w:jc w:val="center"/>
        </w:trPr>
        <w:tc>
          <w:tcPr>
            <w:tcW w:w="3820" w:type="pct"/>
            <w:tcBorders>
              <w:top w:val="nil"/>
              <w:left w:val="nil"/>
              <w:bottom w:val="nil"/>
              <w:right w:val="nil"/>
            </w:tcBorders>
            <w:shd w:val="clear" w:color="auto" w:fill="auto"/>
            <w:vAlign w:val="bottom"/>
            <w:hideMark/>
          </w:tcPr>
          <w:p w14:paraId="76B9C71E" w14:textId="77777777" w:rsidR="0084445A" w:rsidRPr="00741D80" w:rsidRDefault="0084445A" w:rsidP="00AE7CF9">
            <w:pPr>
              <w:pStyle w:val="a"/>
              <w:spacing w:line="276" w:lineRule="auto"/>
              <w:rPr>
                <w:rFonts w:asciiTheme="minorHAnsi" w:hAnsiTheme="minorHAnsi" w:cstheme="minorHAnsi"/>
                <w:bCs/>
                <w:color w:val="auto"/>
                <w:szCs w:val="20"/>
                <w:lang w:val="bg-BG"/>
              </w:rPr>
            </w:pPr>
            <w:r w:rsidRPr="00741D80">
              <w:rPr>
                <w:rFonts w:asciiTheme="minorHAnsi" w:hAnsiTheme="minorHAnsi" w:cstheme="minorHAnsi"/>
                <w:color w:val="auto"/>
                <w:szCs w:val="20"/>
                <w:lang w:val="bg-BG"/>
              </w:rPr>
              <w:t>Текуща печалба за годината</w:t>
            </w:r>
          </w:p>
        </w:tc>
        <w:tc>
          <w:tcPr>
            <w:tcW w:w="617" w:type="pct"/>
            <w:tcBorders>
              <w:top w:val="nil"/>
              <w:left w:val="nil"/>
              <w:bottom w:val="nil"/>
              <w:right w:val="nil"/>
            </w:tcBorders>
            <w:shd w:val="clear" w:color="auto" w:fill="auto"/>
            <w:hideMark/>
          </w:tcPr>
          <w:p w14:paraId="5018D39E"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415</w:t>
            </w:r>
          </w:p>
        </w:tc>
        <w:tc>
          <w:tcPr>
            <w:tcW w:w="563" w:type="pct"/>
            <w:tcBorders>
              <w:top w:val="nil"/>
              <w:left w:val="nil"/>
              <w:bottom w:val="nil"/>
              <w:right w:val="nil"/>
            </w:tcBorders>
            <w:shd w:val="clear" w:color="auto" w:fill="auto"/>
            <w:hideMark/>
          </w:tcPr>
          <w:p w14:paraId="637B28D7" w14:textId="77777777" w:rsidR="0084445A" w:rsidRPr="00741D80" w:rsidRDefault="0084445A" w:rsidP="00AE7CF9">
            <w:pPr>
              <w:pStyle w:val="a0"/>
              <w:widowControl w:val="0"/>
              <w:spacing w:line="276" w:lineRule="auto"/>
              <w:rPr>
                <w:rFonts w:asciiTheme="minorHAnsi" w:hAnsiTheme="minorHAnsi" w:cstheme="minorHAnsi"/>
                <w:bCs/>
                <w:color w:val="auto"/>
                <w:szCs w:val="20"/>
              </w:rPr>
            </w:pPr>
            <w:r w:rsidRPr="00741D80">
              <w:rPr>
                <w:rFonts w:asciiTheme="minorHAnsi" w:hAnsiTheme="minorHAnsi" w:cstheme="minorHAnsi"/>
                <w:color w:val="auto"/>
                <w:szCs w:val="20"/>
              </w:rPr>
              <w:t>206</w:t>
            </w:r>
          </w:p>
        </w:tc>
      </w:tr>
      <w:tr w:rsidR="0084445A" w:rsidRPr="00741D80" w14:paraId="7A0DBE36" w14:textId="77777777" w:rsidTr="00007959">
        <w:trPr>
          <w:trHeight w:val="170"/>
          <w:jc w:val="center"/>
        </w:trPr>
        <w:tc>
          <w:tcPr>
            <w:tcW w:w="3820" w:type="pct"/>
            <w:tcBorders>
              <w:top w:val="nil"/>
              <w:left w:val="nil"/>
              <w:bottom w:val="nil"/>
              <w:right w:val="nil"/>
            </w:tcBorders>
            <w:shd w:val="clear" w:color="auto" w:fill="auto"/>
            <w:vAlign w:val="bottom"/>
            <w:hideMark/>
          </w:tcPr>
          <w:p w14:paraId="0F641BA5"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Актюерски загуби от последващи оценки</w:t>
            </w:r>
          </w:p>
        </w:tc>
        <w:tc>
          <w:tcPr>
            <w:tcW w:w="617" w:type="pct"/>
            <w:tcBorders>
              <w:top w:val="nil"/>
              <w:left w:val="nil"/>
              <w:bottom w:val="nil"/>
              <w:right w:val="nil"/>
            </w:tcBorders>
            <w:shd w:val="clear" w:color="auto" w:fill="auto"/>
            <w:hideMark/>
          </w:tcPr>
          <w:p w14:paraId="0E853C32" w14:textId="3219D7F0" w:rsidR="0084445A" w:rsidRPr="00007959" w:rsidRDefault="00007959" w:rsidP="00AE7CF9">
            <w:pPr>
              <w:pStyle w:val="a0"/>
              <w:widowControl w:val="0"/>
              <w:spacing w:line="276" w:lineRule="auto"/>
              <w:rPr>
                <w:rFonts w:asciiTheme="minorHAnsi" w:hAnsiTheme="minorHAnsi" w:cstheme="minorHAnsi"/>
                <w:color w:val="auto"/>
                <w:szCs w:val="20"/>
              </w:rPr>
            </w:pPr>
            <w:r>
              <w:rPr>
                <w:rFonts w:asciiTheme="minorHAnsi" w:hAnsiTheme="minorHAnsi" w:cstheme="minorHAnsi"/>
                <w:color w:val="auto"/>
                <w:szCs w:val="20"/>
              </w:rPr>
              <w:t>(</w:t>
            </w:r>
            <w:r w:rsidR="0084445A" w:rsidRPr="00741D80">
              <w:rPr>
                <w:rFonts w:asciiTheme="minorHAnsi" w:hAnsiTheme="minorHAnsi" w:cstheme="minorHAnsi"/>
                <w:color w:val="auto"/>
                <w:szCs w:val="20"/>
                <w:lang w:val="bg-BG"/>
              </w:rPr>
              <w:t>1</w:t>
            </w:r>
            <w:r>
              <w:rPr>
                <w:rFonts w:asciiTheme="minorHAnsi" w:hAnsiTheme="minorHAnsi" w:cstheme="minorHAnsi"/>
                <w:color w:val="auto"/>
                <w:szCs w:val="20"/>
              </w:rPr>
              <w:t>)</w:t>
            </w:r>
          </w:p>
        </w:tc>
        <w:tc>
          <w:tcPr>
            <w:tcW w:w="563" w:type="pct"/>
            <w:tcBorders>
              <w:top w:val="nil"/>
              <w:left w:val="nil"/>
              <w:bottom w:val="nil"/>
              <w:right w:val="nil"/>
            </w:tcBorders>
            <w:shd w:val="clear" w:color="auto" w:fill="auto"/>
            <w:hideMark/>
          </w:tcPr>
          <w:p w14:paraId="286306EF" w14:textId="77777777" w:rsidR="0084445A" w:rsidRPr="00741D80" w:rsidRDefault="0084445A" w:rsidP="00AE7CF9">
            <w:pPr>
              <w:pStyle w:val="a0"/>
              <w:spacing w:line="276" w:lineRule="auto"/>
              <w:rPr>
                <w:rFonts w:asciiTheme="minorHAnsi" w:hAnsiTheme="minorHAnsi" w:cstheme="minorHAnsi"/>
                <w:bCs/>
                <w:color w:val="auto"/>
                <w:szCs w:val="20"/>
                <w:lang w:val="bg-BG"/>
              </w:rPr>
            </w:pPr>
            <w:r w:rsidRPr="00741D80">
              <w:rPr>
                <w:rFonts w:asciiTheme="minorHAnsi" w:hAnsiTheme="minorHAnsi" w:cstheme="minorHAnsi"/>
                <w:color w:val="auto"/>
                <w:szCs w:val="20"/>
                <w:lang w:val="bg-BG"/>
              </w:rPr>
              <w:t>(</w:t>
            </w:r>
            <w:r w:rsidRPr="00741D80">
              <w:rPr>
                <w:rFonts w:asciiTheme="minorHAnsi" w:hAnsiTheme="minorHAnsi" w:cstheme="minorHAnsi"/>
                <w:color w:val="auto"/>
                <w:szCs w:val="20"/>
              </w:rPr>
              <w:t>18</w:t>
            </w:r>
            <w:r w:rsidRPr="00741D80">
              <w:rPr>
                <w:rFonts w:asciiTheme="minorHAnsi" w:hAnsiTheme="minorHAnsi" w:cstheme="minorHAnsi"/>
                <w:color w:val="auto"/>
                <w:szCs w:val="20"/>
                <w:lang w:val="bg-BG"/>
              </w:rPr>
              <w:t>)</w:t>
            </w:r>
          </w:p>
        </w:tc>
      </w:tr>
      <w:tr w:rsidR="0084445A" w:rsidRPr="00741D80" w14:paraId="7C8EE7FD" w14:textId="77777777" w:rsidTr="00007959">
        <w:trPr>
          <w:trHeight w:val="170"/>
          <w:jc w:val="center"/>
        </w:trPr>
        <w:tc>
          <w:tcPr>
            <w:tcW w:w="3820" w:type="pct"/>
            <w:tcBorders>
              <w:top w:val="nil"/>
              <w:left w:val="nil"/>
              <w:bottom w:val="nil"/>
              <w:right w:val="nil"/>
            </w:tcBorders>
            <w:shd w:val="clear" w:color="auto" w:fill="auto"/>
            <w:noWrap/>
            <w:hideMark/>
          </w:tcPr>
          <w:p w14:paraId="7C471114" w14:textId="19AA6B14" w:rsidR="0084445A" w:rsidRPr="00741D80" w:rsidRDefault="0084445A" w:rsidP="00AE7CF9">
            <w:pPr>
              <w:pStyle w:val="a"/>
              <w:spacing w:line="276" w:lineRule="auto"/>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Салдо на</w:t>
            </w:r>
            <w:r w:rsidR="00FD518A">
              <w:rPr>
                <w:rFonts w:asciiTheme="minorHAnsi" w:hAnsiTheme="minorHAnsi" w:cstheme="minorHAnsi"/>
                <w:b/>
                <w:color w:val="auto"/>
                <w:szCs w:val="20"/>
                <w:lang w:val="bg-BG"/>
              </w:rPr>
              <w:t xml:space="preserve"> </w:t>
            </w:r>
            <w:r w:rsidRPr="00741D80">
              <w:rPr>
                <w:rFonts w:asciiTheme="minorHAnsi" w:hAnsiTheme="minorHAnsi" w:cstheme="minorHAnsi"/>
                <w:b/>
                <w:color w:val="auto"/>
                <w:szCs w:val="20"/>
                <w:lang w:val="bg-BG"/>
              </w:rPr>
              <w:t>31 декември</w:t>
            </w:r>
          </w:p>
        </w:tc>
        <w:tc>
          <w:tcPr>
            <w:tcW w:w="617" w:type="pct"/>
            <w:tcBorders>
              <w:top w:val="single" w:sz="4" w:space="0" w:color="auto"/>
              <w:left w:val="nil"/>
              <w:bottom w:val="single" w:sz="4" w:space="0" w:color="auto"/>
              <w:right w:val="nil"/>
            </w:tcBorders>
            <w:shd w:val="clear" w:color="auto" w:fill="auto"/>
            <w:noWrap/>
            <w:vAlign w:val="bottom"/>
            <w:hideMark/>
          </w:tcPr>
          <w:p w14:paraId="4D672905" w14:textId="77777777" w:rsidR="0084445A" w:rsidRPr="00741D80" w:rsidRDefault="0084445A" w:rsidP="00AE7CF9">
            <w:pPr>
              <w:pStyle w:val="a0"/>
              <w:widowControl w:val="0"/>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379</w:t>
            </w:r>
          </w:p>
        </w:tc>
        <w:tc>
          <w:tcPr>
            <w:tcW w:w="563" w:type="pct"/>
            <w:tcBorders>
              <w:top w:val="single" w:sz="4" w:space="0" w:color="auto"/>
              <w:left w:val="nil"/>
              <w:bottom w:val="single" w:sz="4" w:space="0" w:color="auto"/>
              <w:right w:val="nil"/>
            </w:tcBorders>
            <w:shd w:val="clear" w:color="auto" w:fill="auto"/>
            <w:noWrap/>
            <w:vAlign w:val="bottom"/>
            <w:hideMark/>
          </w:tcPr>
          <w:p w14:paraId="099D8F4B" w14:textId="77777777" w:rsidR="0084445A" w:rsidRPr="00741D80" w:rsidRDefault="0084445A" w:rsidP="00AE7CF9">
            <w:pPr>
              <w:pStyle w:val="a0"/>
              <w:widowControl w:val="0"/>
              <w:spacing w:line="276" w:lineRule="auto"/>
              <w:rPr>
                <w:rFonts w:asciiTheme="minorHAnsi" w:hAnsiTheme="minorHAnsi" w:cstheme="minorHAnsi"/>
                <w:b/>
                <w:color w:val="auto"/>
                <w:szCs w:val="20"/>
              </w:rPr>
            </w:pPr>
            <w:r w:rsidRPr="00741D80">
              <w:rPr>
                <w:rFonts w:asciiTheme="minorHAnsi" w:hAnsiTheme="minorHAnsi" w:cstheme="minorHAnsi"/>
                <w:b/>
                <w:color w:val="auto"/>
                <w:szCs w:val="20"/>
              </w:rPr>
              <w:t>169</w:t>
            </w:r>
          </w:p>
        </w:tc>
      </w:tr>
    </w:tbl>
    <w:p w14:paraId="31D981F9" w14:textId="77777777" w:rsidR="0084445A" w:rsidRPr="00741D80" w:rsidRDefault="0084445A" w:rsidP="00084C32">
      <w:pPr>
        <w:spacing w:before="240" w:after="0"/>
        <w:jc w:val="both"/>
        <w:rPr>
          <w:rFonts w:cstheme="minorHAnsi"/>
        </w:rPr>
      </w:pPr>
      <w:r w:rsidRPr="00741D80">
        <w:rPr>
          <w:rFonts w:cstheme="minorHAnsi"/>
        </w:rPr>
        <w:t xml:space="preserve">С решение на годишното общо събрание на акционерите на Борсата, проведено на </w:t>
      </w:r>
      <w:r w:rsidRPr="00741D80">
        <w:rPr>
          <w:rFonts w:cstheme="minorHAnsi"/>
          <w:lang w:val="en-US"/>
        </w:rPr>
        <w:t>18.06.2018</w:t>
      </w:r>
      <w:r w:rsidRPr="00741D80">
        <w:rPr>
          <w:rFonts w:cstheme="minorHAnsi"/>
        </w:rPr>
        <w:t xml:space="preserve"> г., печалбата за </w:t>
      </w:r>
      <w:r w:rsidRPr="00741D80">
        <w:rPr>
          <w:rFonts w:cstheme="minorHAnsi"/>
          <w:lang w:val="en-US"/>
        </w:rPr>
        <w:t>2017</w:t>
      </w:r>
      <w:r w:rsidRPr="00741D80">
        <w:rPr>
          <w:rFonts w:cstheme="minorHAnsi"/>
        </w:rPr>
        <w:t xml:space="preserve"> г. общо в размер на </w:t>
      </w:r>
      <w:r w:rsidRPr="00741D80">
        <w:rPr>
          <w:rFonts w:cstheme="minorHAnsi"/>
          <w:lang w:val="en-US"/>
        </w:rPr>
        <w:t>206</w:t>
      </w:r>
      <w:r w:rsidRPr="00741D80">
        <w:rPr>
          <w:rFonts w:cstheme="minorHAnsi"/>
        </w:rPr>
        <w:t xml:space="preserve"> </w:t>
      </w:r>
      <w:proofErr w:type="spellStart"/>
      <w:r w:rsidRPr="00741D80">
        <w:rPr>
          <w:rFonts w:cstheme="minorHAnsi"/>
        </w:rPr>
        <w:t>х.лв</w:t>
      </w:r>
      <w:proofErr w:type="spellEnd"/>
      <w:r w:rsidRPr="00741D80">
        <w:rPr>
          <w:rFonts w:cstheme="minorHAnsi"/>
        </w:rPr>
        <w:t xml:space="preserve">. се разпределя, както следва: </w:t>
      </w:r>
      <w:r w:rsidRPr="00741D80">
        <w:rPr>
          <w:rFonts w:cstheme="minorHAnsi"/>
          <w:lang w:val="en-US"/>
        </w:rPr>
        <w:t>103</w:t>
      </w:r>
      <w:r w:rsidRPr="00741D80">
        <w:rPr>
          <w:rFonts w:cstheme="minorHAnsi"/>
        </w:rPr>
        <w:t xml:space="preserve"> </w:t>
      </w:r>
      <w:proofErr w:type="spellStart"/>
      <w:r w:rsidRPr="00741D80">
        <w:rPr>
          <w:rFonts w:cstheme="minorHAnsi"/>
        </w:rPr>
        <w:t>х.лв</w:t>
      </w:r>
      <w:proofErr w:type="spellEnd"/>
      <w:r w:rsidRPr="00741D80">
        <w:rPr>
          <w:rFonts w:cstheme="minorHAnsi"/>
        </w:rPr>
        <w:t xml:space="preserve">. за попълване на допълнителни резерви на дружеството и </w:t>
      </w:r>
      <w:r w:rsidRPr="00741D80">
        <w:rPr>
          <w:rFonts w:cstheme="minorHAnsi"/>
          <w:lang w:val="en-US"/>
        </w:rPr>
        <w:t>103</w:t>
      </w:r>
      <w:r w:rsidRPr="00741D80">
        <w:rPr>
          <w:rFonts w:cstheme="minorHAnsi"/>
        </w:rPr>
        <w:t xml:space="preserve"> </w:t>
      </w:r>
      <w:proofErr w:type="spellStart"/>
      <w:r w:rsidRPr="00741D80">
        <w:rPr>
          <w:rFonts w:cstheme="minorHAnsi"/>
        </w:rPr>
        <w:t>х.лв</w:t>
      </w:r>
      <w:proofErr w:type="spellEnd"/>
      <w:r w:rsidRPr="00741D80">
        <w:rPr>
          <w:rFonts w:cstheme="minorHAnsi"/>
        </w:rPr>
        <w:t>. за изплащане на дивидент.</w:t>
      </w:r>
    </w:p>
    <w:p w14:paraId="625205A8" w14:textId="77777777" w:rsidR="0084445A" w:rsidRPr="00741D80" w:rsidRDefault="0084445A" w:rsidP="00084C32">
      <w:pPr>
        <w:spacing w:after="0"/>
        <w:jc w:val="both"/>
        <w:rPr>
          <w:rFonts w:cstheme="minorHAnsi"/>
        </w:rPr>
      </w:pPr>
      <w:r w:rsidRPr="00741D80">
        <w:rPr>
          <w:rFonts w:cstheme="minorHAnsi"/>
        </w:rPr>
        <w:t xml:space="preserve">С решение на годишното общо събрание на акционерите на Борсата, проведено на 07.04.2017 г., печалбата за 2016 г. общо в размер на 63 </w:t>
      </w:r>
      <w:proofErr w:type="spellStart"/>
      <w:r w:rsidRPr="00741D80">
        <w:rPr>
          <w:rFonts w:cstheme="minorHAnsi"/>
        </w:rPr>
        <w:t>х.лв</w:t>
      </w:r>
      <w:proofErr w:type="spellEnd"/>
      <w:r w:rsidRPr="00741D80">
        <w:rPr>
          <w:rFonts w:cstheme="minorHAnsi"/>
        </w:rPr>
        <w:t xml:space="preserve">. се разпределя, както следва: 31 </w:t>
      </w:r>
      <w:proofErr w:type="spellStart"/>
      <w:r w:rsidRPr="00741D80">
        <w:rPr>
          <w:rFonts w:cstheme="minorHAnsi"/>
        </w:rPr>
        <w:t>х.лв</w:t>
      </w:r>
      <w:proofErr w:type="spellEnd"/>
      <w:r w:rsidRPr="00741D80">
        <w:rPr>
          <w:rFonts w:cstheme="minorHAnsi"/>
        </w:rPr>
        <w:t xml:space="preserve">. за попълване на допълнителни резерви на дружеството и 32 </w:t>
      </w:r>
      <w:proofErr w:type="spellStart"/>
      <w:r w:rsidRPr="00741D80">
        <w:rPr>
          <w:rFonts w:cstheme="minorHAnsi"/>
        </w:rPr>
        <w:t>х.лв</w:t>
      </w:r>
      <w:proofErr w:type="spellEnd"/>
      <w:r w:rsidRPr="00741D80">
        <w:rPr>
          <w:rFonts w:cstheme="minorHAnsi"/>
        </w:rPr>
        <w:t>. за изплащане на дивидент.</w:t>
      </w:r>
    </w:p>
    <w:tbl>
      <w:tblPr>
        <w:tblW w:w="5000" w:type="pct"/>
        <w:jc w:val="center"/>
        <w:tblLook w:val="04A0" w:firstRow="1" w:lastRow="0" w:firstColumn="1" w:lastColumn="0" w:noHBand="0" w:noVBand="1"/>
      </w:tblPr>
      <w:tblGrid>
        <w:gridCol w:w="6521"/>
        <w:gridCol w:w="1559"/>
        <w:gridCol w:w="1558"/>
      </w:tblGrid>
      <w:tr w:rsidR="0084445A" w:rsidRPr="00741D80" w14:paraId="02F34949" w14:textId="77777777" w:rsidTr="00741D80">
        <w:trPr>
          <w:trHeight w:val="170"/>
          <w:jc w:val="center"/>
        </w:trPr>
        <w:tc>
          <w:tcPr>
            <w:tcW w:w="3383" w:type="pct"/>
            <w:tcBorders>
              <w:top w:val="nil"/>
              <w:left w:val="nil"/>
              <w:bottom w:val="nil"/>
              <w:right w:val="nil"/>
            </w:tcBorders>
            <w:shd w:val="clear" w:color="auto" w:fill="auto"/>
            <w:noWrap/>
            <w:vAlign w:val="bottom"/>
            <w:hideMark/>
          </w:tcPr>
          <w:p w14:paraId="7FAFD924" w14:textId="77777777" w:rsidR="0084445A" w:rsidRPr="00741D80" w:rsidRDefault="0084445A" w:rsidP="00084C32">
            <w:pPr>
              <w:pStyle w:val="a"/>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 xml:space="preserve">Доход на акция </w:t>
            </w:r>
          </w:p>
        </w:tc>
        <w:tc>
          <w:tcPr>
            <w:tcW w:w="809" w:type="pct"/>
            <w:tcBorders>
              <w:top w:val="nil"/>
              <w:left w:val="nil"/>
              <w:bottom w:val="nil"/>
              <w:right w:val="nil"/>
            </w:tcBorders>
            <w:shd w:val="clear" w:color="auto" w:fill="auto"/>
            <w:vAlign w:val="bottom"/>
            <w:hideMark/>
          </w:tcPr>
          <w:p w14:paraId="182A43E0" w14:textId="77777777" w:rsidR="0084445A" w:rsidRPr="00741D80" w:rsidRDefault="0084445A" w:rsidP="00084C32">
            <w:pPr>
              <w:pStyle w:val="a1"/>
              <w:widowControl w:val="0"/>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808" w:type="pct"/>
            <w:tcBorders>
              <w:top w:val="nil"/>
              <w:left w:val="nil"/>
              <w:bottom w:val="nil"/>
              <w:right w:val="nil"/>
            </w:tcBorders>
            <w:shd w:val="clear" w:color="auto" w:fill="auto"/>
            <w:vAlign w:val="bottom"/>
            <w:hideMark/>
          </w:tcPr>
          <w:p w14:paraId="287A9D5A" w14:textId="77777777" w:rsidR="0084445A" w:rsidRPr="00741D80" w:rsidRDefault="0084445A" w:rsidP="00084C32">
            <w:pPr>
              <w:pStyle w:val="a1"/>
              <w:widowControl w:val="0"/>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54EE0840" w14:textId="77777777" w:rsidTr="00741D80">
        <w:trPr>
          <w:trHeight w:val="170"/>
          <w:jc w:val="center"/>
        </w:trPr>
        <w:tc>
          <w:tcPr>
            <w:tcW w:w="3383" w:type="pct"/>
            <w:tcBorders>
              <w:top w:val="nil"/>
              <w:left w:val="nil"/>
              <w:bottom w:val="nil"/>
              <w:right w:val="nil"/>
            </w:tcBorders>
            <w:shd w:val="clear" w:color="auto" w:fill="auto"/>
            <w:noWrap/>
            <w:vAlign w:val="bottom"/>
            <w:hideMark/>
          </w:tcPr>
          <w:p w14:paraId="4A4F22DA" w14:textId="77777777" w:rsidR="0084445A" w:rsidRPr="00741D80" w:rsidRDefault="0084445A" w:rsidP="00084C32">
            <w:pPr>
              <w:pStyle w:val="a"/>
              <w:rPr>
                <w:rFonts w:asciiTheme="minorHAnsi" w:hAnsiTheme="minorHAnsi" w:cstheme="minorHAnsi"/>
                <w:color w:val="auto"/>
                <w:szCs w:val="20"/>
                <w:lang w:val="bg-BG"/>
              </w:rPr>
            </w:pPr>
          </w:p>
        </w:tc>
        <w:tc>
          <w:tcPr>
            <w:tcW w:w="809" w:type="pct"/>
            <w:tcBorders>
              <w:top w:val="nil"/>
              <w:left w:val="nil"/>
              <w:bottom w:val="nil"/>
              <w:right w:val="nil"/>
            </w:tcBorders>
            <w:shd w:val="clear" w:color="auto" w:fill="auto"/>
            <w:noWrap/>
            <w:hideMark/>
          </w:tcPr>
          <w:p w14:paraId="58F8DAEA" w14:textId="77777777" w:rsidR="0084445A" w:rsidRPr="00741D80" w:rsidRDefault="0084445A" w:rsidP="00084C32">
            <w:pPr>
              <w:pStyle w:val="a"/>
              <w:jc w:val="right"/>
              <w:rPr>
                <w:rFonts w:asciiTheme="minorHAnsi" w:hAnsiTheme="minorHAnsi" w:cstheme="minorHAnsi"/>
                <w:color w:val="auto"/>
                <w:szCs w:val="20"/>
                <w:lang w:val="bg-BG"/>
              </w:rPr>
            </w:pPr>
          </w:p>
        </w:tc>
        <w:tc>
          <w:tcPr>
            <w:tcW w:w="808" w:type="pct"/>
            <w:tcBorders>
              <w:top w:val="nil"/>
              <w:left w:val="nil"/>
              <w:bottom w:val="nil"/>
              <w:right w:val="nil"/>
            </w:tcBorders>
            <w:shd w:val="clear" w:color="auto" w:fill="auto"/>
            <w:noWrap/>
            <w:hideMark/>
          </w:tcPr>
          <w:p w14:paraId="5DF32C0E" w14:textId="77777777" w:rsidR="0084445A" w:rsidRPr="00741D80" w:rsidRDefault="0084445A" w:rsidP="00084C32">
            <w:pPr>
              <w:pStyle w:val="a"/>
              <w:jc w:val="right"/>
              <w:rPr>
                <w:rFonts w:asciiTheme="minorHAnsi" w:hAnsiTheme="minorHAnsi" w:cstheme="minorHAnsi"/>
                <w:color w:val="auto"/>
                <w:szCs w:val="20"/>
                <w:lang w:val="bg-BG"/>
              </w:rPr>
            </w:pPr>
          </w:p>
        </w:tc>
      </w:tr>
      <w:tr w:rsidR="0084445A" w:rsidRPr="00741D80" w14:paraId="7E3213E7" w14:textId="77777777" w:rsidTr="00741D80">
        <w:trPr>
          <w:trHeight w:val="170"/>
          <w:jc w:val="center"/>
        </w:trPr>
        <w:tc>
          <w:tcPr>
            <w:tcW w:w="3383" w:type="pct"/>
            <w:tcBorders>
              <w:top w:val="nil"/>
              <w:left w:val="nil"/>
              <w:bottom w:val="nil"/>
              <w:right w:val="nil"/>
            </w:tcBorders>
            <w:shd w:val="clear" w:color="auto" w:fill="auto"/>
            <w:noWrap/>
            <w:vAlign w:val="bottom"/>
            <w:hideMark/>
          </w:tcPr>
          <w:p w14:paraId="4ABF600F" w14:textId="77777777" w:rsidR="0084445A" w:rsidRPr="00741D80" w:rsidRDefault="0084445A" w:rsidP="00084C32">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Средно претеглен брой акции</w:t>
            </w:r>
          </w:p>
        </w:tc>
        <w:tc>
          <w:tcPr>
            <w:tcW w:w="809" w:type="pct"/>
            <w:tcBorders>
              <w:top w:val="nil"/>
              <w:left w:val="nil"/>
              <w:bottom w:val="nil"/>
              <w:right w:val="nil"/>
            </w:tcBorders>
            <w:shd w:val="clear" w:color="auto" w:fill="auto"/>
            <w:noWrap/>
            <w:vAlign w:val="bottom"/>
            <w:hideMark/>
          </w:tcPr>
          <w:p w14:paraId="2AD4ED00" w14:textId="77777777" w:rsidR="0084445A" w:rsidRPr="00741D80" w:rsidRDefault="0084445A" w:rsidP="00084C32">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6,582,860</w:t>
            </w:r>
          </w:p>
        </w:tc>
        <w:tc>
          <w:tcPr>
            <w:tcW w:w="808" w:type="pct"/>
            <w:tcBorders>
              <w:top w:val="nil"/>
              <w:left w:val="nil"/>
              <w:bottom w:val="nil"/>
              <w:right w:val="nil"/>
            </w:tcBorders>
            <w:shd w:val="clear" w:color="auto" w:fill="auto"/>
            <w:noWrap/>
            <w:vAlign w:val="bottom"/>
            <w:hideMark/>
          </w:tcPr>
          <w:p w14:paraId="4594F2C4" w14:textId="77777777" w:rsidR="0084445A" w:rsidRPr="00741D80" w:rsidRDefault="0084445A" w:rsidP="00084C32">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6,582,860</w:t>
            </w:r>
          </w:p>
        </w:tc>
      </w:tr>
      <w:tr w:rsidR="0084445A" w:rsidRPr="00741D80" w14:paraId="07526725" w14:textId="77777777" w:rsidTr="00741D80">
        <w:trPr>
          <w:trHeight w:val="170"/>
          <w:jc w:val="center"/>
        </w:trPr>
        <w:tc>
          <w:tcPr>
            <w:tcW w:w="3383" w:type="pct"/>
            <w:tcBorders>
              <w:top w:val="nil"/>
              <w:left w:val="nil"/>
              <w:bottom w:val="nil"/>
              <w:right w:val="nil"/>
            </w:tcBorders>
            <w:shd w:val="clear" w:color="auto" w:fill="auto"/>
            <w:noWrap/>
            <w:vAlign w:val="bottom"/>
            <w:hideMark/>
          </w:tcPr>
          <w:p w14:paraId="623288CA" w14:textId="77777777" w:rsidR="0084445A" w:rsidRPr="00741D80" w:rsidRDefault="0084445A" w:rsidP="00084C32">
            <w:pPr>
              <w:pStyle w:val="a"/>
              <w:rPr>
                <w:rFonts w:asciiTheme="minorHAnsi" w:hAnsiTheme="minorHAnsi" w:cstheme="minorHAnsi"/>
                <w:bCs/>
                <w:color w:val="auto"/>
                <w:szCs w:val="20"/>
                <w:lang w:val="bg-BG"/>
              </w:rPr>
            </w:pPr>
            <w:r w:rsidRPr="00741D80">
              <w:rPr>
                <w:rFonts w:asciiTheme="minorHAnsi" w:hAnsiTheme="minorHAnsi" w:cstheme="minorHAnsi"/>
                <w:color w:val="auto"/>
                <w:szCs w:val="20"/>
                <w:lang w:val="bg-BG"/>
              </w:rPr>
              <w:t>Нетна печалба</w:t>
            </w:r>
            <w:r w:rsidRPr="00741D80">
              <w:rPr>
                <w:rFonts w:asciiTheme="minorHAnsi" w:hAnsiTheme="minorHAnsi" w:cstheme="minorHAnsi"/>
                <w:color w:val="auto"/>
                <w:szCs w:val="20"/>
              </w:rPr>
              <w:t xml:space="preserve"> </w:t>
            </w:r>
            <w:r w:rsidRPr="00741D80">
              <w:rPr>
                <w:rFonts w:asciiTheme="minorHAnsi" w:hAnsiTheme="minorHAnsi" w:cstheme="minorHAnsi"/>
                <w:color w:val="auto"/>
                <w:szCs w:val="20"/>
                <w:lang w:val="bg-BG"/>
              </w:rPr>
              <w:t>за периода/годината (BGN’000)</w:t>
            </w:r>
          </w:p>
        </w:tc>
        <w:tc>
          <w:tcPr>
            <w:tcW w:w="809" w:type="pct"/>
            <w:tcBorders>
              <w:top w:val="nil"/>
              <w:left w:val="nil"/>
              <w:bottom w:val="nil"/>
              <w:right w:val="nil"/>
            </w:tcBorders>
            <w:shd w:val="clear" w:color="auto" w:fill="auto"/>
            <w:noWrap/>
            <w:vAlign w:val="bottom"/>
            <w:hideMark/>
          </w:tcPr>
          <w:p w14:paraId="47B6A199"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415</w:t>
            </w:r>
          </w:p>
        </w:tc>
        <w:tc>
          <w:tcPr>
            <w:tcW w:w="808" w:type="pct"/>
            <w:tcBorders>
              <w:top w:val="nil"/>
              <w:left w:val="nil"/>
              <w:bottom w:val="nil"/>
              <w:right w:val="nil"/>
            </w:tcBorders>
            <w:shd w:val="clear" w:color="auto" w:fill="auto"/>
            <w:noWrap/>
            <w:vAlign w:val="bottom"/>
            <w:hideMark/>
          </w:tcPr>
          <w:p w14:paraId="446239DB" w14:textId="77777777" w:rsidR="0084445A" w:rsidRPr="00741D80" w:rsidRDefault="0084445A" w:rsidP="00084C32">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206</w:t>
            </w:r>
          </w:p>
        </w:tc>
      </w:tr>
      <w:tr w:rsidR="0084445A" w:rsidRPr="00741D80" w14:paraId="63ACA30D" w14:textId="77777777" w:rsidTr="00741D80">
        <w:trPr>
          <w:trHeight w:val="170"/>
          <w:jc w:val="center"/>
        </w:trPr>
        <w:tc>
          <w:tcPr>
            <w:tcW w:w="3383" w:type="pct"/>
            <w:tcBorders>
              <w:top w:val="nil"/>
              <w:left w:val="nil"/>
              <w:bottom w:val="nil"/>
              <w:right w:val="nil"/>
            </w:tcBorders>
            <w:shd w:val="clear" w:color="auto" w:fill="auto"/>
            <w:noWrap/>
            <w:vAlign w:val="bottom"/>
            <w:hideMark/>
          </w:tcPr>
          <w:p w14:paraId="7F4BAF15" w14:textId="77777777" w:rsidR="0084445A" w:rsidRPr="00741D80" w:rsidRDefault="0084445A" w:rsidP="00084C32">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Доход на акция (BGN)</w:t>
            </w:r>
          </w:p>
        </w:tc>
        <w:tc>
          <w:tcPr>
            <w:tcW w:w="809" w:type="pct"/>
            <w:tcBorders>
              <w:top w:val="single" w:sz="4" w:space="0" w:color="auto"/>
              <w:left w:val="nil"/>
              <w:bottom w:val="single" w:sz="4" w:space="0" w:color="auto"/>
              <w:right w:val="nil"/>
            </w:tcBorders>
            <w:shd w:val="clear" w:color="auto" w:fill="auto"/>
            <w:noWrap/>
            <w:vAlign w:val="bottom"/>
            <w:hideMark/>
          </w:tcPr>
          <w:p w14:paraId="1588C51F" w14:textId="77777777" w:rsidR="0084445A" w:rsidRPr="00741D80" w:rsidRDefault="0084445A" w:rsidP="00084C32">
            <w:pPr>
              <w:pStyle w:val="a0"/>
              <w:widowControl w:val="0"/>
              <w:rPr>
                <w:rFonts w:asciiTheme="minorHAnsi" w:hAnsiTheme="minorHAnsi" w:cstheme="minorHAnsi"/>
                <w:b/>
                <w:color w:val="auto"/>
                <w:szCs w:val="20"/>
              </w:rPr>
            </w:pPr>
            <w:r w:rsidRPr="00741D80">
              <w:rPr>
                <w:rFonts w:asciiTheme="minorHAnsi" w:hAnsiTheme="minorHAnsi" w:cstheme="minorHAnsi"/>
                <w:b/>
                <w:color w:val="auto"/>
                <w:szCs w:val="20"/>
                <w:lang w:val="bg-BG"/>
              </w:rPr>
              <w:t>0.06</w:t>
            </w:r>
          </w:p>
        </w:tc>
        <w:tc>
          <w:tcPr>
            <w:tcW w:w="808" w:type="pct"/>
            <w:tcBorders>
              <w:top w:val="single" w:sz="4" w:space="0" w:color="auto"/>
              <w:left w:val="nil"/>
              <w:bottom w:val="single" w:sz="4" w:space="0" w:color="auto"/>
              <w:right w:val="nil"/>
            </w:tcBorders>
            <w:shd w:val="clear" w:color="auto" w:fill="auto"/>
            <w:noWrap/>
            <w:vAlign w:val="bottom"/>
            <w:hideMark/>
          </w:tcPr>
          <w:p w14:paraId="3AFEFFEB" w14:textId="77777777" w:rsidR="0084445A" w:rsidRPr="00741D80" w:rsidRDefault="0084445A" w:rsidP="00084C32">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0.03</w:t>
            </w:r>
          </w:p>
        </w:tc>
      </w:tr>
    </w:tbl>
    <w:p w14:paraId="70F80AE7" w14:textId="77777777" w:rsidR="0084445A" w:rsidRPr="00741D80" w:rsidRDefault="0084445A" w:rsidP="00833465">
      <w:pPr>
        <w:pStyle w:val="Mainnumbers"/>
      </w:pPr>
      <w:bookmarkStart w:id="80" w:name="_Hlt34642746"/>
      <w:bookmarkStart w:id="81" w:name="_Toc418084393"/>
      <w:bookmarkStart w:id="82" w:name="_Toc536452030"/>
      <w:bookmarkEnd w:id="80"/>
      <w:r w:rsidRPr="00741D80">
        <w:lastRenderedPageBreak/>
        <w:t>ЗАДЪЛЖЕНИЯ КЪМ ДОСТАВЧИЦИ И ДРУГИ КРЕДИТОРИ</w:t>
      </w:r>
      <w:bookmarkEnd w:id="81"/>
      <w:bookmarkEnd w:id="82"/>
    </w:p>
    <w:p w14:paraId="76C7304F" w14:textId="77777777" w:rsidR="0084445A" w:rsidRPr="00741D80" w:rsidRDefault="0084445A" w:rsidP="0084445A">
      <w:pPr>
        <w:rPr>
          <w:rFonts w:cstheme="minorHAnsi"/>
        </w:rPr>
      </w:pPr>
      <w:r w:rsidRPr="00741D80">
        <w:rPr>
          <w:rFonts w:cstheme="minorHAnsi"/>
        </w:rPr>
        <w:t>Задълженията към доставчици и други кредитори включват:</w:t>
      </w:r>
    </w:p>
    <w:tbl>
      <w:tblPr>
        <w:tblW w:w="5000" w:type="pct"/>
        <w:jc w:val="center"/>
        <w:tblLook w:val="04A0" w:firstRow="1" w:lastRow="0" w:firstColumn="1" w:lastColumn="0" w:noHBand="0" w:noVBand="1"/>
      </w:tblPr>
      <w:tblGrid>
        <w:gridCol w:w="6521"/>
        <w:gridCol w:w="1559"/>
        <w:gridCol w:w="1558"/>
      </w:tblGrid>
      <w:tr w:rsidR="0084445A" w:rsidRPr="00741D80" w14:paraId="36E1080A" w14:textId="77777777" w:rsidTr="00741D80">
        <w:trPr>
          <w:trHeight w:val="170"/>
          <w:jc w:val="center"/>
        </w:trPr>
        <w:tc>
          <w:tcPr>
            <w:tcW w:w="3383" w:type="pct"/>
            <w:tcBorders>
              <w:top w:val="nil"/>
              <w:left w:val="nil"/>
              <w:bottom w:val="nil"/>
              <w:right w:val="nil"/>
            </w:tcBorders>
            <w:shd w:val="clear" w:color="auto" w:fill="auto"/>
            <w:vAlign w:val="bottom"/>
            <w:hideMark/>
          </w:tcPr>
          <w:p w14:paraId="52953238" w14:textId="77777777" w:rsidR="0084445A" w:rsidRPr="00741D80" w:rsidRDefault="0084445A" w:rsidP="00AE7CF9">
            <w:pPr>
              <w:pStyle w:val="a"/>
              <w:spacing w:line="276" w:lineRule="auto"/>
              <w:rPr>
                <w:rFonts w:asciiTheme="minorHAnsi" w:hAnsiTheme="minorHAnsi" w:cstheme="minorHAnsi"/>
                <w:color w:val="auto"/>
                <w:szCs w:val="20"/>
                <w:lang w:val="bg-BG"/>
              </w:rPr>
            </w:pPr>
          </w:p>
        </w:tc>
        <w:tc>
          <w:tcPr>
            <w:tcW w:w="809" w:type="pct"/>
            <w:tcBorders>
              <w:top w:val="nil"/>
              <w:left w:val="nil"/>
              <w:bottom w:val="nil"/>
              <w:right w:val="nil"/>
            </w:tcBorders>
            <w:shd w:val="clear" w:color="auto" w:fill="auto"/>
            <w:hideMark/>
          </w:tcPr>
          <w:p w14:paraId="40B4815C" w14:textId="77777777" w:rsidR="0084445A" w:rsidRPr="00741D80" w:rsidRDefault="0084445A" w:rsidP="00AE7CF9">
            <w:pPr>
              <w:pStyle w:val="a1"/>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808" w:type="pct"/>
            <w:tcBorders>
              <w:top w:val="nil"/>
              <w:left w:val="nil"/>
              <w:bottom w:val="nil"/>
              <w:right w:val="nil"/>
            </w:tcBorders>
            <w:shd w:val="clear" w:color="auto" w:fill="auto"/>
            <w:hideMark/>
          </w:tcPr>
          <w:p w14:paraId="67D3794A" w14:textId="77777777" w:rsidR="0084445A" w:rsidRPr="00741D80" w:rsidRDefault="0084445A" w:rsidP="00AE7CF9">
            <w:pPr>
              <w:pStyle w:val="a1"/>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31C1789B" w14:textId="77777777" w:rsidTr="00741D80">
        <w:trPr>
          <w:trHeight w:val="170"/>
          <w:jc w:val="center"/>
        </w:trPr>
        <w:tc>
          <w:tcPr>
            <w:tcW w:w="3383" w:type="pct"/>
            <w:tcBorders>
              <w:top w:val="nil"/>
              <w:left w:val="nil"/>
              <w:bottom w:val="nil"/>
              <w:right w:val="nil"/>
            </w:tcBorders>
            <w:shd w:val="clear" w:color="auto" w:fill="auto"/>
            <w:vAlign w:val="bottom"/>
            <w:hideMark/>
          </w:tcPr>
          <w:p w14:paraId="71FE40A5" w14:textId="77777777" w:rsidR="0084445A" w:rsidRPr="00741D80" w:rsidRDefault="0084445A" w:rsidP="00AE7CF9">
            <w:pPr>
              <w:pStyle w:val="a"/>
              <w:spacing w:line="276" w:lineRule="auto"/>
              <w:rPr>
                <w:rFonts w:asciiTheme="minorHAnsi" w:hAnsiTheme="minorHAnsi" w:cstheme="minorHAnsi"/>
                <w:color w:val="auto"/>
                <w:szCs w:val="20"/>
                <w:lang w:val="bg-BG"/>
              </w:rPr>
            </w:pPr>
          </w:p>
        </w:tc>
        <w:tc>
          <w:tcPr>
            <w:tcW w:w="809" w:type="pct"/>
            <w:tcBorders>
              <w:top w:val="nil"/>
              <w:left w:val="nil"/>
              <w:bottom w:val="nil"/>
              <w:right w:val="nil"/>
            </w:tcBorders>
            <w:shd w:val="clear" w:color="auto" w:fill="auto"/>
            <w:noWrap/>
            <w:hideMark/>
          </w:tcPr>
          <w:p w14:paraId="4202F20D" w14:textId="77777777" w:rsidR="0084445A" w:rsidRPr="00741D80" w:rsidRDefault="0084445A" w:rsidP="00AE7CF9">
            <w:pPr>
              <w:pStyle w:val="a1"/>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808" w:type="pct"/>
            <w:tcBorders>
              <w:top w:val="nil"/>
              <w:left w:val="nil"/>
              <w:bottom w:val="nil"/>
              <w:right w:val="nil"/>
            </w:tcBorders>
            <w:shd w:val="clear" w:color="auto" w:fill="auto"/>
            <w:noWrap/>
            <w:hideMark/>
          </w:tcPr>
          <w:p w14:paraId="060CBD29" w14:textId="77777777" w:rsidR="0084445A" w:rsidRPr="00741D80" w:rsidRDefault="0084445A" w:rsidP="00AE7CF9">
            <w:pPr>
              <w:pStyle w:val="a1"/>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r>
      <w:tr w:rsidR="0084445A" w:rsidRPr="00741D80" w14:paraId="5639B815" w14:textId="77777777" w:rsidTr="00741D80">
        <w:trPr>
          <w:trHeight w:val="170"/>
          <w:jc w:val="center"/>
        </w:trPr>
        <w:tc>
          <w:tcPr>
            <w:tcW w:w="3383" w:type="pct"/>
            <w:tcBorders>
              <w:top w:val="nil"/>
              <w:left w:val="nil"/>
              <w:bottom w:val="nil"/>
              <w:right w:val="nil"/>
            </w:tcBorders>
            <w:shd w:val="clear" w:color="auto" w:fill="auto"/>
            <w:vAlign w:val="bottom"/>
            <w:hideMark/>
          </w:tcPr>
          <w:p w14:paraId="663C9A50"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Задължения към доставчици</w:t>
            </w:r>
          </w:p>
        </w:tc>
        <w:tc>
          <w:tcPr>
            <w:tcW w:w="809" w:type="pct"/>
            <w:tcBorders>
              <w:top w:val="nil"/>
              <w:left w:val="nil"/>
              <w:bottom w:val="nil"/>
              <w:right w:val="nil"/>
            </w:tcBorders>
            <w:shd w:val="clear" w:color="auto" w:fill="auto"/>
            <w:vAlign w:val="bottom"/>
            <w:hideMark/>
          </w:tcPr>
          <w:p w14:paraId="3DF8DE42" w14:textId="4C17A6D8" w:rsidR="0084445A" w:rsidRPr="0010694E" w:rsidRDefault="0010694E" w:rsidP="00AE7CF9">
            <w:pPr>
              <w:pStyle w:val="a0"/>
              <w:spacing w:line="276" w:lineRule="auto"/>
              <w:rPr>
                <w:rFonts w:asciiTheme="minorHAnsi" w:hAnsiTheme="minorHAnsi" w:cstheme="minorHAnsi"/>
                <w:color w:val="auto"/>
                <w:szCs w:val="20"/>
              </w:rPr>
            </w:pPr>
            <w:r>
              <w:rPr>
                <w:rFonts w:asciiTheme="minorHAnsi" w:hAnsiTheme="minorHAnsi" w:cstheme="minorHAnsi"/>
                <w:color w:val="auto"/>
                <w:szCs w:val="20"/>
              </w:rPr>
              <w:t>157</w:t>
            </w:r>
          </w:p>
        </w:tc>
        <w:tc>
          <w:tcPr>
            <w:tcW w:w="808" w:type="pct"/>
            <w:tcBorders>
              <w:top w:val="nil"/>
              <w:left w:val="nil"/>
              <w:bottom w:val="nil"/>
              <w:right w:val="nil"/>
            </w:tcBorders>
            <w:shd w:val="clear" w:color="auto" w:fill="auto"/>
            <w:vAlign w:val="bottom"/>
            <w:hideMark/>
          </w:tcPr>
          <w:p w14:paraId="0F7352BC" w14:textId="77777777" w:rsidR="0084445A" w:rsidRPr="00741D80" w:rsidRDefault="0084445A" w:rsidP="00AE7CF9">
            <w:pPr>
              <w:pStyle w:val="a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168</w:t>
            </w:r>
          </w:p>
        </w:tc>
      </w:tr>
      <w:tr w:rsidR="0084445A" w:rsidRPr="00741D80" w14:paraId="567742D3" w14:textId="77777777" w:rsidTr="00741D80">
        <w:trPr>
          <w:trHeight w:val="170"/>
          <w:jc w:val="center"/>
        </w:trPr>
        <w:tc>
          <w:tcPr>
            <w:tcW w:w="3383" w:type="pct"/>
            <w:tcBorders>
              <w:top w:val="nil"/>
              <w:left w:val="nil"/>
              <w:bottom w:val="nil"/>
              <w:right w:val="nil"/>
            </w:tcBorders>
            <w:shd w:val="clear" w:color="auto" w:fill="auto"/>
            <w:vAlign w:val="bottom"/>
            <w:hideMark/>
          </w:tcPr>
          <w:p w14:paraId="7F57E9E6"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Задължения към други кредитори</w:t>
            </w:r>
          </w:p>
        </w:tc>
        <w:tc>
          <w:tcPr>
            <w:tcW w:w="809" w:type="pct"/>
            <w:tcBorders>
              <w:top w:val="nil"/>
              <w:left w:val="nil"/>
              <w:bottom w:val="nil"/>
              <w:right w:val="nil"/>
            </w:tcBorders>
            <w:shd w:val="clear" w:color="auto" w:fill="auto"/>
            <w:vAlign w:val="bottom"/>
            <w:hideMark/>
          </w:tcPr>
          <w:p w14:paraId="6AB50873"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c>
          <w:tcPr>
            <w:tcW w:w="808" w:type="pct"/>
            <w:tcBorders>
              <w:top w:val="nil"/>
              <w:left w:val="nil"/>
              <w:bottom w:val="nil"/>
              <w:right w:val="nil"/>
            </w:tcBorders>
            <w:shd w:val="clear" w:color="auto" w:fill="auto"/>
            <w:vAlign w:val="bottom"/>
            <w:hideMark/>
          </w:tcPr>
          <w:p w14:paraId="3E121332" w14:textId="77777777" w:rsidR="0084445A" w:rsidRPr="00741D80" w:rsidRDefault="0084445A" w:rsidP="00AE7CF9">
            <w:pPr>
              <w:pStyle w:val="a0"/>
              <w:spacing w:line="276" w:lineRule="auto"/>
              <w:rPr>
                <w:rFonts w:asciiTheme="minorHAnsi" w:hAnsiTheme="minorHAnsi" w:cstheme="minorHAnsi"/>
                <w:bCs/>
                <w:color w:val="auto"/>
                <w:szCs w:val="20"/>
                <w:lang w:val="bg-BG"/>
              </w:rPr>
            </w:pPr>
            <w:r w:rsidRPr="00741D80">
              <w:rPr>
                <w:rFonts w:asciiTheme="minorHAnsi" w:hAnsiTheme="minorHAnsi" w:cstheme="minorHAnsi"/>
                <w:color w:val="auto"/>
                <w:szCs w:val="20"/>
                <w:lang w:val="bg-BG"/>
              </w:rPr>
              <w:t>6</w:t>
            </w:r>
          </w:p>
        </w:tc>
      </w:tr>
      <w:tr w:rsidR="0084445A" w:rsidRPr="00741D80" w14:paraId="7CB30D54" w14:textId="77777777" w:rsidTr="00741D80">
        <w:trPr>
          <w:trHeight w:val="170"/>
          <w:jc w:val="center"/>
        </w:trPr>
        <w:tc>
          <w:tcPr>
            <w:tcW w:w="3383" w:type="pct"/>
            <w:tcBorders>
              <w:top w:val="nil"/>
              <w:left w:val="nil"/>
              <w:bottom w:val="nil"/>
              <w:right w:val="nil"/>
            </w:tcBorders>
            <w:shd w:val="clear" w:color="auto" w:fill="auto"/>
            <w:vAlign w:val="bottom"/>
            <w:hideMark/>
          </w:tcPr>
          <w:p w14:paraId="384B7471"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Задължения за покупка на БНЕБ ЕАД</w:t>
            </w:r>
          </w:p>
        </w:tc>
        <w:tc>
          <w:tcPr>
            <w:tcW w:w="809" w:type="pct"/>
            <w:tcBorders>
              <w:top w:val="nil"/>
              <w:left w:val="nil"/>
              <w:bottom w:val="nil"/>
              <w:right w:val="nil"/>
            </w:tcBorders>
            <w:shd w:val="clear" w:color="auto" w:fill="auto"/>
            <w:vAlign w:val="bottom"/>
            <w:hideMark/>
          </w:tcPr>
          <w:p w14:paraId="41BEDA15"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818</w:t>
            </w:r>
          </w:p>
        </w:tc>
        <w:tc>
          <w:tcPr>
            <w:tcW w:w="808" w:type="pct"/>
            <w:tcBorders>
              <w:top w:val="nil"/>
              <w:left w:val="nil"/>
              <w:bottom w:val="nil"/>
              <w:right w:val="nil"/>
            </w:tcBorders>
            <w:shd w:val="clear" w:color="auto" w:fill="auto"/>
            <w:vAlign w:val="bottom"/>
            <w:hideMark/>
          </w:tcPr>
          <w:p w14:paraId="51C138F6" w14:textId="77777777" w:rsidR="0084445A" w:rsidRPr="00741D80" w:rsidRDefault="0084445A" w:rsidP="00AE7CF9">
            <w:pPr>
              <w:pStyle w:val="a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r>
      <w:tr w:rsidR="0084445A" w:rsidRPr="00741D80" w14:paraId="3B564D81" w14:textId="77777777" w:rsidTr="00741D80">
        <w:trPr>
          <w:trHeight w:val="170"/>
          <w:jc w:val="center"/>
        </w:trPr>
        <w:tc>
          <w:tcPr>
            <w:tcW w:w="3383" w:type="pct"/>
            <w:tcBorders>
              <w:top w:val="nil"/>
              <w:left w:val="nil"/>
              <w:bottom w:val="nil"/>
              <w:right w:val="nil"/>
            </w:tcBorders>
            <w:shd w:val="clear" w:color="auto" w:fill="auto"/>
            <w:vAlign w:val="bottom"/>
            <w:hideMark/>
          </w:tcPr>
          <w:p w14:paraId="7C135928"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В т. ч задължения за покупка на БНЕБ ЕАД до 1 година</w:t>
            </w:r>
          </w:p>
        </w:tc>
        <w:tc>
          <w:tcPr>
            <w:tcW w:w="809" w:type="pct"/>
            <w:tcBorders>
              <w:top w:val="nil"/>
              <w:left w:val="nil"/>
              <w:bottom w:val="nil"/>
              <w:right w:val="nil"/>
            </w:tcBorders>
            <w:shd w:val="clear" w:color="auto" w:fill="auto"/>
            <w:vAlign w:val="bottom"/>
            <w:hideMark/>
          </w:tcPr>
          <w:p w14:paraId="0D50474D" w14:textId="77777777" w:rsidR="0084445A" w:rsidRPr="00741D80" w:rsidRDefault="0084445A" w:rsidP="00AE7CF9">
            <w:pPr>
              <w:pStyle w:val="a0"/>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818</w:t>
            </w:r>
          </w:p>
        </w:tc>
        <w:tc>
          <w:tcPr>
            <w:tcW w:w="808" w:type="pct"/>
            <w:tcBorders>
              <w:top w:val="nil"/>
              <w:left w:val="nil"/>
              <w:bottom w:val="nil"/>
              <w:right w:val="nil"/>
            </w:tcBorders>
            <w:shd w:val="clear" w:color="auto" w:fill="auto"/>
            <w:vAlign w:val="bottom"/>
            <w:hideMark/>
          </w:tcPr>
          <w:p w14:paraId="5BCBFA83" w14:textId="77777777" w:rsidR="0084445A" w:rsidRPr="00741D80" w:rsidRDefault="0084445A" w:rsidP="00AE7CF9">
            <w:pPr>
              <w:pStyle w:val="a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r>
      <w:tr w:rsidR="0084445A" w:rsidRPr="00741D80" w14:paraId="06575EB1" w14:textId="77777777" w:rsidTr="00741D80">
        <w:trPr>
          <w:trHeight w:val="170"/>
          <w:jc w:val="center"/>
        </w:trPr>
        <w:tc>
          <w:tcPr>
            <w:tcW w:w="3383" w:type="pct"/>
            <w:tcBorders>
              <w:top w:val="nil"/>
              <w:left w:val="nil"/>
              <w:bottom w:val="nil"/>
              <w:right w:val="nil"/>
            </w:tcBorders>
            <w:shd w:val="clear" w:color="auto" w:fill="auto"/>
            <w:vAlign w:val="bottom"/>
            <w:hideMark/>
          </w:tcPr>
          <w:p w14:paraId="78E82680" w14:textId="77777777" w:rsidR="0084445A" w:rsidRPr="00741D80" w:rsidRDefault="0084445A" w:rsidP="00AE7CF9">
            <w:pPr>
              <w:pStyle w:val="a"/>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Предплатени такси</w:t>
            </w:r>
          </w:p>
        </w:tc>
        <w:tc>
          <w:tcPr>
            <w:tcW w:w="809" w:type="pct"/>
            <w:tcBorders>
              <w:top w:val="nil"/>
              <w:left w:val="nil"/>
              <w:bottom w:val="nil"/>
              <w:right w:val="nil"/>
            </w:tcBorders>
            <w:shd w:val="clear" w:color="auto" w:fill="auto"/>
            <w:vAlign w:val="bottom"/>
            <w:hideMark/>
          </w:tcPr>
          <w:p w14:paraId="7D19F821" w14:textId="6A53E696" w:rsidR="0084445A" w:rsidRPr="0010694E" w:rsidRDefault="0010694E" w:rsidP="00AE7CF9">
            <w:pPr>
              <w:pStyle w:val="a0"/>
              <w:widowControl w:val="0"/>
              <w:spacing w:line="276" w:lineRule="auto"/>
              <w:rPr>
                <w:rFonts w:asciiTheme="minorHAnsi" w:hAnsiTheme="minorHAnsi" w:cstheme="minorHAnsi"/>
                <w:color w:val="auto"/>
                <w:szCs w:val="20"/>
              </w:rPr>
            </w:pPr>
            <w:r>
              <w:rPr>
                <w:rFonts w:asciiTheme="minorHAnsi" w:hAnsiTheme="minorHAnsi" w:cstheme="minorHAnsi"/>
                <w:color w:val="auto"/>
                <w:szCs w:val="20"/>
              </w:rPr>
              <w:t>177</w:t>
            </w:r>
          </w:p>
        </w:tc>
        <w:tc>
          <w:tcPr>
            <w:tcW w:w="808" w:type="pct"/>
            <w:tcBorders>
              <w:top w:val="nil"/>
              <w:left w:val="nil"/>
              <w:bottom w:val="nil"/>
              <w:right w:val="nil"/>
            </w:tcBorders>
            <w:shd w:val="clear" w:color="auto" w:fill="auto"/>
            <w:vAlign w:val="bottom"/>
            <w:hideMark/>
          </w:tcPr>
          <w:p w14:paraId="6850FF19" w14:textId="77777777" w:rsidR="0084445A" w:rsidRPr="00741D80" w:rsidRDefault="0084445A" w:rsidP="00AE7CF9">
            <w:pPr>
              <w:pStyle w:val="a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20</w:t>
            </w:r>
          </w:p>
        </w:tc>
      </w:tr>
      <w:tr w:rsidR="0084445A" w:rsidRPr="00741D80" w14:paraId="7DAE8995" w14:textId="77777777" w:rsidTr="00741D80">
        <w:trPr>
          <w:trHeight w:val="170"/>
          <w:jc w:val="center"/>
        </w:trPr>
        <w:tc>
          <w:tcPr>
            <w:tcW w:w="3383" w:type="pct"/>
            <w:tcBorders>
              <w:top w:val="nil"/>
              <w:left w:val="nil"/>
              <w:bottom w:val="nil"/>
              <w:right w:val="nil"/>
            </w:tcBorders>
            <w:shd w:val="clear" w:color="auto" w:fill="auto"/>
            <w:vAlign w:val="bottom"/>
            <w:hideMark/>
          </w:tcPr>
          <w:p w14:paraId="60D86266" w14:textId="77777777" w:rsidR="0084445A" w:rsidRPr="00741D80" w:rsidRDefault="0084445A" w:rsidP="00AE7CF9">
            <w:pPr>
              <w:pStyle w:val="a"/>
              <w:spacing w:line="276" w:lineRule="auto"/>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809" w:type="pct"/>
            <w:tcBorders>
              <w:top w:val="single" w:sz="4" w:space="0" w:color="auto"/>
              <w:left w:val="nil"/>
              <w:bottom w:val="double" w:sz="6" w:space="0" w:color="auto"/>
              <w:right w:val="nil"/>
            </w:tcBorders>
            <w:shd w:val="clear" w:color="auto" w:fill="auto"/>
            <w:vAlign w:val="bottom"/>
            <w:hideMark/>
          </w:tcPr>
          <w:p w14:paraId="6843C270" w14:textId="24274534" w:rsidR="0084445A" w:rsidRPr="0010694E" w:rsidRDefault="0010694E" w:rsidP="00AE7CF9">
            <w:pPr>
              <w:pStyle w:val="a0"/>
              <w:widowControl w:val="0"/>
              <w:spacing w:line="276" w:lineRule="auto"/>
              <w:rPr>
                <w:rFonts w:asciiTheme="minorHAnsi" w:hAnsiTheme="minorHAnsi" w:cstheme="minorHAnsi"/>
                <w:b/>
                <w:color w:val="auto"/>
                <w:szCs w:val="20"/>
              </w:rPr>
            </w:pPr>
            <w:r>
              <w:rPr>
                <w:rFonts w:asciiTheme="minorHAnsi" w:hAnsiTheme="minorHAnsi" w:cstheme="minorHAnsi"/>
                <w:b/>
                <w:color w:val="auto"/>
                <w:szCs w:val="20"/>
              </w:rPr>
              <w:t>1 145</w:t>
            </w:r>
          </w:p>
        </w:tc>
        <w:tc>
          <w:tcPr>
            <w:tcW w:w="808" w:type="pct"/>
            <w:tcBorders>
              <w:top w:val="single" w:sz="4" w:space="0" w:color="auto"/>
              <w:left w:val="nil"/>
              <w:bottom w:val="double" w:sz="6" w:space="0" w:color="auto"/>
              <w:right w:val="nil"/>
            </w:tcBorders>
            <w:shd w:val="clear" w:color="auto" w:fill="auto"/>
            <w:vAlign w:val="bottom"/>
            <w:hideMark/>
          </w:tcPr>
          <w:p w14:paraId="0A87254C" w14:textId="77777777" w:rsidR="0084445A" w:rsidRPr="00741D80" w:rsidRDefault="0084445A" w:rsidP="00AE7CF9">
            <w:pPr>
              <w:pStyle w:val="a0"/>
              <w:widowControl w:val="0"/>
              <w:spacing w:line="276" w:lineRule="auto"/>
              <w:rPr>
                <w:rFonts w:asciiTheme="minorHAnsi" w:hAnsiTheme="minorHAnsi" w:cstheme="minorHAnsi"/>
                <w:b/>
                <w:bCs/>
                <w:color w:val="auto"/>
                <w:szCs w:val="20"/>
                <w:lang w:val="bg-BG"/>
              </w:rPr>
            </w:pPr>
            <w:r w:rsidRPr="00741D80">
              <w:rPr>
                <w:rFonts w:asciiTheme="minorHAnsi" w:hAnsiTheme="minorHAnsi" w:cstheme="minorHAnsi"/>
                <w:b/>
                <w:color w:val="auto"/>
                <w:szCs w:val="20"/>
                <w:lang w:val="bg-BG"/>
              </w:rPr>
              <w:t>194</w:t>
            </w:r>
          </w:p>
        </w:tc>
      </w:tr>
    </w:tbl>
    <w:p w14:paraId="2BE10314" w14:textId="77777777" w:rsidR="0084445A" w:rsidRPr="00741D80" w:rsidRDefault="0084445A" w:rsidP="00084C32">
      <w:pPr>
        <w:spacing w:before="240" w:after="0"/>
        <w:jc w:val="both"/>
        <w:rPr>
          <w:rFonts w:cstheme="minorHAnsi"/>
        </w:rPr>
      </w:pPr>
      <w:r w:rsidRPr="00741D80">
        <w:rPr>
          <w:rFonts w:cstheme="minorHAnsi"/>
        </w:rPr>
        <w:t>Задълженията към доставчици към 31.12.2018 г. са текущи по доставки на услуги за 2018 г. и са деноминирани в лева - 16</w:t>
      </w:r>
      <w:r w:rsidRPr="00741D80">
        <w:rPr>
          <w:rFonts w:cstheme="minorHAnsi"/>
          <w:lang w:val="en-US"/>
        </w:rPr>
        <w:t xml:space="preserve"> </w:t>
      </w:r>
      <w:proofErr w:type="spellStart"/>
      <w:r w:rsidRPr="00741D80">
        <w:rPr>
          <w:rFonts w:cstheme="minorHAnsi"/>
        </w:rPr>
        <w:t>х.лв</w:t>
      </w:r>
      <w:proofErr w:type="spellEnd"/>
      <w:r w:rsidRPr="00741D80">
        <w:rPr>
          <w:rFonts w:cstheme="minorHAnsi"/>
        </w:rPr>
        <w:t xml:space="preserve">. и в евро – 196 х. лв. (31.12.2017 г. в лева - 23 </w:t>
      </w:r>
      <w:proofErr w:type="spellStart"/>
      <w:r w:rsidRPr="00741D80">
        <w:rPr>
          <w:rFonts w:cstheme="minorHAnsi"/>
        </w:rPr>
        <w:t>х.лв</w:t>
      </w:r>
      <w:proofErr w:type="spellEnd"/>
      <w:r w:rsidRPr="00741D80">
        <w:rPr>
          <w:rFonts w:cstheme="minorHAnsi"/>
        </w:rPr>
        <w:t xml:space="preserve">. и в евро – 145 </w:t>
      </w:r>
      <w:proofErr w:type="spellStart"/>
      <w:r w:rsidRPr="00741D80">
        <w:rPr>
          <w:rFonts w:cstheme="minorHAnsi"/>
        </w:rPr>
        <w:t>х.лв</w:t>
      </w:r>
      <w:proofErr w:type="spellEnd"/>
      <w:r w:rsidRPr="00741D80">
        <w:rPr>
          <w:rFonts w:cstheme="minorHAnsi"/>
        </w:rPr>
        <w:t xml:space="preserve">.). </w:t>
      </w:r>
    </w:p>
    <w:p w14:paraId="723FEA1C" w14:textId="77777777" w:rsidR="0084445A" w:rsidRPr="00741D80" w:rsidRDefault="0084445A" w:rsidP="00084C32">
      <w:pPr>
        <w:spacing w:after="0"/>
        <w:jc w:val="both"/>
        <w:rPr>
          <w:rFonts w:cstheme="minorHAnsi"/>
        </w:rPr>
      </w:pPr>
      <w:r w:rsidRPr="00741D80">
        <w:rPr>
          <w:rFonts w:cstheme="minorHAnsi"/>
        </w:rPr>
        <w:t>Задължения по инвестиция в БНЕБ ЕАД, включва неизплатената сума по договор за покупка между БЕХ ЕАД и БФБ</w:t>
      </w:r>
      <w:r w:rsidRPr="00741D80">
        <w:rPr>
          <w:rFonts w:cstheme="minorHAnsi"/>
          <w:lang w:val="en-US"/>
        </w:rPr>
        <w:t xml:space="preserve"> </w:t>
      </w:r>
      <w:r w:rsidRPr="00741D80">
        <w:rPr>
          <w:rFonts w:cstheme="minorHAnsi"/>
        </w:rPr>
        <w:t xml:space="preserve">АД на 100% от капитала на БНЕБ ЕАД и е в размер на 818 </w:t>
      </w:r>
      <w:proofErr w:type="spellStart"/>
      <w:r w:rsidRPr="00741D80">
        <w:rPr>
          <w:rFonts w:cstheme="minorHAnsi"/>
        </w:rPr>
        <w:t>х.лева</w:t>
      </w:r>
      <w:proofErr w:type="spellEnd"/>
      <w:r w:rsidRPr="00741D80">
        <w:rPr>
          <w:rFonts w:cstheme="minorHAnsi"/>
        </w:rPr>
        <w:t xml:space="preserve">. Текуща част от задължението е в размер на 818 </w:t>
      </w:r>
      <w:proofErr w:type="spellStart"/>
      <w:r w:rsidRPr="00741D80">
        <w:rPr>
          <w:rFonts w:cstheme="minorHAnsi"/>
        </w:rPr>
        <w:t>х.лева</w:t>
      </w:r>
      <w:proofErr w:type="spellEnd"/>
      <w:r w:rsidRPr="00741D80">
        <w:rPr>
          <w:rFonts w:cstheme="minorHAnsi"/>
        </w:rPr>
        <w:t xml:space="preserve"> (срок до 1година).</w:t>
      </w:r>
    </w:p>
    <w:p w14:paraId="190517D4" w14:textId="77777777" w:rsidR="0084445A" w:rsidRPr="00741D80" w:rsidRDefault="0084445A" w:rsidP="00084C32">
      <w:pPr>
        <w:spacing w:after="0"/>
        <w:jc w:val="both"/>
        <w:rPr>
          <w:rFonts w:cstheme="minorHAnsi"/>
          <w:lang w:val="en-US"/>
        </w:rPr>
      </w:pPr>
      <w:r w:rsidRPr="00741D80">
        <w:rPr>
          <w:rFonts w:cstheme="minorHAnsi"/>
        </w:rPr>
        <w:t xml:space="preserve">Задълженията към други кредитори включват сумата на предоставен гаранционен депозит от страна на член на Съвета на директорите, съгласно договор за управление в размер на три брутни месечни възнаграждения. </w:t>
      </w:r>
    </w:p>
    <w:p w14:paraId="736FE9F8" w14:textId="77777777" w:rsidR="0084445A" w:rsidRPr="00741D80" w:rsidRDefault="0084445A" w:rsidP="00084C32">
      <w:pPr>
        <w:spacing w:after="0"/>
        <w:jc w:val="both"/>
        <w:rPr>
          <w:rFonts w:cstheme="minorHAnsi"/>
        </w:rPr>
      </w:pPr>
      <w:r w:rsidRPr="00741D80">
        <w:rPr>
          <w:rFonts w:cstheme="minorHAnsi"/>
        </w:rPr>
        <w:t>През м. декември 2017 г., членовете на Съвета на директорите откриха гаранционни депозити – банкови сметки, съгласно договор за управление в размер на три брутни месечни възнаграждения при спазване на изискванията на чл.34 от Устава на Борсата и чл.116В от ЗППЦК.</w:t>
      </w:r>
    </w:p>
    <w:p w14:paraId="276FB3A6" w14:textId="77777777" w:rsidR="0084445A" w:rsidRPr="00741D80" w:rsidRDefault="0084445A" w:rsidP="00084C32">
      <w:pPr>
        <w:spacing w:after="0"/>
        <w:jc w:val="both"/>
        <w:rPr>
          <w:rFonts w:cstheme="minorHAnsi"/>
        </w:rPr>
      </w:pPr>
      <w:r w:rsidRPr="00741D80">
        <w:rPr>
          <w:rFonts w:cstheme="minorHAnsi"/>
        </w:rPr>
        <w:t>Задълженията за гаранции на членовете на Съвета на директорите в размер на три брутни месечни възнаграждения се преведоха по откритите банкови сметки, за което банката издаде удостоверения за внесена гаранция.</w:t>
      </w:r>
    </w:p>
    <w:p w14:paraId="034BB828" w14:textId="77777777" w:rsidR="0084445A" w:rsidRPr="00741D80" w:rsidRDefault="0084445A" w:rsidP="00084C32">
      <w:pPr>
        <w:spacing w:after="0"/>
        <w:jc w:val="both"/>
        <w:rPr>
          <w:rFonts w:cstheme="minorHAnsi"/>
        </w:rPr>
      </w:pPr>
      <w:r w:rsidRPr="00741D80">
        <w:rPr>
          <w:rFonts w:cstheme="minorHAnsi"/>
        </w:rPr>
        <w:t>Предплатените такси включват основно такси за информационно обслужване, регистрация и поддръжка на регистрация на Основен пазар (BSE) и Алтернативен пазар (</w:t>
      </w:r>
      <w:proofErr w:type="spellStart"/>
      <w:r w:rsidRPr="00741D80">
        <w:rPr>
          <w:rFonts w:cstheme="minorHAnsi"/>
        </w:rPr>
        <w:t>BaSE</w:t>
      </w:r>
      <w:proofErr w:type="spellEnd"/>
      <w:r w:rsidRPr="00741D80">
        <w:rPr>
          <w:rFonts w:cstheme="minorHAnsi"/>
        </w:rPr>
        <w:t>) за 2018 г. (респ. 2017 г.), които се плащат съгласно правилника на Борсата.</w:t>
      </w:r>
    </w:p>
    <w:p w14:paraId="0AE489A3" w14:textId="77777777" w:rsidR="0084445A" w:rsidRPr="00741D80" w:rsidRDefault="0084445A" w:rsidP="00833465">
      <w:pPr>
        <w:pStyle w:val="Mainnumbers"/>
      </w:pPr>
      <w:bookmarkStart w:id="83" w:name="_Toc418084394"/>
      <w:bookmarkStart w:id="84" w:name="_Toc536452031"/>
      <w:r w:rsidRPr="00741D80">
        <w:t>ЗАДЪЛЖЕНИЯ ЗА ДИВИДЕНТИ</w:t>
      </w:r>
      <w:bookmarkEnd w:id="83"/>
      <w:bookmarkEnd w:id="84"/>
      <w:r w:rsidRPr="00741D80">
        <w:t xml:space="preserve"> </w:t>
      </w:r>
    </w:p>
    <w:p w14:paraId="7C80E10B" w14:textId="1382DBC4" w:rsidR="0084445A" w:rsidRPr="00741D80" w:rsidRDefault="0084445A" w:rsidP="00084C32">
      <w:pPr>
        <w:spacing w:after="0" w:line="276" w:lineRule="auto"/>
        <w:jc w:val="both"/>
        <w:rPr>
          <w:rFonts w:cstheme="minorHAnsi"/>
        </w:rPr>
      </w:pPr>
      <w:r w:rsidRPr="00741D80">
        <w:rPr>
          <w:rFonts w:cstheme="minorHAnsi"/>
        </w:rPr>
        <w:t xml:space="preserve">Към 31.12.2018 г. сумата в размер на 35 </w:t>
      </w:r>
      <w:proofErr w:type="spellStart"/>
      <w:r w:rsidRPr="00741D80">
        <w:rPr>
          <w:rFonts w:cstheme="minorHAnsi"/>
        </w:rPr>
        <w:t>х.лв</w:t>
      </w:r>
      <w:proofErr w:type="spellEnd"/>
      <w:r w:rsidRPr="00741D80">
        <w:rPr>
          <w:rFonts w:cstheme="minorHAnsi"/>
        </w:rPr>
        <w:t xml:space="preserve">. (31.12.2017 г.: 51 </w:t>
      </w:r>
      <w:proofErr w:type="spellStart"/>
      <w:r w:rsidRPr="00741D80">
        <w:rPr>
          <w:rFonts w:cstheme="minorHAnsi"/>
        </w:rPr>
        <w:t>х.лв</w:t>
      </w:r>
      <w:proofErr w:type="spellEnd"/>
      <w:r w:rsidRPr="00741D80">
        <w:rPr>
          <w:rFonts w:cstheme="minorHAnsi"/>
        </w:rPr>
        <w:t xml:space="preserve">.) представлява неизплатени дивиденти на акционери от разпределение на печалбата за 2017 г., 2016 г., 2013 г. През </w:t>
      </w:r>
      <w:proofErr w:type="spellStart"/>
      <w:r w:rsidRPr="00741D80">
        <w:rPr>
          <w:rFonts w:cstheme="minorHAnsi"/>
        </w:rPr>
        <w:t>м.май</w:t>
      </w:r>
      <w:proofErr w:type="spellEnd"/>
      <w:r w:rsidRPr="00741D80">
        <w:rPr>
          <w:rFonts w:cstheme="minorHAnsi"/>
        </w:rPr>
        <w:t xml:space="preserve"> 2018 г. са отписани задължения за дивиденти за 2012 г. в размер на 20 </w:t>
      </w:r>
      <w:proofErr w:type="spellStart"/>
      <w:r w:rsidRPr="00741D80">
        <w:rPr>
          <w:rFonts w:cstheme="minorHAnsi"/>
        </w:rPr>
        <w:t>х.лв</w:t>
      </w:r>
      <w:proofErr w:type="spellEnd"/>
      <w:r w:rsidRPr="00741D80">
        <w:rPr>
          <w:rFonts w:cstheme="minorHAnsi"/>
        </w:rPr>
        <w:t xml:space="preserve">., поради изтичане на давностния срок от 5 години. През </w:t>
      </w:r>
      <w:proofErr w:type="spellStart"/>
      <w:r w:rsidRPr="00741D80">
        <w:rPr>
          <w:rFonts w:cstheme="minorHAnsi"/>
        </w:rPr>
        <w:t>м.юни</w:t>
      </w:r>
      <w:proofErr w:type="spellEnd"/>
      <w:r w:rsidRPr="00741D80">
        <w:rPr>
          <w:rFonts w:cstheme="minorHAnsi"/>
        </w:rPr>
        <w:t xml:space="preserve"> 2017 г. са отписани задължения за дивиденти за 2011 г. в размер на 1</w:t>
      </w:r>
      <w:r w:rsidRPr="00741D80">
        <w:rPr>
          <w:rFonts w:cstheme="minorHAnsi"/>
          <w:lang w:val="en-US"/>
        </w:rPr>
        <w:t>4</w:t>
      </w:r>
      <w:r w:rsidRPr="00741D80">
        <w:rPr>
          <w:rFonts w:cstheme="minorHAnsi"/>
        </w:rPr>
        <w:t xml:space="preserve"> </w:t>
      </w:r>
      <w:proofErr w:type="spellStart"/>
      <w:r w:rsidRPr="00741D80">
        <w:rPr>
          <w:rFonts w:cstheme="minorHAnsi"/>
        </w:rPr>
        <w:t>х.лв</w:t>
      </w:r>
      <w:proofErr w:type="spellEnd"/>
      <w:r w:rsidRPr="00741D80">
        <w:rPr>
          <w:rFonts w:cstheme="minorHAnsi"/>
        </w:rPr>
        <w:t>., поради изтичане на давностния срок от 5 години.</w:t>
      </w:r>
      <w:r w:rsidRPr="00741D80">
        <w:rPr>
          <w:rFonts w:cstheme="minorHAnsi"/>
          <w:lang w:val="en-US"/>
        </w:rPr>
        <w:t xml:space="preserve"> </w:t>
      </w:r>
      <w:r w:rsidRPr="00741D80">
        <w:rPr>
          <w:rFonts w:cstheme="minorHAnsi"/>
        </w:rPr>
        <w:t>Към 31.12.2018 г. са възстановени</w:t>
      </w:r>
      <w:r w:rsidR="00FD518A">
        <w:rPr>
          <w:rFonts w:cstheme="minorHAnsi"/>
        </w:rPr>
        <w:t xml:space="preserve"> </w:t>
      </w:r>
      <w:r w:rsidRPr="00741D80">
        <w:rPr>
          <w:rFonts w:cstheme="minorHAnsi"/>
        </w:rPr>
        <w:t>неизплатените суми от дивиденти за 2017 г. от Централен Депозитар АД и Банка ДСК АД.</w:t>
      </w:r>
    </w:p>
    <w:p w14:paraId="774667FB" w14:textId="124D89C3" w:rsidR="0084445A" w:rsidRPr="00741D80" w:rsidRDefault="0084445A" w:rsidP="00084C32">
      <w:pPr>
        <w:spacing w:after="0" w:line="276" w:lineRule="auto"/>
        <w:jc w:val="both"/>
        <w:rPr>
          <w:rFonts w:cstheme="minorHAnsi"/>
        </w:rPr>
      </w:pPr>
      <w:r w:rsidRPr="00741D80">
        <w:rPr>
          <w:rFonts w:cstheme="minorHAnsi"/>
        </w:rPr>
        <w:t xml:space="preserve">През </w:t>
      </w:r>
      <w:proofErr w:type="spellStart"/>
      <w:r w:rsidRPr="00741D80">
        <w:rPr>
          <w:rFonts w:cstheme="minorHAnsi"/>
        </w:rPr>
        <w:t>м.октомври</w:t>
      </w:r>
      <w:proofErr w:type="spellEnd"/>
      <w:r w:rsidRPr="00741D80">
        <w:rPr>
          <w:rFonts w:cstheme="minorHAnsi"/>
        </w:rPr>
        <w:t xml:space="preserve"> 2018 г.</w:t>
      </w:r>
      <w:r w:rsidRPr="00741D80">
        <w:rPr>
          <w:rFonts w:cstheme="minorHAnsi"/>
          <w:lang w:val="en-US"/>
        </w:rPr>
        <w:t xml:space="preserve"> </w:t>
      </w:r>
      <w:r w:rsidR="00084C32">
        <w:rPr>
          <w:rFonts w:cstheme="minorHAnsi"/>
        </w:rPr>
        <w:t>изтече</w:t>
      </w:r>
      <w:r w:rsidRPr="00741D80">
        <w:rPr>
          <w:rFonts w:cstheme="minorHAnsi"/>
        </w:rPr>
        <w:t xml:space="preserve"> тримесечния период за изплащане на дивидент 2017 г.</w:t>
      </w:r>
    </w:p>
    <w:p w14:paraId="631008FC" w14:textId="77777777" w:rsidR="0084445A" w:rsidRPr="00741D80" w:rsidRDefault="0084445A" w:rsidP="00833465">
      <w:pPr>
        <w:pStyle w:val="Mainnumbers"/>
      </w:pPr>
      <w:bookmarkStart w:id="85" w:name="_Toc418084395"/>
      <w:bookmarkStart w:id="86" w:name="_Toc536452032"/>
      <w:r w:rsidRPr="00741D80">
        <w:t>ЗАДЪЛЖЕНИЯ ЗА ДАНЪЦИ</w:t>
      </w:r>
      <w:bookmarkEnd w:id="85"/>
      <w:bookmarkEnd w:id="86"/>
    </w:p>
    <w:tbl>
      <w:tblPr>
        <w:tblW w:w="5000" w:type="pct"/>
        <w:jc w:val="center"/>
        <w:tblLook w:val="04A0" w:firstRow="1" w:lastRow="0" w:firstColumn="1" w:lastColumn="0" w:noHBand="0" w:noVBand="1"/>
      </w:tblPr>
      <w:tblGrid>
        <w:gridCol w:w="6417"/>
        <w:gridCol w:w="1613"/>
        <w:gridCol w:w="1608"/>
      </w:tblGrid>
      <w:tr w:rsidR="0084445A" w:rsidRPr="00084C32" w14:paraId="56062F0F" w14:textId="77777777" w:rsidTr="00AE7CF9">
        <w:trPr>
          <w:trHeight w:val="170"/>
          <w:jc w:val="center"/>
        </w:trPr>
        <w:tc>
          <w:tcPr>
            <w:tcW w:w="3329" w:type="pct"/>
            <w:tcBorders>
              <w:top w:val="nil"/>
              <w:left w:val="nil"/>
              <w:bottom w:val="nil"/>
              <w:right w:val="nil"/>
            </w:tcBorders>
            <w:shd w:val="clear" w:color="auto" w:fill="auto"/>
            <w:vAlign w:val="bottom"/>
            <w:hideMark/>
          </w:tcPr>
          <w:p w14:paraId="16AF689A" w14:textId="6BA8B106" w:rsidR="0084445A" w:rsidRPr="00084C32" w:rsidRDefault="00084C32" w:rsidP="00084C32">
            <w:pPr>
              <w:pStyle w:val="a"/>
              <w:rPr>
                <w:rFonts w:ascii="Calibri" w:hAnsi="Calibri" w:cstheme="minorHAnsi"/>
                <w:color w:val="auto"/>
                <w:sz w:val="22"/>
                <w:szCs w:val="22"/>
                <w:lang w:val="bg-BG"/>
              </w:rPr>
            </w:pPr>
            <w:proofErr w:type="spellStart"/>
            <w:r w:rsidRPr="00084C32">
              <w:rPr>
                <w:rFonts w:ascii="Calibri" w:hAnsi="Calibri" w:cs="Calibri"/>
                <w:sz w:val="22"/>
                <w:szCs w:val="22"/>
              </w:rPr>
              <w:t>Задълженията</w:t>
            </w:r>
            <w:proofErr w:type="spellEnd"/>
            <w:r w:rsidRPr="00084C32">
              <w:rPr>
                <w:rFonts w:ascii="Calibri" w:hAnsi="Calibri" w:cstheme="minorHAnsi"/>
                <w:sz w:val="22"/>
                <w:szCs w:val="22"/>
              </w:rPr>
              <w:t xml:space="preserve"> </w:t>
            </w:r>
            <w:proofErr w:type="spellStart"/>
            <w:r w:rsidRPr="00084C32">
              <w:rPr>
                <w:rFonts w:ascii="Calibri" w:hAnsi="Calibri" w:cs="Calibri"/>
                <w:sz w:val="22"/>
                <w:szCs w:val="22"/>
              </w:rPr>
              <w:t>за</w:t>
            </w:r>
            <w:proofErr w:type="spellEnd"/>
            <w:r w:rsidRPr="00084C32">
              <w:rPr>
                <w:rFonts w:ascii="Calibri" w:hAnsi="Calibri" w:cstheme="minorHAnsi"/>
                <w:sz w:val="22"/>
                <w:szCs w:val="22"/>
              </w:rPr>
              <w:t xml:space="preserve"> </w:t>
            </w:r>
            <w:proofErr w:type="spellStart"/>
            <w:r w:rsidRPr="00084C32">
              <w:rPr>
                <w:rFonts w:ascii="Calibri" w:hAnsi="Calibri" w:cs="Calibri"/>
                <w:sz w:val="22"/>
                <w:szCs w:val="22"/>
              </w:rPr>
              <w:t>данъци</w:t>
            </w:r>
            <w:proofErr w:type="spellEnd"/>
            <w:r w:rsidRPr="00084C32">
              <w:rPr>
                <w:rFonts w:ascii="Calibri" w:hAnsi="Calibri" w:cstheme="minorHAnsi"/>
                <w:sz w:val="22"/>
                <w:szCs w:val="22"/>
              </w:rPr>
              <w:t xml:space="preserve"> </w:t>
            </w:r>
            <w:proofErr w:type="spellStart"/>
            <w:r w:rsidRPr="00084C32">
              <w:rPr>
                <w:rFonts w:ascii="Calibri" w:hAnsi="Calibri" w:cs="Calibri"/>
                <w:sz w:val="22"/>
                <w:szCs w:val="22"/>
              </w:rPr>
              <w:t>включват</w:t>
            </w:r>
            <w:proofErr w:type="spellEnd"/>
            <w:r w:rsidRPr="00084C32">
              <w:rPr>
                <w:rFonts w:ascii="Calibri" w:hAnsi="Calibri" w:cstheme="minorHAnsi"/>
                <w:sz w:val="22"/>
                <w:szCs w:val="22"/>
              </w:rPr>
              <w:t>:</w:t>
            </w:r>
          </w:p>
        </w:tc>
        <w:tc>
          <w:tcPr>
            <w:tcW w:w="837" w:type="pct"/>
            <w:tcBorders>
              <w:top w:val="nil"/>
              <w:left w:val="nil"/>
              <w:bottom w:val="nil"/>
              <w:right w:val="nil"/>
            </w:tcBorders>
            <w:shd w:val="clear" w:color="auto" w:fill="auto"/>
            <w:hideMark/>
          </w:tcPr>
          <w:p w14:paraId="624CA932" w14:textId="77777777" w:rsidR="0084445A" w:rsidRPr="00084C32" w:rsidRDefault="0084445A" w:rsidP="00084C32">
            <w:pPr>
              <w:pStyle w:val="a1"/>
              <w:jc w:val="right"/>
              <w:rPr>
                <w:rFonts w:ascii="Calibri" w:hAnsi="Calibri" w:cstheme="minorHAnsi"/>
                <w:color w:val="auto"/>
                <w:sz w:val="22"/>
                <w:szCs w:val="22"/>
                <w:lang w:val="bg-BG"/>
              </w:rPr>
            </w:pPr>
            <w:r w:rsidRPr="00084C32">
              <w:rPr>
                <w:rFonts w:ascii="Calibri" w:hAnsi="Calibri" w:cstheme="minorHAnsi"/>
                <w:color w:val="auto"/>
                <w:sz w:val="22"/>
                <w:szCs w:val="22"/>
                <w:lang w:val="bg-BG"/>
              </w:rPr>
              <w:t>31.12.2018</w:t>
            </w:r>
          </w:p>
        </w:tc>
        <w:tc>
          <w:tcPr>
            <w:tcW w:w="834" w:type="pct"/>
            <w:tcBorders>
              <w:top w:val="nil"/>
              <w:left w:val="nil"/>
              <w:bottom w:val="nil"/>
              <w:right w:val="nil"/>
            </w:tcBorders>
            <w:shd w:val="clear" w:color="auto" w:fill="auto"/>
            <w:hideMark/>
          </w:tcPr>
          <w:p w14:paraId="3203C76B" w14:textId="77777777" w:rsidR="0084445A" w:rsidRPr="00084C32" w:rsidRDefault="0084445A" w:rsidP="00084C32">
            <w:pPr>
              <w:pStyle w:val="a1"/>
              <w:jc w:val="right"/>
              <w:rPr>
                <w:rFonts w:ascii="Calibri" w:hAnsi="Calibri" w:cstheme="minorHAnsi"/>
                <w:color w:val="auto"/>
                <w:sz w:val="22"/>
                <w:szCs w:val="22"/>
                <w:lang w:val="bg-BG"/>
              </w:rPr>
            </w:pPr>
            <w:r w:rsidRPr="00084C32">
              <w:rPr>
                <w:rFonts w:ascii="Calibri" w:hAnsi="Calibri" w:cstheme="minorHAnsi"/>
                <w:color w:val="auto"/>
                <w:sz w:val="22"/>
                <w:szCs w:val="22"/>
                <w:lang w:val="bg-BG"/>
              </w:rPr>
              <w:t>31.12.2017</w:t>
            </w:r>
          </w:p>
        </w:tc>
      </w:tr>
      <w:tr w:rsidR="0084445A" w:rsidRPr="00084C32" w14:paraId="70D2FEEC" w14:textId="77777777" w:rsidTr="00AE7CF9">
        <w:trPr>
          <w:trHeight w:val="170"/>
          <w:jc w:val="center"/>
        </w:trPr>
        <w:tc>
          <w:tcPr>
            <w:tcW w:w="3329" w:type="pct"/>
            <w:tcBorders>
              <w:top w:val="nil"/>
              <w:left w:val="nil"/>
              <w:bottom w:val="nil"/>
              <w:right w:val="nil"/>
            </w:tcBorders>
            <w:shd w:val="clear" w:color="auto" w:fill="auto"/>
            <w:vAlign w:val="bottom"/>
            <w:hideMark/>
          </w:tcPr>
          <w:p w14:paraId="46482E76" w14:textId="77777777" w:rsidR="0084445A" w:rsidRPr="00084C32" w:rsidRDefault="0084445A" w:rsidP="00084C32">
            <w:pPr>
              <w:pStyle w:val="a"/>
              <w:rPr>
                <w:rFonts w:ascii="Calibri" w:hAnsi="Calibri" w:cstheme="minorHAnsi"/>
                <w:color w:val="auto"/>
                <w:sz w:val="22"/>
                <w:szCs w:val="22"/>
                <w:lang w:val="bg-BG"/>
              </w:rPr>
            </w:pPr>
          </w:p>
        </w:tc>
        <w:tc>
          <w:tcPr>
            <w:tcW w:w="837" w:type="pct"/>
            <w:tcBorders>
              <w:top w:val="nil"/>
              <w:left w:val="nil"/>
              <w:bottom w:val="nil"/>
              <w:right w:val="nil"/>
            </w:tcBorders>
            <w:shd w:val="clear" w:color="auto" w:fill="auto"/>
            <w:noWrap/>
            <w:hideMark/>
          </w:tcPr>
          <w:p w14:paraId="5A2B40CE" w14:textId="77777777" w:rsidR="0084445A" w:rsidRPr="00084C32" w:rsidRDefault="0084445A" w:rsidP="00084C32">
            <w:pPr>
              <w:pStyle w:val="a1"/>
              <w:jc w:val="right"/>
              <w:rPr>
                <w:rFonts w:ascii="Calibri" w:hAnsi="Calibri" w:cstheme="minorHAnsi"/>
                <w:color w:val="auto"/>
                <w:sz w:val="22"/>
                <w:szCs w:val="22"/>
                <w:lang w:val="bg-BG"/>
              </w:rPr>
            </w:pPr>
            <w:r w:rsidRPr="00084C32">
              <w:rPr>
                <w:rFonts w:ascii="Calibri" w:hAnsi="Calibri" w:cstheme="minorHAnsi"/>
                <w:color w:val="auto"/>
                <w:sz w:val="22"/>
                <w:szCs w:val="22"/>
                <w:lang w:val="bg-BG"/>
              </w:rPr>
              <w:t>BGN'000</w:t>
            </w:r>
          </w:p>
        </w:tc>
        <w:tc>
          <w:tcPr>
            <w:tcW w:w="834" w:type="pct"/>
            <w:tcBorders>
              <w:top w:val="nil"/>
              <w:left w:val="nil"/>
              <w:bottom w:val="nil"/>
              <w:right w:val="nil"/>
            </w:tcBorders>
            <w:shd w:val="clear" w:color="auto" w:fill="auto"/>
            <w:noWrap/>
            <w:hideMark/>
          </w:tcPr>
          <w:p w14:paraId="4861F3CE" w14:textId="77777777" w:rsidR="0084445A" w:rsidRPr="00084C32" w:rsidRDefault="0084445A" w:rsidP="00084C32">
            <w:pPr>
              <w:pStyle w:val="a1"/>
              <w:jc w:val="right"/>
              <w:rPr>
                <w:rFonts w:ascii="Calibri" w:hAnsi="Calibri" w:cstheme="minorHAnsi"/>
                <w:color w:val="auto"/>
                <w:sz w:val="22"/>
                <w:szCs w:val="22"/>
                <w:lang w:val="bg-BG"/>
              </w:rPr>
            </w:pPr>
            <w:r w:rsidRPr="00084C32">
              <w:rPr>
                <w:rFonts w:ascii="Calibri" w:hAnsi="Calibri" w:cstheme="minorHAnsi"/>
                <w:color w:val="auto"/>
                <w:sz w:val="22"/>
                <w:szCs w:val="22"/>
                <w:lang w:val="bg-BG"/>
              </w:rPr>
              <w:t>BGN'000</w:t>
            </w:r>
          </w:p>
        </w:tc>
      </w:tr>
      <w:tr w:rsidR="0084445A" w:rsidRPr="00084C32" w14:paraId="634D3C3F" w14:textId="77777777" w:rsidTr="00AE7CF9">
        <w:trPr>
          <w:trHeight w:val="170"/>
          <w:jc w:val="center"/>
        </w:trPr>
        <w:tc>
          <w:tcPr>
            <w:tcW w:w="3329" w:type="pct"/>
            <w:tcBorders>
              <w:top w:val="nil"/>
              <w:left w:val="nil"/>
              <w:bottom w:val="nil"/>
              <w:right w:val="nil"/>
            </w:tcBorders>
            <w:shd w:val="clear" w:color="auto" w:fill="auto"/>
            <w:noWrap/>
            <w:vAlign w:val="bottom"/>
            <w:hideMark/>
          </w:tcPr>
          <w:p w14:paraId="698AA2CF" w14:textId="77777777" w:rsidR="0084445A" w:rsidRPr="00084C32" w:rsidRDefault="0084445A" w:rsidP="00084C32">
            <w:pPr>
              <w:pStyle w:val="a"/>
              <w:rPr>
                <w:rFonts w:ascii="Calibri" w:hAnsi="Calibri" w:cstheme="minorHAnsi"/>
                <w:color w:val="auto"/>
                <w:sz w:val="22"/>
                <w:szCs w:val="22"/>
                <w:lang w:val="bg-BG"/>
              </w:rPr>
            </w:pPr>
            <w:bookmarkStart w:id="87" w:name="_Hlk520466643"/>
            <w:r w:rsidRPr="00084C32">
              <w:rPr>
                <w:rFonts w:ascii="Calibri" w:hAnsi="Calibri" w:cs="Calibri"/>
                <w:color w:val="auto"/>
                <w:sz w:val="22"/>
                <w:szCs w:val="22"/>
                <w:lang w:val="bg-BG"/>
              </w:rPr>
              <w:t>Данък</w:t>
            </w:r>
            <w:r w:rsidRPr="00084C32">
              <w:rPr>
                <w:rFonts w:ascii="Calibri" w:hAnsi="Calibri" w:cstheme="minorHAnsi"/>
                <w:color w:val="auto"/>
                <w:sz w:val="22"/>
                <w:szCs w:val="22"/>
                <w:lang w:val="bg-BG"/>
              </w:rPr>
              <w:t xml:space="preserve"> </w:t>
            </w:r>
            <w:r w:rsidRPr="00084C32">
              <w:rPr>
                <w:rFonts w:ascii="Calibri" w:hAnsi="Calibri" w:cs="Calibri"/>
                <w:color w:val="auto"/>
                <w:sz w:val="22"/>
                <w:szCs w:val="22"/>
                <w:lang w:val="bg-BG"/>
              </w:rPr>
              <w:t>върху</w:t>
            </w:r>
            <w:r w:rsidRPr="00084C32">
              <w:rPr>
                <w:rFonts w:ascii="Calibri" w:hAnsi="Calibri" w:cstheme="minorHAnsi"/>
                <w:color w:val="auto"/>
                <w:sz w:val="22"/>
                <w:szCs w:val="22"/>
                <w:lang w:val="bg-BG"/>
              </w:rPr>
              <w:t xml:space="preserve"> </w:t>
            </w:r>
            <w:r w:rsidRPr="00084C32">
              <w:rPr>
                <w:rFonts w:ascii="Calibri" w:hAnsi="Calibri" w:cs="Calibri"/>
                <w:color w:val="auto"/>
                <w:sz w:val="22"/>
                <w:szCs w:val="22"/>
                <w:lang w:val="bg-BG"/>
              </w:rPr>
              <w:t>добавена</w:t>
            </w:r>
            <w:r w:rsidRPr="00084C32">
              <w:rPr>
                <w:rFonts w:ascii="Calibri" w:hAnsi="Calibri" w:cstheme="minorHAnsi"/>
                <w:color w:val="auto"/>
                <w:sz w:val="22"/>
                <w:szCs w:val="22"/>
                <w:lang w:val="bg-BG"/>
              </w:rPr>
              <w:t xml:space="preserve"> </w:t>
            </w:r>
            <w:r w:rsidRPr="00084C32">
              <w:rPr>
                <w:rFonts w:ascii="Calibri" w:hAnsi="Calibri" w:cs="Calibri"/>
                <w:color w:val="auto"/>
                <w:sz w:val="22"/>
                <w:szCs w:val="22"/>
                <w:lang w:val="bg-BG"/>
              </w:rPr>
              <w:t>стойност</w:t>
            </w:r>
          </w:p>
        </w:tc>
        <w:tc>
          <w:tcPr>
            <w:tcW w:w="837" w:type="pct"/>
            <w:tcBorders>
              <w:top w:val="nil"/>
              <w:left w:val="nil"/>
              <w:bottom w:val="nil"/>
              <w:right w:val="nil"/>
            </w:tcBorders>
            <w:shd w:val="clear" w:color="auto" w:fill="auto"/>
            <w:vAlign w:val="bottom"/>
            <w:hideMark/>
          </w:tcPr>
          <w:p w14:paraId="0694E1CE" w14:textId="77777777" w:rsidR="0084445A" w:rsidRPr="00084C32" w:rsidRDefault="0084445A" w:rsidP="00084C32">
            <w:pPr>
              <w:pStyle w:val="a0"/>
              <w:widowControl w:val="0"/>
              <w:ind w:firstLine="709"/>
              <w:rPr>
                <w:rFonts w:ascii="Calibri" w:hAnsi="Calibri" w:cstheme="minorHAnsi"/>
                <w:color w:val="auto"/>
                <w:sz w:val="22"/>
                <w:szCs w:val="22"/>
                <w:lang w:val="bg-BG"/>
              </w:rPr>
            </w:pPr>
            <w:r w:rsidRPr="00084C32">
              <w:rPr>
                <w:rFonts w:ascii="Calibri" w:hAnsi="Calibri" w:cstheme="minorHAnsi"/>
                <w:color w:val="auto"/>
                <w:sz w:val="22"/>
                <w:szCs w:val="22"/>
                <w:lang w:val="bg-BG"/>
              </w:rPr>
              <w:t>22</w:t>
            </w:r>
          </w:p>
        </w:tc>
        <w:tc>
          <w:tcPr>
            <w:tcW w:w="834" w:type="pct"/>
            <w:tcBorders>
              <w:top w:val="nil"/>
              <w:left w:val="nil"/>
              <w:bottom w:val="nil"/>
              <w:right w:val="nil"/>
            </w:tcBorders>
            <w:shd w:val="clear" w:color="auto" w:fill="auto"/>
            <w:vAlign w:val="bottom"/>
            <w:hideMark/>
          </w:tcPr>
          <w:p w14:paraId="18A73FF4" w14:textId="77777777" w:rsidR="0084445A" w:rsidRPr="00084C32" w:rsidRDefault="0084445A" w:rsidP="00084C32">
            <w:pPr>
              <w:pStyle w:val="a0"/>
              <w:rPr>
                <w:rFonts w:ascii="Calibri" w:hAnsi="Calibri" w:cstheme="minorHAnsi"/>
                <w:color w:val="auto"/>
                <w:sz w:val="22"/>
                <w:szCs w:val="22"/>
                <w:lang w:val="bg-BG"/>
              </w:rPr>
            </w:pPr>
            <w:r w:rsidRPr="00084C32">
              <w:rPr>
                <w:rFonts w:ascii="Calibri" w:hAnsi="Calibri" w:cstheme="minorHAnsi"/>
                <w:color w:val="auto"/>
                <w:sz w:val="22"/>
                <w:szCs w:val="22"/>
                <w:lang w:val="bg-BG"/>
              </w:rPr>
              <w:t>28</w:t>
            </w:r>
          </w:p>
        </w:tc>
      </w:tr>
      <w:tr w:rsidR="0084445A" w:rsidRPr="00084C32" w14:paraId="4CFB8E40" w14:textId="77777777" w:rsidTr="00AE7CF9">
        <w:trPr>
          <w:trHeight w:val="170"/>
          <w:jc w:val="center"/>
        </w:trPr>
        <w:tc>
          <w:tcPr>
            <w:tcW w:w="3329" w:type="pct"/>
            <w:tcBorders>
              <w:top w:val="nil"/>
              <w:left w:val="nil"/>
              <w:bottom w:val="nil"/>
              <w:right w:val="nil"/>
            </w:tcBorders>
            <w:shd w:val="clear" w:color="auto" w:fill="auto"/>
            <w:noWrap/>
            <w:vAlign w:val="bottom"/>
            <w:hideMark/>
          </w:tcPr>
          <w:p w14:paraId="250D171A" w14:textId="77777777" w:rsidR="0084445A" w:rsidRPr="00084C32" w:rsidRDefault="0084445A" w:rsidP="00084C32">
            <w:pPr>
              <w:pStyle w:val="a"/>
              <w:rPr>
                <w:rFonts w:ascii="Calibri" w:hAnsi="Calibri" w:cstheme="minorHAnsi"/>
                <w:color w:val="auto"/>
                <w:sz w:val="22"/>
                <w:szCs w:val="22"/>
                <w:lang w:val="bg-BG"/>
              </w:rPr>
            </w:pPr>
            <w:r w:rsidRPr="00084C32">
              <w:rPr>
                <w:rFonts w:ascii="Calibri" w:hAnsi="Calibri" w:cs="Calibri"/>
                <w:color w:val="auto"/>
                <w:sz w:val="22"/>
                <w:szCs w:val="22"/>
                <w:lang w:val="bg-BG"/>
              </w:rPr>
              <w:t>Данъци</w:t>
            </w:r>
            <w:r w:rsidRPr="00084C32">
              <w:rPr>
                <w:rFonts w:ascii="Calibri" w:hAnsi="Calibri" w:cstheme="minorHAnsi"/>
                <w:color w:val="auto"/>
                <w:sz w:val="22"/>
                <w:szCs w:val="22"/>
                <w:lang w:val="bg-BG"/>
              </w:rPr>
              <w:t xml:space="preserve"> </w:t>
            </w:r>
            <w:r w:rsidRPr="00084C32">
              <w:rPr>
                <w:rFonts w:ascii="Calibri" w:hAnsi="Calibri" w:cs="Calibri"/>
                <w:color w:val="auto"/>
                <w:sz w:val="22"/>
                <w:szCs w:val="22"/>
                <w:lang w:val="bg-BG"/>
              </w:rPr>
              <w:t>върху</w:t>
            </w:r>
            <w:r w:rsidRPr="00084C32">
              <w:rPr>
                <w:rFonts w:ascii="Calibri" w:hAnsi="Calibri" w:cstheme="minorHAnsi"/>
                <w:color w:val="auto"/>
                <w:sz w:val="22"/>
                <w:szCs w:val="22"/>
                <w:lang w:val="bg-BG"/>
              </w:rPr>
              <w:t xml:space="preserve"> </w:t>
            </w:r>
            <w:r w:rsidRPr="00084C32">
              <w:rPr>
                <w:rFonts w:ascii="Calibri" w:hAnsi="Calibri" w:cs="Calibri"/>
                <w:color w:val="auto"/>
                <w:sz w:val="22"/>
                <w:szCs w:val="22"/>
                <w:lang w:val="bg-BG"/>
              </w:rPr>
              <w:t>доходите</w:t>
            </w:r>
            <w:r w:rsidRPr="00084C32">
              <w:rPr>
                <w:rFonts w:ascii="Calibri" w:hAnsi="Calibri" w:cstheme="minorHAnsi"/>
                <w:color w:val="auto"/>
                <w:sz w:val="22"/>
                <w:szCs w:val="22"/>
                <w:lang w:val="bg-BG"/>
              </w:rPr>
              <w:t xml:space="preserve"> </w:t>
            </w:r>
            <w:r w:rsidRPr="00084C32">
              <w:rPr>
                <w:rFonts w:ascii="Calibri" w:hAnsi="Calibri" w:cs="Calibri"/>
                <w:color w:val="auto"/>
                <w:sz w:val="22"/>
                <w:szCs w:val="22"/>
                <w:lang w:val="bg-BG"/>
              </w:rPr>
              <w:t>на</w:t>
            </w:r>
            <w:r w:rsidRPr="00084C32">
              <w:rPr>
                <w:rFonts w:ascii="Calibri" w:hAnsi="Calibri" w:cstheme="minorHAnsi"/>
                <w:color w:val="auto"/>
                <w:sz w:val="22"/>
                <w:szCs w:val="22"/>
                <w:lang w:val="bg-BG"/>
              </w:rPr>
              <w:t xml:space="preserve"> </w:t>
            </w:r>
            <w:r w:rsidRPr="00084C32">
              <w:rPr>
                <w:rFonts w:ascii="Calibri" w:hAnsi="Calibri" w:cs="Calibri"/>
                <w:color w:val="auto"/>
                <w:sz w:val="22"/>
                <w:szCs w:val="22"/>
                <w:lang w:val="bg-BG"/>
              </w:rPr>
              <w:t>физическите</w:t>
            </w:r>
            <w:r w:rsidRPr="00084C32">
              <w:rPr>
                <w:rFonts w:ascii="Calibri" w:hAnsi="Calibri" w:cstheme="minorHAnsi"/>
                <w:color w:val="auto"/>
                <w:sz w:val="22"/>
                <w:szCs w:val="22"/>
                <w:lang w:val="bg-BG"/>
              </w:rPr>
              <w:t xml:space="preserve"> </w:t>
            </w:r>
            <w:r w:rsidRPr="00084C32">
              <w:rPr>
                <w:rFonts w:ascii="Calibri" w:hAnsi="Calibri" w:cs="Calibri"/>
                <w:color w:val="auto"/>
                <w:sz w:val="22"/>
                <w:szCs w:val="22"/>
                <w:lang w:val="bg-BG"/>
              </w:rPr>
              <w:t>лица</w:t>
            </w:r>
            <w:r w:rsidRPr="00084C32">
              <w:rPr>
                <w:rFonts w:ascii="Calibri" w:hAnsi="Calibri" w:cstheme="minorHAnsi"/>
                <w:color w:val="auto"/>
                <w:sz w:val="22"/>
                <w:szCs w:val="22"/>
                <w:lang w:val="bg-BG"/>
              </w:rPr>
              <w:t xml:space="preserve"> </w:t>
            </w:r>
          </w:p>
        </w:tc>
        <w:tc>
          <w:tcPr>
            <w:tcW w:w="837" w:type="pct"/>
            <w:tcBorders>
              <w:top w:val="nil"/>
              <w:left w:val="nil"/>
              <w:bottom w:val="nil"/>
              <w:right w:val="nil"/>
            </w:tcBorders>
            <w:shd w:val="clear" w:color="auto" w:fill="auto"/>
            <w:vAlign w:val="bottom"/>
            <w:hideMark/>
          </w:tcPr>
          <w:p w14:paraId="023C0E9A" w14:textId="77777777" w:rsidR="0084445A" w:rsidRPr="00084C32" w:rsidRDefault="0084445A" w:rsidP="00084C32">
            <w:pPr>
              <w:pStyle w:val="a0"/>
              <w:widowControl w:val="0"/>
              <w:ind w:firstLine="709"/>
              <w:rPr>
                <w:rFonts w:ascii="Calibri" w:hAnsi="Calibri" w:cstheme="minorHAnsi"/>
                <w:color w:val="auto"/>
                <w:sz w:val="22"/>
                <w:szCs w:val="22"/>
                <w:lang w:val="bg-BG"/>
              </w:rPr>
            </w:pPr>
            <w:r w:rsidRPr="00084C32">
              <w:rPr>
                <w:rFonts w:ascii="Calibri" w:hAnsi="Calibri" w:cstheme="minorHAnsi"/>
                <w:color w:val="auto"/>
                <w:sz w:val="22"/>
                <w:szCs w:val="22"/>
                <w:lang w:val="bg-BG"/>
              </w:rPr>
              <w:t>11</w:t>
            </w:r>
          </w:p>
        </w:tc>
        <w:tc>
          <w:tcPr>
            <w:tcW w:w="834" w:type="pct"/>
            <w:tcBorders>
              <w:top w:val="nil"/>
              <w:left w:val="nil"/>
              <w:bottom w:val="nil"/>
              <w:right w:val="nil"/>
            </w:tcBorders>
            <w:shd w:val="clear" w:color="auto" w:fill="auto"/>
            <w:vAlign w:val="bottom"/>
            <w:hideMark/>
          </w:tcPr>
          <w:p w14:paraId="5508C85E" w14:textId="77777777" w:rsidR="0084445A" w:rsidRPr="00084C32" w:rsidRDefault="0084445A" w:rsidP="00084C32">
            <w:pPr>
              <w:pStyle w:val="a0"/>
              <w:rPr>
                <w:rFonts w:ascii="Calibri" w:hAnsi="Calibri" w:cstheme="minorHAnsi"/>
                <w:color w:val="auto"/>
                <w:sz w:val="22"/>
                <w:szCs w:val="22"/>
                <w:lang w:val="bg-BG"/>
              </w:rPr>
            </w:pPr>
            <w:r w:rsidRPr="00084C32">
              <w:rPr>
                <w:rFonts w:ascii="Calibri" w:hAnsi="Calibri" w:cstheme="minorHAnsi"/>
                <w:color w:val="auto"/>
                <w:sz w:val="22"/>
                <w:szCs w:val="22"/>
                <w:lang w:val="bg-BG"/>
              </w:rPr>
              <w:t>16</w:t>
            </w:r>
          </w:p>
        </w:tc>
      </w:tr>
      <w:tr w:rsidR="0084445A" w:rsidRPr="00084C32" w14:paraId="00D8FF88" w14:textId="77777777" w:rsidTr="00AE7CF9">
        <w:trPr>
          <w:trHeight w:val="170"/>
          <w:jc w:val="center"/>
        </w:trPr>
        <w:tc>
          <w:tcPr>
            <w:tcW w:w="3329" w:type="pct"/>
            <w:tcBorders>
              <w:top w:val="nil"/>
              <w:left w:val="nil"/>
              <w:bottom w:val="nil"/>
              <w:right w:val="nil"/>
            </w:tcBorders>
            <w:shd w:val="clear" w:color="auto" w:fill="auto"/>
            <w:noWrap/>
            <w:vAlign w:val="bottom"/>
            <w:hideMark/>
          </w:tcPr>
          <w:p w14:paraId="698CFE65" w14:textId="77777777" w:rsidR="0084445A" w:rsidRPr="00084C32" w:rsidRDefault="0084445A" w:rsidP="00084C32">
            <w:pPr>
              <w:pStyle w:val="a"/>
              <w:rPr>
                <w:rFonts w:ascii="Calibri" w:hAnsi="Calibri" w:cstheme="minorHAnsi"/>
                <w:color w:val="auto"/>
                <w:sz w:val="22"/>
                <w:szCs w:val="22"/>
                <w:lang w:val="bg-BG"/>
              </w:rPr>
            </w:pPr>
            <w:r w:rsidRPr="00084C32">
              <w:rPr>
                <w:rFonts w:ascii="Calibri" w:hAnsi="Calibri" w:cs="Calibri"/>
                <w:color w:val="auto"/>
                <w:sz w:val="22"/>
                <w:szCs w:val="22"/>
                <w:lang w:val="bg-BG"/>
              </w:rPr>
              <w:t>Данъци</w:t>
            </w:r>
            <w:r w:rsidRPr="00084C32">
              <w:rPr>
                <w:rFonts w:ascii="Calibri" w:hAnsi="Calibri" w:cstheme="minorHAnsi"/>
                <w:color w:val="auto"/>
                <w:sz w:val="22"/>
                <w:szCs w:val="22"/>
                <w:lang w:val="bg-BG"/>
              </w:rPr>
              <w:t xml:space="preserve"> </w:t>
            </w:r>
            <w:r w:rsidRPr="00084C32">
              <w:rPr>
                <w:rFonts w:ascii="Calibri" w:hAnsi="Calibri" w:cs="Calibri"/>
                <w:color w:val="auto"/>
                <w:sz w:val="22"/>
                <w:szCs w:val="22"/>
                <w:lang w:val="bg-BG"/>
              </w:rPr>
              <w:t>върху</w:t>
            </w:r>
            <w:r w:rsidRPr="00084C32">
              <w:rPr>
                <w:rFonts w:ascii="Calibri" w:hAnsi="Calibri" w:cstheme="minorHAnsi"/>
                <w:color w:val="auto"/>
                <w:sz w:val="22"/>
                <w:szCs w:val="22"/>
                <w:lang w:val="bg-BG"/>
              </w:rPr>
              <w:t xml:space="preserve"> </w:t>
            </w:r>
            <w:r w:rsidRPr="00084C32">
              <w:rPr>
                <w:rFonts w:ascii="Calibri" w:hAnsi="Calibri" w:cs="Calibri"/>
                <w:color w:val="auto"/>
                <w:sz w:val="22"/>
                <w:szCs w:val="22"/>
                <w:lang w:val="bg-BG"/>
              </w:rPr>
              <w:t>разходите</w:t>
            </w:r>
          </w:p>
        </w:tc>
        <w:tc>
          <w:tcPr>
            <w:tcW w:w="837" w:type="pct"/>
            <w:tcBorders>
              <w:top w:val="nil"/>
              <w:left w:val="nil"/>
              <w:bottom w:val="nil"/>
              <w:right w:val="nil"/>
            </w:tcBorders>
            <w:shd w:val="clear" w:color="auto" w:fill="auto"/>
            <w:vAlign w:val="bottom"/>
            <w:hideMark/>
          </w:tcPr>
          <w:p w14:paraId="61085E07" w14:textId="77777777" w:rsidR="0084445A" w:rsidRPr="00084C32" w:rsidRDefault="0084445A" w:rsidP="00084C32">
            <w:pPr>
              <w:pStyle w:val="a0"/>
              <w:widowControl w:val="0"/>
              <w:ind w:firstLine="709"/>
              <w:rPr>
                <w:rFonts w:ascii="Calibri" w:hAnsi="Calibri" w:cstheme="minorHAnsi"/>
                <w:color w:val="auto"/>
                <w:sz w:val="22"/>
                <w:szCs w:val="22"/>
                <w:lang w:val="bg-BG"/>
              </w:rPr>
            </w:pPr>
            <w:r w:rsidRPr="00084C32">
              <w:rPr>
                <w:rFonts w:ascii="Calibri" w:hAnsi="Calibri" w:cstheme="minorHAnsi"/>
                <w:color w:val="auto"/>
                <w:sz w:val="22"/>
                <w:szCs w:val="22"/>
                <w:lang w:val="bg-BG"/>
              </w:rPr>
              <w:t>-</w:t>
            </w:r>
          </w:p>
        </w:tc>
        <w:tc>
          <w:tcPr>
            <w:tcW w:w="834" w:type="pct"/>
            <w:tcBorders>
              <w:top w:val="nil"/>
              <w:left w:val="nil"/>
              <w:bottom w:val="nil"/>
              <w:right w:val="nil"/>
            </w:tcBorders>
            <w:shd w:val="clear" w:color="auto" w:fill="auto"/>
            <w:vAlign w:val="bottom"/>
            <w:hideMark/>
          </w:tcPr>
          <w:p w14:paraId="190C1D9E" w14:textId="77777777" w:rsidR="0084445A" w:rsidRPr="00084C32" w:rsidRDefault="0084445A" w:rsidP="00084C32">
            <w:pPr>
              <w:pStyle w:val="a0"/>
              <w:rPr>
                <w:rFonts w:ascii="Calibri" w:hAnsi="Calibri" w:cstheme="minorHAnsi"/>
                <w:color w:val="auto"/>
                <w:sz w:val="22"/>
                <w:szCs w:val="22"/>
                <w:lang w:val="bg-BG"/>
              </w:rPr>
            </w:pPr>
            <w:r w:rsidRPr="00084C32">
              <w:rPr>
                <w:rFonts w:ascii="Calibri" w:hAnsi="Calibri" w:cstheme="minorHAnsi"/>
                <w:color w:val="auto"/>
                <w:sz w:val="22"/>
                <w:szCs w:val="22"/>
                <w:lang w:val="bg-BG"/>
              </w:rPr>
              <w:t>2</w:t>
            </w:r>
          </w:p>
        </w:tc>
      </w:tr>
      <w:tr w:rsidR="0084445A" w:rsidRPr="00084C32" w14:paraId="40D0BC5D" w14:textId="77777777" w:rsidTr="00AE7CF9">
        <w:trPr>
          <w:trHeight w:val="274"/>
          <w:jc w:val="center"/>
        </w:trPr>
        <w:tc>
          <w:tcPr>
            <w:tcW w:w="3329" w:type="pct"/>
            <w:tcBorders>
              <w:top w:val="nil"/>
              <w:left w:val="nil"/>
              <w:bottom w:val="nil"/>
              <w:right w:val="nil"/>
            </w:tcBorders>
            <w:shd w:val="clear" w:color="auto" w:fill="auto"/>
            <w:vAlign w:val="bottom"/>
            <w:hideMark/>
          </w:tcPr>
          <w:p w14:paraId="1FCFC2AD" w14:textId="77777777" w:rsidR="0084445A" w:rsidRPr="00084C32" w:rsidRDefault="0084445A" w:rsidP="00084C32">
            <w:pPr>
              <w:pStyle w:val="a"/>
              <w:rPr>
                <w:rFonts w:ascii="Calibri" w:hAnsi="Calibri" w:cstheme="minorHAnsi"/>
                <w:b/>
                <w:color w:val="auto"/>
                <w:sz w:val="22"/>
                <w:szCs w:val="22"/>
                <w:lang w:val="bg-BG"/>
              </w:rPr>
            </w:pPr>
            <w:r w:rsidRPr="00084C32">
              <w:rPr>
                <w:rFonts w:ascii="Calibri" w:hAnsi="Calibri" w:cs="Calibri"/>
                <w:b/>
                <w:color w:val="auto"/>
                <w:sz w:val="22"/>
                <w:szCs w:val="22"/>
                <w:lang w:val="bg-BG"/>
              </w:rPr>
              <w:t>Общо</w:t>
            </w:r>
          </w:p>
        </w:tc>
        <w:tc>
          <w:tcPr>
            <w:tcW w:w="837" w:type="pct"/>
            <w:tcBorders>
              <w:top w:val="single" w:sz="4" w:space="0" w:color="auto"/>
              <w:left w:val="nil"/>
              <w:bottom w:val="double" w:sz="6" w:space="0" w:color="auto"/>
              <w:right w:val="nil"/>
            </w:tcBorders>
            <w:shd w:val="clear" w:color="auto" w:fill="auto"/>
            <w:vAlign w:val="bottom"/>
            <w:hideMark/>
          </w:tcPr>
          <w:p w14:paraId="006C1828" w14:textId="77777777" w:rsidR="0084445A" w:rsidRPr="00084C32" w:rsidRDefault="0084445A" w:rsidP="00084C32">
            <w:pPr>
              <w:pStyle w:val="a0"/>
              <w:widowControl w:val="0"/>
              <w:rPr>
                <w:rFonts w:ascii="Calibri" w:hAnsi="Calibri" w:cstheme="minorHAnsi"/>
                <w:b/>
                <w:color w:val="auto"/>
                <w:sz w:val="22"/>
                <w:szCs w:val="22"/>
                <w:lang w:val="bg-BG"/>
              </w:rPr>
            </w:pPr>
            <w:r w:rsidRPr="00084C32">
              <w:rPr>
                <w:rFonts w:ascii="Calibri" w:hAnsi="Calibri" w:cstheme="minorHAnsi"/>
                <w:b/>
                <w:color w:val="auto"/>
                <w:sz w:val="22"/>
                <w:szCs w:val="22"/>
                <w:lang w:val="bg-BG"/>
              </w:rPr>
              <w:t>33</w:t>
            </w:r>
          </w:p>
        </w:tc>
        <w:tc>
          <w:tcPr>
            <w:tcW w:w="834" w:type="pct"/>
            <w:tcBorders>
              <w:top w:val="single" w:sz="4" w:space="0" w:color="auto"/>
              <w:left w:val="nil"/>
              <w:bottom w:val="double" w:sz="6" w:space="0" w:color="auto"/>
              <w:right w:val="nil"/>
            </w:tcBorders>
            <w:shd w:val="clear" w:color="auto" w:fill="auto"/>
            <w:vAlign w:val="bottom"/>
            <w:hideMark/>
          </w:tcPr>
          <w:p w14:paraId="4DE76313" w14:textId="77777777" w:rsidR="0084445A" w:rsidRPr="00084C32" w:rsidRDefault="0084445A" w:rsidP="00084C32">
            <w:pPr>
              <w:pStyle w:val="a0"/>
              <w:rPr>
                <w:rFonts w:ascii="Calibri" w:hAnsi="Calibri" w:cstheme="minorHAnsi"/>
                <w:b/>
                <w:color w:val="auto"/>
                <w:sz w:val="22"/>
                <w:szCs w:val="22"/>
                <w:lang w:val="bg-BG"/>
              </w:rPr>
            </w:pPr>
            <w:r w:rsidRPr="00084C32">
              <w:rPr>
                <w:rFonts w:ascii="Calibri" w:hAnsi="Calibri" w:cstheme="minorHAnsi"/>
                <w:b/>
                <w:color w:val="auto"/>
                <w:sz w:val="22"/>
                <w:szCs w:val="22"/>
                <w:lang w:val="bg-BG"/>
              </w:rPr>
              <w:t>46</w:t>
            </w:r>
          </w:p>
        </w:tc>
      </w:tr>
    </w:tbl>
    <w:bookmarkEnd w:id="87"/>
    <w:p w14:paraId="22D70B10" w14:textId="12C0D50C" w:rsidR="00084C32" w:rsidRDefault="0084445A" w:rsidP="0084445A">
      <w:pPr>
        <w:rPr>
          <w:rFonts w:cstheme="minorHAnsi"/>
        </w:rPr>
      </w:pPr>
      <w:r w:rsidRPr="00741D80">
        <w:rPr>
          <w:rFonts w:cstheme="minorHAnsi"/>
        </w:rPr>
        <w:t>Данъчните задължения на дружеството са текущи.</w:t>
      </w:r>
    </w:p>
    <w:p w14:paraId="0AB9E2DD" w14:textId="77777777" w:rsidR="00084C32" w:rsidRDefault="00084C32">
      <w:pPr>
        <w:rPr>
          <w:rFonts w:cstheme="minorHAnsi"/>
        </w:rPr>
      </w:pPr>
      <w:r>
        <w:rPr>
          <w:rFonts w:cstheme="minorHAnsi"/>
        </w:rPr>
        <w:br w:type="page"/>
      </w:r>
    </w:p>
    <w:p w14:paraId="2ED01F08" w14:textId="77777777" w:rsidR="0084445A" w:rsidRPr="00741D80" w:rsidRDefault="0084445A" w:rsidP="00833465">
      <w:pPr>
        <w:pStyle w:val="Mainnumbers"/>
      </w:pPr>
      <w:bookmarkStart w:id="88" w:name="_Toc128275770"/>
      <w:bookmarkStart w:id="89" w:name="_Toc418084396"/>
      <w:bookmarkStart w:id="90" w:name="_Toc536452033"/>
      <w:r w:rsidRPr="00741D80">
        <w:lastRenderedPageBreak/>
        <w:t>ЗАДЪЛЖЕНИЯ КЪМ ПЕРСОНАЛА И СОЦИАЛНОТО ОСИГУРЯВАНЕ</w:t>
      </w:r>
      <w:bookmarkEnd w:id="88"/>
      <w:bookmarkEnd w:id="89"/>
      <w:bookmarkEnd w:id="90"/>
    </w:p>
    <w:tbl>
      <w:tblPr>
        <w:tblW w:w="5000" w:type="pct"/>
        <w:jc w:val="center"/>
        <w:tblLook w:val="04A0" w:firstRow="1" w:lastRow="0" w:firstColumn="1" w:lastColumn="0" w:noHBand="0" w:noVBand="1"/>
      </w:tblPr>
      <w:tblGrid>
        <w:gridCol w:w="6804"/>
        <w:gridCol w:w="1419"/>
        <w:gridCol w:w="1415"/>
      </w:tblGrid>
      <w:tr w:rsidR="0084445A" w:rsidRPr="00084C32" w14:paraId="47D18B5A" w14:textId="77777777" w:rsidTr="00084C32">
        <w:trPr>
          <w:trHeight w:val="170"/>
          <w:jc w:val="center"/>
        </w:trPr>
        <w:tc>
          <w:tcPr>
            <w:tcW w:w="3530" w:type="pct"/>
            <w:tcBorders>
              <w:top w:val="nil"/>
              <w:left w:val="nil"/>
              <w:bottom w:val="nil"/>
              <w:right w:val="nil"/>
            </w:tcBorders>
            <w:shd w:val="clear" w:color="auto" w:fill="auto"/>
            <w:tcMar>
              <w:left w:w="57" w:type="dxa"/>
              <w:right w:w="57" w:type="dxa"/>
            </w:tcMar>
            <w:vAlign w:val="bottom"/>
            <w:hideMark/>
          </w:tcPr>
          <w:p w14:paraId="0F1D7B23" w14:textId="4E576BC6" w:rsidR="0084445A" w:rsidRPr="00084C32" w:rsidRDefault="00084C32" w:rsidP="00084C32">
            <w:pPr>
              <w:pStyle w:val="a"/>
              <w:rPr>
                <w:rFonts w:ascii="Calibri" w:hAnsi="Calibri" w:cstheme="minorHAnsi"/>
                <w:color w:val="auto"/>
                <w:sz w:val="22"/>
                <w:szCs w:val="22"/>
                <w:lang w:val="bg-BG"/>
              </w:rPr>
            </w:pPr>
            <w:proofErr w:type="spellStart"/>
            <w:r w:rsidRPr="00084C32">
              <w:rPr>
                <w:rFonts w:ascii="Calibri" w:hAnsi="Calibri" w:cstheme="minorHAnsi"/>
                <w:sz w:val="22"/>
                <w:szCs w:val="22"/>
              </w:rPr>
              <w:t>Задълженията</w:t>
            </w:r>
            <w:proofErr w:type="spellEnd"/>
            <w:r w:rsidRPr="00084C32">
              <w:rPr>
                <w:rFonts w:ascii="Calibri" w:hAnsi="Calibri" w:cstheme="minorHAnsi"/>
                <w:sz w:val="22"/>
                <w:szCs w:val="22"/>
              </w:rPr>
              <w:t xml:space="preserve"> </w:t>
            </w:r>
            <w:proofErr w:type="spellStart"/>
            <w:r w:rsidRPr="00084C32">
              <w:rPr>
                <w:rFonts w:ascii="Calibri" w:hAnsi="Calibri" w:cstheme="minorHAnsi"/>
                <w:sz w:val="22"/>
                <w:szCs w:val="22"/>
              </w:rPr>
              <w:t>към</w:t>
            </w:r>
            <w:proofErr w:type="spellEnd"/>
            <w:r w:rsidRPr="00084C32">
              <w:rPr>
                <w:rFonts w:ascii="Calibri" w:hAnsi="Calibri" w:cstheme="minorHAnsi"/>
                <w:sz w:val="22"/>
                <w:szCs w:val="22"/>
              </w:rPr>
              <w:t xml:space="preserve"> </w:t>
            </w:r>
            <w:proofErr w:type="spellStart"/>
            <w:r w:rsidRPr="00084C32">
              <w:rPr>
                <w:rFonts w:ascii="Calibri" w:hAnsi="Calibri" w:cstheme="minorHAnsi"/>
                <w:sz w:val="22"/>
                <w:szCs w:val="22"/>
              </w:rPr>
              <w:t>персонала</w:t>
            </w:r>
            <w:proofErr w:type="spellEnd"/>
            <w:r w:rsidRPr="00084C32">
              <w:rPr>
                <w:rFonts w:ascii="Calibri" w:hAnsi="Calibri" w:cstheme="minorHAnsi"/>
                <w:sz w:val="22"/>
                <w:szCs w:val="22"/>
              </w:rPr>
              <w:t xml:space="preserve"> и </w:t>
            </w:r>
            <w:proofErr w:type="spellStart"/>
            <w:r w:rsidRPr="00084C32">
              <w:rPr>
                <w:rFonts w:ascii="Calibri" w:hAnsi="Calibri" w:cstheme="minorHAnsi"/>
                <w:sz w:val="22"/>
                <w:szCs w:val="22"/>
              </w:rPr>
              <w:t>социалното</w:t>
            </w:r>
            <w:proofErr w:type="spellEnd"/>
            <w:r w:rsidRPr="00084C32">
              <w:rPr>
                <w:rFonts w:ascii="Calibri" w:hAnsi="Calibri" w:cstheme="minorHAnsi"/>
                <w:sz w:val="22"/>
                <w:szCs w:val="22"/>
              </w:rPr>
              <w:t xml:space="preserve"> </w:t>
            </w:r>
            <w:proofErr w:type="spellStart"/>
            <w:r w:rsidRPr="00084C32">
              <w:rPr>
                <w:rFonts w:ascii="Calibri" w:hAnsi="Calibri" w:cstheme="minorHAnsi"/>
                <w:sz w:val="22"/>
                <w:szCs w:val="22"/>
              </w:rPr>
              <w:t>осигуряване</w:t>
            </w:r>
            <w:proofErr w:type="spellEnd"/>
            <w:r w:rsidRPr="00084C32">
              <w:rPr>
                <w:rFonts w:ascii="Calibri" w:hAnsi="Calibri" w:cstheme="minorHAnsi"/>
                <w:sz w:val="22"/>
                <w:szCs w:val="22"/>
              </w:rPr>
              <w:t xml:space="preserve"> </w:t>
            </w:r>
            <w:proofErr w:type="spellStart"/>
            <w:r w:rsidRPr="00084C32">
              <w:rPr>
                <w:rFonts w:ascii="Calibri" w:hAnsi="Calibri" w:cstheme="minorHAnsi"/>
                <w:sz w:val="22"/>
                <w:szCs w:val="22"/>
              </w:rPr>
              <w:t>включват</w:t>
            </w:r>
            <w:proofErr w:type="spellEnd"/>
            <w:r w:rsidRPr="00084C32">
              <w:rPr>
                <w:rFonts w:ascii="Calibri" w:hAnsi="Calibri" w:cstheme="minorHAnsi"/>
                <w:sz w:val="22"/>
                <w:szCs w:val="22"/>
              </w:rPr>
              <w:t>:</w:t>
            </w:r>
          </w:p>
        </w:tc>
        <w:tc>
          <w:tcPr>
            <w:tcW w:w="736" w:type="pct"/>
            <w:tcBorders>
              <w:top w:val="nil"/>
              <w:left w:val="nil"/>
              <w:bottom w:val="nil"/>
              <w:right w:val="nil"/>
            </w:tcBorders>
            <w:shd w:val="clear" w:color="auto" w:fill="auto"/>
            <w:tcMar>
              <w:left w:w="57" w:type="dxa"/>
              <w:right w:w="57" w:type="dxa"/>
            </w:tcMar>
            <w:vAlign w:val="bottom"/>
            <w:hideMark/>
          </w:tcPr>
          <w:p w14:paraId="7909B74B" w14:textId="77777777" w:rsidR="0084445A" w:rsidRPr="00084C32" w:rsidRDefault="0084445A" w:rsidP="00084C32">
            <w:pPr>
              <w:pStyle w:val="a1"/>
              <w:jc w:val="right"/>
              <w:rPr>
                <w:rFonts w:ascii="Calibri" w:hAnsi="Calibri" w:cstheme="minorHAnsi"/>
                <w:color w:val="auto"/>
                <w:szCs w:val="20"/>
                <w:lang w:val="bg-BG"/>
              </w:rPr>
            </w:pPr>
            <w:r w:rsidRPr="00084C32">
              <w:rPr>
                <w:rFonts w:ascii="Calibri" w:hAnsi="Calibri" w:cstheme="minorHAnsi"/>
                <w:color w:val="auto"/>
                <w:szCs w:val="20"/>
                <w:lang w:val="bg-BG"/>
              </w:rPr>
              <w:t>31.12.2018</w:t>
            </w:r>
          </w:p>
        </w:tc>
        <w:tc>
          <w:tcPr>
            <w:tcW w:w="734" w:type="pct"/>
            <w:tcBorders>
              <w:top w:val="nil"/>
              <w:left w:val="nil"/>
              <w:bottom w:val="nil"/>
              <w:right w:val="nil"/>
            </w:tcBorders>
            <w:shd w:val="clear" w:color="auto" w:fill="auto"/>
            <w:tcMar>
              <w:left w:w="57" w:type="dxa"/>
              <w:right w:w="57" w:type="dxa"/>
            </w:tcMar>
            <w:vAlign w:val="bottom"/>
            <w:hideMark/>
          </w:tcPr>
          <w:p w14:paraId="04C9ABD4" w14:textId="77777777" w:rsidR="0084445A" w:rsidRPr="00084C32" w:rsidRDefault="0084445A" w:rsidP="00084C32">
            <w:pPr>
              <w:pStyle w:val="a1"/>
              <w:jc w:val="right"/>
              <w:rPr>
                <w:rFonts w:ascii="Calibri" w:hAnsi="Calibri" w:cstheme="minorHAnsi"/>
                <w:color w:val="auto"/>
                <w:szCs w:val="20"/>
                <w:lang w:val="bg-BG"/>
              </w:rPr>
            </w:pPr>
            <w:r w:rsidRPr="00084C32">
              <w:rPr>
                <w:rFonts w:ascii="Calibri" w:hAnsi="Calibri" w:cstheme="minorHAnsi"/>
                <w:color w:val="auto"/>
                <w:szCs w:val="20"/>
                <w:lang w:val="bg-BG"/>
              </w:rPr>
              <w:t>31.12.2017</w:t>
            </w:r>
          </w:p>
        </w:tc>
      </w:tr>
      <w:tr w:rsidR="0084445A" w:rsidRPr="00084C32" w14:paraId="635C64C9" w14:textId="77777777" w:rsidTr="00084C32">
        <w:trPr>
          <w:trHeight w:val="170"/>
          <w:jc w:val="center"/>
        </w:trPr>
        <w:tc>
          <w:tcPr>
            <w:tcW w:w="3530" w:type="pct"/>
            <w:tcBorders>
              <w:top w:val="nil"/>
              <w:left w:val="nil"/>
              <w:bottom w:val="nil"/>
              <w:right w:val="nil"/>
            </w:tcBorders>
            <w:shd w:val="clear" w:color="auto" w:fill="auto"/>
            <w:tcMar>
              <w:left w:w="57" w:type="dxa"/>
              <w:right w:w="57" w:type="dxa"/>
            </w:tcMar>
            <w:vAlign w:val="bottom"/>
            <w:hideMark/>
          </w:tcPr>
          <w:p w14:paraId="4CDBE365" w14:textId="77777777" w:rsidR="0084445A" w:rsidRPr="00084C32" w:rsidRDefault="0084445A" w:rsidP="00084C32">
            <w:pPr>
              <w:pStyle w:val="a"/>
              <w:rPr>
                <w:rFonts w:ascii="Calibri" w:hAnsi="Calibri" w:cstheme="minorHAnsi"/>
                <w:color w:val="auto"/>
                <w:szCs w:val="20"/>
                <w:lang w:val="bg-BG"/>
              </w:rPr>
            </w:pPr>
          </w:p>
        </w:tc>
        <w:tc>
          <w:tcPr>
            <w:tcW w:w="736" w:type="pct"/>
            <w:tcBorders>
              <w:top w:val="nil"/>
              <w:left w:val="nil"/>
              <w:bottom w:val="nil"/>
              <w:right w:val="nil"/>
            </w:tcBorders>
            <w:shd w:val="clear" w:color="auto" w:fill="auto"/>
            <w:noWrap/>
            <w:tcMar>
              <w:left w:w="57" w:type="dxa"/>
              <w:right w:w="57" w:type="dxa"/>
            </w:tcMar>
            <w:hideMark/>
          </w:tcPr>
          <w:p w14:paraId="2AAF8285" w14:textId="77777777" w:rsidR="0084445A" w:rsidRPr="00084C32" w:rsidRDefault="0084445A" w:rsidP="00084C32">
            <w:pPr>
              <w:pStyle w:val="a1"/>
              <w:jc w:val="right"/>
              <w:rPr>
                <w:rFonts w:ascii="Calibri" w:hAnsi="Calibri" w:cstheme="minorHAnsi"/>
                <w:color w:val="auto"/>
                <w:szCs w:val="20"/>
                <w:lang w:val="bg-BG"/>
              </w:rPr>
            </w:pPr>
            <w:r w:rsidRPr="00084C32">
              <w:rPr>
                <w:rFonts w:ascii="Calibri" w:hAnsi="Calibri" w:cstheme="minorHAnsi"/>
                <w:color w:val="auto"/>
                <w:szCs w:val="20"/>
                <w:lang w:val="bg-BG"/>
              </w:rPr>
              <w:t>BGN'000</w:t>
            </w:r>
          </w:p>
        </w:tc>
        <w:tc>
          <w:tcPr>
            <w:tcW w:w="734" w:type="pct"/>
            <w:tcBorders>
              <w:top w:val="nil"/>
              <w:left w:val="nil"/>
              <w:bottom w:val="nil"/>
              <w:right w:val="nil"/>
            </w:tcBorders>
            <w:shd w:val="clear" w:color="auto" w:fill="auto"/>
            <w:noWrap/>
            <w:tcMar>
              <w:left w:w="57" w:type="dxa"/>
              <w:right w:w="57" w:type="dxa"/>
            </w:tcMar>
            <w:hideMark/>
          </w:tcPr>
          <w:p w14:paraId="2A2EE037" w14:textId="77777777" w:rsidR="0084445A" w:rsidRPr="00084C32" w:rsidRDefault="0084445A" w:rsidP="00084C32">
            <w:pPr>
              <w:pStyle w:val="a1"/>
              <w:jc w:val="right"/>
              <w:rPr>
                <w:rFonts w:ascii="Calibri" w:hAnsi="Calibri" w:cstheme="minorHAnsi"/>
                <w:color w:val="auto"/>
                <w:szCs w:val="20"/>
                <w:lang w:val="bg-BG"/>
              </w:rPr>
            </w:pPr>
            <w:r w:rsidRPr="00084C32">
              <w:rPr>
                <w:rFonts w:ascii="Calibri" w:hAnsi="Calibri" w:cstheme="minorHAnsi"/>
                <w:color w:val="auto"/>
                <w:szCs w:val="20"/>
                <w:lang w:val="bg-BG"/>
              </w:rPr>
              <w:t>BGN'000</w:t>
            </w:r>
          </w:p>
        </w:tc>
      </w:tr>
      <w:tr w:rsidR="0084445A" w:rsidRPr="00084C32" w14:paraId="72B1EF6A" w14:textId="77777777" w:rsidTr="00084C32">
        <w:trPr>
          <w:trHeight w:val="170"/>
          <w:jc w:val="center"/>
        </w:trPr>
        <w:tc>
          <w:tcPr>
            <w:tcW w:w="3530" w:type="pct"/>
            <w:tcBorders>
              <w:top w:val="nil"/>
              <w:left w:val="nil"/>
              <w:bottom w:val="nil"/>
              <w:right w:val="nil"/>
            </w:tcBorders>
            <w:shd w:val="clear" w:color="auto" w:fill="auto"/>
            <w:tcMar>
              <w:left w:w="57" w:type="dxa"/>
              <w:right w:w="57" w:type="dxa"/>
            </w:tcMar>
            <w:vAlign w:val="bottom"/>
            <w:hideMark/>
          </w:tcPr>
          <w:p w14:paraId="6A9365CF" w14:textId="77777777" w:rsidR="0084445A" w:rsidRPr="00084C32" w:rsidRDefault="0084445A" w:rsidP="00084C32">
            <w:pPr>
              <w:pStyle w:val="a"/>
              <w:rPr>
                <w:rFonts w:ascii="Calibri" w:hAnsi="Calibri" w:cstheme="minorHAnsi"/>
                <w:color w:val="auto"/>
                <w:szCs w:val="20"/>
                <w:lang w:val="bg-BG"/>
              </w:rPr>
            </w:pPr>
            <w:r w:rsidRPr="00084C32">
              <w:rPr>
                <w:rFonts w:ascii="Calibri" w:hAnsi="Calibri" w:cstheme="minorHAnsi"/>
                <w:color w:val="auto"/>
                <w:szCs w:val="20"/>
                <w:lang w:val="bg-BG"/>
              </w:rPr>
              <w:t xml:space="preserve">Задължения по неизползвани </w:t>
            </w:r>
            <w:proofErr w:type="spellStart"/>
            <w:r w:rsidRPr="00084C32">
              <w:rPr>
                <w:rFonts w:ascii="Calibri" w:hAnsi="Calibri" w:cstheme="minorHAnsi"/>
                <w:color w:val="auto"/>
                <w:szCs w:val="20"/>
                <w:lang w:val="bg-BG"/>
              </w:rPr>
              <w:t>компенсируеми</w:t>
            </w:r>
            <w:proofErr w:type="spellEnd"/>
            <w:r w:rsidRPr="00084C32">
              <w:rPr>
                <w:rFonts w:ascii="Calibri" w:hAnsi="Calibri" w:cstheme="minorHAnsi"/>
                <w:color w:val="auto"/>
                <w:szCs w:val="20"/>
                <w:lang w:val="bg-BG"/>
              </w:rPr>
              <w:t xml:space="preserve"> отпуски</w:t>
            </w:r>
          </w:p>
        </w:tc>
        <w:tc>
          <w:tcPr>
            <w:tcW w:w="736" w:type="pct"/>
            <w:tcBorders>
              <w:top w:val="nil"/>
              <w:left w:val="nil"/>
              <w:bottom w:val="nil"/>
              <w:right w:val="nil"/>
            </w:tcBorders>
            <w:shd w:val="clear" w:color="auto" w:fill="auto"/>
            <w:tcMar>
              <w:left w:w="57" w:type="dxa"/>
              <w:right w:w="57" w:type="dxa"/>
            </w:tcMar>
            <w:vAlign w:val="bottom"/>
            <w:hideMark/>
          </w:tcPr>
          <w:p w14:paraId="33B59A87" w14:textId="77777777" w:rsidR="0084445A" w:rsidRPr="00084C32" w:rsidRDefault="0084445A" w:rsidP="00084C32">
            <w:pPr>
              <w:pStyle w:val="a0"/>
              <w:widowControl w:val="0"/>
              <w:ind w:firstLine="709"/>
              <w:rPr>
                <w:rFonts w:ascii="Calibri" w:hAnsi="Calibri" w:cstheme="minorHAnsi"/>
                <w:color w:val="auto"/>
                <w:szCs w:val="20"/>
                <w:lang w:val="bg-BG"/>
              </w:rPr>
            </w:pPr>
            <w:r w:rsidRPr="00084C32">
              <w:rPr>
                <w:rFonts w:ascii="Calibri" w:hAnsi="Calibri" w:cstheme="minorHAnsi"/>
                <w:color w:val="auto"/>
                <w:szCs w:val="20"/>
                <w:lang w:val="bg-BG"/>
              </w:rPr>
              <w:t>64</w:t>
            </w:r>
          </w:p>
        </w:tc>
        <w:tc>
          <w:tcPr>
            <w:tcW w:w="734" w:type="pct"/>
            <w:tcBorders>
              <w:top w:val="nil"/>
              <w:left w:val="nil"/>
              <w:bottom w:val="nil"/>
              <w:right w:val="nil"/>
            </w:tcBorders>
            <w:shd w:val="clear" w:color="auto" w:fill="auto"/>
            <w:tcMar>
              <w:left w:w="57" w:type="dxa"/>
              <w:right w:w="57" w:type="dxa"/>
            </w:tcMar>
            <w:vAlign w:val="bottom"/>
            <w:hideMark/>
          </w:tcPr>
          <w:p w14:paraId="58F60F33" w14:textId="77777777" w:rsidR="0084445A" w:rsidRPr="00084C32" w:rsidRDefault="0084445A" w:rsidP="00084C32">
            <w:pPr>
              <w:pStyle w:val="a0"/>
              <w:rPr>
                <w:rFonts w:ascii="Calibri" w:hAnsi="Calibri" w:cstheme="minorHAnsi"/>
                <w:color w:val="auto"/>
                <w:szCs w:val="20"/>
                <w:lang w:val="bg-BG"/>
              </w:rPr>
            </w:pPr>
            <w:r w:rsidRPr="00084C32">
              <w:rPr>
                <w:rFonts w:ascii="Calibri" w:hAnsi="Calibri" w:cstheme="minorHAnsi"/>
                <w:color w:val="auto"/>
                <w:szCs w:val="20"/>
                <w:lang w:val="bg-BG"/>
              </w:rPr>
              <w:t>72</w:t>
            </w:r>
          </w:p>
        </w:tc>
      </w:tr>
      <w:tr w:rsidR="0084445A" w:rsidRPr="00084C32" w14:paraId="5A214EFF" w14:textId="77777777" w:rsidTr="00084C32">
        <w:trPr>
          <w:trHeight w:val="170"/>
          <w:jc w:val="center"/>
        </w:trPr>
        <w:tc>
          <w:tcPr>
            <w:tcW w:w="3530" w:type="pct"/>
            <w:tcBorders>
              <w:top w:val="nil"/>
              <w:left w:val="nil"/>
              <w:bottom w:val="nil"/>
              <w:right w:val="nil"/>
            </w:tcBorders>
            <w:shd w:val="clear" w:color="auto" w:fill="auto"/>
            <w:tcMar>
              <w:left w:w="57" w:type="dxa"/>
              <w:right w:w="57" w:type="dxa"/>
            </w:tcMar>
            <w:vAlign w:val="bottom"/>
            <w:hideMark/>
          </w:tcPr>
          <w:p w14:paraId="2F3AB82F" w14:textId="77777777" w:rsidR="0084445A" w:rsidRPr="00084C32" w:rsidRDefault="0084445A" w:rsidP="00084C32">
            <w:pPr>
              <w:pStyle w:val="a"/>
              <w:rPr>
                <w:rFonts w:ascii="Calibri" w:hAnsi="Calibri" w:cstheme="minorHAnsi"/>
                <w:color w:val="auto"/>
                <w:szCs w:val="20"/>
                <w:lang w:val="bg-BG"/>
              </w:rPr>
            </w:pPr>
            <w:r w:rsidRPr="00084C32">
              <w:rPr>
                <w:rFonts w:ascii="Calibri" w:hAnsi="Calibri" w:cstheme="minorHAnsi"/>
                <w:color w:val="auto"/>
                <w:szCs w:val="20"/>
                <w:lang w:val="bg-BG"/>
              </w:rPr>
              <w:t xml:space="preserve">Задължения към социално и здравно осигуряване за </w:t>
            </w:r>
            <w:proofErr w:type="spellStart"/>
            <w:r w:rsidRPr="00084C32">
              <w:rPr>
                <w:rFonts w:ascii="Calibri" w:hAnsi="Calibri" w:cstheme="minorHAnsi"/>
                <w:color w:val="auto"/>
                <w:szCs w:val="20"/>
                <w:lang w:val="bg-BG"/>
              </w:rPr>
              <w:t>компенсируеми</w:t>
            </w:r>
            <w:proofErr w:type="spellEnd"/>
            <w:r w:rsidRPr="00084C32">
              <w:rPr>
                <w:rFonts w:ascii="Calibri" w:hAnsi="Calibri" w:cstheme="minorHAnsi"/>
                <w:color w:val="auto"/>
                <w:szCs w:val="20"/>
                <w:lang w:val="bg-BG"/>
              </w:rPr>
              <w:t xml:space="preserve"> отпуски</w:t>
            </w:r>
          </w:p>
        </w:tc>
        <w:tc>
          <w:tcPr>
            <w:tcW w:w="736" w:type="pct"/>
            <w:tcBorders>
              <w:top w:val="nil"/>
              <w:left w:val="nil"/>
              <w:bottom w:val="nil"/>
              <w:right w:val="nil"/>
            </w:tcBorders>
            <w:shd w:val="clear" w:color="auto" w:fill="auto"/>
            <w:tcMar>
              <w:left w:w="57" w:type="dxa"/>
              <w:right w:w="57" w:type="dxa"/>
            </w:tcMar>
            <w:vAlign w:val="bottom"/>
            <w:hideMark/>
          </w:tcPr>
          <w:p w14:paraId="7AB8B485" w14:textId="77777777" w:rsidR="0084445A" w:rsidRPr="00084C32" w:rsidRDefault="0084445A" w:rsidP="00084C32">
            <w:pPr>
              <w:pStyle w:val="a0"/>
              <w:widowControl w:val="0"/>
              <w:ind w:firstLine="709"/>
              <w:rPr>
                <w:rFonts w:ascii="Calibri" w:hAnsi="Calibri" w:cstheme="minorHAnsi"/>
                <w:color w:val="auto"/>
                <w:szCs w:val="20"/>
                <w:lang w:val="bg-BG"/>
              </w:rPr>
            </w:pPr>
            <w:r w:rsidRPr="00084C32">
              <w:rPr>
                <w:rFonts w:ascii="Calibri" w:hAnsi="Calibri" w:cstheme="minorHAnsi"/>
                <w:color w:val="auto"/>
                <w:szCs w:val="20"/>
                <w:lang w:val="bg-BG"/>
              </w:rPr>
              <w:t>8</w:t>
            </w:r>
          </w:p>
        </w:tc>
        <w:tc>
          <w:tcPr>
            <w:tcW w:w="734" w:type="pct"/>
            <w:tcBorders>
              <w:top w:val="nil"/>
              <w:left w:val="nil"/>
              <w:bottom w:val="nil"/>
              <w:right w:val="nil"/>
            </w:tcBorders>
            <w:shd w:val="clear" w:color="auto" w:fill="auto"/>
            <w:tcMar>
              <w:left w:w="57" w:type="dxa"/>
              <w:right w:w="57" w:type="dxa"/>
            </w:tcMar>
            <w:vAlign w:val="bottom"/>
            <w:hideMark/>
          </w:tcPr>
          <w:p w14:paraId="1AF23D2B" w14:textId="77777777" w:rsidR="0084445A" w:rsidRPr="00084C32" w:rsidRDefault="0084445A" w:rsidP="00084C32">
            <w:pPr>
              <w:pStyle w:val="a0"/>
              <w:rPr>
                <w:rFonts w:ascii="Calibri" w:hAnsi="Calibri" w:cstheme="minorHAnsi"/>
                <w:color w:val="auto"/>
                <w:szCs w:val="20"/>
                <w:lang w:val="bg-BG"/>
              </w:rPr>
            </w:pPr>
            <w:r w:rsidRPr="00084C32">
              <w:rPr>
                <w:rFonts w:ascii="Calibri" w:hAnsi="Calibri" w:cstheme="minorHAnsi"/>
                <w:color w:val="auto"/>
                <w:szCs w:val="20"/>
                <w:lang w:val="bg-BG"/>
              </w:rPr>
              <w:t>9</w:t>
            </w:r>
          </w:p>
        </w:tc>
      </w:tr>
      <w:tr w:rsidR="0084445A" w:rsidRPr="00084C32" w14:paraId="131B388A" w14:textId="77777777" w:rsidTr="00084C32">
        <w:trPr>
          <w:trHeight w:val="170"/>
          <w:jc w:val="center"/>
        </w:trPr>
        <w:tc>
          <w:tcPr>
            <w:tcW w:w="3530" w:type="pct"/>
            <w:tcBorders>
              <w:top w:val="nil"/>
              <w:left w:val="nil"/>
              <w:bottom w:val="nil"/>
              <w:right w:val="nil"/>
            </w:tcBorders>
            <w:shd w:val="clear" w:color="auto" w:fill="auto"/>
            <w:tcMar>
              <w:left w:w="57" w:type="dxa"/>
              <w:right w:w="57" w:type="dxa"/>
            </w:tcMar>
            <w:vAlign w:val="bottom"/>
            <w:hideMark/>
          </w:tcPr>
          <w:p w14:paraId="4AE06534" w14:textId="77777777" w:rsidR="0084445A" w:rsidRPr="00084C32" w:rsidRDefault="0084445A" w:rsidP="00084C32">
            <w:pPr>
              <w:pStyle w:val="a"/>
              <w:rPr>
                <w:rFonts w:ascii="Calibri" w:hAnsi="Calibri" w:cstheme="minorHAnsi"/>
                <w:color w:val="auto"/>
                <w:szCs w:val="20"/>
                <w:lang w:val="bg-BG"/>
              </w:rPr>
            </w:pPr>
            <w:r w:rsidRPr="00084C32">
              <w:rPr>
                <w:rFonts w:ascii="Calibri" w:hAnsi="Calibri" w:cstheme="minorHAnsi"/>
                <w:color w:val="auto"/>
                <w:szCs w:val="20"/>
                <w:lang w:val="bg-BG"/>
              </w:rPr>
              <w:t>Задължения към социално и здравно осигуряване, свързани с текущи задължения</w:t>
            </w:r>
          </w:p>
        </w:tc>
        <w:tc>
          <w:tcPr>
            <w:tcW w:w="736" w:type="pct"/>
            <w:tcBorders>
              <w:top w:val="nil"/>
              <w:left w:val="nil"/>
              <w:bottom w:val="nil"/>
              <w:right w:val="nil"/>
            </w:tcBorders>
            <w:shd w:val="clear" w:color="auto" w:fill="auto"/>
            <w:tcMar>
              <w:left w:w="57" w:type="dxa"/>
              <w:right w:w="57" w:type="dxa"/>
            </w:tcMar>
            <w:vAlign w:val="center"/>
            <w:hideMark/>
          </w:tcPr>
          <w:p w14:paraId="1D974A31" w14:textId="77777777" w:rsidR="0084445A" w:rsidRPr="00084C32" w:rsidRDefault="0084445A" w:rsidP="00084C32">
            <w:pPr>
              <w:pStyle w:val="a0"/>
              <w:widowControl w:val="0"/>
              <w:ind w:firstLine="709"/>
              <w:rPr>
                <w:rFonts w:ascii="Calibri" w:hAnsi="Calibri" w:cstheme="minorHAnsi"/>
                <w:color w:val="auto"/>
                <w:szCs w:val="20"/>
                <w:lang w:val="bg-BG"/>
              </w:rPr>
            </w:pPr>
            <w:r w:rsidRPr="00084C32">
              <w:rPr>
                <w:rFonts w:ascii="Calibri" w:hAnsi="Calibri" w:cstheme="minorHAnsi"/>
                <w:color w:val="auto"/>
                <w:szCs w:val="20"/>
                <w:lang w:val="bg-BG"/>
              </w:rPr>
              <w:t>19</w:t>
            </w:r>
          </w:p>
        </w:tc>
        <w:tc>
          <w:tcPr>
            <w:tcW w:w="734" w:type="pct"/>
            <w:tcBorders>
              <w:top w:val="nil"/>
              <w:left w:val="nil"/>
              <w:bottom w:val="nil"/>
              <w:right w:val="nil"/>
            </w:tcBorders>
            <w:shd w:val="clear" w:color="auto" w:fill="auto"/>
            <w:tcMar>
              <w:left w:w="57" w:type="dxa"/>
              <w:right w:w="57" w:type="dxa"/>
            </w:tcMar>
            <w:vAlign w:val="center"/>
            <w:hideMark/>
          </w:tcPr>
          <w:p w14:paraId="50060C85" w14:textId="77777777" w:rsidR="0084445A" w:rsidRPr="00084C32" w:rsidRDefault="0084445A" w:rsidP="00084C32">
            <w:pPr>
              <w:pStyle w:val="a0"/>
              <w:rPr>
                <w:rFonts w:ascii="Calibri" w:hAnsi="Calibri" w:cstheme="minorHAnsi"/>
                <w:color w:val="auto"/>
                <w:szCs w:val="20"/>
                <w:lang w:val="bg-BG"/>
              </w:rPr>
            </w:pPr>
            <w:r w:rsidRPr="00084C32">
              <w:rPr>
                <w:rFonts w:ascii="Calibri" w:hAnsi="Calibri" w:cstheme="minorHAnsi"/>
                <w:color w:val="auto"/>
                <w:szCs w:val="20"/>
                <w:lang w:val="bg-BG"/>
              </w:rPr>
              <w:t>17</w:t>
            </w:r>
          </w:p>
        </w:tc>
      </w:tr>
      <w:tr w:rsidR="0084445A" w:rsidRPr="00084C32" w14:paraId="08EDBFB9" w14:textId="77777777" w:rsidTr="00084C32">
        <w:trPr>
          <w:trHeight w:val="170"/>
          <w:jc w:val="center"/>
        </w:trPr>
        <w:tc>
          <w:tcPr>
            <w:tcW w:w="3530" w:type="pct"/>
            <w:tcBorders>
              <w:top w:val="nil"/>
              <w:left w:val="nil"/>
              <w:bottom w:val="nil"/>
              <w:right w:val="nil"/>
            </w:tcBorders>
            <w:shd w:val="clear" w:color="auto" w:fill="auto"/>
            <w:tcMar>
              <w:left w:w="57" w:type="dxa"/>
              <w:right w:w="57" w:type="dxa"/>
            </w:tcMar>
            <w:vAlign w:val="bottom"/>
            <w:hideMark/>
          </w:tcPr>
          <w:p w14:paraId="1654C108" w14:textId="77777777" w:rsidR="0084445A" w:rsidRPr="00084C32" w:rsidRDefault="0084445A" w:rsidP="00084C32">
            <w:pPr>
              <w:pStyle w:val="a"/>
              <w:rPr>
                <w:rFonts w:ascii="Calibri" w:hAnsi="Calibri" w:cstheme="minorHAnsi"/>
                <w:b/>
                <w:color w:val="auto"/>
                <w:szCs w:val="20"/>
                <w:lang w:val="bg-BG"/>
              </w:rPr>
            </w:pPr>
            <w:r w:rsidRPr="00084C32">
              <w:rPr>
                <w:rFonts w:ascii="Calibri" w:hAnsi="Calibri" w:cstheme="minorHAnsi"/>
                <w:b/>
                <w:color w:val="auto"/>
                <w:szCs w:val="20"/>
                <w:lang w:val="bg-BG"/>
              </w:rPr>
              <w:t>Общо</w:t>
            </w:r>
          </w:p>
        </w:tc>
        <w:tc>
          <w:tcPr>
            <w:tcW w:w="736" w:type="pct"/>
            <w:tcBorders>
              <w:top w:val="single" w:sz="4" w:space="0" w:color="auto"/>
              <w:left w:val="nil"/>
              <w:bottom w:val="double" w:sz="6" w:space="0" w:color="auto"/>
              <w:right w:val="nil"/>
            </w:tcBorders>
            <w:shd w:val="clear" w:color="auto" w:fill="auto"/>
            <w:tcMar>
              <w:left w:w="57" w:type="dxa"/>
              <w:right w:w="57" w:type="dxa"/>
            </w:tcMar>
            <w:vAlign w:val="bottom"/>
            <w:hideMark/>
          </w:tcPr>
          <w:p w14:paraId="4C7DFA8A" w14:textId="77777777" w:rsidR="0084445A" w:rsidRPr="00084C32" w:rsidRDefault="0084445A" w:rsidP="00084C32">
            <w:pPr>
              <w:pStyle w:val="a0"/>
              <w:widowControl w:val="0"/>
              <w:ind w:firstLine="709"/>
              <w:rPr>
                <w:rFonts w:ascii="Calibri" w:hAnsi="Calibri" w:cstheme="minorHAnsi"/>
                <w:b/>
                <w:color w:val="auto"/>
                <w:szCs w:val="20"/>
                <w:lang w:val="bg-BG"/>
              </w:rPr>
            </w:pPr>
            <w:r w:rsidRPr="00084C32">
              <w:rPr>
                <w:rFonts w:ascii="Calibri" w:hAnsi="Calibri" w:cstheme="minorHAnsi"/>
                <w:b/>
                <w:color w:val="auto"/>
                <w:szCs w:val="20"/>
                <w:lang w:val="bg-BG"/>
              </w:rPr>
              <w:t>91</w:t>
            </w:r>
          </w:p>
        </w:tc>
        <w:tc>
          <w:tcPr>
            <w:tcW w:w="734" w:type="pct"/>
            <w:tcBorders>
              <w:top w:val="single" w:sz="4" w:space="0" w:color="auto"/>
              <w:left w:val="nil"/>
              <w:bottom w:val="double" w:sz="6" w:space="0" w:color="auto"/>
              <w:right w:val="nil"/>
            </w:tcBorders>
            <w:shd w:val="clear" w:color="auto" w:fill="auto"/>
            <w:tcMar>
              <w:left w:w="57" w:type="dxa"/>
              <w:right w:w="57" w:type="dxa"/>
            </w:tcMar>
            <w:vAlign w:val="bottom"/>
            <w:hideMark/>
          </w:tcPr>
          <w:p w14:paraId="18016789" w14:textId="77777777" w:rsidR="0084445A" w:rsidRPr="00084C32" w:rsidRDefault="0084445A" w:rsidP="00084C32">
            <w:pPr>
              <w:pStyle w:val="a0"/>
              <w:rPr>
                <w:rFonts w:ascii="Calibri" w:hAnsi="Calibri" w:cstheme="minorHAnsi"/>
                <w:b/>
                <w:color w:val="auto"/>
                <w:szCs w:val="20"/>
                <w:lang w:val="bg-BG"/>
              </w:rPr>
            </w:pPr>
            <w:r w:rsidRPr="00084C32">
              <w:rPr>
                <w:rFonts w:ascii="Calibri" w:hAnsi="Calibri" w:cstheme="minorHAnsi"/>
                <w:b/>
                <w:color w:val="auto"/>
                <w:szCs w:val="20"/>
                <w:lang w:val="bg-BG"/>
              </w:rPr>
              <w:t>98</w:t>
            </w:r>
          </w:p>
        </w:tc>
      </w:tr>
    </w:tbl>
    <w:p w14:paraId="23E0E497" w14:textId="6C0DADC5" w:rsidR="0084445A" w:rsidRPr="00741D80" w:rsidRDefault="0084445A" w:rsidP="00833465">
      <w:pPr>
        <w:pStyle w:val="Mainnumbers"/>
      </w:pPr>
      <w:bookmarkStart w:id="91" w:name="_Toc265851170"/>
      <w:bookmarkStart w:id="92" w:name="_Toc418084397"/>
      <w:bookmarkStart w:id="93" w:name="_Toc536452034"/>
      <w:r w:rsidRPr="00741D80">
        <w:t>СЕГМЕНТНО ОТЧИТАНЕ</w:t>
      </w:r>
      <w:bookmarkEnd w:id="91"/>
      <w:bookmarkEnd w:id="92"/>
      <w:bookmarkEnd w:id="93"/>
      <w:r w:rsidRPr="00741D80">
        <w:t xml:space="preserve"> </w:t>
      </w:r>
    </w:p>
    <w:p w14:paraId="05AE3A2B" w14:textId="77777777" w:rsidR="0084445A" w:rsidRPr="00741D80" w:rsidRDefault="0084445A" w:rsidP="00084C32">
      <w:pPr>
        <w:spacing w:after="0"/>
        <w:jc w:val="both"/>
        <w:rPr>
          <w:rFonts w:cstheme="minorHAnsi"/>
        </w:rPr>
      </w:pPr>
      <w:r w:rsidRPr="00741D80">
        <w:rPr>
          <w:rFonts w:cstheme="minorHAnsi"/>
        </w:rPr>
        <w:t>Сегментното отчитане в дружеството е организирано на база основните бизнес дейности, извършвани от Борсата: а) търговия с финансови инструменти; б) информационно обслужване и в) регистрация и поддържане на емисии ценни книжа за търговия.</w:t>
      </w:r>
    </w:p>
    <w:p w14:paraId="07FA37C6" w14:textId="77777777" w:rsidR="0084445A" w:rsidRPr="00741D80" w:rsidRDefault="0084445A" w:rsidP="00084C32">
      <w:pPr>
        <w:spacing w:after="0"/>
        <w:jc w:val="both"/>
        <w:rPr>
          <w:rFonts w:cstheme="minorHAnsi"/>
        </w:rPr>
      </w:pPr>
      <w:r w:rsidRPr="00741D80">
        <w:rPr>
          <w:rFonts w:cstheme="minorHAnsi"/>
        </w:rPr>
        <w:t>Статиите на приходите, разходите и резултата на бизнес сегментите, определени в дружеството включват:</w:t>
      </w:r>
    </w:p>
    <w:tbl>
      <w:tblPr>
        <w:tblW w:w="10984" w:type="dxa"/>
        <w:jc w:val="center"/>
        <w:tblLayout w:type="fixed"/>
        <w:tblCellMar>
          <w:left w:w="70" w:type="dxa"/>
          <w:right w:w="70" w:type="dxa"/>
        </w:tblCellMar>
        <w:tblLook w:val="04A0" w:firstRow="1" w:lastRow="0" w:firstColumn="1" w:lastColumn="0" w:noHBand="0" w:noVBand="1"/>
      </w:tblPr>
      <w:tblGrid>
        <w:gridCol w:w="3686"/>
        <w:gridCol w:w="846"/>
        <w:gridCol w:w="825"/>
        <w:gridCol w:w="882"/>
        <w:gridCol w:w="850"/>
        <w:gridCol w:w="1133"/>
        <w:gridCol w:w="1134"/>
        <w:gridCol w:w="851"/>
        <w:gridCol w:w="777"/>
      </w:tblGrid>
      <w:tr w:rsidR="0084445A" w:rsidRPr="0010694E" w14:paraId="1FBE7B14"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253A6A98" w14:textId="77777777" w:rsidR="0084445A" w:rsidRPr="0010694E" w:rsidRDefault="0084445A" w:rsidP="00274E31">
            <w:pPr>
              <w:pStyle w:val="a1"/>
              <w:jc w:val="left"/>
              <w:rPr>
                <w:rFonts w:ascii="Calibri" w:hAnsi="Calibri" w:cstheme="minorHAnsi"/>
                <w:color w:val="auto"/>
                <w:szCs w:val="20"/>
                <w:lang w:val="bg-BG"/>
              </w:rPr>
            </w:pPr>
            <w:bookmarkStart w:id="94" w:name="_Hlk536223919"/>
          </w:p>
        </w:tc>
        <w:tc>
          <w:tcPr>
            <w:tcW w:w="1671" w:type="dxa"/>
            <w:gridSpan w:val="2"/>
            <w:tcBorders>
              <w:top w:val="nil"/>
              <w:left w:val="nil"/>
              <w:bottom w:val="nil"/>
              <w:right w:val="nil"/>
            </w:tcBorders>
            <w:shd w:val="clear" w:color="auto" w:fill="auto"/>
            <w:noWrap/>
            <w:tcMar>
              <w:left w:w="28" w:type="dxa"/>
              <w:right w:w="57" w:type="dxa"/>
            </w:tcMar>
            <w:hideMark/>
          </w:tcPr>
          <w:p w14:paraId="4D17FD85" w14:textId="77777777" w:rsidR="0084445A" w:rsidRPr="0010694E" w:rsidRDefault="0084445A" w:rsidP="00274E31">
            <w:pPr>
              <w:pStyle w:val="a1"/>
              <w:rPr>
                <w:rFonts w:ascii="Calibri" w:hAnsi="Calibri" w:cstheme="minorHAnsi"/>
                <w:color w:val="auto"/>
                <w:szCs w:val="20"/>
                <w:lang w:val="bg-BG"/>
              </w:rPr>
            </w:pPr>
            <w:r w:rsidRPr="0010694E">
              <w:rPr>
                <w:rFonts w:ascii="Calibri" w:hAnsi="Calibri" w:cstheme="minorHAnsi"/>
                <w:color w:val="auto"/>
                <w:szCs w:val="20"/>
                <w:lang w:val="bg-BG" w:eastAsia="en-US"/>
              </w:rPr>
              <w:t>Търговия с финансови инструменти</w:t>
            </w:r>
          </w:p>
        </w:tc>
        <w:tc>
          <w:tcPr>
            <w:tcW w:w="1732" w:type="dxa"/>
            <w:gridSpan w:val="2"/>
            <w:tcBorders>
              <w:top w:val="nil"/>
              <w:left w:val="nil"/>
              <w:bottom w:val="nil"/>
              <w:right w:val="nil"/>
            </w:tcBorders>
            <w:shd w:val="clear" w:color="auto" w:fill="auto"/>
            <w:noWrap/>
            <w:tcMar>
              <w:left w:w="28" w:type="dxa"/>
              <w:right w:w="57" w:type="dxa"/>
            </w:tcMar>
            <w:hideMark/>
          </w:tcPr>
          <w:p w14:paraId="2C65A8EA" w14:textId="77777777" w:rsidR="0084445A" w:rsidRPr="0010694E" w:rsidRDefault="0084445A" w:rsidP="00274E31">
            <w:pPr>
              <w:pStyle w:val="a1"/>
              <w:rPr>
                <w:rFonts w:ascii="Calibri" w:hAnsi="Calibri" w:cstheme="minorHAnsi"/>
                <w:color w:val="auto"/>
                <w:szCs w:val="20"/>
                <w:lang w:val="bg-BG"/>
              </w:rPr>
            </w:pPr>
            <w:r w:rsidRPr="0010694E">
              <w:rPr>
                <w:rFonts w:ascii="Calibri" w:hAnsi="Calibri" w:cstheme="minorHAnsi"/>
                <w:color w:val="auto"/>
                <w:szCs w:val="20"/>
                <w:lang w:val="bg-BG"/>
              </w:rPr>
              <w:t>Информационно обслужване</w:t>
            </w:r>
          </w:p>
        </w:tc>
        <w:tc>
          <w:tcPr>
            <w:tcW w:w="2267" w:type="dxa"/>
            <w:gridSpan w:val="2"/>
            <w:tcBorders>
              <w:top w:val="nil"/>
              <w:left w:val="nil"/>
              <w:bottom w:val="nil"/>
              <w:right w:val="nil"/>
            </w:tcBorders>
            <w:shd w:val="clear" w:color="auto" w:fill="auto"/>
            <w:noWrap/>
            <w:tcMar>
              <w:left w:w="28" w:type="dxa"/>
              <w:right w:w="57" w:type="dxa"/>
            </w:tcMar>
            <w:hideMark/>
          </w:tcPr>
          <w:p w14:paraId="530DEB6E" w14:textId="77777777" w:rsidR="0084445A" w:rsidRPr="0010694E" w:rsidRDefault="0084445A" w:rsidP="00274E31">
            <w:pPr>
              <w:pStyle w:val="a1"/>
              <w:rPr>
                <w:rFonts w:ascii="Calibri" w:hAnsi="Calibri" w:cstheme="minorHAnsi"/>
                <w:color w:val="auto"/>
                <w:szCs w:val="20"/>
                <w:lang w:val="bg-BG"/>
              </w:rPr>
            </w:pPr>
            <w:r w:rsidRPr="0010694E">
              <w:rPr>
                <w:rFonts w:ascii="Calibri" w:hAnsi="Calibri" w:cstheme="minorHAnsi"/>
                <w:color w:val="auto"/>
                <w:szCs w:val="20"/>
                <w:lang w:val="bg-BG"/>
              </w:rPr>
              <w:t>Регистрация и поддържане на емисии финансови инструменти за търговия</w:t>
            </w:r>
          </w:p>
        </w:tc>
        <w:tc>
          <w:tcPr>
            <w:tcW w:w="1628" w:type="dxa"/>
            <w:gridSpan w:val="2"/>
            <w:tcBorders>
              <w:top w:val="nil"/>
              <w:left w:val="nil"/>
              <w:bottom w:val="nil"/>
              <w:right w:val="nil"/>
            </w:tcBorders>
            <w:shd w:val="clear" w:color="auto" w:fill="auto"/>
            <w:noWrap/>
            <w:tcMar>
              <w:left w:w="28" w:type="dxa"/>
              <w:right w:w="57" w:type="dxa"/>
            </w:tcMar>
            <w:hideMark/>
          </w:tcPr>
          <w:p w14:paraId="580DAD4E" w14:textId="77777777" w:rsidR="0084445A" w:rsidRPr="0010694E" w:rsidRDefault="0084445A" w:rsidP="00274E31">
            <w:pPr>
              <w:pStyle w:val="a1"/>
              <w:rPr>
                <w:rFonts w:ascii="Calibri" w:hAnsi="Calibri" w:cstheme="minorHAnsi"/>
                <w:color w:val="auto"/>
                <w:szCs w:val="20"/>
                <w:lang w:val="bg-BG"/>
              </w:rPr>
            </w:pPr>
            <w:r w:rsidRPr="0010694E">
              <w:rPr>
                <w:rFonts w:ascii="Calibri" w:hAnsi="Calibri" w:cstheme="minorHAnsi"/>
                <w:color w:val="auto"/>
                <w:szCs w:val="20"/>
                <w:lang w:val="bg-BG"/>
              </w:rPr>
              <w:t>Общо</w:t>
            </w:r>
          </w:p>
        </w:tc>
      </w:tr>
      <w:tr w:rsidR="0084445A" w:rsidRPr="0010694E" w14:paraId="00919842"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69847DC3" w14:textId="76273EAC" w:rsidR="0084445A" w:rsidRPr="0010694E" w:rsidRDefault="0084445A" w:rsidP="00274E31">
            <w:pPr>
              <w:pStyle w:val="a1"/>
              <w:rPr>
                <w:rFonts w:ascii="Calibri" w:hAnsi="Calibri" w:cstheme="minorHAnsi"/>
                <w:color w:val="auto"/>
                <w:szCs w:val="20"/>
              </w:rPr>
            </w:pPr>
          </w:p>
        </w:tc>
        <w:tc>
          <w:tcPr>
            <w:tcW w:w="846" w:type="dxa"/>
            <w:tcBorders>
              <w:top w:val="nil"/>
              <w:left w:val="nil"/>
              <w:bottom w:val="nil"/>
              <w:right w:val="nil"/>
            </w:tcBorders>
            <w:shd w:val="clear" w:color="auto" w:fill="auto"/>
            <w:noWrap/>
            <w:tcMar>
              <w:left w:w="28" w:type="dxa"/>
              <w:right w:w="57" w:type="dxa"/>
            </w:tcMar>
            <w:vAlign w:val="center"/>
            <w:hideMark/>
          </w:tcPr>
          <w:p w14:paraId="1AD99754" w14:textId="3E10EE6B" w:rsidR="0084445A" w:rsidRPr="0010694E" w:rsidRDefault="00741D80" w:rsidP="00274E31">
            <w:pPr>
              <w:spacing w:after="0" w:line="240" w:lineRule="auto"/>
              <w:jc w:val="center"/>
              <w:rPr>
                <w:rFonts w:ascii="Calibri" w:hAnsi="Calibri" w:cstheme="minorHAnsi"/>
                <w:b/>
                <w:sz w:val="20"/>
                <w:szCs w:val="20"/>
                <w:lang w:val="en-US"/>
              </w:rPr>
            </w:pPr>
            <w:r w:rsidRPr="0010694E">
              <w:rPr>
                <w:rFonts w:ascii="Calibri" w:hAnsi="Calibri" w:cstheme="minorHAnsi"/>
                <w:b/>
                <w:sz w:val="20"/>
                <w:szCs w:val="20"/>
                <w:lang w:val="en-US"/>
              </w:rPr>
              <w:t>2018</w:t>
            </w:r>
          </w:p>
        </w:tc>
        <w:tc>
          <w:tcPr>
            <w:tcW w:w="825" w:type="dxa"/>
            <w:tcBorders>
              <w:top w:val="nil"/>
              <w:left w:val="nil"/>
              <w:bottom w:val="nil"/>
              <w:right w:val="nil"/>
            </w:tcBorders>
            <w:shd w:val="clear" w:color="auto" w:fill="auto"/>
            <w:noWrap/>
            <w:tcMar>
              <w:left w:w="28" w:type="dxa"/>
              <w:right w:w="57" w:type="dxa"/>
            </w:tcMar>
            <w:vAlign w:val="center"/>
            <w:hideMark/>
          </w:tcPr>
          <w:p w14:paraId="288F442A" w14:textId="189B04B7" w:rsidR="0084445A" w:rsidRPr="0010694E" w:rsidRDefault="00741D80" w:rsidP="00274E31">
            <w:pPr>
              <w:spacing w:after="0" w:line="240" w:lineRule="auto"/>
              <w:jc w:val="center"/>
              <w:rPr>
                <w:rFonts w:ascii="Calibri" w:hAnsi="Calibri" w:cstheme="minorHAnsi"/>
                <w:b/>
                <w:sz w:val="20"/>
                <w:szCs w:val="20"/>
                <w:lang w:val="en-US"/>
              </w:rPr>
            </w:pPr>
            <w:r w:rsidRPr="0010694E">
              <w:rPr>
                <w:rFonts w:ascii="Calibri" w:hAnsi="Calibri" w:cstheme="minorHAnsi"/>
                <w:b/>
                <w:sz w:val="20"/>
                <w:szCs w:val="20"/>
                <w:lang w:val="en-US"/>
              </w:rPr>
              <w:t>2017</w:t>
            </w:r>
          </w:p>
        </w:tc>
        <w:tc>
          <w:tcPr>
            <w:tcW w:w="882" w:type="dxa"/>
            <w:tcBorders>
              <w:top w:val="nil"/>
              <w:left w:val="nil"/>
              <w:bottom w:val="nil"/>
              <w:right w:val="nil"/>
            </w:tcBorders>
            <w:shd w:val="clear" w:color="auto" w:fill="auto"/>
            <w:noWrap/>
            <w:tcMar>
              <w:left w:w="28" w:type="dxa"/>
              <w:right w:w="57" w:type="dxa"/>
            </w:tcMar>
            <w:vAlign w:val="center"/>
            <w:hideMark/>
          </w:tcPr>
          <w:p w14:paraId="1B36C026" w14:textId="1BE07965" w:rsidR="0084445A" w:rsidRPr="0010694E" w:rsidRDefault="00741D80" w:rsidP="00274E31">
            <w:pPr>
              <w:spacing w:after="0" w:line="240" w:lineRule="auto"/>
              <w:jc w:val="center"/>
              <w:rPr>
                <w:rFonts w:ascii="Calibri" w:hAnsi="Calibri" w:cstheme="minorHAnsi"/>
                <w:b/>
                <w:sz w:val="20"/>
                <w:szCs w:val="20"/>
              </w:rPr>
            </w:pPr>
            <w:r w:rsidRPr="0010694E">
              <w:rPr>
                <w:rFonts w:ascii="Calibri" w:hAnsi="Calibri" w:cstheme="minorHAnsi"/>
                <w:b/>
                <w:sz w:val="20"/>
                <w:szCs w:val="20"/>
                <w:lang w:val="en-US"/>
              </w:rPr>
              <w:t>2018</w:t>
            </w:r>
          </w:p>
        </w:tc>
        <w:tc>
          <w:tcPr>
            <w:tcW w:w="850" w:type="dxa"/>
            <w:tcBorders>
              <w:top w:val="nil"/>
              <w:left w:val="nil"/>
              <w:bottom w:val="nil"/>
              <w:right w:val="nil"/>
            </w:tcBorders>
            <w:shd w:val="clear" w:color="auto" w:fill="auto"/>
            <w:noWrap/>
            <w:tcMar>
              <w:left w:w="28" w:type="dxa"/>
              <w:right w:w="57" w:type="dxa"/>
            </w:tcMar>
            <w:vAlign w:val="center"/>
            <w:hideMark/>
          </w:tcPr>
          <w:p w14:paraId="1E7630D2" w14:textId="7D89E5F7" w:rsidR="0084445A" w:rsidRPr="0010694E" w:rsidRDefault="00741D80" w:rsidP="00274E31">
            <w:pPr>
              <w:spacing w:after="0" w:line="240" w:lineRule="auto"/>
              <w:jc w:val="center"/>
              <w:rPr>
                <w:rFonts w:ascii="Calibri" w:hAnsi="Calibri" w:cstheme="minorHAnsi"/>
                <w:b/>
                <w:sz w:val="20"/>
                <w:szCs w:val="20"/>
              </w:rPr>
            </w:pPr>
            <w:r w:rsidRPr="0010694E">
              <w:rPr>
                <w:rFonts w:ascii="Calibri" w:hAnsi="Calibri" w:cstheme="minorHAnsi"/>
                <w:b/>
                <w:sz w:val="20"/>
                <w:szCs w:val="20"/>
                <w:lang w:val="en-US"/>
              </w:rPr>
              <w:t>2017</w:t>
            </w:r>
          </w:p>
        </w:tc>
        <w:tc>
          <w:tcPr>
            <w:tcW w:w="1133" w:type="dxa"/>
            <w:tcBorders>
              <w:top w:val="nil"/>
              <w:left w:val="nil"/>
              <w:bottom w:val="nil"/>
              <w:right w:val="nil"/>
            </w:tcBorders>
            <w:shd w:val="clear" w:color="auto" w:fill="auto"/>
            <w:noWrap/>
            <w:tcMar>
              <w:left w:w="28" w:type="dxa"/>
              <w:right w:w="57" w:type="dxa"/>
            </w:tcMar>
            <w:vAlign w:val="center"/>
            <w:hideMark/>
          </w:tcPr>
          <w:p w14:paraId="373BB8EA" w14:textId="78F568E3" w:rsidR="0084445A" w:rsidRPr="0010694E" w:rsidRDefault="00741D80" w:rsidP="00274E31">
            <w:pPr>
              <w:spacing w:after="0" w:line="240" w:lineRule="auto"/>
              <w:jc w:val="center"/>
              <w:rPr>
                <w:rFonts w:ascii="Calibri" w:hAnsi="Calibri" w:cstheme="minorHAnsi"/>
                <w:b/>
                <w:sz w:val="20"/>
                <w:szCs w:val="20"/>
              </w:rPr>
            </w:pPr>
            <w:r w:rsidRPr="0010694E">
              <w:rPr>
                <w:rFonts w:ascii="Calibri" w:hAnsi="Calibri" w:cstheme="minorHAnsi"/>
                <w:b/>
                <w:sz w:val="20"/>
                <w:szCs w:val="20"/>
                <w:lang w:val="en-US"/>
              </w:rPr>
              <w:t>2018</w:t>
            </w:r>
          </w:p>
        </w:tc>
        <w:tc>
          <w:tcPr>
            <w:tcW w:w="1134" w:type="dxa"/>
            <w:tcBorders>
              <w:top w:val="nil"/>
              <w:left w:val="nil"/>
              <w:bottom w:val="nil"/>
              <w:right w:val="nil"/>
            </w:tcBorders>
            <w:shd w:val="clear" w:color="auto" w:fill="auto"/>
            <w:noWrap/>
            <w:tcMar>
              <w:left w:w="28" w:type="dxa"/>
              <w:right w:w="57" w:type="dxa"/>
            </w:tcMar>
            <w:vAlign w:val="center"/>
            <w:hideMark/>
          </w:tcPr>
          <w:p w14:paraId="0931AD92" w14:textId="20354867" w:rsidR="0084445A" w:rsidRPr="0010694E" w:rsidRDefault="00741D80" w:rsidP="00274E31">
            <w:pPr>
              <w:spacing w:after="0" w:line="240" w:lineRule="auto"/>
              <w:jc w:val="center"/>
              <w:rPr>
                <w:rFonts w:ascii="Calibri" w:hAnsi="Calibri" w:cstheme="minorHAnsi"/>
                <w:b/>
                <w:sz w:val="20"/>
                <w:szCs w:val="20"/>
              </w:rPr>
            </w:pPr>
            <w:r w:rsidRPr="0010694E">
              <w:rPr>
                <w:rFonts w:ascii="Calibri" w:hAnsi="Calibri" w:cstheme="minorHAnsi"/>
                <w:b/>
                <w:sz w:val="20"/>
                <w:szCs w:val="20"/>
                <w:lang w:val="en-US"/>
              </w:rPr>
              <w:t>2017</w:t>
            </w:r>
          </w:p>
        </w:tc>
        <w:tc>
          <w:tcPr>
            <w:tcW w:w="851" w:type="dxa"/>
            <w:tcBorders>
              <w:top w:val="nil"/>
              <w:left w:val="nil"/>
              <w:bottom w:val="nil"/>
              <w:right w:val="nil"/>
            </w:tcBorders>
            <w:shd w:val="clear" w:color="auto" w:fill="auto"/>
            <w:noWrap/>
            <w:tcMar>
              <w:left w:w="28" w:type="dxa"/>
              <w:right w:w="57" w:type="dxa"/>
            </w:tcMar>
            <w:vAlign w:val="center"/>
            <w:hideMark/>
          </w:tcPr>
          <w:p w14:paraId="51DC753B" w14:textId="3138D140" w:rsidR="0084445A" w:rsidRPr="0010694E" w:rsidRDefault="00741D80" w:rsidP="00274E31">
            <w:pPr>
              <w:spacing w:after="0" w:line="240" w:lineRule="auto"/>
              <w:jc w:val="center"/>
              <w:rPr>
                <w:rFonts w:ascii="Calibri" w:hAnsi="Calibri" w:cstheme="minorHAnsi"/>
                <w:b/>
                <w:sz w:val="20"/>
                <w:szCs w:val="20"/>
                <w:lang w:val="en-US"/>
              </w:rPr>
            </w:pPr>
            <w:r w:rsidRPr="0010694E">
              <w:rPr>
                <w:rFonts w:ascii="Calibri" w:hAnsi="Calibri" w:cstheme="minorHAnsi"/>
                <w:b/>
                <w:sz w:val="20"/>
                <w:szCs w:val="20"/>
                <w:lang w:val="en-US"/>
              </w:rPr>
              <w:t>2018</w:t>
            </w:r>
          </w:p>
        </w:tc>
        <w:tc>
          <w:tcPr>
            <w:tcW w:w="777" w:type="dxa"/>
            <w:tcBorders>
              <w:top w:val="nil"/>
              <w:left w:val="nil"/>
              <w:bottom w:val="nil"/>
              <w:right w:val="nil"/>
            </w:tcBorders>
            <w:shd w:val="clear" w:color="auto" w:fill="auto"/>
            <w:noWrap/>
            <w:tcMar>
              <w:left w:w="28" w:type="dxa"/>
              <w:right w:w="57" w:type="dxa"/>
            </w:tcMar>
            <w:vAlign w:val="center"/>
            <w:hideMark/>
          </w:tcPr>
          <w:p w14:paraId="118A454F" w14:textId="7BAD0B20" w:rsidR="0084445A" w:rsidRPr="0010694E" w:rsidRDefault="00741D80" w:rsidP="00274E31">
            <w:pPr>
              <w:pStyle w:val="a1"/>
              <w:widowControl w:val="0"/>
              <w:ind w:right="-59"/>
              <w:rPr>
                <w:rFonts w:ascii="Calibri" w:hAnsi="Calibri" w:cstheme="minorHAnsi"/>
                <w:color w:val="auto"/>
                <w:szCs w:val="20"/>
                <w:lang w:val="bg-BG"/>
              </w:rPr>
            </w:pPr>
            <w:r w:rsidRPr="0010694E">
              <w:rPr>
                <w:rFonts w:ascii="Calibri" w:hAnsi="Calibri" w:cstheme="minorHAnsi"/>
                <w:szCs w:val="20"/>
              </w:rPr>
              <w:t>2017</w:t>
            </w:r>
          </w:p>
        </w:tc>
      </w:tr>
      <w:tr w:rsidR="0084445A" w:rsidRPr="0010694E" w14:paraId="4AFB1E36"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6C8AC410" w14:textId="77777777" w:rsidR="0084445A" w:rsidRPr="0010694E" w:rsidRDefault="0084445A" w:rsidP="00274E31">
            <w:pPr>
              <w:pStyle w:val="a1"/>
              <w:rPr>
                <w:rFonts w:ascii="Calibri" w:hAnsi="Calibri" w:cstheme="minorHAnsi"/>
                <w:color w:val="auto"/>
                <w:szCs w:val="20"/>
                <w:lang w:val="bg-BG"/>
              </w:rPr>
            </w:pPr>
          </w:p>
        </w:tc>
        <w:tc>
          <w:tcPr>
            <w:tcW w:w="846" w:type="dxa"/>
            <w:tcBorders>
              <w:top w:val="nil"/>
              <w:left w:val="nil"/>
              <w:bottom w:val="nil"/>
              <w:right w:val="nil"/>
            </w:tcBorders>
            <w:shd w:val="clear" w:color="auto" w:fill="auto"/>
            <w:noWrap/>
            <w:tcMar>
              <w:left w:w="28" w:type="dxa"/>
              <w:right w:w="57" w:type="dxa"/>
            </w:tcMar>
            <w:vAlign w:val="center"/>
            <w:hideMark/>
          </w:tcPr>
          <w:p w14:paraId="22907A79" w14:textId="77777777" w:rsidR="0084445A" w:rsidRPr="0010694E" w:rsidRDefault="0084445A" w:rsidP="00274E31">
            <w:pPr>
              <w:spacing w:after="0" w:line="240" w:lineRule="auto"/>
              <w:jc w:val="center"/>
              <w:rPr>
                <w:rFonts w:ascii="Calibri" w:hAnsi="Calibri" w:cstheme="minorHAnsi"/>
                <w:b/>
                <w:sz w:val="20"/>
                <w:szCs w:val="20"/>
              </w:rPr>
            </w:pPr>
            <w:r w:rsidRPr="0010694E">
              <w:rPr>
                <w:rFonts w:ascii="Calibri" w:hAnsi="Calibri" w:cstheme="minorHAnsi"/>
                <w:b/>
                <w:sz w:val="20"/>
                <w:szCs w:val="20"/>
              </w:rPr>
              <w:t>BGN'000</w:t>
            </w:r>
          </w:p>
        </w:tc>
        <w:tc>
          <w:tcPr>
            <w:tcW w:w="825" w:type="dxa"/>
            <w:tcBorders>
              <w:top w:val="nil"/>
              <w:left w:val="nil"/>
              <w:bottom w:val="nil"/>
              <w:right w:val="nil"/>
            </w:tcBorders>
            <w:shd w:val="clear" w:color="auto" w:fill="auto"/>
            <w:noWrap/>
            <w:tcMar>
              <w:left w:w="28" w:type="dxa"/>
              <w:right w:w="57" w:type="dxa"/>
            </w:tcMar>
            <w:vAlign w:val="center"/>
            <w:hideMark/>
          </w:tcPr>
          <w:p w14:paraId="1BB73F1D" w14:textId="77777777" w:rsidR="0084445A" w:rsidRPr="0010694E" w:rsidRDefault="0084445A" w:rsidP="00274E31">
            <w:pPr>
              <w:spacing w:after="0" w:line="240" w:lineRule="auto"/>
              <w:jc w:val="center"/>
              <w:rPr>
                <w:rFonts w:ascii="Calibri" w:hAnsi="Calibri" w:cstheme="minorHAnsi"/>
                <w:b/>
                <w:sz w:val="20"/>
                <w:szCs w:val="20"/>
              </w:rPr>
            </w:pPr>
            <w:r w:rsidRPr="0010694E">
              <w:rPr>
                <w:rFonts w:ascii="Calibri" w:hAnsi="Calibri" w:cstheme="minorHAnsi"/>
                <w:b/>
                <w:sz w:val="20"/>
                <w:szCs w:val="20"/>
              </w:rPr>
              <w:t>BGN'000</w:t>
            </w:r>
          </w:p>
        </w:tc>
        <w:tc>
          <w:tcPr>
            <w:tcW w:w="882" w:type="dxa"/>
            <w:tcBorders>
              <w:top w:val="nil"/>
              <w:left w:val="nil"/>
              <w:bottom w:val="nil"/>
              <w:right w:val="nil"/>
            </w:tcBorders>
            <w:shd w:val="clear" w:color="auto" w:fill="auto"/>
            <w:noWrap/>
            <w:tcMar>
              <w:left w:w="28" w:type="dxa"/>
              <w:right w:w="57" w:type="dxa"/>
            </w:tcMar>
            <w:vAlign w:val="center"/>
            <w:hideMark/>
          </w:tcPr>
          <w:p w14:paraId="5FFCF621" w14:textId="77777777" w:rsidR="0084445A" w:rsidRPr="0010694E" w:rsidRDefault="0084445A" w:rsidP="00274E31">
            <w:pPr>
              <w:spacing w:after="0" w:line="240" w:lineRule="auto"/>
              <w:jc w:val="center"/>
              <w:rPr>
                <w:rFonts w:ascii="Calibri" w:hAnsi="Calibri" w:cstheme="minorHAnsi"/>
                <w:b/>
                <w:sz w:val="20"/>
                <w:szCs w:val="20"/>
              </w:rPr>
            </w:pPr>
            <w:r w:rsidRPr="0010694E">
              <w:rPr>
                <w:rFonts w:ascii="Calibri" w:hAnsi="Calibri" w:cstheme="minorHAnsi"/>
                <w:b/>
                <w:sz w:val="20"/>
                <w:szCs w:val="20"/>
              </w:rPr>
              <w:t>BGN'000</w:t>
            </w:r>
          </w:p>
        </w:tc>
        <w:tc>
          <w:tcPr>
            <w:tcW w:w="850" w:type="dxa"/>
            <w:tcBorders>
              <w:top w:val="nil"/>
              <w:left w:val="nil"/>
              <w:bottom w:val="nil"/>
              <w:right w:val="nil"/>
            </w:tcBorders>
            <w:shd w:val="clear" w:color="auto" w:fill="auto"/>
            <w:noWrap/>
            <w:tcMar>
              <w:left w:w="28" w:type="dxa"/>
              <w:right w:w="57" w:type="dxa"/>
            </w:tcMar>
            <w:vAlign w:val="center"/>
            <w:hideMark/>
          </w:tcPr>
          <w:p w14:paraId="067B2B7B" w14:textId="77777777" w:rsidR="0084445A" w:rsidRPr="0010694E" w:rsidRDefault="0084445A" w:rsidP="00274E31">
            <w:pPr>
              <w:spacing w:after="0" w:line="240" w:lineRule="auto"/>
              <w:jc w:val="center"/>
              <w:rPr>
                <w:rFonts w:ascii="Calibri" w:hAnsi="Calibri" w:cstheme="minorHAnsi"/>
                <w:b/>
                <w:sz w:val="20"/>
                <w:szCs w:val="20"/>
              </w:rPr>
            </w:pPr>
            <w:r w:rsidRPr="0010694E">
              <w:rPr>
                <w:rFonts w:ascii="Calibri" w:hAnsi="Calibri" w:cstheme="minorHAnsi"/>
                <w:b/>
                <w:sz w:val="20"/>
                <w:szCs w:val="20"/>
              </w:rPr>
              <w:t>BGN'000</w:t>
            </w:r>
          </w:p>
        </w:tc>
        <w:tc>
          <w:tcPr>
            <w:tcW w:w="1133" w:type="dxa"/>
            <w:tcBorders>
              <w:top w:val="nil"/>
              <w:left w:val="nil"/>
              <w:bottom w:val="nil"/>
              <w:right w:val="nil"/>
            </w:tcBorders>
            <w:shd w:val="clear" w:color="auto" w:fill="auto"/>
            <w:noWrap/>
            <w:tcMar>
              <w:left w:w="28" w:type="dxa"/>
              <w:right w:w="57" w:type="dxa"/>
            </w:tcMar>
            <w:vAlign w:val="center"/>
            <w:hideMark/>
          </w:tcPr>
          <w:p w14:paraId="3E3FB8D8" w14:textId="77777777" w:rsidR="0084445A" w:rsidRPr="0010694E" w:rsidRDefault="0084445A" w:rsidP="00274E31">
            <w:pPr>
              <w:spacing w:after="0" w:line="240" w:lineRule="auto"/>
              <w:jc w:val="center"/>
              <w:rPr>
                <w:rFonts w:ascii="Calibri" w:hAnsi="Calibri" w:cstheme="minorHAnsi"/>
                <w:b/>
                <w:sz w:val="20"/>
                <w:szCs w:val="20"/>
              </w:rPr>
            </w:pPr>
            <w:r w:rsidRPr="0010694E">
              <w:rPr>
                <w:rFonts w:ascii="Calibri" w:hAnsi="Calibri" w:cstheme="minorHAnsi"/>
                <w:b/>
                <w:sz w:val="20"/>
                <w:szCs w:val="20"/>
              </w:rPr>
              <w:t>BGN'000</w:t>
            </w:r>
          </w:p>
        </w:tc>
        <w:tc>
          <w:tcPr>
            <w:tcW w:w="1134" w:type="dxa"/>
            <w:tcBorders>
              <w:top w:val="nil"/>
              <w:left w:val="nil"/>
              <w:bottom w:val="nil"/>
              <w:right w:val="nil"/>
            </w:tcBorders>
            <w:shd w:val="clear" w:color="auto" w:fill="auto"/>
            <w:noWrap/>
            <w:tcMar>
              <w:left w:w="28" w:type="dxa"/>
              <w:right w:w="57" w:type="dxa"/>
            </w:tcMar>
            <w:vAlign w:val="center"/>
            <w:hideMark/>
          </w:tcPr>
          <w:p w14:paraId="2DA301EC" w14:textId="77777777" w:rsidR="0084445A" w:rsidRPr="0010694E" w:rsidRDefault="0084445A" w:rsidP="00274E31">
            <w:pPr>
              <w:spacing w:after="0" w:line="240" w:lineRule="auto"/>
              <w:jc w:val="center"/>
              <w:rPr>
                <w:rFonts w:ascii="Calibri" w:hAnsi="Calibri" w:cstheme="minorHAnsi"/>
                <w:b/>
                <w:sz w:val="20"/>
                <w:szCs w:val="20"/>
              </w:rPr>
            </w:pPr>
            <w:r w:rsidRPr="0010694E">
              <w:rPr>
                <w:rFonts w:ascii="Calibri" w:hAnsi="Calibri" w:cstheme="minorHAnsi"/>
                <w:b/>
                <w:sz w:val="20"/>
                <w:szCs w:val="20"/>
              </w:rPr>
              <w:t>BGN'000</w:t>
            </w:r>
          </w:p>
        </w:tc>
        <w:tc>
          <w:tcPr>
            <w:tcW w:w="851" w:type="dxa"/>
            <w:tcBorders>
              <w:top w:val="nil"/>
              <w:left w:val="nil"/>
              <w:bottom w:val="nil"/>
              <w:right w:val="nil"/>
            </w:tcBorders>
            <w:shd w:val="clear" w:color="auto" w:fill="auto"/>
            <w:noWrap/>
            <w:tcMar>
              <w:left w:w="28" w:type="dxa"/>
              <w:right w:w="57" w:type="dxa"/>
            </w:tcMar>
            <w:vAlign w:val="center"/>
            <w:hideMark/>
          </w:tcPr>
          <w:p w14:paraId="618D9133" w14:textId="77777777" w:rsidR="0084445A" w:rsidRPr="0010694E" w:rsidRDefault="0084445A" w:rsidP="00274E31">
            <w:pPr>
              <w:spacing w:after="0" w:line="240" w:lineRule="auto"/>
              <w:jc w:val="center"/>
              <w:rPr>
                <w:rFonts w:ascii="Calibri" w:hAnsi="Calibri" w:cstheme="minorHAnsi"/>
                <w:b/>
                <w:sz w:val="20"/>
                <w:szCs w:val="20"/>
              </w:rPr>
            </w:pPr>
            <w:r w:rsidRPr="0010694E">
              <w:rPr>
                <w:rFonts w:ascii="Calibri" w:hAnsi="Calibri" w:cstheme="minorHAnsi"/>
                <w:b/>
                <w:sz w:val="20"/>
                <w:szCs w:val="20"/>
              </w:rPr>
              <w:t>BGN'000</w:t>
            </w:r>
          </w:p>
        </w:tc>
        <w:tc>
          <w:tcPr>
            <w:tcW w:w="777" w:type="dxa"/>
            <w:tcBorders>
              <w:top w:val="nil"/>
              <w:left w:val="nil"/>
              <w:bottom w:val="nil"/>
              <w:right w:val="nil"/>
            </w:tcBorders>
            <w:shd w:val="clear" w:color="auto" w:fill="auto"/>
            <w:noWrap/>
            <w:tcMar>
              <w:left w:w="28" w:type="dxa"/>
              <w:right w:w="57" w:type="dxa"/>
            </w:tcMar>
            <w:vAlign w:val="center"/>
            <w:hideMark/>
          </w:tcPr>
          <w:p w14:paraId="0F0842E6" w14:textId="77777777" w:rsidR="0084445A" w:rsidRPr="0010694E" w:rsidRDefault="0084445A" w:rsidP="00274E31">
            <w:pPr>
              <w:pStyle w:val="a1"/>
              <w:widowControl w:val="0"/>
              <w:ind w:right="-59"/>
              <w:rPr>
                <w:rFonts w:ascii="Calibri" w:hAnsi="Calibri" w:cstheme="minorHAnsi"/>
                <w:color w:val="auto"/>
                <w:szCs w:val="20"/>
                <w:lang w:val="bg-BG"/>
              </w:rPr>
            </w:pPr>
            <w:r w:rsidRPr="0010694E">
              <w:rPr>
                <w:rFonts w:ascii="Calibri" w:hAnsi="Calibri" w:cstheme="minorHAnsi"/>
                <w:color w:val="auto"/>
                <w:szCs w:val="20"/>
                <w:lang w:val="bg-BG"/>
              </w:rPr>
              <w:t>BGN'000</w:t>
            </w:r>
          </w:p>
        </w:tc>
      </w:tr>
      <w:tr w:rsidR="0084445A" w:rsidRPr="0010694E" w14:paraId="4DEC46ED"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1EC2E159" w14:textId="77777777" w:rsidR="0084445A" w:rsidRPr="0010694E" w:rsidRDefault="0084445A" w:rsidP="00274E31">
            <w:pPr>
              <w:pStyle w:val="a"/>
              <w:rPr>
                <w:rFonts w:ascii="Calibri" w:hAnsi="Calibri" w:cstheme="minorHAnsi"/>
                <w:b/>
                <w:color w:val="auto"/>
                <w:szCs w:val="20"/>
                <w:lang w:val="bg-BG"/>
              </w:rPr>
            </w:pPr>
            <w:r w:rsidRPr="0010694E">
              <w:rPr>
                <w:rFonts w:ascii="Calibri" w:hAnsi="Calibri" w:cstheme="minorHAnsi"/>
                <w:b/>
                <w:color w:val="auto"/>
                <w:szCs w:val="20"/>
                <w:lang w:val="bg-BG"/>
              </w:rPr>
              <w:t>Приходи по сегменти</w:t>
            </w:r>
          </w:p>
        </w:tc>
        <w:tc>
          <w:tcPr>
            <w:tcW w:w="846" w:type="dxa"/>
            <w:tcBorders>
              <w:top w:val="nil"/>
              <w:left w:val="nil"/>
              <w:bottom w:val="nil"/>
              <w:right w:val="nil"/>
            </w:tcBorders>
            <w:shd w:val="clear" w:color="auto" w:fill="auto"/>
            <w:noWrap/>
            <w:tcMar>
              <w:left w:w="28" w:type="dxa"/>
              <w:right w:w="57" w:type="dxa"/>
            </w:tcMar>
            <w:vAlign w:val="bottom"/>
            <w:hideMark/>
          </w:tcPr>
          <w:p w14:paraId="354BE41B" w14:textId="77777777" w:rsidR="0084445A" w:rsidRPr="0010694E" w:rsidRDefault="0084445A" w:rsidP="00274E31">
            <w:pPr>
              <w:pStyle w:val="a0"/>
              <w:widowControl w:val="0"/>
              <w:rPr>
                <w:rFonts w:ascii="Calibri" w:hAnsi="Calibri" w:cstheme="minorHAnsi"/>
                <w:b/>
                <w:sz w:val="18"/>
                <w:szCs w:val="18"/>
                <w:lang w:val="bg-BG"/>
              </w:rPr>
            </w:pPr>
            <w:r w:rsidRPr="0010694E">
              <w:rPr>
                <w:rFonts w:ascii="Calibri" w:hAnsi="Calibri" w:cstheme="minorHAnsi"/>
                <w:b/>
                <w:sz w:val="18"/>
                <w:szCs w:val="18"/>
                <w:lang w:val="bg-BG"/>
              </w:rPr>
              <w:t>720</w:t>
            </w:r>
          </w:p>
        </w:tc>
        <w:tc>
          <w:tcPr>
            <w:tcW w:w="825" w:type="dxa"/>
            <w:tcBorders>
              <w:top w:val="nil"/>
              <w:left w:val="nil"/>
              <w:bottom w:val="nil"/>
              <w:right w:val="nil"/>
            </w:tcBorders>
            <w:shd w:val="clear" w:color="auto" w:fill="auto"/>
            <w:noWrap/>
            <w:tcMar>
              <w:left w:w="28" w:type="dxa"/>
              <w:right w:w="57" w:type="dxa"/>
            </w:tcMar>
            <w:vAlign w:val="bottom"/>
            <w:hideMark/>
          </w:tcPr>
          <w:p w14:paraId="3B7AB24E" w14:textId="77777777" w:rsidR="0084445A" w:rsidRPr="0010694E" w:rsidRDefault="0084445A" w:rsidP="00274E31">
            <w:pPr>
              <w:pStyle w:val="a0"/>
              <w:widowControl w:val="0"/>
              <w:rPr>
                <w:rFonts w:ascii="Calibri" w:hAnsi="Calibri" w:cstheme="minorHAnsi"/>
                <w:b/>
                <w:sz w:val="18"/>
                <w:szCs w:val="18"/>
                <w:lang w:val="bg-BG"/>
              </w:rPr>
            </w:pPr>
            <w:r w:rsidRPr="0010694E">
              <w:rPr>
                <w:rFonts w:ascii="Calibri" w:hAnsi="Calibri" w:cstheme="minorHAnsi"/>
                <w:b/>
                <w:sz w:val="18"/>
                <w:szCs w:val="18"/>
                <w:lang w:val="bg-BG"/>
              </w:rPr>
              <w:t>1,031</w:t>
            </w:r>
          </w:p>
        </w:tc>
        <w:tc>
          <w:tcPr>
            <w:tcW w:w="882" w:type="dxa"/>
            <w:tcBorders>
              <w:top w:val="nil"/>
              <w:left w:val="nil"/>
              <w:bottom w:val="nil"/>
              <w:right w:val="nil"/>
            </w:tcBorders>
            <w:shd w:val="clear" w:color="auto" w:fill="auto"/>
            <w:noWrap/>
            <w:tcMar>
              <w:left w:w="28" w:type="dxa"/>
              <w:right w:w="57" w:type="dxa"/>
            </w:tcMar>
            <w:vAlign w:val="bottom"/>
            <w:hideMark/>
          </w:tcPr>
          <w:p w14:paraId="6D1733A6" w14:textId="77777777" w:rsidR="0084445A" w:rsidRPr="0010694E" w:rsidRDefault="0084445A" w:rsidP="00274E31">
            <w:pPr>
              <w:pStyle w:val="a0"/>
              <w:widowControl w:val="0"/>
              <w:rPr>
                <w:rFonts w:ascii="Calibri" w:hAnsi="Calibri" w:cstheme="minorHAnsi"/>
                <w:b/>
                <w:sz w:val="18"/>
                <w:szCs w:val="18"/>
                <w:lang w:val="bg-BG"/>
              </w:rPr>
            </w:pPr>
            <w:r w:rsidRPr="0010694E">
              <w:rPr>
                <w:rFonts w:ascii="Calibri" w:hAnsi="Calibri" w:cstheme="minorHAnsi"/>
                <w:b/>
                <w:sz w:val="18"/>
                <w:szCs w:val="18"/>
                <w:lang w:val="bg-BG"/>
              </w:rPr>
              <w:t>524</w:t>
            </w:r>
          </w:p>
        </w:tc>
        <w:tc>
          <w:tcPr>
            <w:tcW w:w="850" w:type="dxa"/>
            <w:tcBorders>
              <w:top w:val="nil"/>
              <w:left w:val="nil"/>
              <w:bottom w:val="nil"/>
              <w:right w:val="nil"/>
            </w:tcBorders>
            <w:shd w:val="clear" w:color="auto" w:fill="auto"/>
            <w:noWrap/>
            <w:tcMar>
              <w:left w:w="28" w:type="dxa"/>
              <w:right w:w="57" w:type="dxa"/>
            </w:tcMar>
            <w:vAlign w:val="bottom"/>
            <w:hideMark/>
          </w:tcPr>
          <w:p w14:paraId="2E2554ED" w14:textId="77777777" w:rsidR="0084445A" w:rsidRPr="0010694E" w:rsidRDefault="0084445A" w:rsidP="00274E31">
            <w:pPr>
              <w:pStyle w:val="a0"/>
              <w:widowControl w:val="0"/>
              <w:rPr>
                <w:rFonts w:ascii="Calibri" w:hAnsi="Calibri" w:cstheme="minorHAnsi"/>
                <w:b/>
                <w:sz w:val="18"/>
                <w:szCs w:val="18"/>
                <w:lang w:val="bg-BG"/>
              </w:rPr>
            </w:pPr>
            <w:r w:rsidRPr="0010694E">
              <w:rPr>
                <w:rFonts w:ascii="Calibri" w:hAnsi="Calibri" w:cstheme="minorHAnsi"/>
                <w:b/>
                <w:sz w:val="18"/>
                <w:szCs w:val="18"/>
                <w:lang w:val="bg-BG"/>
              </w:rPr>
              <w:t>432</w:t>
            </w:r>
          </w:p>
        </w:tc>
        <w:tc>
          <w:tcPr>
            <w:tcW w:w="1133" w:type="dxa"/>
            <w:tcBorders>
              <w:top w:val="nil"/>
              <w:left w:val="nil"/>
              <w:bottom w:val="nil"/>
              <w:right w:val="nil"/>
            </w:tcBorders>
            <w:shd w:val="clear" w:color="auto" w:fill="auto"/>
            <w:noWrap/>
            <w:tcMar>
              <w:left w:w="28" w:type="dxa"/>
              <w:right w:w="57" w:type="dxa"/>
            </w:tcMar>
            <w:vAlign w:val="bottom"/>
            <w:hideMark/>
          </w:tcPr>
          <w:p w14:paraId="6937D80B" w14:textId="77777777" w:rsidR="0084445A" w:rsidRPr="0010694E" w:rsidRDefault="0084445A" w:rsidP="00274E31">
            <w:pPr>
              <w:pStyle w:val="a0"/>
              <w:rPr>
                <w:rFonts w:ascii="Calibri" w:hAnsi="Calibri" w:cstheme="minorHAnsi"/>
                <w:b/>
                <w:sz w:val="18"/>
                <w:szCs w:val="18"/>
                <w:lang w:val="bg-BG"/>
              </w:rPr>
            </w:pPr>
            <w:r w:rsidRPr="0010694E">
              <w:rPr>
                <w:rFonts w:ascii="Calibri" w:hAnsi="Calibri" w:cstheme="minorHAnsi"/>
                <w:b/>
                <w:sz w:val="18"/>
                <w:szCs w:val="18"/>
                <w:lang w:val="bg-BG"/>
              </w:rPr>
              <w:t>641</w:t>
            </w:r>
          </w:p>
        </w:tc>
        <w:tc>
          <w:tcPr>
            <w:tcW w:w="1134" w:type="dxa"/>
            <w:tcBorders>
              <w:top w:val="nil"/>
              <w:left w:val="nil"/>
              <w:bottom w:val="nil"/>
              <w:right w:val="nil"/>
            </w:tcBorders>
            <w:shd w:val="clear" w:color="auto" w:fill="auto"/>
            <w:noWrap/>
            <w:tcMar>
              <w:left w:w="28" w:type="dxa"/>
              <w:right w:w="57" w:type="dxa"/>
            </w:tcMar>
            <w:vAlign w:val="bottom"/>
            <w:hideMark/>
          </w:tcPr>
          <w:p w14:paraId="1E6816EF" w14:textId="77777777" w:rsidR="0084445A" w:rsidRPr="0010694E" w:rsidRDefault="0084445A" w:rsidP="00274E31">
            <w:pPr>
              <w:pStyle w:val="a0"/>
              <w:rPr>
                <w:rFonts w:ascii="Calibri" w:hAnsi="Calibri" w:cstheme="minorHAnsi"/>
                <w:b/>
                <w:sz w:val="18"/>
                <w:szCs w:val="18"/>
                <w:lang w:val="bg-BG"/>
              </w:rPr>
            </w:pPr>
            <w:r w:rsidRPr="0010694E">
              <w:rPr>
                <w:rFonts w:ascii="Calibri" w:hAnsi="Calibri" w:cstheme="minorHAnsi"/>
                <w:b/>
                <w:sz w:val="18"/>
                <w:szCs w:val="18"/>
                <w:lang w:val="bg-BG"/>
              </w:rPr>
              <w:t>658</w:t>
            </w:r>
          </w:p>
        </w:tc>
        <w:tc>
          <w:tcPr>
            <w:tcW w:w="851" w:type="dxa"/>
            <w:tcBorders>
              <w:top w:val="nil"/>
              <w:left w:val="nil"/>
              <w:bottom w:val="nil"/>
              <w:right w:val="nil"/>
            </w:tcBorders>
            <w:shd w:val="clear" w:color="auto" w:fill="auto"/>
            <w:noWrap/>
            <w:tcMar>
              <w:left w:w="28" w:type="dxa"/>
              <w:right w:w="57" w:type="dxa"/>
            </w:tcMar>
            <w:vAlign w:val="bottom"/>
            <w:hideMark/>
          </w:tcPr>
          <w:p w14:paraId="1A4488BF" w14:textId="77777777" w:rsidR="0084445A" w:rsidRPr="0010694E" w:rsidRDefault="0084445A" w:rsidP="00274E31">
            <w:pPr>
              <w:pStyle w:val="a0"/>
              <w:widowControl w:val="0"/>
              <w:rPr>
                <w:rFonts w:ascii="Calibri" w:hAnsi="Calibri" w:cstheme="minorHAnsi"/>
                <w:b/>
                <w:sz w:val="18"/>
                <w:szCs w:val="18"/>
                <w:lang w:val="bg-BG"/>
              </w:rPr>
            </w:pPr>
            <w:r w:rsidRPr="0010694E">
              <w:rPr>
                <w:rFonts w:ascii="Calibri" w:hAnsi="Calibri" w:cstheme="minorHAnsi"/>
                <w:b/>
                <w:sz w:val="18"/>
                <w:szCs w:val="18"/>
                <w:lang w:val="bg-BG"/>
              </w:rPr>
              <w:t>1,885</w:t>
            </w:r>
          </w:p>
        </w:tc>
        <w:tc>
          <w:tcPr>
            <w:tcW w:w="777" w:type="dxa"/>
            <w:tcBorders>
              <w:top w:val="nil"/>
              <w:left w:val="nil"/>
              <w:bottom w:val="nil"/>
              <w:right w:val="nil"/>
            </w:tcBorders>
            <w:shd w:val="clear" w:color="auto" w:fill="auto"/>
            <w:noWrap/>
            <w:tcMar>
              <w:left w:w="28" w:type="dxa"/>
              <w:right w:w="57" w:type="dxa"/>
            </w:tcMar>
            <w:vAlign w:val="bottom"/>
            <w:hideMark/>
          </w:tcPr>
          <w:p w14:paraId="523ECA86" w14:textId="77777777" w:rsidR="0084445A" w:rsidRPr="0010694E" w:rsidRDefault="0084445A" w:rsidP="00274E31">
            <w:pPr>
              <w:pStyle w:val="a0"/>
              <w:widowControl w:val="0"/>
              <w:rPr>
                <w:rFonts w:ascii="Calibri" w:hAnsi="Calibri" w:cstheme="minorHAnsi"/>
                <w:b/>
                <w:sz w:val="18"/>
                <w:szCs w:val="18"/>
                <w:lang w:val="bg-BG"/>
              </w:rPr>
            </w:pPr>
            <w:r w:rsidRPr="0010694E">
              <w:rPr>
                <w:rFonts w:ascii="Calibri" w:hAnsi="Calibri" w:cstheme="minorHAnsi"/>
                <w:b/>
                <w:sz w:val="18"/>
                <w:szCs w:val="18"/>
                <w:lang w:val="bg-BG"/>
              </w:rPr>
              <w:t>2,121</w:t>
            </w:r>
          </w:p>
        </w:tc>
      </w:tr>
      <w:tr w:rsidR="0084445A" w:rsidRPr="0010694E" w14:paraId="3659BC86"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7C69E08A" w14:textId="77777777" w:rsidR="0084445A" w:rsidRPr="0010694E" w:rsidRDefault="0084445A" w:rsidP="00274E31">
            <w:pPr>
              <w:pStyle w:val="a"/>
              <w:rPr>
                <w:rFonts w:ascii="Calibri" w:hAnsi="Calibri" w:cstheme="minorHAnsi"/>
                <w:color w:val="auto"/>
                <w:szCs w:val="20"/>
                <w:lang w:val="bg-BG"/>
              </w:rPr>
            </w:pPr>
            <w:r w:rsidRPr="0010694E">
              <w:rPr>
                <w:rFonts w:ascii="Calibri" w:hAnsi="Calibri" w:cstheme="minorHAnsi"/>
                <w:color w:val="auto"/>
                <w:szCs w:val="20"/>
                <w:lang w:val="bg-BG"/>
              </w:rPr>
              <w:t>Разходи за материали и консумативи</w:t>
            </w:r>
          </w:p>
        </w:tc>
        <w:tc>
          <w:tcPr>
            <w:tcW w:w="846" w:type="dxa"/>
            <w:tcBorders>
              <w:top w:val="nil"/>
              <w:left w:val="nil"/>
              <w:bottom w:val="nil"/>
              <w:right w:val="nil"/>
            </w:tcBorders>
            <w:shd w:val="clear" w:color="auto" w:fill="auto"/>
            <w:noWrap/>
            <w:tcMar>
              <w:left w:w="28" w:type="dxa"/>
              <w:right w:w="57" w:type="dxa"/>
            </w:tcMar>
            <w:vAlign w:val="bottom"/>
            <w:hideMark/>
          </w:tcPr>
          <w:p w14:paraId="04D8044C"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10</w:t>
            </w:r>
            <w:r w:rsidRPr="0010694E">
              <w:rPr>
                <w:rFonts w:ascii="Calibri" w:hAnsi="Calibri" w:cstheme="minorHAnsi"/>
                <w:sz w:val="18"/>
                <w:szCs w:val="18"/>
              </w:rPr>
              <w:t>)</w:t>
            </w:r>
          </w:p>
        </w:tc>
        <w:tc>
          <w:tcPr>
            <w:tcW w:w="825" w:type="dxa"/>
            <w:tcBorders>
              <w:top w:val="nil"/>
              <w:left w:val="nil"/>
              <w:bottom w:val="nil"/>
              <w:right w:val="nil"/>
            </w:tcBorders>
            <w:shd w:val="clear" w:color="auto" w:fill="auto"/>
            <w:noWrap/>
            <w:tcMar>
              <w:left w:w="28" w:type="dxa"/>
              <w:right w:w="57" w:type="dxa"/>
            </w:tcMar>
            <w:vAlign w:val="bottom"/>
            <w:hideMark/>
          </w:tcPr>
          <w:p w14:paraId="6E299C51"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9</w:t>
            </w:r>
            <w:r w:rsidRPr="0010694E">
              <w:rPr>
                <w:rFonts w:ascii="Calibri" w:hAnsi="Calibri" w:cstheme="minorHAnsi"/>
                <w:sz w:val="18"/>
                <w:szCs w:val="18"/>
              </w:rPr>
              <w:t>)</w:t>
            </w:r>
          </w:p>
        </w:tc>
        <w:tc>
          <w:tcPr>
            <w:tcW w:w="882" w:type="dxa"/>
            <w:tcBorders>
              <w:top w:val="nil"/>
              <w:left w:val="nil"/>
              <w:bottom w:val="nil"/>
              <w:right w:val="nil"/>
            </w:tcBorders>
            <w:shd w:val="clear" w:color="auto" w:fill="auto"/>
            <w:noWrap/>
            <w:tcMar>
              <w:left w:w="28" w:type="dxa"/>
              <w:right w:w="57" w:type="dxa"/>
            </w:tcMar>
            <w:vAlign w:val="bottom"/>
            <w:hideMark/>
          </w:tcPr>
          <w:p w14:paraId="4D5EBEEB"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6</w:t>
            </w:r>
            <w:r w:rsidRPr="0010694E">
              <w:rPr>
                <w:rFonts w:ascii="Calibri" w:hAnsi="Calibri" w:cstheme="minorHAnsi"/>
                <w:sz w:val="18"/>
                <w:szCs w:val="18"/>
              </w:rPr>
              <w:t>)</w:t>
            </w:r>
          </w:p>
        </w:tc>
        <w:tc>
          <w:tcPr>
            <w:tcW w:w="850" w:type="dxa"/>
            <w:tcBorders>
              <w:top w:val="nil"/>
              <w:left w:val="nil"/>
              <w:bottom w:val="nil"/>
              <w:right w:val="nil"/>
            </w:tcBorders>
            <w:shd w:val="clear" w:color="auto" w:fill="auto"/>
            <w:noWrap/>
            <w:tcMar>
              <w:left w:w="28" w:type="dxa"/>
              <w:right w:w="57" w:type="dxa"/>
            </w:tcMar>
            <w:vAlign w:val="bottom"/>
            <w:hideMark/>
          </w:tcPr>
          <w:p w14:paraId="46CF2200"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3</w:t>
            </w:r>
            <w:r w:rsidRPr="0010694E">
              <w:rPr>
                <w:rFonts w:ascii="Calibri" w:hAnsi="Calibri" w:cstheme="minorHAnsi"/>
                <w:sz w:val="18"/>
                <w:szCs w:val="18"/>
              </w:rPr>
              <w:t>)</w:t>
            </w:r>
          </w:p>
        </w:tc>
        <w:tc>
          <w:tcPr>
            <w:tcW w:w="1133" w:type="dxa"/>
            <w:tcBorders>
              <w:top w:val="nil"/>
              <w:left w:val="nil"/>
              <w:bottom w:val="nil"/>
              <w:right w:val="nil"/>
            </w:tcBorders>
            <w:shd w:val="clear" w:color="auto" w:fill="auto"/>
            <w:noWrap/>
            <w:tcMar>
              <w:left w:w="28" w:type="dxa"/>
              <w:right w:w="57" w:type="dxa"/>
            </w:tcMar>
            <w:vAlign w:val="bottom"/>
            <w:hideMark/>
          </w:tcPr>
          <w:p w14:paraId="135831AB"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9</w:t>
            </w:r>
            <w:r w:rsidRPr="0010694E">
              <w:rPr>
                <w:rFonts w:ascii="Calibri" w:hAnsi="Calibri" w:cstheme="minorHAnsi"/>
                <w:sz w:val="18"/>
                <w:szCs w:val="18"/>
              </w:rPr>
              <w:t>)</w:t>
            </w:r>
          </w:p>
        </w:tc>
        <w:tc>
          <w:tcPr>
            <w:tcW w:w="1134" w:type="dxa"/>
            <w:tcBorders>
              <w:top w:val="nil"/>
              <w:left w:val="nil"/>
              <w:bottom w:val="nil"/>
              <w:right w:val="nil"/>
            </w:tcBorders>
            <w:shd w:val="clear" w:color="auto" w:fill="auto"/>
            <w:noWrap/>
            <w:tcMar>
              <w:left w:w="28" w:type="dxa"/>
              <w:right w:w="57" w:type="dxa"/>
            </w:tcMar>
            <w:vAlign w:val="bottom"/>
            <w:hideMark/>
          </w:tcPr>
          <w:p w14:paraId="39763487"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6</w:t>
            </w:r>
            <w:r w:rsidRPr="0010694E">
              <w:rPr>
                <w:rFonts w:ascii="Calibri" w:hAnsi="Calibri" w:cstheme="minorHAnsi"/>
                <w:sz w:val="18"/>
                <w:szCs w:val="18"/>
              </w:rPr>
              <w:t>)</w:t>
            </w:r>
          </w:p>
        </w:tc>
        <w:tc>
          <w:tcPr>
            <w:tcW w:w="851" w:type="dxa"/>
            <w:tcBorders>
              <w:top w:val="nil"/>
              <w:left w:val="nil"/>
              <w:bottom w:val="nil"/>
              <w:right w:val="nil"/>
            </w:tcBorders>
            <w:shd w:val="clear" w:color="auto" w:fill="auto"/>
            <w:noWrap/>
            <w:tcMar>
              <w:left w:w="28" w:type="dxa"/>
              <w:right w:w="57" w:type="dxa"/>
            </w:tcMar>
            <w:vAlign w:val="bottom"/>
            <w:hideMark/>
          </w:tcPr>
          <w:p w14:paraId="06C9FCDB"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25</w:t>
            </w:r>
            <w:r w:rsidRPr="0010694E">
              <w:rPr>
                <w:rFonts w:ascii="Calibri" w:hAnsi="Calibri" w:cstheme="minorHAnsi"/>
                <w:sz w:val="18"/>
                <w:szCs w:val="18"/>
              </w:rPr>
              <w:t>)</w:t>
            </w:r>
          </w:p>
        </w:tc>
        <w:tc>
          <w:tcPr>
            <w:tcW w:w="777" w:type="dxa"/>
            <w:tcBorders>
              <w:top w:val="nil"/>
              <w:left w:val="nil"/>
              <w:bottom w:val="nil"/>
              <w:right w:val="nil"/>
            </w:tcBorders>
            <w:shd w:val="clear" w:color="auto" w:fill="auto"/>
            <w:noWrap/>
            <w:tcMar>
              <w:left w:w="28" w:type="dxa"/>
              <w:right w:w="57" w:type="dxa"/>
            </w:tcMar>
            <w:vAlign w:val="bottom"/>
            <w:hideMark/>
          </w:tcPr>
          <w:p w14:paraId="0DF620EC"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19</w:t>
            </w:r>
            <w:r w:rsidRPr="0010694E">
              <w:rPr>
                <w:rFonts w:ascii="Calibri" w:hAnsi="Calibri" w:cstheme="minorHAnsi"/>
                <w:sz w:val="18"/>
                <w:szCs w:val="18"/>
              </w:rPr>
              <w:t>)</w:t>
            </w:r>
          </w:p>
        </w:tc>
      </w:tr>
      <w:tr w:rsidR="0084445A" w:rsidRPr="0010694E" w14:paraId="2EDF0232"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2BA242C3" w14:textId="77777777" w:rsidR="0084445A" w:rsidRPr="0010694E" w:rsidRDefault="0084445A" w:rsidP="00274E31">
            <w:pPr>
              <w:pStyle w:val="a"/>
              <w:rPr>
                <w:rFonts w:ascii="Calibri" w:hAnsi="Calibri" w:cstheme="minorHAnsi"/>
                <w:color w:val="auto"/>
                <w:szCs w:val="20"/>
                <w:lang w:val="bg-BG"/>
              </w:rPr>
            </w:pPr>
            <w:r w:rsidRPr="0010694E">
              <w:rPr>
                <w:rFonts w:ascii="Calibri" w:hAnsi="Calibri" w:cstheme="minorHAnsi"/>
                <w:color w:val="auto"/>
                <w:szCs w:val="20"/>
                <w:lang w:val="bg-BG"/>
              </w:rPr>
              <w:t>Разходи за външни услуги</w:t>
            </w:r>
          </w:p>
        </w:tc>
        <w:tc>
          <w:tcPr>
            <w:tcW w:w="846" w:type="dxa"/>
            <w:tcBorders>
              <w:top w:val="nil"/>
              <w:left w:val="nil"/>
              <w:bottom w:val="nil"/>
              <w:right w:val="nil"/>
            </w:tcBorders>
            <w:shd w:val="clear" w:color="auto" w:fill="auto"/>
            <w:noWrap/>
            <w:tcMar>
              <w:left w:w="28" w:type="dxa"/>
              <w:right w:w="57" w:type="dxa"/>
            </w:tcMar>
            <w:vAlign w:val="bottom"/>
            <w:hideMark/>
          </w:tcPr>
          <w:p w14:paraId="0AE803C4"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535</w:t>
            </w:r>
            <w:r w:rsidRPr="0010694E">
              <w:rPr>
                <w:rFonts w:ascii="Calibri" w:hAnsi="Calibri" w:cstheme="minorHAnsi"/>
                <w:sz w:val="18"/>
                <w:szCs w:val="18"/>
              </w:rPr>
              <w:t>)</w:t>
            </w:r>
          </w:p>
        </w:tc>
        <w:tc>
          <w:tcPr>
            <w:tcW w:w="825" w:type="dxa"/>
            <w:tcBorders>
              <w:top w:val="nil"/>
              <w:left w:val="nil"/>
              <w:bottom w:val="nil"/>
              <w:right w:val="nil"/>
            </w:tcBorders>
            <w:shd w:val="clear" w:color="auto" w:fill="auto"/>
            <w:noWrap/>
            <w:tcMar>
              <w:left w:w="28" w:type="dxa"/>
              <w:right w:w="57" w:type="dxa"/>
            </w:tcMar>
            <w:vAlign w:val="bottom"/>
            <w:hideMark/>
          </w:tcPr>
          <w:p w14:paraId="01E53047"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553</w:t>
            </w:r>
            <w:r w:rsidRPr="0010694E">
              <w:rPr>
                <w:rFonts w:ascii="Calibri" w:hAnsi="Calibri" w:cstheme="minorHAnsi"/>
                <w:sz w:val="18"/>
                <w:szCs w:val="18"/>
              </w:rPr>
              <w:t>)</w:t>
            </w:r>
          </w:p>
        </w:tc>
        <w:tc>
          <w:tcPr>
            <w:tcW w:w="882" w:type="dxa"/>
            <w:tcBorders>
              <w:top w:val="nil"/>
              <w:left w:val="nil"/>
              <w:bottom w:val="nil"/>
              <w:right w:val="nil"/>
            </w:tcBorders>
            <w:shd w:val="clear" w:color="auto" w:fill="auto"/>
            <w:noWrap/>
            <w:tcMar>
              <w:left w:w="28" w:type="dxa"/>
              <w:right w:w="57" w:type="dxa"/>
            </w:tcMar>
            <w:vAlign w:val="bottom"/>
            <w:hideMark/>
          </w:tcPr>
          <w:p w14:paraId="5079BE80"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116</w:t>
            </w:r>
            <w:r w:rsidRPr="0010694E">
              <w:rPr>
                <w:rFonts w:ascii="Calibri" w:hAnsi="Calibri" w:cstheme="minorHAnsi"/>
                <w:sz w:val="18"/>
                <w:szCs w:val="18"/>
              </w:rPr>
              <w:t>)</w:t>
            </w:r>
          </w:p>
        </w:tc>
        <w:tc>
          <w:tcPr>
            <w:tcW w:w="850" w:type="dxa"/>
            <w:tcBorders>
              <w:top w:val="nil"/>
              <w:left w:val="nil"/>
              <w:bottom w:val="nil"/>
              <w:right w:val="nil"/>
            </w:tcBorders>
            <w:shd w:val="clear" w:color="auto" w:fill="auto"/>
            <w:noWrap/>
            <w:tcMar>
              <w:left w:w="28" w:type="dxa"/>
              <w:right w:w="57" w:type="dxa"/>
            </w:tcMar>
            <w:vAlign w:val="bottom"/>
            <w:hideMark/>
          </w:tcPr>
          <w:p w14:paraId="698E22DF"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80</w:t>
            </w:r>
            <w:r w:rsidRPr="0010694E">
              <w:rPr>
                <w:rFonts w:ascii="Calibri" w:hAnsi="Calibri" w:cstheme="minorHAnsi"/>
                <w:sz w:val="18"/>
                <w:szCs w:val="18"/>
              </w:rPr>
              <w:t>)</w:t>
            </w:r>
          </w:p>
        </w:tc>
        <w:tc>
          <w:tcPr>
            <w:tcW w:w="1133" w:type="dxa"/>
            <w:tcBorders>
              <w:top w:val="nil"/>
              <w:left w:val="nil"/>
              <w:bottom w:val="nil"/>
              <w:right w:val="nil"/>
            </w:tcBorders>
            <w:shd w:val="clear" w:color="auto" w:fill="auto"/>
            <w:noWrap/>
            <w:tcMar>
              <w:left w:w="28" w:type="dxa"/>
              <w:right w:w="57" w:type="dxa"/>
            </w:tcMar>
            <w:vAlign w:val="bottom"/>
            <w:hideMark/>
          </w:tcPr>
          <w:p w14:paraId="0CDCA4D9"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182</w:t>
            </w:r>
            <w:r w:rsidRPr="0010694E">
              <w:rPr>
                <w:rFonts w:ascii="Calibri" w:hAnsi="Calibri" w:cstheme="minorHAnsi"/>
                <w:sz w:val="18"/>
                <w:szCs w:val="18"/>
              </w:rPr>
              <w:t>)</w:t>
            </w:r>
          </w:p>
        </w:tc>
        <w:tc>
          <w:tcPr>
            <w:tcW w:w="1134" w:type="dxa"/>
            <w:tcBorders>
              <w:top w:val="nil"/>
              <w:left w:val="nil"/>
              <w:bottom w:val="nil"/>
              <w:right w:val="nil"/>
            </w:tcBorders>
            <w:shd w:val="clear" w:color="auto" w:fill="auto"/>
            <w:noWrap/>
            <w:tcMar>
              <w:left w:w="28" w:type="dxa"/>
              <w:right w:w="57" w:type="dxa"/>
            </w:tcMar>
            <w:vAlign w:val="bottom"/>
            <w:hideMark/>
          </w:tcPr>
          <w:p w14:paraId="07ACD886"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159</w:t>
            </w:r>
            <w:r w:rsidRPr="0010694E">
              <w:rPr>
                <w:rFonts w:ascii="Calibri" w:hAnsi="Calibri" w:cstheme="minorHAnsi"/>
                <w:sz w:val="18"/>
                <w:szCs w:val="18"/>
              </w:rPr>
              <w:t>)</w:t>
            </w:r>
          </w:p>
        </w:tc>
        <w:tc>
          <w:tcPr>
            <w:tcW w:w="851" w:type="dxa"/>
            <w:tcBorders>
              <w:top w:val="nil"/>
              <w:left w:val="nil"/>
              <w:bottom w:val="nil"/>
              <w:right w:val="nil"/>
            </w:tcBorders>
            <w:shd w:val="clear" w:color="auto" w:fill="auto"/>
            <w:noWrap/>
            <w:tcMar>
              <w:left w:w="28" w:type="dxa"/>
              <w:right w:w="57" w:type="dxa"/>
            </w:tcMar>
            <w:vAlign w:val="bottom"/>
            <w:hideMark/>
          </w:tcPr>
          <w:p w14:paraId="0CFB4F4B"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833</w:t>
            </w:r>
            <w:r w:rsidRPr="0010694E">
              <w:rPr>
                <w:rFonts w:ascii="Calibri" w:hAnsi="Calibri" w:cstheme="minorHAnsi"/>
                <w:sz w:val="18"/>
                <w:szCs w:val="18"/>
              </w:rPr>
              <w:t>)</w:t>
            </w:r>
          </w:p>
        </w:tc>
        <w:tc>
          <w:tcPr>
            <w:tcW w:w="777" w:type="dxa"/>
            <w:tcBorders>
              <w:top w:val="nil"/>
              <w:left w:val="nil"/>
              <w:bottom w:val="nil"/>
              <w:right w:val="nil"/>
            </w:tcBorders>
            <w:shd w:val="clear" w:color="auto" w:fill="auto"/>
            <w:noWrap/>
            <w:tcMar>
              <w:left w:w="28" w:type="dxa"/>
              <w:right w:w="57" w:type="dxa"/>
            </w:tcMar>
            <w:vAlign w:val="bottom"/>
            <w:hideMark/>
          </w:tcPr>
          <w:p w14:paraId="201DB615"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792</w:t>
            </w:r>
            <w:r w:rsidRPr="0010694E">
              <w:rPr>
                <w:rFonts w:ascii="Calibri" w:hAnsi="Calibri" w:cstheme="minorHAnsi"/>
                <w:sz w:val="18"/>
                <w:szCs w:val="18"/>
              </w:rPr>
              <w:t>)</w:t>
            </w:r>
          </w:p>
        </w:tc>
      </w:tr>
      <w:tr w:rsidR="0084445A" w:rsidRPr="0010694E" w14:paraId="695CBAD1"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3C640557" w14:textId="77777777" w:rsidR="0084445A" w:rsidRPr="0010694E" w:rsidRDefault="0084445A" w:rsidP="00274E31">
            <w:pPr>
              <w:pStyle w:val="a"/>
              <w:rPr>
                <w:rFonts w:ascii="Calibri" w:hAnsi="Calibri" w:cstheme="minorHAnsi"/>
                <w:color w:val="auto"/>
                <w:szCs w:val="20"/>
                <w:lang w:val="bg-BG"/>
              </w:rPr>
            </w:pPr>
            <w:r w:rsidRPr="0010694E">
              <w:rPr>
                <w:rFonts w:ascii="Calibri" w:hAnsi="Calibri" w:cstheme="minorHAnsi"/>
                <w:color w:val="auto"/>
                <w:szCs w:val="20"/>
                <w:lang w:val="bg-BG"/>
              </w:rPr>
              <w:t>Разходи за персонал</w:t>
            </w:r>
          </w:p>
        </w:tc>
        <w:tc>
          <w:tcPr>
            <w:tcW w:w="846" w:type="dxa"/>
            <w:tcBorders>
              <w:top w:val="nil"/>
              <w:left w:val="nil"/>
              <w:bottom w:val="nil"/>
              <w:right w:val="nil"/>
            </w:tcBorders>
            <w:shd w:val="clear" w:color="auto" w:fill="auto"/>
            <w:noWrap/>
            <w:tcMar>
              <w:left w:w="28" w:type="dxa"/>
              <w:right w:w="57" w:type="dxa"/>
            </w:tcMar>
            <w:vAlign w:val="bottom"/>
            <w:hideMark/>
          </w:tcPr>
          <w:p w14:paraId="642DB7E4"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264</w:t>
            </w:r>
            <w:r w:rsidRPr="0010694E">
              <w:rPr>
                <w:rFonts w:ascii="Calibri" w:hAnsi="Calibri" w:cstheme="minorHAnsi"/>
                <w:sz w:val="18"/>
                <w:szCs w:val="18"/>
              </w:rPr>
              <w:t>)</w:t>
            </w:r>
          </w:p>
        </w:tc>
        <w:tc>
          <w:tcPr>
            <w:tcW w:w="825" w:type="dxa"/>
            <w:tcBorders>
              <w:top w:val="nil"/>
              <w:left w:val="nil"/>
              <w:bottom w:val="nil"/>
              <w:right w:val="nil"/>
            </w:tcBorders>
            <w:shd w:val="clear" w:color="auto" w:fill="auto"/>
            <w:noWrap/>
            <w:tcMar>
              <w:left w:w="28" w:type="dxa"/>
              <w:right w:w="57" w:type="dxa"/>
            </w:tcMar>
            <w:vAlign w:val="bottom"/>
            <w:hideMark/>
          </w:tcPr>
          <w:p w14:paraId="48F48523"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379</w:t>
            </w:r>
            <w:r w:rsidRPr="0010694E">
              <w:rPr>
                <w:rFonts w:ascii="Calibri" w:hAnsi="Calibri" w:cstheme="minorHAnsi"/>
                <w:sz w:val="18"/>
                <w:szCs w:val="18"/>
              </w:rPr>
              <w:t>)</w:t>
            </w:r>
          </w:p>
        </w:tc>
        <w:tc>
          <w:tcPr>
            <w:tcW w:w="882" w:type="dxa"/>
            <w:tcBorders>
              <w:top w:val="nil"/>
              <w:left w:val="nil"/>
              <w:bottom w:val="nil"/>
              <w:right w:val="nil"/>
            </w:tcBorders>
            <w:shd w:val="clear" w:color="auto" w:fill="auto"/>
            <w:noWrap/>
            <w:tcMar>
              <w:left w:w="28" w:type="dxa"/>
              <w:right w:w="57" w:type="dxa"/>
            </w:tcMar>
            <w:vAlign w:val="bottom"/>
            <w:hideMark/>
          </w:tcPr>
          <w:p w14:paraId="67A46B5A"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353</w:t>
            </w:r>
            <w:r w:rsidRPr="0010694E">
              <w:rPr>
                <w:rFonts w:ascii="Calibri" w:hAnsi="Calibri" w:cstheme="minorHAnsi"/>
                <w:sz w:val="18"/>
                <w:szCs w:val="18"/>
              </w:rPr>
              <w:t>)</w:t>
            </w:r>
          </w:p>
        </w:tc>
        <w:tc>
          <w:tcPr>
            <w:tcW w:w="850" w:type="dxa"/>
            <w:tcBorders>
              <w:top w:val="nil"/>
              <w:left w:val="nil"/>
              <w:bottom w:val="nil"/>
              <w:right w:val="nil"/>
            </w:tcBorders>
            <w:shd w:val="clear" w:color="auto" w:fill="auto"/>
            <w:noWrap/>
            <w:tcMar>
              <w:left w:w="28" w:type="dxa"/>
              <w:right w:w="57" w:type="dxa"/>
            </w:tcMar>
            <w:vAlign w:val="bottom"/>
            <w:hideMark/>
          </w:tcPr>
          <w:p w14:paraId="29B73B28"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265</w:t>
            </w:r>
            <w:r w:rsidRPr="0010694E">
              <w:rPr>
                <w:rFonts w:ascii="Calibri" w:hAnsi="Calibri" w:cstheme="minorHAnsi"/>
                <w:sz w:val="18"/>
                <w:szCs w:val="18"/>
              </w:rPr>
              <w:t>)</w:t>
            </w:r>
          </w:p>
        </w:tc>
        <w:tc>
          <w:tcPr>
            <w:tcW w:w="1133" w:type="dxa"/>
            <w:tcBorders>
              <w:top w:val="nil"/>
              <w:left w:val="nil"/>
              <w:bottom w:val="nil"/>
              <w:right w:val="nil"/>
            </w:tcBorders>
            <w:shd w:val="clear" w:color="auto" w:fill="auto"/>
            <w:noWrap/>
            <w:tcMar>
              <w:left w:w="28" w:type="dxa"/>
              <w:right w:w="57" w:type="dxa"/>
            </w:tcMar>
            <w:vAlign w:val="bottom"/>
            <w:hideMark/>
          </w:tcPr>
          <w:p w14:paraId="756530BD"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308</w:t>
            </w:r>
            <w:r w:rsidRPr="0010694E">
              <w:rPr>
                <w:rFonts w:ascii="Calibri" w:hAnsi="Calibri" w:cstheme="minorHAnsi"/>
                <w:sz w:val="18"/>
                <w:szCs w:val="18"/>
              </w:rPr>
              <w:t>)</w:t>
            </w:r>
          </w:p>
        </w:tc>
        <w:tc>
          <w:tcPr>
            <w:tcW w:w="1134" w:type="dxa"/>
            <w:tcBorders>
              <w:top w:val="nil"/>
              <w:left w:val="nil"/>
              <w:bottom w:val="nil"/>
              <w:right w:val="nil"/>
            </w:tcBorders>
            <w:shd w:val="clear" w:color="auto" w:fill="auto"/>
            <w:noWrap/>
            <w:tcMar>
              <w:left w:w="28" w:type="dxa"/>
              <w:right w:w="57" w:type="dxa"/>
            </w:tcMar>
            <w:vAlign w:val="bottom"/>
            <w:hideMark/>
          </w:tcPr>
          <w:p w14:paraId="460BC03D"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322</w:t>
            </w:r>
            <w:r w:rsidRPr="0010694E">
              <w:rPr>
                <w:rFonts w:ascii="Calibri" w:hAnsi="Calibri" w:cstheme="minorHAnsi"/>
                <w:sz w:val="18"/>
                <w:szCs w:val="18"/>
              </w:rPr>
              <w:t>)</w:t>
            </w:r>
          </w:p>
        </w:tc>
        <w:tc>
          <w:tcPr>
            <w:tcW w:w="851" w:type="dxa"/>
            <w:tcBorders>
              <w:top w:val="nil"/>
              <w:left w:val="nil"/>
              <w:bottom w:val="nil"/>
              <w:right w:val="nil"/>
            </w:tcBorders>
            <w:shd w:val="clear" w:color="auto" w:fill="auto"/>
            <w:noWrap/>
            <w:tcMar>
              <w:left w:w="28" w:type="dxa"/>
              <w:right w:w="57" w:type="dxa"/>
            </w:tcMar>
            <w:vAlign w:val="bottom"/>
            <w:hideMark/>
          </w:tcPr>
          <w:p w14:paraId="4BDACE7C"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925</w:t>
            </w:r>
            <w:r w:rsidRPr="0010694E">
              <w:rPr>
                <w:rFonts w:ascii="Calibri" w:hAnsi="Calibri" w:cstheme="minorHAnsi"/>
                <w:sz w:val="18"/>
                <w:szCs w:val="18"/>
              </w:rPr>
              <w:t>)</w:t>
            </w:r>
          </w:p>
        </w:tc>
        <w:tc>
          <w:tcPr>
            <w:tcW w:w="777" w:type="dxa"/>
            <w:tcBorders>
              <w:top w:val="nil"/>
              <w:left w:val="nil"/>
              <w:bottom w:val="nil"/>
              <w:right w:val="nil"/>
            </w:tcBorders>
            <w:shd w:val="clear" w:color="auto" w:fill="auto"/>
            <w:noWrap/>
            <w:tcMar>
              <w:left w:w="28" w:type="dxa"/>
              <w:right w:w="57" w:type="dxa"/>
            </w:tcMar>
            <w:vAlign w:val="bottom"/>
            <w:hideMark/>
          </w:tcPr>
          <w:p w14:paraId="24303B39"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966</w:t>
            </w:r>
            <w:r w:rsidRPr="0010694E">
              <w:rPr>
                <w:rFonts w:ascii="Calibri" w:hAnsi="Calibri" w:cstheme="minorHAnsi"/>
                <w:sz w:val="18"/>
                <w:szCs w:val="18"/>
              </w:rPr>
              <w:t>)</w:t>
            </w:r>
          </w:p>
        </w:tc>
      </w:tr>
      <w:tr w:rsidR="0084445A" w:rsidRPr="0010694E" w14:paraId="2A157383"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2577DE36" w14:textId="77777777" w:rsidR="0084445A" w:rsidRPr="0010694E" w:rsidRDefault="0084445A" w:rsidP="00274E31">
            <w:pPr>
              <w:pStyle w:val="a"/>
              <w:rPr>
                <w:rFonts w:ascii="Calibri" w:hAnsi="Calibri" w:cstheme="minorHAnsi"/>
                <w:color w:val="auto"/>
                <w:szCs w:val="20"/>
                <w:lang w:val="bg-BG"/>
              </w:rPr>
            </w:pPr>
            <w:r w:rsidRPr="0010694E">
              <w:rPr>
                <w:rFonts w:ascii="Calibri" w:hAnsi="Calibri" w:cstheme="minorHAnsi"/>
                <w:color w:val="auto"/>
                <w:szCs w:val="20"/>
                <w:lang w:val="bg-BG"/>
              </w:rPr>
              <w:t>Други разходи</w:t>
            </w:r>
          </w:p>
        </w:tc>
        <w:tc>
          <w:tcPr>
            <w:tcW w:w="846" w:type="dxa"/>
            <w:tcBorders>
              <w:top w:val="nil"/>
              <w:left w:val="nil"/>
              <w:bottom w:val="single" w:sz="8" w:space="0" w:color="auto"/>
              <w:right w:val="nil"/>
            </w:tcBorders>
            <w:shd w:val="clear" w:color="auto" w:fill="auto"/>
            <w:noWrap/>
            <w:tcMar>
              <w:left w:w="28" w:type="dxa"/>
              <w:right w:w="57" w:type="dxa"/>
            </w:tcMar>
            <w:vAlign w:val="bottom"/>
            <w:hideMark/>
          </w:tcPr>
          <w:p w14:paraId="029481E2" w14:textId="77777777" w:rsidR="0084445A" w:rsidRPr="0010694E" w:rsidRDefault="0084445A" w:rsidP="00274E31">
            <w:pPr>
              <w:pStyle w:val="a0"/>
              <w:widowControl w:val="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33</w:t>
            </w:r>
            <w:r w:rsidRPr="0010694E">
              <w:rPr>
                <w:rFonts w:ascii="Calibri" w:hAnsi="Calibri" w:cstheme="minorHAnsi"/>
                <w:sz w:val="18"/>
                <w:szCs w:val="18"/>
              </w:rPr>
              <w:t>)</w:t>
            </w:r>
          </w:p>
        </w:tc>
        <w:tc>
          <w:tcPr>
            <w:tcW w:w="825" w:type="dxa"/>
            <w:tcBorders>
              <w:top w:val="nil"/>
              <w:left w:val="nil"/>
              <w:bottom w:val="single" w:sz="8" w:space="0" w:color="auto"/>
              <w:right w:val="nil"/>
            </w:tcBorders>
            <w:shd w:val="clear" w:color="auto" w:fill="auto"/>
            <w:noWrap/>
            <w:tcMar>
              <w:left w:w="28" w:type="dxa"/>
              <w:right w:w="57" w:type="dxa"/>
            </w:tcMar>
            <w:vAlign w:val="bottom"/>
            <w:hideMark/>
          </w:tcPr>
          <w:p w14:paraId="16475A6D"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49</w:t>
            </w:r>
            <w:r w:rsidRPr="0010694E">
              <w:rPr>
                <w:rFonts w:ascii="Calibri" w:hAnsi="Calibri" w:cstheme="minorHAnsi"/>
                <w:sz w:val="18"/>
                <w:szCs w:val="18"/>
              </w:rPr>
              <w:t>)</w:t>
            </w:r>
          </w:p>
        </w:tc>
        <w:tc>
          <w:tcPr>
            <w:tcW w:w="882" w:type="dxa"/>
            <w:tcBorders>
              <w:top w:val="nil"/>
              <w:left w:val="nil"/>
              <w:bottom w:val="single" w:sz="8" w:space="0" w:color="auto"/>
              <w:right w:val="nil"/>
            </w:tcBorders>
            <w:shd w:val="clear" w:color="auto" w:fill="auto"/>
            <w:noWrap/>
            <w:tcMar>
              <w:left w:w="28" w:type="dxa"/>
              <w:right w:w="57" w:type="dxa"/>
            </w:tcMar>
            <w:vAlign w:val="bottom"/>
            <w:hideMark/>
          </w:tcPr>
          <w:p w14:paraId="4A64B83A"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24</w:t>
            </w:r>
            <w:r w:rsidRPr="0010694E">
              <w:rPr>
                <w:rFonts w:ascii="Calibri" w:hAnsi="Calibri" w:cstheme="minorHAnsi"/>
                <w:sz w:val="18"/>
                <w:szCs w:val="18"/>
              </w:rPr>
              <w:t>)</w:t>
            </w:r>
          </w:p>
        </w:tc>
        <w:tc>
          <w:tcPr>
            <w:tcW w:w="850" w:type="dxa"/>
            <w:tcBorders>
              <w:top w:val="nil"/>
              <w:left w:val="nil"/>
              <w:bottom w:val="single" w:sz="8" w:space="0" w:color="auto"/>
              <w:right w:val="nil"/>
            </w:tcBorders>
            <w:shd w:val="clear" w:color="auto" w:fill="auto"/>
            <w:noWrap/>
            <w:tcMar>
              <w:left w:w="28" w:type="dxa"/>
              <w:right w:w="57" w:type="dxa"/>
            </w:tcMar>
            <w:vAlign w:val="bottom"/>
            <w:hideMark/>
          </w:tcPr>
          <w:p w14:paraId="14FC757F"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14</w:t>
            </w:r>
            <w:r w:rsidRPr="0010694E">
              <w:rPr>
                <w:rFonts w:ascii="Calibri" w:hAnsi="Calibri" w:cstheme="minorHAnsi"/>
                <w:sz w:val="18"/>
                <w:szCs w:val="18"/>
              </w:rPr>
              <w:t>)</w:t>
            </w:r>
          </w:p>
        </w:tc>
        <w:tc>
          <w:tcPr>
            <w:tcW w:w="1133" w:type="dxa"/>
            <w:tcBorders>
              <w:top w:val="nil"/>
              <w:left w:val="nil"/>
              <w:bottom w:val="single" w:sz="8" w:space="0" w:color="auto"/>
              <w:right w:val="nil"/>
            </w:tcBorders>
            <w:shd w:val="clear" w:color="auto" w:fill="auto"/>
            <w:noWrap/>
            <w:tcMar>
              <w:left w:w="28" w:type="dxa"/>
              <w:right w:w="57" w:type="dxa"/>
            </w:tcMar>
            <w:vAlign w:val="bottom"/>
            <w:hideMark/>
          </w:tcPr>
          <w:p w14:paraId="3434363F"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29</w:t>
            </w:r>
            <w:r w:rsidRPr="0010694E">
              <w:rPr>
                <w:rFonts w:ascii="Calibri" w:hAnsi="Calibri" w:cstheme="minorHAnsi"/>
                <w:sz w:val="18"/>
                <w:szCs w:val="18"/>
              </w:rPr>
              <w:t>)</w:t>
            </w:r>
          </w:p>
        </w:tc>
        <w:tc>
          <w:tcPr>
            <w:tcW w:w="1134" w:type="dxa"/>
            <w:tcBorders>
              <w:top w:val="nil"/>
              <w:left w:val="nil"/>
              <w:bottom w:val="single" w:sz="8" w:space="0" w:color="auto"/>
              <w:right w:val="nil"/>
            </w:tcBorders>
            <w:shd w:val="clear" w:color="auto" w:fill="auto"/>
            <w:noWrap/>
            <w:tcMar>
              <w:left w:w="28" w:type="dxa"/>
              <w:right w:w="57" w:type="dxa"/>
            </w:tcMar>
            <w:vAlign w:val="bottom"/>
            <w:hideMark/>
          </w:tcPr>
          <w:p w14:paraId="5211CFB3"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25</w:t>
            </w:r>
            <w:r w:rsidRPr="0010694E">
              <w:rPr>
                <w:rFonts w:ascii="Calibri" w:hAnsi="Calibri" w:cstheme="minorHAnsi"/>
                <w:sz w:val="18"/>
                <w:szCs w:val="18"/>
              </w:rPr>
              <w:t>)</w:t>
            </w:r>
          </w:p>
        </w:tc>
        <w:tc>
          <w:tcPr>
            <w:tcW w:w="851" w:type="dxa"/>
            <w:tcBorders>
              <w:top w:val="nil"/>
              <w:left w:val="nil"/>
              <w:bottom w:val="single" w:sz="8" w:space="0" w:color="auto"/>
              <w:right w:val="nil"/>
            </w:tcBorders>
            <w:shd w:val="clear" w:color="auto" w:fill="auto"/>
            <w:noWrap/>
            <w:tcMar>
              <w:left w:w="28" w:type="dxa"/>
              <w:right w:w="57" w:type="dxa"/>
            </w:tcMar>
            <w:vAlign w:val="bottom"/>
            <w:hideMark/>
          </w:tcPr>
          <w:p w14:paraId="1059E471"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86</w:t>
            </w:r>
            <w:r w:rsidRPr="0010694E">
              <w:rPr>
                <w:rFonts w:ascii="Calibri" w:hAnsi="Calibri" w:cstheme="minorHAnsi"/>
                <w:sz w:val="18"/>
                <w:szCs w:val="18"/>
              </w:rPr>
              <w:t>)</w:t>
            </w:r>
          </w:p>
        </w:tc>
        <w:tc>
          <w:tcPr>
            <w:tcW w:w="777" w:type="dxa"/>
            <w:tcBorders>
              <w:top w:val="nil"/>
              <w:left w:val="nil"/>
              <w:bottom w:val="single" w:sz="8" w:space="0" w:color="auto"/>
              <w:right w:val="nil"/>
            </w:tcBorders>
            <w:shd w:val="clear" w:color="auto" w:fill="auto"/>
            <w:noWrap/>
            <w:tcMar>
              <w:left w:w="28" w:type="dxa"/>
              <w:right w:w="57" w:type="dxa"/>
            </w:tcMar>
            <w:vAlign w:val="bottom"/>
            <w:hideMark/>
          </w:tcPr>
          <w:p w14:paraId="639D716E" w14:textId="77777777" w:rsidR="0084445A" w:rsidRPr="0010694E" w:rsidRDefault="0084445A" w:rsidP="00274E31">
            <w:pPr>
              <w:pStyle w:val="a0"/>
              <w:rPr>
                <w:rFonts w:ascii="Calibri" w:hAnsi="Calibri" w:cstheme="minorHAnsi"/>
                <w:sz w:val="18"/>
                <w:szCs w:val="18"/>
              </w:rPr>
            </w:pPr>
            <w:r w:rsidRPr="0010694E">
              <w:rPr>
                <w:rFonts w:ascii="Calibri" w:hAnsi="Calibri" w:cstheme="minorHAnsi"/>
                <w:sz w:val="18"/>
                <w:szCs w:val="18"/>
              </w:rPr>
              <w:t>(</w:t>
            </w:r>
            <w:r w:rsidRPr="0010694E">
              <w:rPr>
                <w:rFonts w:ascii="Calibri" w:hAnsi="Calibri" w:cstheme="minorHAnsi"/>
                <w:sz w:val="18"/>
                <w:szCs w:val="18"/>
                <w:lang w:val="bg-BG"/>
              </w:rPr>
              <w:t>88</w:t>
            </w:r>
            <w:r w:rsidRPr="0010694E">
              <w:rPr>
                <w:rFonts w:ascii="Calibri" w:hAnsi="Calibri" w:cstheme="minorHAnsi"/>
                <w:sz w:val="18"/>
                <w:szCs w:val="18"/>
              </w:rPr>
              <w:t>)</w:t>
            </w:r>
          </w:p>
        </w:tc>
      </w:tr>
      <w:tr w:rsidR="0084445A" w:rsidRPr="0010694E" w14:paraId="41B8B071"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13FD274F" w14:textId="77777777" w:rsidR="0084445A" w:rsidRPr="0010694E" w:rsidRDefault="0084445A" w:rsidP="00274E31">
            <w:pPr>
              <w:pStyle w:val="a"/>
              <w:rPr>
                <w:rFonts w:ascii="Calibri" w:hAnsi="Calibri" w:cstheme="minorHAnsi"/>
                <w:b/>
                <w:color w:val="auto"/>
                <w:szCs w:val="20"/>
                <w:lang w:val="bg-BG"/>
              </w:rPr>
            </w:pPr>
            <w:r w:rsidRPr="0010694E">
              <w:rPr>
                <w:rFonts w:ascii="Calibri" w:hAnsi="Calibri" w:cstheme="minorHAnsi"/>
                <w:b/>
                <w:color w:val="auto"/>
                <w:szCs w:val="20"/>
                <w:lang w:val="bg-BG"/>
              </w:rPr>
              <w:t>Общо оперативни разходи</w:t>
            </w:r>
          </w:p>
        </w:tc>
        <w:tc>
          <w:tcPr>
            <w:tcW w:w="846" w:type="dxa"/>
            <w:tcBorders>
              <w:top w:val="nil"/>
              <w:left w:val="nil"/>
              <w:bottom w:val="single" w:sz="8" w:space="0" w:color="auto"/>
              <w:right w:val="nil"/>
            </w:tcBorders>
            <w:shd w:val="clear" w:color="auto" w:fill="auto"/>
            <w:noWrap/>
            <w:tcMar>
              <w:left w:w="28" w:type="dxa"/>
              <w:right w:w="57" w:type="dxa"/>
            </w:tcMar>
            <w:vAlign w:val="bottom"/>
            <w:hideMark/>
          </w:tcPr>
          <w:p w14:paraId="71D9B672" w14:textId="77777777" w:rsidR="0084445A" w:rsidRPr="0010694E" w:rsidRDefault="0084445A" w:rsidP="00274E31">
            <w:pPr>
              <w:pStyle w:val="a0"/>
              <w:rPr>
                <w:rFonts w:ascii="Calibri" w:hAnsi="Calibri" w:cstheme="minorHAnsi"/>
                <w:b/>
                <w:sz w:val="18"/>
                <w:szCs w:val="18"/>
              </w:rPr>
            </w:pPr>
            <w:r w:rsidRPr="0010694E">
              <w:rPr>
                <w:rFonts w:ascii="Calibri" w:hAnsi="Calibri" w:cstheme="minorHAnsi"/>
                <w:b/>
                <w:sz w:val="18"/>
                <w:szCs w:val="18"/>
              </w:rPr>
              <w:t>(</w:t>
            </w:r>
            <w:r w:rsidRPr="0010694E">
              <w:rPr>
                <w:rFonts w:ascii="Calibri" w:hAnsi="Calibri" w:cstheme="minorHAnsi"/>
                <w:b/>
                <w:sz w:val="18"/>
                <w:szCs w:val="18"/>
                <w:lang w:val="bg-BG"/>
              </w:rPr>
              <w:t>842</w:t>
            </w:r>
            <w:r w:rsidRPr="0010694E">
              <w:rPr>
                <w:rFonts w:ascii="Calibri" w:hAnsi="Calibri" w:cstheme="minorHAnsi"/>
                <w:b/>
                <w:sz w:val="18"/>
                <w:szCs w:val="18"/>
              </w:rPr>
              <w:t>)</w:t>
            </w:r>
          </w:p>
        </w:tc>
        <w:tc>
          <w:tcPr>
            <w:tcW w:w="825" w:type="dxa"/>
            <w:tcBorders>
              <w:top w:val="nil"/>
              <w:left w:val="nil"/>
              <w:bottom w:val="single" w:sz="8" w:space="0" w:color="auto"/>
              <w:right w:val="nil"/>
            </w:tcBorders>
            <w:shd w:val="clear" w:color="auto" w:fill="auto"/>
            <w:noWrap/>
            <w:tcMar>
              <w:left w:w="28" w:type="dxa"/>
              <w:right w:w="57" w:type="dxa"/>
            </w:tcMar>
            <w:vAlign w:val="bottom"/>
            <w:hideMark/>
          </w:tcPr>
          <w:p w14:paraId="48392ED2" w14:textId="77777777" w:rsidR="0084445A" w:rsidRPr="0010694E" w:rsidRDefault="0084445A" w:rsidP="00274E31">
            <w:pPr>
              <w:pStyle w:val="a0"/>
              <w:rPr>
                <w:rFonts w:ascii="Calibri" w:hAnsi="Calibri" w:cstheme="minorHAnsi"/>
                <w:b/>
                <w:sz w:val="18"/>
                <w:szCs w:val="18"/>
              </w:rPr>
            </w:pPr>
            <w:r w:rsidRPr="0010694E">
              <w:rPr>
                <w:rFonts w:ascii="Calibri" w:hAnsi="Calibri" w:cstheme="minorHAnsi"/>
                <w:b/>
                <w:sz w:val="18"/>
                <w:szCs w:val="18"/>
              </w:rPr>
              <w:t>(</w:t>
            </w:r>
            <w:r w:rsidRPr="0010694E">
              <w:rPr>
                <w:rFonts w:ascii="Calibri" w:hAnsi="Calibri" w:cstheme="minorHAnsi"/>
                <w:b/>
                <w:sz w:val="18"/>
                <w:szCs w:val="18"/>
                <w:lang w:val="bg-BG"/>
              </w:rPr>
              <w:t>990</w:t>
            </w:r>
            <w:r w:rsidRPr="0010694E">
              <w:rPr>
                <w:rFonts w:ascii="Calibri" w:hAnsi="Calibri" w:cstheme="minorHAnsi"/>
                <w:b/>
                <w:sz w:val="18"/>
                <w:szCs w:val="18"/>
              </w:rPr>
              <w:t>)</w:t>
            </w:r>
          </w:p>
        </w:tc>
        <w:tc>
          <w:tcPr>
            <w:tcW w:w="882" w:type="dxa"/>
            <w:tcBorders>
              <w:top w:val="nil"/>
              <w:left w:val="nil"/>
              <w:bottom w:val="single" w:sz="8" w:space="0" w:color="auto"/>
              <w:right w:val="nil"/>
            </w:tcBorders>
            <w:shd w:val="clear" w:color="auto" w:fill="auto"/>
            <w:noWrap/>
            <w:tcMar>
              <w:left w:w="28" w:type="dxa"/>
              <w:right w:w="57" w:type="dxa"/>
            </w:tcMar>
            <w:vAlign w:val="bottom"/>
            <w:hideMark/>
          </w:tcPr>
          <w:p w14:paraId="54C60E6C" w14:textId="77777777" w:rsidR="0084445A" w:rsidRPr="0010694E" w:rsidRDefault="0084445A" w:rsidP="00274E31">
            <w:pPr>
              <w:pStyle w:val="a0"/>
              <w:rPr>
                <w:rFonts w:ascii="Calibri" w:hAnsi="Calibri" w:cstheme="minorHAnsi"/>
                <w:b/>
                <w:sz w:val="18"/>
                <w:szCs w:val="18"/>
              </w:rPr>
            </w:pPr>
            <w:r w:rsidRPr="0010694E">
              <w:rPr>
                <w:rFonts w:ascii="Calibri" w:hAnsi="Calibri" w:cstheme="minorHAnsi"/>
                <w:b/>
                <w:sz w:val="18"/>
                <w:szCs w:val="18"/>
              </w:rPr>
              <w:t>(</w:t>
            </w:r>
            <w:r w:rsidRPr="0010694E">
              <w:rPr>
                <w:rFonts w:ascii="Calibri" w:hAnsi="Calibri" w:cstheme="minorHAnsi"/>
                <w:b/>
                <w:sz w:val="18"/>
                <w:szCs w:val="18"/>
                <w:lang w:val="bg-BG"/>
              </w:rPr>
              <w:t>499</w:t>
            </w:r>
            <w:r w:rsidRPr="0010694E">
              <w:rPr>
                <w:rFonts w:ascii="Calibri" w:hAnsi="Calibri" w:cstheme="minorHAnsi"/>
                <w:b/>
                <w:sz w:val="18"/>
                <w:szCs w:val="18"/>
              </w:rPr>
              <w:t>)</w:t>
            </w:r>
          </w:p>
        </w:tc>
        <w:tc>
          <w:tcPr>
            <w:tcW w:w="850" w:type="dxa"/>
            <w:tcBorders>
              <w:top w:val="nil"/>
              <w:left w:val="nil"/>
              <w:bottom w:val="single" w:sz="8" w:space="0" w:color="auto"/>
              <w:right w:val="nil"/>
            </w:tcBorders>
            <w:shd w:val="clear" w:color="auto" w:fill="auto"/>
            <w:noWrap/>
            <w:tcMar>
              <w:left w:w="28" w:type="dxa"/>
              <w:right w:w="57" w:type="dxa"/>
            </w:tcMar>
            <w:vAlign w:val="bottom"/>
            <w:hideMark/>
          </w:tcPr>
          <w:p w14:paraId="4D2420CC" w14:textId="77777777" w:rsidR="0084445A" w:rsidRPr="0010694E" w:rsidRDefault="0084445A" w:rsidP="00274E31">
            <w:pPr>
              <w:pStyle w:val="a0"/>
              <w:rPr>
                <w:rFonts w:ascii="Calibri" w:hAnsi="Calibri" w:cstheme="minorHAnsi"/>
                <w:b/>
                <w:sz w:val="18"/>
                <w:szCs w:val="18"/>
              </w:rPr>
            </w:pPr>
            <w:r w:rsidRPr="0010694E">
              <w:rPr>
                <w:rFonts w:ascii="Calibri" w:hAnsi="Calibri" w:cstheme="minorHAnsi"/>
                <w:b/>
                <w:sz w:val="18"/>
                <w:szCs w:val="18"/>
              </w:rPr>
              <w:t>(</w:t>
            </w:r>
            <w:r w:rsidRPr="0010694E">
              <w:rPr>
                <w:rFonts w:ascii="Calibri" w:hAnsi="Calibri" w:cstheme="minorHAnsi"/>
                <w:b/>
                <w:sz w:val="18"/>
                <w:szCs w:val="18"/>
                <w:lang w:val="bg-BG"/>
              </w:rPr>
              <w:t>362</w:t>
            </w:r>
            <w:r w:rsidRPr="0010694E">
              <w:rPr>
                <w:rFonts w:ascii="Calibri" w:hAnsi="Calibri" w:cstheme="minorHAnsi"/>
                <w:b/>
                <w:sz w:val="18"/>
                <w:szCs w:val="18"/>
              </w:rPr>
              <w:t>)</w:t>
            </w:r>
          </w:p>
        </w:tc>
        <w:tc>
          <w:tcPr>
            <w:tcW w:w="1133" w:type="dxa"/>
            <w:tcBorders>
              <w:top w:val="nil"/>
              <w:left w:val="nil"/>
              <w:bottom w:val="single" w:sz="8" w:space="0" w:color="auto"/>
              <w:right w:val="nil"/>
            </w:tcBorders>
            <w:shd w:val="clear" w:color="auto" w:fill="auto"/>
            <w:noWrap/>
            <w:tcMar>
              <w:left w:w="28" w:type="dxa"/>
              <w:right w:w="57" w:type="dxa"/>
            </w:tcMar>
            <w:vAlign w:val="bottom"/>
            <w:hideMark/>
          </w:tcPr>
          <w:p w14:paraId="7E0B0A99" w14:textId="77777777" w:rsidR="0084445A" w:rsidRPr="0010694E" w:rsidRDefault="0084445A" w:rsidP="00274E31">
            <w:pPr>
              <w:pStyle w:val="a0"/>
              <w:rPr>
                <w:rFonts w:ascii="Calibri" w:hAnsi="Calibri" w:cstheme="minorHAnsi"/>
                <w:b/>
                <w:sz w:val="18"/>
                <w:szCs w:val="18"/>
              </w:rPr>
            </w:pPr>
            <w:r w:rsidRPr="0010694E">
              <w:rPr>
                <w:rFonts w:ascii="Calibri" w:hAnsi="Calibri" w:cstheme="minorHAnsi"/>
                <w:b/>
                <w:sz w:val="18"/>
                <w:szCs w:val="18"/>
              </w:rPr>
              <w:t>(</w:t>
            </w:r>
            <w:r w:rsidRPr="0010694E">
              <w:rPr>
                <w:rFonts w:ascii="Calibri" w:hAnsi="Calibri" w:cstheme="minorHAnsi"/>
                <w:b/>
                <w:sz w:val="18"/>
                <w:szCs w:val="18"/>
                <w:lang w:val="bg-BG"/>
              </w:rPr>
              <w:t>528</w:t>
            </w:r>
            <w:r w:rsidRPr="0010694E">
              <w:rPr>
                <w:rFonts w:ascii="Calibri" w:hAnsi="Calibri" w:cstheme="minorHAnsi"/>
                <w:b/>
                <w:sz w:val="18"/>
                <w:szCs w:val="18"/>
              </w:rPr>
              <w:t>)</w:t>
            </w:r>
          </w:p>
        </w:tc>
        <w:tc>
          <w:tcPr>
            <w:tcW w:w="1134" w:type="dxa"/>
            <w:tcBorders>
              <w:top w:val="nil"/>
              <w:left w:val="nil"/>
              <w:bottom w:val="single" w:sz="8" w:space="0" w:color="auto"/>
              <w:right w:val="nil"/>
            </w:tcBorders>
            <w:shd w:val="clear" w:color="auto" w:fill="auto"/>
            <w:noWrap/>
            <w:tcMar>
              <w:left w:w="28" w:type="dxa"/>
              <w:right w:w="57" w:type="dxa"/>
            </w:tcMar>
            <w:vAlign w:val="bottom"/>
            <w:hideMark/>
          </w:tcPr>
          <w:p w14:paraId="08A27D48" w14:textId="77777777" w:rsidR="0084445A" w:rsidRPr="0010694E" w:rsidRDefault="0084445A" w:rsidP="00274E31">
            <w:pPr>
              <w:pStyle w:val="a0"/>
              <w:rPr>
                <w:rFonts w:ascii="Calibri" w:hAnsi="Calibri" w:cstheme="minorHAnsi"/>
                <w:b/>
                <w:sz w:val="18"/>
                <w:szCs w:val="18"/>
              </w:rPr>
            </w:pPr>
            <w:r w:rsidRPr="0010694E">
              <w:rPr>
                <w:rFonts w:ascii="Calibri" w:hAnsi="Calibri" w:cstheme="minorHAnsi"/>
                <w:b/>
                <w:sz w:val="18"/>
                <w:szCs w:val="18"/>
              </w:rPr>
              <w:t>(</w:t>
            </w:r>
            <w:r w:rsidRPr="0010694E">
              <w:rPr>
                <w:rFonts w:ascii="Calibri" w:hAnsi="Calibri" w:cstheme="minorHAnsi"/>
                <w:b/>
                <w:sz w:val="18"/>
                <w:szCs w:val="18"/>
                <w:lang w:val="bg-BG"/>
              </w:rPr>
              <w:t>512</w:t>
            </w:r>
            <w:r w:rsidRPr="0010694E">
              <w:rPr>
                <w:rFonts w:ascii="Calibri" w:hAnsi="Calibri" w:cstheme="minorHAnsi"/>
                <w:b/>
                <w:sz w:val="18"/>
                <w:szCs w:val="18"/>
              </w:rPr>
              <w:t>)</w:t>
            </w:r>
          </w:p>
        </w:tc>
        <w:tc>
          <w:tcPr>
            <w:tcW w:w="851" w:type="dxa"/>
            <w:tcBorders>
              <w:top w:val="nil"/>
              <w:left w:val="nil"/>
              <w:bottom w:val="single" w:sz="8" w:space="0" w:color="auto"/>
              <w:right w:val="nil"/>
            </w:tcBorders>
            <w:shd w:val="clear" w:color="auto" w:fill="auto"/>
            <w:noWrap/>
            <w:tcMar>
              <w:left w:w="28" w:type="dxa"/>
              <w:right w:w="57" w:type="dxa"/>
            </w:tcMar>
            <w:vAlign w:val="bottom"/>
            <w:hideMark/>
          </w:tcPr>
          <w:p w14:paraId="5CACE3A2" w14:textId="77777777" w:rsidR="0084445A" w:rsidRPr="0010694E" w:rsidRDefault="0084445A" w:rsidP="00274E31">
            <w:pPr>
              <w:pStyle w:val="a0"/>
              <w:rPr>
                <w:rFonts w:ascii="Calibri" w:hAnsi="Calibri" w:cstheme="minorHAnsi"/>
                <w:b/>
                <w:sz w:val="18"/>
                <w:szCs w:val="18"/>
              </w:rPr>
            </w:pPr>
            <w:r w:rsidRPr="0010694E">
              <w:rPr>
                <w:rFonts w:ascii="Calibri" w:hAnsi="Calibri" w:cstheme="minorHAnsi"/>
                <w:b/>
                <w:sz w:val="18"/>
                <w:szCs w:val="18"/>
              </w:rPr>
              <w:t>(</w:t>
            </w:r>
            <w:r w:rsidRPr="0010694E">
              <w:rPr>
                <w:rFonts w:ascii="Calibri" w:hAnsi="Calibri" w:cstheme="minorHAnsi"/>
                <w:b/>
                <w:sz w:val="18"/>
                <w:szCs w:val="18"/>
                <w:lang w:val="bg-BG"/>
              </w:rPr>
              <w:t>1,869</w:t>
            </w:r>
            <w:r w:rsidRPr="0010694E">
              <w:rPr>
                <w:rFonts w:ascii="Calibri" w:hAnsi="Calibri" w:cstheme="minorHAnsi"/>
                <w:b/>
                <w:sz w:val="18"/>
                <w:szCs w:val="18"/>
              </w:rPr>
              <w:t>)</w:t>
            </w:r>
          </w:p>
        </w:tc>
        <w:tc>
          <w:tcPr>
            <w:tcW w:w="777" w:type="dxa"/>
            <w:tcBorders>
              <w:top w:val="nil"/>
              <w:left w:val="nil"/>
              <w:bottom w:val="single" w:sz="8" w:space="0" w:color="auto"/>
              <w:right w:val="nil"/>
            </w:tcBorders>
            <w:shd w:val="clear" w:color="auto" w:fill="auto"/>
            <w:noWrap/>
            <w:tcMar>
              <w:left w:w="28" w:type="dxa"/>
              <w:right w:w="57" w:type="dxa"/>
            </w:tcMar>
            <w:vAlign w:val="bottom"/>
            <w:hideMark/>
          </w:tcPr>
          <w:p w14:paraId="6FA5ABB2" w14:textId="77777777" w:rsidR="0084445A" w:rsidRPr="0010694E" w:rsidRDefault="0084445A" w:rsidP="00274E31">
            <w:pPr>
              <w:pStyle w:val="a0"/>
              <w:rPr>
                <w:rFonts w:ascii="Calibri" w:hAnsi="Calibri" w:cstheme="minorHAnsi"/>
                <w:b/>
                <w:sz w:val="18"/>
                <w:szCs w:val="18"/>
              </w:rPr>
            </w:pPr>
            <w:r w:rsidRPr="0010694E">
              <w:rPr>
                <w:rFonts w:ascii="Calibri" w:hAnsi="Calibri" w:cstheme="minorHAnsi"/>
                <w:b/>
                <w:sz w:val="18"/>
                <w:szCs w:val="18"/>
              </w:rPr>
              <w:t>(</w:t>
            </w:r>
            <w:r w:rsidRPr="0010694E">
              <w:rPr>
                <w:rFonts w:ascii="Calibri" w:hAnsi="Calibri" w:cstheme="minorHAnsi"/>
                <w:b/>
                <w:sz w:val="18"/>
                <w:szCs w:val="18"/>
                <w:lang w:val="bg-BG"/>
              </w:rPr>
              <w:t>1,865</w:t>
            </w:r>
            <w:r w:rsidRPr="0010694E">
              <w:rPr>
                <w:rFonts w:ascii="Calibri" w:hAnsi="Calibri" w:cstheme="minorHAnsi"/>
                <w:b/>
                <w:sz w:val="18"/>
                <w:szCs w:val="18"/>
              </w:rPr>
              <w:t>)</w:t>
            </w:r>
          </w:p>
        </w:tc>
      </w:tr>
      <w:tr w:rsidR="0084445A" w:rsidRPr="0010694E" w14:paraId="113AEEDD"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6555C4BA" w14:textId="77777777" w:rsidR="0084445A" w:rsidRPr="0010694E" w:rsidRDefault="0084445A" w:rsidP="00274E31">
            <w:pPr>
              <w:pStyle w:val="a"/>
              <w:rPr>
                <w:rFonts w:ascii="Calibri" w:hAnsi="Calibri" w:cstheme="minorHAnsi"/>
                <w:b/>
                <w:color w:val="auto"/>
                <w:szCs w:val="20"/>
                <w:lang w:val="bg-BG"/>
              </w:rPr>
            </w:pPr>
            <w:r w:rsidRPr="0010694E">
              <w:rPr>
                <w:rFonts w:ascii="Calibri" w:hAnsi="Calibri" w:cstheme="minorHAnsi"/>
                <w:b/>
                <w:color w:val="auto"/>
                <w:szCs w:val="20"/>
                <w:lang w:val="bg-BG"/>
              </w:rPr>
              <w:t>Резултат на сегмента</w:t>
            </w:r>
          </w:p>
        </w:tc>
        <w:tc>
          <w:tcPr>
            <w:tcW w:w="846" w:type="dxa"/>
            <w:tcBorders>
              <w:top w:val="nil"/>
              <w:left w:val="nil"/>
              <w:bottom w:val="double" w:sz="6" w:space="0" w:color="auto"/>
              <w:right w:val="nil"/>
            </w:tcBorders>
            <w:shd w:val="clear" w:color="auto" w:fill="auto"/>
            <w:noWrap/>
            <w:tcMar>
              <w:left w:w="28" w:type="dxa"/>
              <w:right w:w="57" w:type="dxa"/>
            </w:tcMar>
            <w:vAlign w:val="bottom"/>
            <w:hideMark/>
          </w:tcPr>
          <w:p w14:paraId="26690012" w14:textId="77777777" w:rsidR="0084445A" w:rsidRPr="0010694E" w:rsidRDefault="0084445A" w:rsidP="00274E31">
            <w:pPr>
              <w:pStyle w:val="a0"/>
              <w:rPr>
                <w:rFonts w:ascii="Calibri" w:hAnsi="Calibri" w:cstheme="minorHAnsi"/>
                <w:b/>
                <w:sz w:val="18"/>
                <w:szCs w:val="18"/>
              </w:rPr>
            </w:pPr>
            <w:r w:rsidRPr="0010694E">
              <w:rPr>
                <w:rFonts w:ascii="Calibri" w:hAnsi="Calibri" w:cstheme="minorHAnsi"/>
                <w:b/>
                <w:sz w:val="18"/>
                <w:szCs w:val="18"/>
              </w:rPr>
              <w:t>(</w:t>
            </w:r>
            <w:r w:rsidRPr="0010694E">
              <w:rPr>
                <w:rFonts w:ascii="Calibri" w:hAnsi="Calibri" w:cstheme="minorHAnsi"/>
                <w:b/>
                <w:sz w:val="18"/>
                <w:szCs w:val="18"/>
                <w:lang w:val="bg-BG"/>
              </w:rPr>
              <w:t>122</w:t>
            </w:r>
            <w:r w:rsidRPr="0010694E">
              <w:rPr>
                <w:rFonts w:ascii="Calibri" w:hAnsi="Calibri" w:cstheme="minorHAnsi"/>
                <w:b/>
                <w:sz w:val="18"/>
                <w:szCs w:val="18"/>
              </w:rPr>
              <w:t>)</w:t>
            </w:r>
          </w:p>
        </w:tc>
        <w:tc>
          <w:tcPr>
            <w:tcW w:w="825" w:type="dxa"/>
            <w:tcBorders>
              <w:top w:val="nil"/>
              <w:left w:val="nil"/>
              <w:bottom w:val="double" w:sz="6" w:space="0" w:color="auto"/>
              <w:right w:val="nil"/>
            </w:tcBorders>
            <w:shd w:val="clear" w:color="auto" w:fill="auto"/>
            <w:noWrap/>
            <w:tcMar>
              <w:left w:w="28" w:type="dxa"/>
              <w:right w:w="57" w:type="dxa"/>
            </w:tcMar>
            <w:vAlign w:val="bottom"/>
            <w:hideMark/>
          </w:tcPr>
          <w:p w14:paraId="2534669E" w14:textId="77777777" w:rsidR="0084445A" w:rsidRPr="0010694E" w:rsidRDefault="0084445A" w:rsidP="00274E31">
            <w:pPr>
              <w:pStyle w:val="a0"/>
              <w:rPr>
                <w:rFonts w:ascii="Calibri" w:hAnsi="Calibri" w:cstheme="minorHAnsi"/>
                <w:b/>
                <w:sz w:val="18"/>
                <w:szCs w:val="18"/>
                <w:lang w:val="bg-BG"/>
              </w:rPr>
            </w:pPr>
            <w:r w:rsidRPr="0010694E">
              <w:rPr>
                <w:rFonts w:ascii="Calibri" w:hAnsi="Calibri" w:cstheme="minorHAnsi"/>
                <w:b/>
                <w:sz w:val="18"/>
                <w:szCs w:val="18"/>
                <w:lang w:val="bg-BG"/>
              </w:rPr>
              <w:t>41</w:t>
            </w:r>
          </w:p>
        </w:tc>
        <w:tc>
          <w:tcPr>
            <w:tcW w:w="882" w:type="dxa"/>
            <w:tcBorders>
              <w:top w:val="nil"/>
              <w:left w:val="nil"/>
              <w:bottom w:val="double" w:sz="6" w:space="0" w:color="auto"/>
              <w:right w:val="nil"/>
            </w:tcBorders>
            <w:shd w:val="clear" w:color="auto" w:fill="auto"/>
            <w:noWrap/>
            <w:tcMar>
              <w:left w:w="28" w:type="dxa"/>
              <w:right w:w="57" w:type="dxa"/>
            </w:tcMar>
            <w:vAlign w:val="bottom"/>
            <w:hideMark/>
          </w:tcPr>
          <w:p w14:paraId="66517817" w14:textId="77777777" w:rsidR="0084445A" w:rsidRPr="0010694E" w:rsidRDefault="0084445A" w:rsidP="00274E31">
            <w:pPr>
              <w:pStyle w:val="a0"/>
              <w:widowControl w:val="0"/>
              <w:rPr>
                <w:rFonts w:ascii="Calibri" w:hAnsi="Calibri" w:cstheme="minorHAnsi"/>
                <w:b/>
                <w:sz w:val="18"/>
                <w:szCs w:val="18"/>
                <w:lang w:val="bg-BG"/>
              </w:rPr>
            </w:pPr>
            <w:r w:rsidRPr="0010694E">
              <w:rPr>
                <w:rFonts w:ascii="Calibri" w:hAnsi="Calibri" w:cstheme="minorHAnsi"/>
                <w:b/>
                <w:sz w:val="18"/>
                <w:szCs w:val="18"/>
                <w:lang w:val="bg-BG"/>
              </w:rPr>
              <w:t>25</w:t>
            </w:r>
          </w:p>
        </w:tc>
        <w:tc>
          <w:tcPr>
            <w:tcW w:w="850" w:type="dxa"/>
            <w:tcBorders>
              <w:top w:val="nil"/>
              <w:left w:val="nil"/>
              <w:bottom w:val="double" w:sz="6" w:space="0" w:color="auto"/>
              <w:right w:val="nil"/>
            </w:tcBorders>
            <w:shd w:val="clear" w:color="auto" w:fill="auto"/>
            <w:noWrap/>
            <w:tcMar>
              <w:left w:w="28" w:type="dxa"/>
              <w:right w:w="57" w:type="dxa"/>
            </w:tcMar>
            <w:vAlign w:val="bottom"/>
            <w:hideMark/>
          </w:tcPr>
          <w:p w14:paraId="5E78E923" w14:textId="77777777" w:rsidR="0084445A" w:rsidRPr="0010694E" w:rsidRDefault="0084445A" w:rsidP="00274E31">
            <w:pPr>
              <w:pStyle w:val="a0"/>
              <w:rPr>
                <w:rFonts w:ascii="Calibri" w:hAnsi="Calibri" w:cstheme="minorHAnsi"/>
                <w:b/>
                <w:sz w:val="18"/>
                <w:szCs w:val="18"/>
                <w:lang w:val="bg-BG"/>
              </w:rPr>
            </w:pPr>
            <w:r w:rsidRPr="0010694E">
              <w:rPr>
                <w:rFonts w:ascii="Calibri" w:hAnsi="Calibri" w:cstheme="minorHAnsi"/>
                <w:b/>
                <w:sz w:val="18"/>
                <w:szCs w:val="18"/>
                <w:lang w:val="bg-BG"/>
              </w:rPr>
              <w:t>70</w:t>
            </w:r>
          </w:p>
        </w:tc>
        <w:tc>
          <w:tcPr>
            <w:tcW w:w="1133" w:type="dxa"/>
            <w:tcBorders>
              <w:top w:val="nil"/>
              <w:left w:val="nil"/>
              <w:bottom w:val="double" w:sz="6" w:space="0" w:color="auto"/>
              <w:right w:val="nil"/>
            </w:tcBorders>
            <w:shd w:val="clear" w:color="auto" w:fill="auto"/>
            <w:noWrap/>
            <w:tcMar>
              <w:left w:w="28" w:type="dxa"/>
              <w:right w:w="57" w:type="dxa"/>
            </w:tcMar>
            <w:vAlign w:val="bottom"/>
            <w:hideMark/>
          </w:tcPr>
          <w:p w14:paraId="5F94DB4C" w14:textId="77777777" w:rsidR="0084445A" w:rsidRPr="0010694E" w:rsidRDefault="0084445A" w:rsidP="00274E31">
            <w:pPr>
              <w:pStyle w:val="a0"/>
              <w:rPr>
                <w:rFonts w:ascii="Calibri" w:hAnsi="Calibri" w:cstheme="minorHAnsi"/>
                <w:b/>
                <w:sz w:val="18"/>
                <w:szCs w:val="18"/>
                <w:lang w:val="bg-BG"/>
              </w:rPr>
            </w:pPr>
            <w:r w:rsidRPr="0010694E">
              <w:rPr>
                <w:rFonts w:ascii="Calibri" w:hAnsi="Calibri" w:cstheme="minorHAnsi"/>
                <w:b/>
                <w:sz w:val="18"/>
                <w:szCs w:val="18"/>
                <w:lang w:val="bg-BG"/>
              </w:rPr>
              <w:t>113</w:t>
            </w:r>
          </w:p>
        </w:tc>
        <w:tc>
          <w:tcPr>
            <w:tcW w:w="1134" w:type="dxa"/>
            <w:tcBorders>
              <w:top w:val="nil"/>
              <w:left w:val="nil"/>
              <w:bottom w:val="double" w:sz="6" w:space="0" w:color="auto"/>
              <w:right w:val="nil"/>
            </w:tcBorders>
            <w:shd w:val="clear" w:color="auto" w:fill="auto"/>
            <w:noWrap/>
            <w:tcMar>
              <w:left w:w="28" w:type="dxa"/>
              <w:right w:w="57" w:type="dxa"/>
            </w:tcMar>
            <w:vAlign w:val="bottom"/>
            <w:hideMark/>
          </w:tcPr>
          <w:p w14:paraId="6CADEEEA" w14:textId="77777777" w:rsidR="0084445A" w:rsidRPr="0010694E" w:rsidRDefault="0084445A" w:rsidP="00274E31">
            <w:pPr>
              <w:pStyle w:val="a0"/>
              <w:widowControl w:val="0"/>
              <w:rPr>
                <w:rFonts w:ascii="Calibri" w:hAnsi="Calibri" w:cstheme="minorHAnsi"/>
                <w:b/>
                <w:sz w:val="18"/>
                <w:szCs w:val="18"/>
                <w:lang w:val="bg-BG"/>
              </w:rPr>
            </w:pPr>
            <w:r w:rsidRPr="0010694E">
              <w:rPr>
                <w:rFonts w:ascii="Calibri" w:hAnsi="Calibri" w:cstheme="minorHAnsi"/>
                <w:b/>
                <w:sz w:val="18"/>
                <w:szCs w:val="18"/>
                <w:lang w:val="bg-BG"/>
              </w:rPr>
              <w:t>146</w:t>
            </w:r>
          </w:p>
        </w:tc>
        <w:tc>
          <w:tcPr>
            <w:tcW w:w="851" w:type="dxa"/>
            <w:tcBorders>
              <w:top w:val="nil"/>
              <w:left w:val="nil"/>
              <w:bottom w:val="double" w:sz="6" w:space="0" w:color="auto"/>
              <w:right w:val="nil"/>
            </w:tcBorders>
            <w:shd w:val="clear" w:color="auto" w:fill="auto"/>
            <w:noWrap/>
            <w:tcMar>
              <w:left w:w="28" w:type="dxa"/>
              <w:right w:w="57" w:type="dxa"/>
            </w:tcMar>
            <w:vAlign w:val="bottom"/>
            <w:hideMark/>
          </w:tcPr>
          <w:p w14:paraId="67B36DF5" w14:textId="77777777" w:rsidR="0084445A" w:rsidRPr="0010694E" w:rsidRDefault="0084445A" w:rsidP="00274E31">
            <w:pPr>
              <w:pStyle w:val="a0"/>
              <w:widowControl w:val="0"/>
              <w:rPr>
                <w:rFonts w:ascii="Calibri" w:hAnsi="Calibri" w:cstheme="minorHAnsi"/>
                <w:b/>
                <w:sz w:val="18"/>
                <w:szCs w:val="18"/>
                <w:lang w:val="bg-BG"/>
              </w:rPr>
            </w:pPr>
            <w:r w:rsidRPr="0010694E">
              <w:rPr>
                <w:rFonts w:ascii="Calibri" w:hAnsi="Calibri" w:cstheme="minorHAnsi"/>
                <w:b/>
                <w:sz w:val="18"/>
                <w:szCs w:val="18"/>
                <w:lang w:val="bg-BG"/>
              </w:rPr>
              <w:t>16</w:t>
            </w:r>
          </w:p>
        </w:tc>
        <w:tc>
          <w:tcPr>
            <w:tcW w:w="777" w:type="dxa"/>
            <w:tcBorders>
              <w:top w:val="nil"/>
              <w:left w:val="nil"/>
              <w:bottom w:val="double" w:sz="6" w:space="0" w:color="auto"/>
              <w:right w:val="nil"/>
            </w:tcBorders>
            <w:shd w:val="clear" w:color="auto" w:fill="auto"/>
            <w:noWrap/>
            <w:tcMar>
              <w:left w:w="28" w:type="dxa"/>
              <w:right w:w="57" w:type="dxa"/>
            </w:tcMar>
            <w:vAlign w:val="bottom"/>
            <w:hideMark/>
          </w:tcPr>
          <w:p w14:paraId="698E4005" w14:textId="77777777" w:rsidR="0084445A" w:rsidRPr="0010694E" w:rsidRDefault="0084445A" w:rsidP="00274E31">
            <w:pPr>
              <w:pStyle w:val="a0"/>
              <w:widowControl w:val="0"/>
              <w:rPr>
                <w:rFonts w:ascii="Calibri" w:hAnsi="Calibri" w:cstheme="minorHAnsi"/>
                <w:b/>
                <w:sz w:val="18"/>
                <w:szCs w:val="18"/>
                <w:lang w:val="bg-BG"/>
              </w:rPr>
            </w:pPr>
            <w:r w:rsidRPr="0010694E">
              <w:rPr>
                <w:rFonts w:ascii="Calibri" w:hAnsi="Calibri" w:cstheme="minorHAnsi"/>
                <w:b/>
                <w:sz w:val="18"/>
                <w:szCs w:val="18"/>
                <w:lang w:val="bg-BG"/>
              </w:rPr>
              <w:t>256</w:t>
            </w:r>
          </w:p>
        </w:tc>
      </w:tr>
      <w:tr w:rsidR="0084445A" w:rsidRPr="0010694E" w14:paraId="4C13D9C2" w14:textId="77777777" w:rsidTr="00827A7E">
        <w:trPr>
          <w:trHeight w:val="20"/>
          <w:jc w:val="center"/>
        </w:trPr>
        <w:tc>
          <w:tcPr>
            <w:tcW w:w="5357" w:type="dxa"/>
            <w:gridSpan w:val="3"/>
            <w:tcBorders>
              <w:top w:val="nil"/>
              <w:left w:val="nil"/>
              <w:bottom w:val="nil"/>
              <w:right w:val="nil"/>
            </w:tcBorders>
            <w:shd w:val="clear" w:color="auto" w:fill="auto"/>
            <w:noWrap/>
            <w:tcMar>
              <w:left w:w="28" w:type="dxa"/>
              <w:right w:w="57" w:type="dxa"/>
            </w:tcMar>
            <w:hideMark/>
          </w:tcPr>
          <w:p w14:paraId="1CEA4F1B" w14:textId="77777777" w:rsidR="0084445A" w:rsidRPr="0010694E" w:rsidRDefault="0084445A" w:rsidP="00274E31">
            <w:pPr>
              <w:pStyle w:val="a0"/>
              <w:jc w:val="left"/>
              <w:rPr>
                <w:rFonts w:ascii="Calibri" w:hAnsi="Calibri" w:cstheme="minorHAnsi"/>
                <w:color w:val="auto"/>
                <w:szCs w:val="20"/>
              </w:rPr>
            </w:pPr>
            <w:proofErr w:type="spellStart"/>
            <w:r w:rsidRPr="0010694E">
              <w:rPr>
                <w:rFonts w:ascii="Calibri" w:hAnsi="Calibri" w:cstheme="minorHAnsi"/>
                <w:color w:val="auto"/>
                <w:szCs w:val="20"/>
              </w:rPr>
              <w:t>Неразпределени</w:t>
            </w:r>
            <w:proofErr w:type="spellEnd"/>
            <w:r w:rsidRPr="0010694E">
              <w:rPr>
                <w:rFonts w:ascii="Calibri" w:hAnsi="Calibri" w:cstheme="minorHAnsi"/>
                <w:color w:val="auto"/>
                <w:szCs w:val="20"/>
              </w:rPr>
              <w:t xml:space="preserve"> </w:t>
            </w:r>
            <w:proofErr w:type="spellStart"/>
            <w:r w:rsidRPr="0010694E">
              <w:rPr>
                <w:rFonts w:ascii="Calibri" w:hAnsi="Calibri" w:cstheme="minorHAnsi"/>
                <w:color w:val="auto"/>
                <w:szCs w:val="20"/>
              </w:rPr>
              <w:t>оперативни</w:t>
            </w:r>
            <w:proofErr w:type="spellEnd"/>
            <w:r w:rsidRPr="0010694E">
              <w:rPr>
                <w:rFonts w:ascii="Calibri" w:hAnsi="Calibri" w:cstheme="minorHAnsi"/>
                <w:color w:val="auto"/>
                <w:szCs w:val="20"/>
              </w:rPr>
              <w:t xml:space="preserve"> </w:t>
            </w:r>
            <w:proofErr w:type="spellStart"/>
            <w:r w:rsidRPr="0010694E">
              <w:rPr>
                <w:rFonts w:ascii="Calibri" w:hAnsi="Calibri" w:cstheme="minorHAnsi"/>
                <w:color w:val="auto"/>
                <w:szCs w:val="20"/>
              </w:rPr>
              <w:t>доходи</w:t>
            </w:r>
            <w:proofErr w:type="spellEnd"/>
            <w:r w:rsidRPr="0010694E">
              <w:rPr>
                <w:rFonts w:ascii="Calibri" w:hAnsi="Calibri" w:cstheme="minorHAnsi"/>
                <w:color w:val="auto"/>
                <w:szCs w:val="20"/>
              </w:rPr>
              <w:t xml:space="preserve"> </w:t>
            </w:r>
            <w:proofErr w:type="spellStart"/>
            <w:r w:rsidRPr="0010694E">
              <w:rPr>
                <w:rFonts w:ascii="Calibri" w:hAnsi="Calibri" w:cstheme="minorHAnsi"/>
                <w:color w:val="auto"/>
                <w:szCs w:val="20"/>
              </w:rPr>
              <w:t>от</w:t>
            </w:r>
            <w:proofErr w:type="spellEnd"/>
            <w:r w:rsidRPr="0010694E">
              <w:rPr>
                <w:rFonts w:ascii="Calibri" w:hAnsi="Calibri" w:cstheme="minorHAnsi"/>
                <w:color w:val="auto"/>
                <w:szCs w:val="20"/>
              </w:rPr>
              <w:t xml:space="preserve"> </w:t>
            </w:r>
            <w:proofErr w:type="spellStart"/>
            <w:r w:rsidRPr="0010694E">
              <w:rPr>
                <w:rFonts w:ascii="Calibri" w:hAnsi="Calibri" w:cstheme="minorHAnsi"/>
                <w:color w:val="auto"/>
                <w:szCs w:val="20"/>
              </w:rPr>
              <w:t>дейността</w:t>
            </w:r>
            <w:proofErr w:type="spellEnd"/>
          </w:p>
        </w:tc>
        <w:tc>
          <w:tcPr>
            <w:tcW w:w="882" w:type="dxa"/>
            <w:tcBorders>
              <w:top w:val="nil"/>
              <w:left w:val="nil"/>
              <w:bottom w:val="nil"/>
              <w:right w:val="nil"/>
            </w:tcBorders>
            <w:shd w:val="clear" w:color="auto" w:fill="auto"/>
            <w:noWrap/>
            <w:tcMar>
              <w:left w:w="28" w:type="dxa"/>
              <w:right w:w="57" w:type="dxa"/>
            </w:tcMar>
            <w:vAlign w:val="bottom"/>
            <w:hideMark/>
          </w:tcPr>
          <w:p w14:paraId="63E988D6" w14:textId="77777777" w:rsidR="0084445A" w:rsidRPr="0010694E" w:rsidRDefault="0084445A" w:rsidP="00274E31">
            <w:pPr>
              <w:pStyle w:val="a0"/>
              <w:rPr>
                <w:rFonts w:ascii="Calibri" w:hAnsi="Calibri" w:cstheme="minorHAnsi"/>
                <w:color w:val="auto"/>
                <w:szCs w:val="20"/>
              </w:rPr>
            </w:pPr>
          </w:p>
        </w:tc>
        <w:tc>
          <w:tcPr>
            <w:tcW w:w="850" w:type="dxa"/>
            <w:tcBorders>
              <w:top w:val="nil"/>
              <w:left w:val="nil"/>
              <w:bottom w:val="nil"/>
              <w:right w:val="nil"/>
            </w:tcBorders>
            <w:shd w:val="clear" w:color="auto" w:fill="auto"/>
            <w:noWrap/>
            <w:tcMar>
              <w:left w:w="28" w:type="dxa"/>
              <w:right w:w="57" w:type="dxa"/>
            </w:tcMar>
            <w:vAlign w:val="bottom"/>
            <w:hideMark/>
          </w:tcPr>
          <w:p w14:paraId="11336544" w14:textId="77777777" w:rsidR="0084445A" w:rsidRPr="0010694E" w:rsidRDefault="0084445A" w:rsidP="00274E31">
            <w:pPr>
              <w:pStyle w:val="a0"/>
              <w:rPr>
                <w:rFonts w:ascii="Calibri" w:hAnsi="Calibri" w:cstheme="minorHAnsi"/>
                <w:color w:val="auto"/>
                <w:szCs w:val="20"/>
              </w:rPr>
            </w:pPr>
          </w:p>
        </w:tc>
        <w:tc>
          <w:tcPr>
            <w:tcW w:w="1133" w:type="dxa"/>
            <w:tcBorders>
              <w:top w:val="nil"/>
              <w:left w:val="nil"/>
              <w:bottom w:val="nil"/>
              <w:right w:val="nil"/>
            </w:tcBorders>
            <w:shd w:val="clear" w:color="auto" w:fill="auto"/>
            <w:noWrap/>
            <w:tcMar>
              <w:left w:w="28" w:type="dxa"/>
              <w:right w:w="57" w:type="dxa"/>
            </w:tcMar>
            <w:vAlign w:val="bottom"/>
            <w:hideMark/>
          </w:tcPr>
          <w:p w14:paraId="7BC0AE47" w14:textId="77777777" w:rsidR="0084445A" w:rsidRPr="0010694E" w:rsidRDefault="0084445A" w:rsidP="00274E31">
            <w:pPr>
              <w:pStyle w:val="a0"/>
              <w:rPr>
                <w:rFonts w:ascii="Calibri" w:hAnsi="Calibri" w:cstheme="minorHAnsi"/>
                <w:color w:val="auto"/>
                <w:szCs w:val="20"/>
              </w:rPr>
            </w:pPr>
          </w:p>
        </w:tc>
        <w:tc>
          <w:tcPr>
            <w:tcW w:w="1134" w:type="dxa"/>
            <w:tcBorders>
              <w:top w:val="nil"/>
              <w:left w:val="nil"/>
              <w:bottom w:val="nil"/>
              <w:right w:val="nil"/>
            </w:tcBorders>
            <w:shd w:val="clear" w:color="auto" w:fill="auto"/>
            <w:noWrap/>
            <w:tcMar>
              <w:left w:w="28" w:type="dxa"/>
              <w:right w:w="57" w:type="dxa"/>
            </w:tcMar>
            <w:vAlign w:val="bottom"/>
            <w:hideMark/>
          </w:tcPr>
          <w:p w14:paraId="29EACC0F" w14:textId="77777777" w:rsidR="0084445A" w:rsidRPr="0010694E" w:rsidRDefault="0084445A" w:rsidP="00274E31">
            <w:pPr>
              <w:pStyle w:val="a0"/>
              <w:rPr>
                <w:rFonts w:ascii="Calibri" w:hAnsi="Calibri" w:cstheme="minorHAnsi"/>
                <w:color w:val="auto"/>
                <w:szCs w:val="20"/>
              </w:rPr>
            </w:pPr>
          </w:p>
        </w:tc>
        <w:tc>
          <w:tcPr>
            <w:tcW w:w="851" w:type="dxa"/>
            <w:tcBorders>
              <w:top w:val="nil"/>
              <w:left w:val="nil"/>
              <w:bottom w:val="nil"/>
              <w:right w:val="nil"/>
            </w:tcBorders>
            <w:shd w:val="clear" w:color="auto" w:fill="auto"/>
            <w:noWrap/>
            <w:tcMar>
              <w:left w:w="28" w:type="dxa"/>
              <w:right w:w="57" w:type="dxa"/>
            </w:tcMar>
            <w:vAlign w:val="bottom"/>
            <w:hideMark/>
          </w:tcPr>
          <w:p w14:paraId="2FA33570" w14:textId="77777777" w:rsidR="0084445A" w:rsidRPr="0010694E" w:rsidRDefault="0084445A" w:rsidP="00274E31">
            <w:pPr>
              <w:pStyle w:val="a0"/>
              <w:widowControl w:val="0"/>
              <w:rPr>
                <w:rFonts w:ascii="Calibri" w:hAnsi="Calibri" w:cstheme="minorHAnsi"/>
                <w:color w:val="auto"/>
                <w:sz w:val="18"/>
                <w:szCs w:val="18"/>
                <w:lang w:val="bg-BG"/>
              </w:rPr>
            </w:pPr>
            <w:r w:rsidRPr="0010694E">
              <w:rPr>
                <w:rFonts w:ascii="Calibri" w:hAnsi="Calibri" w:cstheme="minorHAnsi"/>
                <w:color w:val="auto"/>
                <w:sz w:val="18"/>
                <w:szCs w:val="18"/>
                <w:lang w:val="bg-BG"/>
              </w:rPr>
              <w:t>61</w:t>
            </w:r>
          </w:p>
        </w:tc>
        <w:tc>
          <w:tcPr>
            <w:tcW w:w="777" w:type="dxa"/>
            <w:tcBorders>
              <w:top w:val="nil"/>
              <w:left w:val="nil"/>
              <w:bottom w:val="nil"/>
              <w:right w:val="nil"/>
            </w:tcBorders>
            <w:shd w:val="clear" w:color="auto" w:fill="auto"/>
            <w:noWrap/>
            <w:tcMar>
              <w:left w:w="28" w:type="dxa"/>
              <w:right w:w="57" w:type="dxa"/>
            </w:tcMar>
            <w:vAlign w:val="bottom"/>
            <w:hideMark/>
          </w:tcPr>
          <w:p w14:paraId="2345E94C" w14:textId="77777777" w:rsidR="0084445A" w:rsidRPr="0010694E" w:rsidRDefault="0084445A" w:rsidP="00274E31">
            <w:pPr>
              <w:pStyle w:val="a0"/>
              <w:rPr>
                <w:rFonts w:ascii="Calibri" w:hAnsi="Calibri" w:cstheme="minorHAnsi"/>
                <w:color w:val="auto"/>
                <w:sz w:val="18"/>
                <w:szCs w:val="18"/>
                <w:lang w:val="bg-BG"/>
              </w:rPr>
            </w:pPr>
            <w:r w:rsidRPr="0010694E">
              <w:rPr>
                <w:rFonts w:ascii="Calibri" w:hAnsi="Calibri" w:cstheme="minorHAnsi"/>
                <w:color w:val="auto"/>
                <w:sz w:val="18"/>
                <w:szCs w:val="18"/>
                <w:lang w:val="bg-BG"/>
              </w:rPr>
              <w:t>60</w:t>
            </w:r>
          </w:p>
        </w:tc>
      </w:tr>
      <w:tr w:rsidR="0084445A" w:rsidRPr="0010694E" w14:paraId="5BD8E2C2" w14:textId="77777777" w:rsidTr="00827A7E">
        <w:trPr>
          <w:trHeight w:val="20"/>
          <w:jc w:val="center"/>
        </w:trPr>
        <w:tc>
          <w:tcPr>
            <w:tcW w:w="6239" w:type="dxa"/>
            <w:gridSpan w:val="4"/>
            <w:tcBorders>
              <w:top w:val="nil"/>
              <w:left w:val="nil"/>
              <w:bottom w:val="nil"/>
              <w:right w:val="nil"/>
            </w:tcBorders>
            <w:shd w:val="clear" w:color="auto" w:fill="auto"/>
            <w:noWrap/>
            <w:tcMar>
              <w:left w:w="28" w:type="dxa"/>
              <w:right w:w="57" w:type="dxa"/>
            </w:tcMar>
            <w:hideMark/>
          </w:tcPr>
          <w:p w14:paraId="3095B674" w14:textId="77777777" w:rsidR="0084445A" w:rsidRPr="0010694E" w:rsidRDefault="0084445A" w:rsidP="00274E31">
            <w:pPr>
              <w:pStyle w:val="a0"/>
              <w:jc w:val="left"/>
              <w:rPr>
                <w:rFonts w:ascii="Calibri" w:hAnsi="Calibri" w:cstheme="minorHAnsi"/>
                <w:color w:val="auto"/>
                <w:szCs w:val="20"/>
              </w:rPr>
            </w:pPr>
            <w:proofErr w:type="spellStart"/>
            <w:r w:rsidRPr="0010694E">
              <w:rPr>
                <w:rFonts w:ascii="Calibri" w:hAnsi="Calibri" w:cstheme="minorHAnsi"/>
                <w:color w:val="auto"/>
                <w:szCs w:val="20"/>
              </w:rPr>
              <w:t>Неразпределени</w:t>
            </w:r>
            <w:proofErr w:type="spellEnd"/>
            <w:r w:rsidRPr="0010694E">
              <w:rPr>
                <w:rFonts w:ascii="Calibri" w:hAnsi="Calibri" w:cstheme="minorHAnsi"/>
                <w:color w:val="auto"/>
                <w:szCs w:val="20"/>
              </w:rPr>
              <w:t xml:space="preserve"> </w:t>
            </w:r>
            <w:proofErr w:type="spellStart"/>
            <w:r w:rsidRPr="0010694E">
              <w:rPr>
                <w:rFonts w:ascii="Calibri" w:hAnsi="Calibri" w:cstheme="minorHAnsi"/>
                <w:color w:val="auto"/>
                <w:szCs w:val="20"/>
              </w:rPr>
              <w:t>оперативни</w:t>
            </w:r>
            <w:proofErr w:type="spellEnd"/>
            <w:r w:rsidRPr="0010694E">
              <w:rPr>
                <w:rFonts w:ascii="Calibri" w:hAnsi="Calibri" w:cstheme="minorHAnsi"/>
                <w:color w:val="auto"/>
                <w:szCs w:val="20"/>
              </w:rPr>
              <w:t xml:space="preserve"> </w:t>
            </w:r>
            <w:proofErr w:type="spellStart"/>
            <w:r w:rsidRPr="0010694E">
              <w:rPr>
                <w:rFonts w:ascii="Calibri" w:hAnsi="Calibri" w:cstheme="minorHAnsi"/>
                <w:color w:val="auto"/>
                <w:szCs w:val="20"/>
              </w:rPr>
              <w:t>разходи</w:t>
            </w:r>
            <w:proofErr w:type="spellEnd"/>
            <w:r w:rsidRPr="0010694E">
              <w:rPr>
                <w:rFonts w:ascii="Calibri" w:hAnsi="Calibri" w:cstheme="minorHAnsi"/>
                <w:color w:val="auto"/>
                <w:szCs w:val="20"/>
              </w:rPr>
              <w:t xml:space="preserve"> </w:t>
            </w:r>
            <w:proofErr w:type="spellStart"/>
            <w:r w:rsidRPr="0010694E">
              <w:rPr>
                <w:rFonts w:ascii="Calibri" w:hAnsi="Calibri" w:cstheme="minorHAnsi"/>
                <w:color w:val="auto"/>
                <w:szCs w:val="20"/>
              </w:rPr>
              <w:t>от</w:t>
            </w:r>
            <w:proofErr w:type="spellEnd"/>
            <w:r w:rsidRPr="0010694E">
              <w:rPr>
                <w:rFonts w:ascii="Calibri" w:hAnsi="Calibri" w:cstheme="minorHAnsi"/>
                <w:color w:val="auto"/>
                <w:szCs w:val="20"/>
              </w:rPr>
              <w:t xml:space="preserve"> </w:t>
            </w:r>
            <w:proofErr w:type="spellStart"/>
            <w:r w:rsidRPr="0010694E">
              <w:rPr>
                <w:rFonts w:ascii="Calibri" w:hAnsi="Calibri" w:cstheme="minorHAnsi"/>
                <w:color w:val="auto"/>
                <w:szCs w:val="20"/>
              </w:rPr>
              <w:t>дейността</w:t>
            </w:r>
            <w:proofErr w:type="spellEnd"/>
          </w:p>
        </w:tc>
        <w:tc>
          <w:tcPr>
            <w:tcW w:w="850" w:type="dxa"/>
            <w:tcBorders>
              <w:top w:val="nil"/>
              <w:left w:val="nil"/>
              <w:bottom w:val="nil"/>
              <w:right w:val="nil"/>
            </w:tcBorders>
            <w:shd w:val="clear" w:color="auto" w:fill="auto"/>
            <w:noWrap/>
            <w:tcMar>
              <w:left w:w="28" w:type="dxa"/>
              <w:right w:w="57" w:type="dxa"/>
            </w:tcMar>
            <w:vAlign w:val="bottom"/>
            <w:hideMark/>
          </w:tcPr>
          <w:p w14:paraId="7A8544D9" w14:textId="77777777" w:rsidR="0084445A" w:rsidRPr="0010694E" w:rsidRDefault="0084445A" w:rsidP="00274E31">
            <w:pPr>
              <w:pStyle w:val="a0"/>
              <w:rPr>
                <w:rFonts w:ascii="Calibri" w:hAnsi="Calibri" w:cstheme="minorHAnsi"/>
                <w:color w:val="auto"/>
                <w:szCs w:val="20"/>
              </w:rPr>
            </w:pPr>
          </w:p>
        </w:tc>
        <w:tc>
          <w:tcPr>
            <w:tcW w:w="1133" w:type="dxa"/>
            <w:tcBorders>
              <w:top w:val="nil"/>
              <w:left w:val="nil"/>
              <w:bottom w:val="nil"/>
              <w:right w:val="nil"/>
            </w:tcBorders>
            <w:shd w:val="clear" w:color="auto" w:fill="auto"/>
            <w:noWrap/>
            <w:tcMar>
              <w:left w:w="28" w:type="dxa"/>
              <w:right w:w="57" w:type="dxa"/>
            </w:tcMar>
            <w:vAlign w:val="bottom"/>
            <w:hideMark/>
          </w:tcPr>
          <w:p w14:paraId="65AF2853" w14:textId="77777777" w:rsidR="0084445A" w:rsidRPr="0010694E" w:rsidRDefault="0084445A" w:rsidP="00274E31">
            <w:pPr>
              <w:pStyle w:val="a0"/>
              <w:rPr>
                <w:rFonts w:ascii="Calibri" w:hAnsi="Calibri" w:cstheme="minorHAnsi"/>
                <w:color w:val="auto"/>
                <w:szCs w:val="20"/>
              </w:rPr>
            </w:pPr>
          </w:p>
        </w:tc>
        <w:tc>
          <w:tcPr>
            <w:tcW w:w="1134" w:type="dxa"/>
            <w:tcBorders>
              <w:top w:val="nil"/>
              <w:left w:val="nil"/>
              <w:bottom w:val="nil"/>
              <w:right w:val="nil"/>
            </w:tcBorders>
            <w:shd w:val="clear" w:color="auto" w:fill="auto"/>
            <w:noWrap/>
            <w:tcMar>
              <w:left w:w="28" w:type="dxa"/>
              <w:right w:w="57" w:type="dxa"/>
            </w:tcMar>
            <w:vAlign w:val="bottom"/>
            <w:hideMark/>
          </w:tcPr>
          <w:p w14:paraId="0BAADCC9" w14:textId="77777777" w:rsidR="0084445A" w:rsidRPr="0010694E" w:rsidRDefault="0084445A" w:rsidP="00274E31">
            <w:pPr>
              <w:pStyle w:val="a0"/>
              <w:rPr>
                <w:rFonts w:ascii="Calibri" w:hAnsi="Calibri" w:cstheme="minorHAnsi"/>
                <w:color w:val="auto"/>
                <w:szCs w:val="20"/>
              </w:rPr>
            </w:pPr>
          </w:p>
        </w:tc>
        <w:tc>
          <w:tcPr>
            <w:tcW w:w="851" w:type="dxa"/>
            <w:tcBorders>
              <w:top w:val="nil"/>
              <w:left w:val="nil"/>
              <w:bottom w:val="nil"/>
              <w:right w:val="nil"/>
            </w:tcBorders>
            <w:shd w:val="clear" w:color="auto" w:fill="auto"/>
            <w:noWrap/>
            <w:tcMar>
              <w:left w:w="28" w:type="dxa"/>
              <w:right w:w="57" w:type="dxa"/>
            </w:tcMar>
            <w:vAlign w:val="bottom"/>
            <w:hideMark/>
          </w:tcPr>
          <w:p w14:paraId="34E4BC53" w14:textId="77777777" w:rsidR="0084445A" w:rsidRPr="0010694E" w:rsidRDefault="0084445A" w:rsidP="00274E31">
            <w:pPr>
              <w:pStyle w:val="a0"/>
              <w:rPr>
                <w:rFonts w:ascii="Calibri" w:hAnsi="Calibri" w:cstheme="minorHAnsi"/>
                <w:color w:val="auto"/>
                <w:sz w:val="18"/>
                <w:szCs w:val="18"/>
                <w:lang w:val="bg-BG"/>
              </w:rPr>
            </w:pPr>
            <w:r w:rsidRPr="0010694E">
              <w:rPr>
                <w:rFonts w:ascii="Calibri" w:hAnsi="Calibri" w:cstheme="minorHAnsi"/>
                <w:color w:val="auto"/>
                <w:sz w:val="18"/>
                <w:szCs w:val="18"/>
              </w:rPr>
              <w:t>(</w:t>
            </w:r>
            <w:r w:rsidRPr="0010694E">
              <w:rPr>
                <w:rFonts w:ascii="Calibri" w:hAnsi="Calibri" w:cstheme="minorHAnsi"/>
                <w:color w:val="auto"/>
                <w:sz w:val="18"/>
                <w:szCs w:val="18"/>
                <w:lang w:val="bg-BG"/>
              </w:rPr>
              <w:t>1,089</w:t>
            </w:r>
            <w:r w:rsidRPr="0010694E">
              <w:rPr>
                <w:rFonts w:ascii="Calibri" w:hAnsi="Calibri" w:cstheme="minorHAnsi"/>
                <w:color w:val="auto"/>
                <w:sz w:val="18"/>
                <w:szCs w:val="18"/>
              </w:rPr>
              <w:t>)</w:t>
            </w:r>
          </w:p>
        </w:tc>
        <w:tc>
          <w:tcPr>
            <w:tcW w:w="777" w:type="dxa"/>
            <w:tcBorders>
              <w:top w:val="nil"/>
              <w:left w:val="nil"/>
              <w:bottom w:val="nil"/>
              <w:right w:val="nil"/>
            </w:tcBorders>
            <w:shd w:val="clear" w:color="auto" w:fill="auto"/>
            <w:noWrap/>
            <w:tcMar>
              <w:left w:w="28" w:type="dxa"/>
              <w:right w:w="57" w:type="dxa"/>
            </w:tcMar>
            <w:vAlign w:val="bottom"/>
            <w:hideMark/>
          </w:tcPr>
          <w:p w14:paraId="4619838F" w14:textId="77777777" w:rsidR="0084445A" w:rsidRPr="0010694E" w:rsidRDefault="0084445A" w:rsidP="00274E31">
            <w:pPr>
              <w:pStyle w:val="a0"/>
              <w:rPr>
                <w:rFonts w:ascii="Calibri" w:hAnsi="Calibri" w:cstheme="minorHAnsi"/>
                <w:color w:val="auto"/>
                <w:sz w:val="18"/>
                <w:szCs w:val="18"/>
                <w:lang w:val="bg-BG"/>
              </w:rPr>
            </w:pPr>
            <w:r w:rsidRPr="0010694E">
              <w:rPr>
                <w:rFonts w:ascii="Calibri" w:hAnsi="Calibri" w:cstheme="minorHAnsi"/>
                <w:color w:val="auto"/>
                <w:sz w:val="18"/>
                <w:szCs w:val="18"/>
                <w:lang w:val="bg-BG"/>
              </w:rPr>
              <w:t>(298)</w:t>
            </w:r>
          </w:p>
        </w:tc>
      </w:tr>
      <w:tr w:rsidR="0084445A" w:rsidRPr="0010694E" w14:paraId="3642AE62"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2A801634" w14:textId="77777777" w:rsidR="0084445A" w:rsidRPr="0010694E" w:rsidRDefault="0084445A" w:rsidP="00274E31">
            <w:pPr>
              <w:pStyle w:val="a"/>
              <w:rPr>
                <w:rFonts w:ascii="Calibri" w:hAnsi="Calibri" w:cstheme="minorHAnsi"/>
                <w:b/>
                <w:bCs/>
                <w:color w:val="auto"/>
                <w:szCs w:val="20"/>
                <w:lang w:val="bg-BG"/>
              </w:rPr>
            </w:pPr>
            <w:r w:rsidRPr="0010694E">
              <w:rPr>
                <w:rFonts w:ascii="Calibri" w:hAnsi="Calibri" w:cstheme="minorHAnsi"/>
                <w:b/>
                <w:color w:val="auto"/>
                <w:szCs w:val="20"/>
                <w:lang w:val="bg-BG"/>
              </w:rPr>
              <w:t>Печалба/(Загуба) от оперативна дейност</w:t>
            </w:r>
          </w:p>
        </w:tc>
        <w:tc>
          <w:tcPr>
            <w:tcW w:w="846" w:type="dxa"/>
            <w:tcBorders>
              <w:top w:val="nil"/>
              <w:left w:val="nil"/>
              <w:bottom w:val="nil"/>
              <w:right w:val="nil"/>
            </w:tcBorders>
            <w:shd w:val="clear" w:color="auto" w:fill="auto"/>
            <w:noWrap/>
            <w:tcMar>
              <w:left w:w="28" w:type="dxa"/>
              <w:right w:w="57" w:type="dxa"/>
            </w:tcMar>
            <w:vAlign w:val="bottom"/>
            <w:hideMark/>
          </w:tcPr>
          <w:p w14:paraId="0EE087AF" w14:textId="77777777" w:rsidR="0084445A" w:rsidRPr="0010694E" w:rsidRDefault="0084445A" w:rsidP="00274E31">
            <w:pPr>
              <w:pStyle w:val="a0"/>
              <w:rPr>
                <w:rFonts w:ascii="Calibri" w:hAnsi="Calibri" w:cstheme="minorHAnsi"/>
                <w:color w:val="auto"/>
                <w:szCs w:val="20"/>
              </w:rPr>
            </w:pPr>
          </w:p>
        </w:tc>
        <w:tc>
          <w:tcPr>
            <w:tcW w:w="825" w:type="dxa"/>
            <w:tcBorders>
              <w:top w:val="nil"/>
              <w:left w:val="nil"/>
              <w:bottom w:val="nil"/>
              <w:right w:val="nil"/>
            </w:tcBorders>
            <w:shd w:val="clear" w:color="auto" w:fill="auto"/>
            <w:noWrap/>
            <w:tcMar>
              <w:left w:w="28" w:type="dxa"/>
              <w:right w:w="57" w:type="dxa"/>
            </w:tcMar>
            <w:vAlign w:val="bottom"/>
            <w:hideMark/>
          </w:tcPr>
          <w:p w14:paraId="56C2004A" w14:textId="77777777" w:rsidR="0084445A" w:rsidRPr="0010694E" w:rsidRDefault="0084445A" w:rsidP="00274E31">
            <w:pPr>
              <w:pStyle w:val="a0"/>
              <w:rPr>
                <w:rFonts w:ascii="Calibri" w:hAnsi="Calibri" w:cstheme="minorHAnsi"/>
                <w:color w:val="auto"/>
                <w:szCs w:val="20"/>
              </w:rPr>
            </w:pPr>
          </w:p>
        </w:tc>
        <w:tc>
          <w:tcPr>
            <w:tcW w:w="882" w:type="dxa"/>
            <w:tcBorders>
              <w:top w:val="nil"/>
              <w:left w:val="nil"/>
              <w:bottom w:val="nil"/>
              <w:right w:val="nil"/>
            </w:tcBorders>
            <w:shd w:val="clear" w:color="auto" w:fill="auto"/>
            <w:noWrap/>
            <w:tcMar>
              <w:left w:w="28" w:type="dxa"/>
              <w:right w:w="57" w:type="dxa"/>
            </w:tcMar>
            <w:vAlign w:val="bottom"/>
            <w:hideMark/>
          </w:tcPr>
          <w:p w14:paraId="6B920E2B" w14:textId="77777777" w:rsidR="0084445A" w:rsidRPr="0010694E" w:rsidRDefault="0084445A" w:rsidP="00274E31">
            <w:pPr>
              <w:pStyle w:val="a0"/>
              <w:rPr>
                <w:rFonts w:ascii="Calibri" w:hAnsi="Calibri" w:cstheme="minorHAnsi"/>
                <w:color w:val="auto"/>
                <w:szCs w:val="20"/>
              </w:rPr>
            </w:pPr>
          </w:p>
        </w:tc>
        <w:tc>
          <w:tcPr>
            <w:tcW w:w="850" w:type="dxa"/>
            <w:tcBorders>
              <w:top w:val="nil"/>
              <w:left w:val="nil"/>
              <w:bottom w:val="nil"/>
              <w:right w:val="nil"/>
            </w:tcBorders>
            <w:shd w:val="clear" w:color="auto" w:fill="auto"/>
            <w:noWrap/>
            <w:tcMar>
              <w:left w:w="28" w:type="dxa"/>
              <w:right w:w="57" w:type="dxa"/>
            </w:tcMar>
            <w:vAlign w:val="bottom"/>
            <w:hideMark/>
          </w:tcPr>
          <w:p w14:paraId="5D36680D" w14:textId="77777777" w:rsidR="0084445A" w:rsidRPr="0010694E" w:rsidRDefault="0084445A" w:rsidP="00274E31">
            <w:pPr>
              <w:pStyle w:val="a0"/>
              <w:rPr>
                <w:rFonts w:ascii="Calibri" w:hAnsi="Calibri" w:cstheme="minorHAnsi"/>
                <w:color w:val="auto"/>
                <w:szCs w:val="20"/>
              </w:rPr>
            </w:pPr>
          </w:p>
        </w:tc>
        <w:tc>
          <w:tcPr>
            <w:tcW w:w="1133" w:type="dxa"/>
            <w:tcBorders>
              <w:top w:val="nil"/>
              <w:left w:val="nil"/>
              <w:bottom w:val="nil"/>
              <w:right w:val="nil"/>
            </w:tcBorders>
            <w:shd w:val="clear" w:color="auto" w:fill="auto"/>
            <w:noWrap/>
            <w:tcMar>
              <w:left w:w="28" w:type="dxa"/>
              <w:right w:w="57" w:type="dxa"/>
            </w:tcMar>
            <w:vAlign w:val="bottom"/>
            <w:hideMark/>
          </w:tcPr>
          <w:p w14:paraId="0B42B23D" w14:textId="77777777" w:rsidR="0084445A" w:rsidRPr="0010694E" w:rsidRDefault="0084445A" w:rsidP="00274E31">
            <w:pPr>
              <w:pStyle w:val="a0"/>
              <w:rPr>
                <w:rFonts w:ascii="Calibri" w:hAnsi="Calibri" w:cstheme="minorHAnsi"/>
                <w:color w:val="auto"/>
                <w:szCs w:val="20"/>
              </w:rPr>
            </w:pPr>
          </w:p>
        </w:tc>
        <w:tc>
          <w:tcPr>
            <w:tcW w:w="1134" w:type="dxa"/>
            <w:tcBorders>
              <w:top w:val="nil"/>
              <w:left w:val="nil"/>
              <w:bottom w:val="nil"/>
              <w:right w:val="nil"/>
            </w:tcBorders>
            <w:shd w:val="clear" w:color="auto" w:fill="auto"/>
            <w:noWrap/>
            <w:tcMar>
              <w:left w:w="28" w:type="dxa"/>
              <w:right w:w="57" w:type="dxa"/>
            </w:tcMar>
            <w:vAlign w:val="bottom"/>
            <w:hideMark/>
          </w:tcPr>
          <w:p w14:paraId="18BC76C6" w14:textId="77777777" w:rsidR="0084445A" w:rsidRPr="0010694E" w:rsidRDefault="0084445A" w:rsidP="00274E31">
            <w:pPr>
              <w:pStyle w:val="a0"/>
              <w:rPr>
                <w:rFonts w:ascii="Calibri" w:hAnsi="Calibri" w:cstheme="minorHAnsi"/>
                <w:color w:val="auto"/>
                <w:szCs w:val="20"/>
              </w:rPr>
            </w:pPr>
          </w:p>
        </w:tc>
        <w:tc>
          <w:tcPr>
            <w:tcW w:w="851" w:type="dxa"/>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11254EA4" w14:textId="77777777" w:rsidR="0084445A" w:rsidRPr="0010694E" w:rsidRDefault="0084445A" w:rsidP="00274E31">
            <w:pPr>
              <w:pStyle w:val="a0"/>
              <w:rPr>
                <w:rFonts w:ascii="Calibri" w:hAnsi="Calibri" w:cstheme="minorHAnsi"/>
                <w:color w:val="auto"/>
                <w:sz w:val="18"/>
                <w:szCs w:val="18"/>
              </w:rPr>
            </w:pPr>
            <w:r w:rsidRPr="0010694E">
              <w:rPr>
                <w:rFonts w:ascii="Calibri" w:hAnsi="Calibri" w:cstheme="minorHAnsi"/>
                <w:color w:val="auto"/>
                <w:sz w:val="18"/>
                <w:szCs w:val="18"/>
              </w:rPr>
              <w:t>(</w:t>
            </w:r>
            <w:r w:rsidRPr="0010694E">
              <w:rPr>
                <w:rFonts w:ascii="Calibri" w:hAnsi="Calibri" w:cstheme="minorHAnsi"/>
                <w:color w:val="auto"/>
                <w:sz w:val="18"/>
                <w:szCs w:val="18"/>
                <w:lang w:val="bg-BG"/>
              </w:rPr>
              <w:t>1,012</w:t>
            </w:r>
            <w:r w:rsidRPr="0010694E">
              <w:rPr>
                <w:rFonts w:ascii="Calibri" w:hAnsi="Calibri" w:cstheme="minorHAnsi"/>
                <w:color w:val="auto"/>
                <w:sz w:val="18"/>
                <w:szCs w:val="18"/>
              </w:rPr>
              <w:t>)</w:t>
            </w:r>
          </w:p>
        </w:tc>
        <w:tc>
          <w:tcPr>
            <w:tcW w:w="777" w:type="dxa"/>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5F46B2B5" w14:textId="77777777" w:rsidR="0084445A" w:rsidRPr="0010694E" w:rsidRDefault="0084445A" w:rsidP="00274E31">
            <w:pPr>
              <w:pStyle w:val="a0"/>
              <w:rPr>
                <w:rFonts w:ascii="Calibri" w:hAnsi="Calibri" w:cstheme="minorHAnsi"/>
                <w:color w:val="auto"/>
                <w:sz w:val="18"/>
                <w:szCs w:val="18"/>
                <w:lang w:val="bg-BG"/>
              </w:rPr>
            </w:pPr>
            <w:r w:rsidRPr="0010694E">
              <w:rPr>
                <w:rFonts w:ascii="Calibri" w:hAnsi="Calibri" w:cstheme="minorHAnsi"/>
                <w:color w:val="auto"/>
                <w:sz w:val="18"/>
                <w:szCs w:val="18"/>
                <w:lang w:val="bg-BG"/>
              </w:rPr>
              <w:t>18</w:t>
            </w:r>
          </w:p>
        </w:tc>
      </w:tr>
      <w:tr w:rsidR="0084445A" w:rsidRPr="0010694E" w14:paraId="20323F96"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3728BD45" w14:textId="77777777" w:rsidR="0084445A" w:rsidRPr="0010694E" w:rsidRDefault="0084445A" w:rsidP="00274E31">
            <w:pPr>
              <w:pStyle w:val="a"/>
              <w:rPr>
                <w:rFonts w:ascii="Calibri" w:hAnsi="Calibri" w:cstheme="minorHAnsi"/>
                <w:color w:val="auto"/>
                <w:szCs w:val="20"/>
                <w:lang w:val="bg-BG"/>
              </w:rPr>
            </w:pPr>
            <w:r w:rsidRPr="0010694E">
              <w:rPr>
                <w:rFonts w:ascii="Calibri" w:hAnsi="Calibri" w:cstheme="minorHAnsi"/>
                <w:color w:val="auto"/>
                <w:szCs w:val="20"/>
                <w:lang w:val="bg-BG"/>
              </w:rPr>
              <w:t>Финансови приходи</w:t>
            </w:r>
          </w:p>
        </w:tc>
        <w:tc>
          <w:tcPr>
            <w:tcW w:w="846" w:type="dxa"/>
            <w:tcBorders>
              <w:top w:val="nil"/>
              <w:left w:val="nil"/>
              <w:bottom w:val="nil"/>
              <w:right w:val="nil"/>
            </w:tcBorders>
            <w:shd w:val="clear" w:color="auto" w:fill="auto"/>
            <w:noWrap/>
            <w:tcMar>
              <w:left w:w="28" w:type="dxa"/>
              <w:right w:w="57" w:type="dxa"/>
            </w:tcMar>
            <w:vAlign w:val="bottom"/>
            <w:hideMark/>
          </w:tcPr>
          <w:p w14:paraId="30F1C779" w14:textId="77777777" w:rsidR="0084445A" w:rsidRPr="0010694E" w:rsidRDefault="0084445A" w:rsidP="00274E31">
            <w:pPr>
              <w:pStyle w:val="a0"/>
              <w:rPr>
                <w:rFonts w:ascii="Calibri" w:hAnsi="Calibri" w:cstheme="minorHAnsi"/>
                <w:color w:val="auto"/>
                <w:szCs w:val="20"/>
              </w:rPr>
            </w:pPr>
          </w:p>
        </w:tc>
        <w:tc>
          <w:tcPr>
            <w:tcW w:w="825" w:type="dxa"/>
            <w:tcBorders>
              <w:top w:val="nil"/>
              <w:left w:val="nil"/>
              <w:bottom w:val="nil"/>
              <w:right w:val="nil"/>
            </w:tcBorders>
            <w:shd w:val="clear" w:color="auto" w:fill="auto"/>
            <w:noWrap/>
            <w:tcMar>
              <w:left w:w="28" w:type="dxa"/>
              <w:right w:w="57" w:type="dxa"/>
            </w:tcMar>
            <w:vAlign w:val="bottom"/>
            <w:hideMark/>
          </w:tcPr>
          <w:p w14:paraId="467E4AC4" w14:textId="77777777" w:rsidR="0084445A" w:rsidRPr="0010694E" w:rsidRDefault="0084445A" w:rsidP="00274E31">
            <w:pPr>
              <w:pStyle w:val="a0"/>
              <w:rPr>
                <w:rFonts w:ascii="Calibri" w:hAnsi="Calibri" w:cstheme="minorHAnsi"/>
                <w:color w:val="auto"/>
                <w:szCs w:val="20"/>
              </w:rPr>
            </w:pPr>
          </w:p>
        </w:tc>
        <w:tc>
          <w:tcPr>
            <w:tcW w:w="882" w:type="dxa"/>
            <w:tcBorders>
              <w:top w:val="nil"/>
              <w:left w:val="nil"/>
              <w:bottom w:val="nil"/>
              <w:right w:val="nil"/>
            </w:tcBorders>
            <w:shd w:val="clear" w:color="auto" w:fill="auto"/>
            <w:noWrap/>
            <w:tcMar>
              <w:left w:w="28" w:type="dxa"/>
              <w:right w:w="57" w:type="dxa"/>
            </w:tcMar>
            <w:vAlign w:val="bottom"/>
            <w:hideMark/>
          </w:tcPr>
          <w:p w14:paraId="76072AED" w14:textId="77777777" w:rsidR="0084445A" w:rsidRPr="0010694E" w:rsidRDefault="0084445A" w:rsidP="00274E31">
            <w:pPr>
              <w:pStyle w:val="a0"/>
              <w:rPr>
                <w:rFonts w:ascii="Calibri" w:hAnsi="Calibri" w:cstheme="minorHAnsi"/>
                <w:color w:val="auto"/>
                <w:szCs w:val="20"/>
              </w:rPr>
            </w:pPr>
          </w:p>
        </w:tc>
        <w:tc>
          <w:tcPr>
            <w:tcW w:w="850" w:type="dxa"/>
            <w:tcBorders>
              <w:top w:val="nil"/>
              <w:left w:val="nil"/>
              <w:bottom w:val="nil"/>
              <w:right w:val="nil"/>
            </w:tcBorders>
            <w:shd w:val="clear" w:color="auto" w:fill="auto"/>
            <w:noWrap/>
            <w:tcMar>
              <w:left w:w="28" w:type="dxa"/>
              <w:right w:w="57" w:type="dxa"/>
            </w:tcMar>
            <w:vAlign w:val="bottom"/>
            <w:hideMark/>
          </w:tcPr>
          <w:p w14:paraId="0C06AB41" w14:textId="77777777" w:rsidR="0084445A" w:rsidRPr="0010694E" w:rsidRDefault="0084445A" w:rsidP="00274E31">
            <w:pPr>
              <w:pStyle w:val="a0"/>
              <w:rPr>
                <w:rFonts w:ascii="Calibri" w:hAnsi="Calibri" w:cstheme="minorHAnsi"/>
                <w:color w:val="auto"/>
                <w:szCs w:val="20"/>
              </w:rPr>
            </w:pPr>
          </w:p>
        </w:tc>
        <w:tc>
          <w:tcPr>
            <w:tcW w:w="1133" w:type="dxa"/>
            <w:tcBorders>
              <w:top w:val="nil"/>
              <w:left w:val="nil"/>
              <w:bottom w:val="nil"/>
              <w:right w:val="nil"/>
            </w:tcBorders>
            <w:shd w:val="clear" w:color="auto" w:fill="auto"/>
            <w:noWrap/>
            <w:tcMar>
              <w:left w:w="28" w:type="dxa"/>
              <w:right w:w="57" w:type="dxa"/>
            </w:tcMar>
            <w:vAlign w:val="bottom"/>
            <w:hideMark/>
          </w:tcPr>
          <w:p w14:paraId="76E4987A" w14:textId="77777777" w:rsidR="0084445A" w:rsidRPr="0010694E" w:rsidRDefault="0084445A" w:rsidP="00274E31">
            <w:pPr>
              <w:pStyle w:val="a0"/>
              <w:rPr>
                <w:rFonts w:ascii="Calibri" w:hAnsi="Calibri" w:cstheme="minorHAnsi"/>
                <w:color w:val="auto"/>
                <w:szCs w:val="20"/>
              </w:rPr>
            </w:pPr>
          </w:p>
        </w:tc>
        <w:tc>
          <w:tcPr>
            <w:tcW w:w="1134" w:type="dxa"/>
            <w:tcBorders>
              <w:top w:val="nil"/>
              <w:left w:val="nil"/>
              <w:bottom w:val="nil"/>
              <w:right w:val="nil"/>
            </w:tcBorders>
            <w:shd w:val="clear" w:color="auto" w:fill="auto"/>
            <w:noWrap/>
            <w:tcMar>
              <w:left w:w="28" w:type="dxa"/>
              <w:right w:w="57" w:type="dxa"/>
            </w:tcMar>
            <w:vAlign w:val="bottom"/>
            <w:hideMark/>
          </w:tcPr>
          <w:p w14:paraId="3ABA858B" w14:textId="77777777" w:rsidR="0084445A" w:rsidRPr="0010694E" w:rsidRDefault="0084445A" w:rsidP="00274E31">
            <w:pPr>
              <w:pStyle w:val="a0"/>
              <w:rPr>
                <w:rFonts w:ascii="Calibri" w:hAnsi="Calibri" w:cstheme="minorHAnsi"/>
                <w:color w:val="auto"/>
                <w:szCs w:val="20"/>
              </w:rPr>
            </w:pPr>
          </w:p>
        </w:tc>
        <w:tc>
          <w:tcPr>
            <w:tcW w:w="851" w:type="dxa"/>
            <w:tcBorders>
              <w:top w:val="single" w:sz="8" w:space="0" w:color="auto"/>
              <w:left w:val="nil"/>
              <w:bottom w:val="single" w:sz="4" w:space="0" w:color="auto"/>
              <w:right w:val="nil"/>
            </w:tcBorders>
            <w:shd w:val="clear" w:color="auto" w:fill="auto"/>
            <w:noWrap/>
            <w:tcMar>
              <w:left w:w="28" w:type="dxa"/>
              <w:right w:w="57" w:type="dxa"/>
            </w:tcMar>
            <w:vAlign w:val="bottom"/>
            <w:hideMark/>
          </w:tcPr>
          <w:p w14:paraId="20A1FDD7" w14:textId="77777777" w:rsidR="0084445A" w:rsidRPr="0010694E" w:rsidRDefault="0084445A" w:rsidP="00274E31">
            <w:pPr>
              <w:pStyle w:val="a0"/>
              <w:widowControl w:val="0"/>
              <w:rPr>
                <w:rFonts w:ascii="Calibri" w:hAnsi="Calibri" w:cstheme="minorHAnsi"/>
                <w:color w:val="auto"/>
                <w:sz w:val="18"/>
                <w:szCs w:val="18"/>
                <w:lang w:val="bg-BG"/>
              </w:rPr>
            </w:pPr>
            <w:r w:rsidRPr="0010694E">
              <w:rPr>
                <w:rFonts w:ascii="Calibri" w:hAnsi="Calibri" w:cstheme="minorHAnsi"/>
                <w:color w:val="auto"/>
                <w:sz w:val="18"/>
                <w:szCs w:val="18"/>
                <w:lang w:val="bg-BG"/>
              </w:rPr>
              <w:t>1,371</w:t>
            </w:r>
          </w:p>
        </w:tc>
        <w:tc>
          <w:tcPr>
            <w:tcW w:w="777" w:type="dxa"/>
            <w:tcBorders>
              <w:top w:val="single" w:sz="8" w:space="0" w:color="auto"/>
              <w:left w:val="nil"/>
              <w:bottom w:val="single" w:sz="4" w:space="0" w:color="auto"/>
              <w:right w:val="nil"/>
            </w:tcBorders>
            <w:shd w:val="clear" w:color="auto" w:fill="auto"/>
            <w:noWrap/>
            <w:tcMar>
              <w:left w:w="28" w:type="dxa"/>
              <w:right w:w="57" w:type="dxa"/>
            </w:tcMar>
            <w:vAlign w:val="bottom"/>
            <w:hideMark/>
          </w:tcPr>
          <w:p w14:paraId="0193DA81" w14:textId="77777777" w:rsidR="0084445A" w:rsidRPr="0010694E" w:rsidRDefault="0084445A" w:rsidP="00274E31">
            <w:pPr>
              <w:pStyle w:val="a0"/>
              <w:rPr>
                <w:rFonts w:ascii="Calibri" w:hAnsi="Calibri" w:cstheme="minorHAnsi"/>
                <w:color w:val="auto"/>
                <w:sz w:val="18"/>
                <w:szCs w:val="18"/>
                <w:lang w:val="bg-BG"/>
              </w:rPr>
            </w:pPr>
            <w:r w:rsidRPr="0010694E">
              <w:rPr>
                <w:rFonts w:ascii="Calibri" w:hAnsi="Calibri" w:cstheme="minorHAnsi"/>
                <w:color w:val="auto"/>
                <w:sz w:val="18"/>
                <w:szCs w:val="18"/>
                <w:lang w:val="bg-BG"/>
              </w:rPr>
              <w:t>187</w:t>
            </w:r>
          </w:p>
        </w:tc>
      </w:tr>
      <w:tr w:rsidR="0084445A" w:rsidRPr="0010694E" w14:paraId="4C8BC461"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42BE243A" w14:textId="77777777" w:rsidR="0084445A" w:rsidRPr="0010694E" w:rsidRDefault="0084445A" w:rsidP="00274E31">
            <w:pPr>
              <w:pStyle w:val="a"/>
              <w:rPr>
                <w:rFonts w:ascii="Calibri" w:hAnsi="Calibri" w:cstheme="minorHAnsi"/>
                <w:color w:val="auto"/>
                <w:szCs w:val="20"/>
                <w:lang w:val="bg-BG"/>
              </w:rPr>
            </w:pPr>
            <w:r w:rsidRPr="0010694E">
              <w:rPr>
                <w:rFonts w:ascii="Calibri" w:hAnsi="Calibri" w:cstheme="minorHAnsi"/>
                <w:color w:val="auto"/>
                <w:szCs w:val="20"/>
                <w:lang w:val="bg-BG"/>
              </w:rPr>
              <w:t>Финансови разходи</w:t>
            </w:r>
          </w:p>
        </w:tc>
        <w:tc>
          <w:tcPr>
            <w:tcW w:w="846" w:type="dxa"/>
            <w:tcBorders>
              <w:top w:val="nil"/>
              <w:left w:val="nil"/>
              <w:bottom w:val="nil"/>
              <w:right w:val="nil"/>
            </w:tcBorders>
            <w:shd w:val="clear" w:color="auto" w:fill="auto"/>
            <w:noWrap/>
            <w:tcMar>
              <w:left w:w="28" w:type="dxa"/>
              <w:right w:w="57" w:type="dxa"/>
            </w:tcMar>
            <w:vAlign w:val="bottom"/>
            <w:hideMark/>
          </w:tcPr>
          <w:p w14:paraId="13809609" w14:textId="77777777" w:rsidR="0084445A" w:rsidRPr="0010694E" w:rsidRDefault="0084445A" w:rsidP="00274E31">
            <w:pPr>
              <w:pStyle w:val="a0"/>
              <w:rPr>
                <w:rFonts w:ascii="Calibri" w:hAnsi="Calibri" w:cstheme="minorHAnsi"/>
                <w:color w:val="auto"/>
                <w:szCs w:val="20"/>
              </w:rPr>
            </w:pPr>
          </w:p>
        </w:tc>
        <w:tc>
          <w:tcPr>
            <w:tcW w:w="825" w:type="dxa"/>
            <w:tcBorders>
              <w:top w:val="nil"/>
              <w:left w:val="nil"/>
              <w:bottom w:val="nil"/>
              <w:right w:val="nil"/>
            </w:tcBorders>
            <w:shd w:val="clear" w:color="auto" w:fill="auto"/>
            <w:noWrap/>
            <w:tcMar>
              <w:left w:w="28" w:type="dxa"/>
              <w:right w:w="57" w:type="dxa"/>
            </w:tcMar>
            <w:vAlign w:val="bottom"/>
            <w:hideMark/>
          </w:tcPr>
          <w:p w14:paraId="470881AE" w14:textId="77777777" w:rsidR="0084445A" w:rsidRPr="0010694E" w:rsidRDefault="0084445A" w:rsidP="00274E31">
            <w:pPr>
              <w:pStyle w:val="a0"/>
              <w:rPr>
                <w:rFonts w:ascii="Calibri" w:hAnsi="Calibri" w:cstheme="minorHAnsi"/>
                <w:color w:val="auto"/>
                <w:szCs w:val="20"/>
              </w:rPr>
            </w:pPr>
          </w:p>
        </w:tc>
        <w:tc>
          <w:tcPr>
            <w:tcW w:w="882" w:type="dxa"/>
            <w:tcBorders>
              <w:top w:val="nil"/>
              <w:left w:val="nil"/>
              <w:bottom w:val="nil"/>
              <w:right w:val="nil"/>
            </w:tcBorders>
            <w:shd w:val="clear" w:color="auto" w:fill="auto"/>
            <w:noWrap/>
            <w:tcMar>
              <w:left w:w="28" w:type="dxa"/>
              <w:right w:w="57" w:type="dxa"/>
            </w:tcMar>
            <w:vAlign w:val="bottom"/>
            <w:hideMark/>
          </w:tcPr>
          <w:p w14:paraId="2C63C2B5" w14:textId="77777777" w:rsidR="0084445A" w:rsidRPr="0010694E" w:rsidRDefault="0084445A" w:rsidP="00274E31">
            <w:pPr>
              <w:pStyle w:val="a0"/>
              <w:rPr>
                <w:rFonts w:ascii="Calibri" w:hAnsi="Calibri" w:cstheme="minorHAnsi"/>
                <w:color w:val="auto"/>
                <w:szCs w:val="20"/>
              </w:rPr>
            </w:pPr>
          </w:p>
        </w:tc>
        <w:tc>
          <w:tcPr>
            <w:tcW w:w="850" w:type="dxa"/>
            <w:tcBorders>
              <w:top w:val="nil"/>
              <w:left w:val="nil"/>
              <w:bottom w:val="nil"/>
              <w:right w:val="nil"/>
            </w:tcBorders>
            <w:shd w:val="clear" w:color="auto" w:fill="auto"/>
            <w:noWrap/>
            <w:tcMar>
              <w:left w:w="28" w:type="dxa"/>
              <w:right w:w="57" w:type="dxa"/>
            </w:tcMar>
            <w:vAlign w:val="bottom"/>
            <w:hideMark/>
          </w:tcPr>
          <w:p w14:paraId="0A317312" w14:textId="77777777" w:rsidR="0084445A" w:rsidRPr="0010694E" w:rsidRDefault="0084445A" w:rsidP="00274E31">
            <w:pPr>
              <w:pStyle w:val="a0"/>
              <w:rPr>
                <w:rFonts w:ascii="Calibri" w:hAnsi="Calibri" w:cstheme="minorHAnsi"/>
                <w:color w:val="auto"/>
                <w:szCs w:val="20"/>
              </w:rPr>
            </w:pPr>
          </w:p>
        </w:tc>
        <w:tc>
          <w:tcPr>
            <w:tcW w:w="1133" w:type="dxa"/>
            <w:tcBorders>
              <w:top w:val="nil"/>
              <w:left w:val="nil"/>
              <w:bottom w:val="nil"/>
              <w:right w:val="nil"/>
            </w:tcBorders>
            <w:shd w:val="clear" w:color="auto" w:fill="auto"/>
            <w:noWrap/>
            <w:tcMar>
              <w:left w:w="28" w:type="dxa"/>
              <w:right w:w="57" w:type="dxa"/>
            </w:tcMar>
            <w:vAlign w:val="bottom"/>
            <w:hideMark/>
          </w:tcPr>
          <w:p w14:paraId="261840CC" w14:textId="77777777" w:rsidR="0084445A" w:rsidRPr="0010694E" w:rsidRDefault="0084445A" w:rsidP="00274E31">
            <w:pPr>
              <w:pStyle w:val="a0"/>
              <w:rPr>
                <w:rFonts w:ascii="Calibri" w:hAnsi="Calibri" w:cstheme="minorHAnsi"/>
                <w:color w:val="auto"/>
                <w:szCs w:val="20"/>
              </w:rPr>
            </w:pPr>
          </w:p>
        </w:tc>
        <w:tc>
          <w:tcPr>
            <w:tcW w:w="1134" w:type="dxa"/>
            <w:tcBorders>
              <w:top w:val="nil"/>
              <w:left w:val="nil"/>
              <w:bottom w:val="nil"/>
              <w:right w:val="nil"/>
            </w:tcBorders>
            <w:shd w:val="clear" w:color="auto" w:fill="auto"/>
            <w:noWrap/>
            <w:tcMar>
              <w:left w:w="28" w:type="dxa"/>
              <w:right w:w="57" w:type="dxa"/>
            </w:tcMar>
            <w:vAlign w:val="bottom"/>
            <w:hideMark/>
          </w:tcPr>
          <w:p w14:paraId="0B7AA1FD" w14:textId="77777777" w:rsidR="0084445A" w:rsidRPr="0010694E" w:rsidRDefault="0084445A" w:rsidP="00274E31">
            <w:pPr>
              <w:pStyle w:val="a0"/>
              <w:rPr>
                <w:rFonts w:ascii="Calibri" w:hAnsi="Calibri" w:cstheme="minorHAnsi"/>
                <w:color w:val="auto"/>
                <w:szCs w:val="20"/>
              </w:rPr>
            </w:pPr>
          </w:p>
        </w:tc>
        <w:tc>
          <w:tcPr>
            <w:tcW w:w="851" w:type="dxa"/>
            <w:tcBorders>
              <w:top w:val="single" w:sz="8" w:space="0" w:color="auto"/>
              <w:left w:val="nil"/>
              <w:bottom w:val="single" w:sz="4" w:space="0" w:color="auto"/>
              <w:right w:val="nil"/>
            </w:tcBorders>
            <w:shd w:val="clear" w:color="auto" w:fill="auto"/>
            <w:noWrap/>
            <w:tcMar>
              <w:left w:w="28" w:type="dxa"/>
              <w:right w:w="57" w:type="dxa"/>
            </w:tcMar>
            <w:vAlign w:val="bottom"/>
            <w:hideMark/>
          </w:tcPr>
          <w:p w14:paraId="7AA50C25" w14:textId="77777777" w:rsidR="0084445A" w:rsidRPr="0010694E" w:rsidRDefault="0084445A" w:rsidP="00274E31">
            <w:pPr>
              <w:pStyle w:val="a0"/>
              <w:widowControl w:val="0"/>
              <w:rPr>
                <w:rFonts w:ascii="Calibri" w:hAnsi="Calibri" w:cstheme="minorHAnsi"/>
                <w:color w:val="auto"/>
                <w:sz w:val="18"/>
                <w:szCs w:val="18"/>
              </w:rPr>
            </w:pPr>
            <w:r w:rsidRPr="0010694E">
              <w:rPr>
                <w:rFonts w:ascii="Calibri" w:hAnsi="Calibri" w:cstheme="minorHAnsi"/>
                <w:color w:val="auto"/>
                <w:sz w:val="18"/>
                <w:szCs w:val="18"/>
              </w:rPr>
              <w:t>(</w:t>
            </w:r>
            <w:r w:rsidRPr="0010694E">
              <w:rPr>
                <w:rFonts w:ascii="Calibri" w:hAnsi="Calibri" w:cstheme="minorHAnsi"/>
                <w:color w:val="auto"/>
                <w:sz w:val="18"/>
                <w:szCs w:val="18"/>
                <w:lang w:val="bg-BG"/>
              </w:rPr>
              <w:t>4</w:t>
            </w:r>
            <w:r w:rsidRPr="0010694E">
              <w:rPr>
                <w:rFonts w:ascii="Calibri" w:hAnsi="Calibri" w:cstheme="minorHAnsi"/>
                <w:color w:val="auto"/>
                <w:sz w:val="18"/>
                <w:szCs w:val="18"/>
              </w:rPr>
              <w:t>)</w:t>
            </w:r>
          </w:p>
        </w:tc>
        <w:tc>
          <w:tcPr>
            <w:tcW w:w="777" w:type="dxa"/>
            <w:tcBorders>
              <w:top w:val="single" w:sz="8" w:space="0" w:color="auto"/>
              <w:left w:val="nil"/>
              <w:bottom w:val="single" w:sz="4" w:space="0" w:color="auto"/>
              <w:right w:val="nil"/>
            </w:tcBorders>
            <w:shd w:val="clear" w:color="auto" w:fill="auto"/>
            <w:noWrap/>
            <w:tcMar>
              <w:left w:w="28" w:type="dxa"/>
              <w:right w:w="57" w:type="dxa"/>
            </w:tcMar>
            <w:vAlign w:val="bottom"/>
            <w:hideMark/>
          </w:tcPr>
          <w:p w14:paraId="28CFF236" w14:textId="77777777" w:rsidR="0084445A" w:rsidRPr="0010694E" w:rsidDel="00E6270A" w:rsidRDefault="0084445A" w:rsidP="00274E31">
            <w:pPr>
              <w:pStyle w:val="a0"/>
              <w:widowControl w:val="0"/>
              <w:rPr>
                <w:rFonts w:ascii="Calibri" w:hAnsi="Calibri" w:cstheme="minorHAnsi"/>
                <w:color w:val="auto"/>
                <w:sz w:val="18"/>
                <w:szCs w:val="18"/>
                <w:lang w:val="bg-BG"/>
              </w:rPr>
            </w:pPr>
            <w:r w:rsidRPr="0010694E">
              <w:rPr>
                <w:rFonts w:ascii="Calibri" w:hAnsi="Calibri" w:cstheme="minorHAnsi"/>
                <w:color w:val="auto"/>
                <w:sz w:val="18"/>
                <w:szCs w:val="18"/>
                <w:lang w:val="bg-BG"/>
              </w:rPr>
              <w:t>-</w:t>
            </w:r>
          </w:p>
        </w:tc>
      </w:tr>
      <w:tr w:rsidR="0084445A" w:rsidRPr="0010694E" w14:paraId="00ADF3BC"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28F99103" w14:textId="77777777" w:rsidR="0084445A" w:rsidRPr="0010694E" w:rsidRDefault="0084445A" w:rsidP="00274E31">
            <w:pPr>
              <w:pStyle w:val="a"/>
              <w:rPr>
                <w:rFonts w:ascii="Calibri" w:hAnsi="Calibri" w:cstheme="minorHAnsi"/>
                <w:b/>
                <w:bCs/>
                <w:color w:val="auto"/>
                <w:szCs w:val="20"/>
                <w:lang w:val="bg-BG"/>
              </w:rPr>
            </w:pPr>
            <w:r w:rsidRPr="0010694E">
              <w:rPr>
                <w:rFonts w:ascii="Calibri" w:hAnsi="Calibri" w:cstheme="minorHAnsi"/>
                <w:b/>
                <w:color w:val="auto"/>
                <w:szCs w:val="20"/>
                <w:lang w:val="bg-BG"/>
              </w:rPr>
              <w:t xml:space="preserve">Печалба преди данък върху печалбата </w:t>
            </w:r>
          </w:p>
        </w:tc>
        <w:tc>
          <w:tcPr>
            <w:tcW w:w="846" w:type="dxa"/>
            <w:tcBorders>
              <w:top w:val="nil"/>
              <w:left w:val="nil"/>
              <w:bottom w:val="nil"/>
              <w:right w:val="nil"/>
            </w:tcBorders>
            <w:shd w:val="clear" w:color="auto" w:fill="auto"/>
            <w:noWrap/>
            <w:tcMar>
              <w:left w:w="28" w:type="dxa"/>
              <w:right w:w="57" w:type="dxa"/>
            </w:tcMar>
            <w:vAlign w:val="bottom"/>
            <w:hideMark/>
          </w:tcPr>
          <w:p w14:paraId="093CD66B" w14:textId="77777777" w:rsidR="0084445A" w:rsidRPr="0010694E" w:rsidRDefault="0084445A" w:rsidP="00274E31">
            <w:pPr>
              <w:pStyle w:val="a0"/>
              <w:rPr>
                <w:rFonts w:ascii="Calibri" w:hAnsi="Calibri" w:cstheme="minorHAnsi"/>
                <w:color w:val="auto"/>
                <w:szCs w:val="20"/>
              </w:rPr>
            </w:pPr>
          </w:p>
        </w:tc>
        <w:tc>
          <w:tcPr>
            <w:tcW w:w="825" w:type="dxa"/>
            <w:tcBorders>
              <w:top w:val="nil"/>
              <w:left w:val="nil"/>
              <w:bottom w:val="nil"/>
              <w:right w:val="nil"/>
            </w:tcBorders>
            <w:shd w:val="clear" w:color="auto" w:fill="auto"/>
            <w:noWrap/>
            <w:tcMar>
              <w:left w:w="28" w:type="dxa"/>
              <w:right w:w="57" w:type="dxa"/>
            </w:tcMar>
            <w:vAlign w:val="bottom"/>
            <w:hideMark/>
          </w:tcPr>
          <w:p w14:paraId="7DFA6E6E" w14:textId="77777777" w:rsidR="0084445A" w:rsidRPr="0010694E" w:rsidRDefault="0084445A" w:rsidP="00274E31">
            <w:pPr>
              <w:pStyle w:val="a0"/>
              <w:rPr>
                <w:rFonts w:ascii="Calibri" w:hAnsi="Calibri" w:cstheme="minorHAnsi"/>
                <w:color w:val="auto"/>
                <w:szCs w:val="20"/>
              </w:rPr>
            </w:pPr>
          </w:p>
        </w:tc>
        <w:tc>
          <w:tcPr>
            <w:tcW w:w="882" w:type="dxa"/>
            <w:tcBorders>
              <w:top w:val="nil"/>
              <w:left w:val="nil"/>
              <w:bottom w:val="nil"/>
              <w:right w:val="nil"/>
            </w:tcBorders>
            <w:shd w:val="clear" w:color="auto" w:fill="auto"/>
            <w:noWrap/>
            <w:tcMar>
              <w:left w:w="28" w:type="dxa"/>
              <w:right w:w="57" w:type="dxa"/>
            </w:tcMar>
            <w:vAlign w:val="bottom"/>
            <w:hideMark/>
          </w:tcPr>
          <w:p w14:paraId="0B6B6E92" w14:textId="77777777" w:rsidR="0084445A" w:rsidRPr="0010694E" w:rsidRDefault="0084445A" w:rsidP="00274E31">
            <w:pPr>
              <w:pStyle w:val="a0"/>
              <w:rPr>
                <w:rFonts w:ascii="Calibri" w:hAnsi="Calibri" w:cstheme="minorHAnsi"/>
                <w:color w:val="auto"/>
                <w:szCs w:val="20"/>
              </w:rPr>
            </w:pPr>
          </w:p>
        </w:tc>
        <w:tc>
          <w:tcPr>
            <w:tcW w:w="850" w:type="dxa"/>
            <w:tcBorders>
              <w:top w:val="nil"/>
              <w:left w:val="nil"/>
              <w:bottom w:val="nil"/>
              <w:right w:val="nil"/>
            </w:tcBorders>
            <w:shd w:val="clear" w:color="auto" w:fill="auto"/>
            <w:noWrap/>
            <w:tcMar>
              <w:left w:w="28" w:type="dxa"/>
              <w:right w:w="57" w:type="dxa"/>
            </w:tcMar>
            <w:vAlign w:val="bottom"/>
            <w:hideMark/>
          </w:tcPr>
          <w:p w14:paraId="337D8D37" w14:textId="77777777" w:rsidR="0084445A" w:rsidRPr="0010694E" w:rsidRDefault="0084445A" w:rsidP="00274E31">
            <w:pPr>
              <w:pStyle w:val="a0"/>
              <w:rPr>
                <w:rFonts w:ascii="Calibri" w:hAnsi="Calibri" w:cstheme="minorHAnsi"/>
                <w:color w:val="auto"/>
                <w:szCs w:val="20"/>
              </w:rPr>
            </w:pPr>
          </w:p>
        </w:tc>
        <w:tc>
          <w:tcPr>
            <w:tcW w:w="1133" w:type="dxa"/>
            <w:tcBorders>
              <w:top w:val="nil"/>
              <w:left w:val="nil"/>
              <w:bottom w:val="nil"/>
              <w:right w:val="nil"/>
            </w:tcBorders>
            <w:shd w:val="clear" w:color="auto" w:fill="auto"/>
            <w:noWrap/>
            <w:tcMar>
              <w:left w:w="28" w:type="dxa"/>
              <w:right w:w="57" w:type="dxa"/>
            </w:tcMar>
            <w:vAlign w:val="bottom"/>
            <w:hideMark/>
          </w:tcPr>
          <w:p w14:paraId="729F36F7" w14:textId="77777777" w:rsidR="0084445A" w:rsidRPr="0010694E" w:rsidRDefault="0084445A" w:rsidP="00274E31">
            <w:pPr>
              <w:pStyle w:val="a0"/>
              <w:rPr>
                <w:rFonts w:ascii="Calibri" w:hAnsi="Calibri" w:cstheme="minorHAnsi"/>
                <w:color w:val="auto"/>
                <w:szCs w:val="20"/>
              </w:rPr>
            </w:pPr>
          </w:p>
        </w:tc>
        <w:tc>
          <w:tcPr>
            <w:tcW w:w="1134" w:type="dxa"/>
            <w:tcBorders>
              <w:top w:val="nil"/>
              <w:left w:val="nil"/>
              <w:bottom w:val="nil"/>
              <w:right w:val="nil"/>
            </w:tcBorders>
            <w:shd w:val="clear" w:color="auto" w:fill="auto"/>
            <w:noWrap/>
            <w:tcMar>
              <w:left w:w="28" w:type="dxa"/>
              <w:right w:w="57" w:type="dxa"/>
            </w:tcMar>
            <w:vAlign w:val="bottom"/>
            <w:hideMark/>
          </w:tcPr>
          <w:p w14:paraId="610CA694" w14:textId="77777777" w:rsidR="0084445A" w:rsidRPr="0010694E" w:rsidRDefault="0084445A" w:rsidP="00274E31">
            <w:pPr>
              <w:pStyle w:val="a0"/>
              <w:rPr>
                <w:rFonts w:ascii="Calibri" w:hAnsi="Calibri" w:cstheme="minorHAnsi"/>
                <w:color w:val="auto"/>
                <w:szCs w:val="20"/>
              </w:rPr>
            </w:pPr>
          </w:p>
        </w:tc>
        <w:tc>
          <w:tcPr>
            <w:tcW w:w="851" w:type="dxa"/>
            <w:tcBorders>
              <w:top w:val="single" w:sz="4" w:space="0" w:color="auto"/>
              <w:left w:val="nil"/>
              <w:bottom w:val="single" w:sz="8" w:space="0" w:color="auto"/>
              <w:right w:val="nil"/>
            </w:tcBorders>
            <w:shd w:val="clear" w:color="auto" w:fill="auto"/>
            <w:noWrap/>
            <w:tcMar>
              <w:left w:w="28" w:type="dxa"/>
              <w:right w:w="57" w:type="dxa"/>
            </w:tcMar>
            <w:vAlign w:val="bottom"/>
            <w:hideMark/>
          </w:tcPr>
          <w:p w14:paraId="3D5F578E" w14:textId="77777777" w:rsidR="0084445A" w:rsidRPr="0010694E" w:rsidRDefault="0084445A" w:rsidP="00274E31">
            <w:pPr>
              <w:pStyle w:val="a0"/>
              <w:widowControl w:val="0"/>
              <w:rPr>
                <w:rFonts w:ascii="Calibri" w:hAnsi="Calibri" w:cstheme="minorHAnsi"/>
                <w:b/>
                <w:color w:val="auto"/>
                <w:sz w:val="18"/>
                <w:szCs w:val="18"/>
                <w:lang w:val="bg-BG"/>
              </w:rPr>
            </w:pPr>
            <w:r w:rsidRPr="0010694E">
              <w:rPr>
                <w:rFonts w:ascii="Calibri" w:hAnsi="Calibri" w:cstheme="minorHAnsi"/>
                <w:b/>
                <w:color w:val="auto"/>
                <w:sz w:val="18"/>
                <w:szCs w:val="18"/>
                <w:lang w:val="bg-BG"/>
              </w:rPr>
              <w:t>355</w:t>
            </w:r>
          </w:p>
        </w:tc>
        <w:tc>
          <w:tcPr>
            <w:tcW w:w="777" w:type="dxa"/>
            <w:tcBorders>
              <w:top w:val="single" w:sz="4" w:space="0" w:color="auto"/>
              <w:left w:val="nil"/>
              <w:bottom w:val="single" w:sz="8" w:space="0" w:color="auto"/>
              <w:right w:val="nil"/>
            </w:tcBorders>
            <w:shd w:val="clear" w:color="auto" w:fill="auto"/>
            <w:noWrap/>
            <w:tcMar>
              <w:left w:w="28" w:type="dxa"/>
              <w:right w:w="57" w:type="dxa"/>
            </w:tcMar>
            <w:vAlign w:val="bottom"/>
            <w:hideMark/>
          </w:tcPr>
          <w:p w14:paraId="0DAEA99F" w14:textId="77777777" w:rsidR="0084445A" w:rsidRPr="0010694E" w:rsidRDefault="0084445A" w:rsidP="00274E31">
            <w:pPr>
              <w:pStyle w:val="a0"/>
              <w:rPr>
                <w:rFonts w:ascii="Calibri" w:hAnsi="Calibri" w:cstheme="minorHAnsi"/>
                <w:b/>
                <w:color w:val="auto"/>
                <w:sz w:val="18"/>
                <w:szCs w:val="18"/>
                <w:lang w:val="bg-BG"/>
              </w:rPr>
            </w:pPr>
            <w:r w:rsidRPr="0010694E">
              <w:rPr>
                <w:rFonts w:ascii="Calibri" w:hAnsi="Calibri" w:cstheme="minorHAnsi"/>
                <w:b/>
                <w:color w:val="auto"/>
                <w:sz w:val="18"/>
                <w:szCs w:val="18"/>
                <w:lang w:val="bg-BG"/>
              </w:rPr>
              <w:t>205</w:t>
            </w:r>
          </w:p>
        </w:tc>
      </w:tr>
      <w:tr w:rsidR="00274E31" w:rsidRPr="0010694E" w14:paraId="5D20207B" w14:textId="77777777" w:rsidTr="005C3668">
        <w:trPr>
          <w:trHeight w:val="20"/>
          <w:jc w:val="center"/>
        </w:trPr>
        <w:tc>
          <w:tcPr>
            <w:tcW w:w="4532" w:type="dxa"/>
            <w:gridSpan w:val="2"/>
            <w:tcBorders>
              <w:top w:val="nil"/>
              <w:left w:val="nil"/>
              <w:bottom w:val="nil"/>
              <w:right w:val="nil"/>
            </w:tcBorders>
            <w:shd w:val="clear" w:color="auto" w:fill="auto"/>
            <w:noWrap/>
            <w:tcMar>
              <w:left w:w="28" w:type="dxa"/>
              <w:right w:w="57" w:type="dxa"/>
            </w:tcMar>
            <w:hideMark/>
          </w:tcPr>
          <w:p w14:paraId="4BD06ED6" w14:textId="1D677919" w:rsidR="00274E31" w:rsidRPr="0010694E" w:rsidRDefault="00274E31" w:rsidP="00274E31">
            <w:pPr>
              <w:pStyle w:val="a0"/>
              <w:jc w:val="left"/>
              <w:rPr>
                <w:rFonts w:ascii="Calibri" w:hAnsi="Calibri" w:cstheme="minorHAnsi"/>
                <w:color w:val="auto"/>
                <w:szCs w:val="20"/>
              </w:rPr>
            </w:pPr>
            <w:r w:rsidRPr="0010694E">
              <w:rPr>
                <w:rFonts w:ascii="Calibri" w:hAnsi="Calibri" w:cstheme="minorHAnsi"/>
                <w:color w:val="auto"/>
                <w:szCs w:val="20"/>
                <w:lang w:val="bg-BG"/>
              </w:rPr>
              <w:t xml:space="preserve">Икономия от/ (Разход) за данък върху печалбата </w:t>
            </w:r>
          </w:p>
        </w:tc>
        <w:tc>
          <w:tcPr>
            <w:tcW w:w="825" w:type="dxa"/>
            <w:tcBorders>
              <w:top w:val="nil"/>
              <w:left w:val="nil"/>
              <w:bottom w:val="nil"/>
              <w:right w:val="nil"/>
            </w:tcBorders>
            <w:shd w:val="clear" w:color="auto" w:fill="auto"/>
            <w:noWrap/>
            <w:tcMar>
              <w:left w:w="28" w:type="dxa"/>
              <w:right w:w="57" w:type="dxa"/>
            </w:tcMar>
            <w:vAlign w:val="bottom"/>
            <w:hideMark/>
          </w:tcPr>
          <w:p w14:paraId="1638E093" w14:textId="77777777" w:rsidR="00274E31" w:rsidRPr="0010694E" w:rsidRDefault="00274E31" w:rsidP="00274E31">
            <w:pPr>
              <w:pStyle w:val="a0"/>
              <w:rPr>
                <w:rFonts w:ascii="Calibri" w:hAnsi="Calibri" w:cstheme="minorHAnsi"/>
                <w:color w:val="auto"/>
                <w:szCs w:val="20"/>
              </w:rPr>
            </w:pPr>
          </w:p>
        </w:tc>
        <w:tc>
          <w:tcPr>
            <w:tcW w:w="882" w:type="dxa"/>
            <w:tcBorders>
              <w:top w:val="nil"/>
              <w:left w:val="nil"/>
              <w:bottom w:val="nil"/>
              <w:right w:val="nil"/>
            </w:tcBorders>
            <w:shd w:val="clear" w:color="auto" w:fill="auto"/>
            <w:noWrap/>
            <w:tcMar>
              <w:left w:w="28" w:type="dxa"/>
              <w:right w:w="57" w:type="dxa"/>
            </w:tcMar>
            <w:vAlign w:val="bottom"/>
            <w:hideMark/>
          </w:tcPr>
          <w:p w14:paraId="1F0C1483" w14:textId="77777777" w:rsidR="00274E31" w:rsidRPr="0010694E" w:rsidRDefault="00274E31" w:rsidP="00274E31">
            <w:pPr>
              <w:pStyle w:val="a0"/>
              <w:rPr>
                <w:rFonts w:ascii="Calibri" w:hAnsi="Calibri" w:cstheme="minorHAnsi"/>
                <w:color w:val="auto"/>
                <w:szCs w:val="20"/>
              </w:rPr>
            </w:pPr>
          </w:p>
        </w:tc>
        <w:tc>
          <w:tcPr>
            <w:tcW w:w="850" w:type="dxa"/>
            <w:tcBorders>
              <w:top w:val="nil"/>
              <w:left w:val="nil"/>
              <w:bottom w:val="nil"/>
              <w:right w:val="nil"/>
            </w:tcBorders>
            <w:shd w:val="clear" w:color="auto" w:fill="auto"/>
            <w:noWrap/>
            <w:tcMar>
              <w:left w:w="28" w:type="dxa"/>
              <w:right w:w="57" w:type="dxa"/>
            </w:tcMar>
            <w:vAlign w:val="bottom"/>
            <w:hideMark/>
          </w:tcPr>
          <w:p w14:paraId="2D7BA667" w14:textId="77777777" w:rsidR="00274E31" w:rsidRPr="0010694E" w:rsidRDefault="00274E31" w:rsidP="00274E31">
            <w:pPr>
              <w:pStyle w:val="a0"/>
              <w:rPr>
                <w:rFonts w:ascii="Calibri" w:hAnsi="Calibri" w:cstheme="minorHAnsi"/>
                <w:color w:val="auto"/>
                <w:szCs w:val="20"/>
              </w:rPr>
            </w:pPr>
          </w:p>
        </w:tc>
        <w:tc>
          <w:tcPr>
            <w:tcW w:w="1133" w:type="dxa"/>
            <w:tcBorders>
              <w:top w:val="nil"/>
              <w:left w:val="nil"/>
              <w:bottom w:val="nil"/>
              <w:right w:val="nil"/>
            </w:tcBorders>
            <w:shd w:val="clear" w:color="auto" w:fill="auto"/>
            <w:noWrap/>
            <w:tcMar>
              <w:left w:w="28" w:type="dxa"/>
              <w:right w:w="57" w:type="dxa"/>
            </w:tcMar>
            <w:vAlign w:val="bottom"/>
            <w:hideMark/>
          </w:tcPr>
          <w:p w14:paraId="7BAB9BD3" w14:textId="77777777" w:rsidR="00274E31" w:rsidRPr="0010694E" w:rsidRDefault="00274E31" w:rsidP="00274E31">
            <w:pPr>
              <w:pStyle w:val="a0"/>
              <w:rPr>
                <w:rFonts w:ascii="Calibri" w:hAnsi="Calibri" w:cstheme="minorHAnsi"/>
                <w:color w:val="auto"/>
                <w:szCs w:val="20"/>
              </w:rPr>
            </w:pPr>
          </w:p>
        </w:tc>
        <w:tc>
          <w:tcPr>
            <w:tcW w:w="1134" w:type="dxa"/>
            <w:tcBorders>
              <w:top w:val="nil"/>
              <w:left w:val="nil"/>
              <w:bottom w:val="nil"/>
              <w:right w:val="nil"/>
            </w:tcBorders>
            <w:shd w:val="clear" w:color="auto" w:fill="auto"/>
            <w:noWrap/>
            <w:tcMar>
              <w:left w:w="28" w:type="dxa"/>
              <w:right w:w="57" w:type="dxa"/>
            </w:tcMar>
            <w:vAlign w:val="bottom"/>
            <w:hideMark/>
          </w:tcPr>
          <w:p w14:paraId="0185E8C3" w14:textId="77777777" w:rsidR="00274E31" w:rsidRPr="0010694E" w:rsidRDefault="00274E31" w:rsidP="00274E31">
            <w:pPr>
              <w:pStyle w:val="a0"/>
              <w:rPr>
                <w:rFonts w:ascii="Calibri" w:hAnsi="Calibri" w:cstheme="minorHAnsi"/>
                <w:color w:val="auto"/>
                <w:szCs w:val="20"/>
              </w:rPr>
            </w:pPr>
          </w:p>
        </w:tc>
        <w:tc>
          <w:tcPr>
            <w:tcW w:w="851" w:type="dxa"/>
            <w:tcBorders>
              <w:top w:val="nil"/>
              <w:left w:val="nil"/>
              <w:bottom w:val="single" w:sz="8" w:space="0" w:color="auto"/>
              <w:right w:val="nil"/>
            </w:tcBorders>
            <w:shd w:val="clear" w:color="auto" w:fill="auto"/>
            <w:noWrap/>
            <w:tcMar>
              <w:left w:w="28" w:type="dxa"/>
              <w:right w:w="57" w:type="dxa"/>
            </w:tcMar>
            <w:vAlign w:val="bottom"/>
            <w:hideMark/>
          </w:tcPr>
          <w:p w14:paraId="093F451A" w14:textId="77777777" w:rsidR="00274E31" w:rsidRPr="0010694E" w:rsidRDefault="00274E31" w:rsidP="00274E31">
            <w:pPr>
              <w:pStyle w:val="a0"/>
              <w:widowControl w:val="0"/>
              <w:rPr>
                <w:rFonts w:ascii="Calibri" w:hAnsi="Calibri" w:cstheme="minorHAnsi"/>
                <w:color w:val="auto"/>
                <w:sz w:val="18"/>
                <w:szCs w:val="18"/>
                <w:lang w:val="bg-BG"/>
              </w:rPr>
            </w:pPr>
            <w:r w:rsidRPr="0010694E">
              <w:rPr>
                <w:rFonts w:ascii="Calibri" w:hAnsi="Calibri" w:cstheme="minorHAnsi"/>
                <w:color w:val="auto"/>
                <w:sz w:val="18"/>
                <w:szCs w:val="18"/>
                <w:lang w:val="bg-BG"/>
              </w:rPr>
              <w:t>60</w:t>
            </w:r>
          </w:p>
        </w:tc>
        <w:tc>
          <w:tcPr>
            <w:tcW w:w="777" w:type="dxa"/>
            <w:tcBorders>
              <w:top w:val="nil"/>
              <w:left w:val="nil"/>
              <w:bottom w:val="single" w:sz="8" w:space="0" w:color="auto"/>
              <w:right w:val="nil"/>
            </w:tcBorders>
            <w:shd w:val="clear" w:color="auto" w:fill="auto"/>
            <w:noWrap/>
            <w:tcMar>
              <w:left w:w="28" w:type="dxa"/>
              <w:right w:w="57" w:type="dxa"/>
            </w:tcMar>
            <w:vAlign w:val="bottom"/>
            <w:hideMark/>
          </w:tcPr>
          <w:p w14:paraId="5B4ABC21" w14:textId="77777777" w:rsidR="00274E31" w:rsidRPr="0010694E" w:rsidRDefault="00274E31" w:rsidP="00274E31">
            <w:pPr>
              <w:pStyle w:val="a0"/>
              <w:rPr>
                <w:rFonts w:ascii="Calibri" w:hAnsi="Calibri" w:cstheme="minorHAnsi"/>
                <w:color w:val="auto"/>
                <w:sz w:val="18"/>
                <w:szCs w:val="18"/>
                <w:lang w:val="bg-BG"/>
              </w:rPr>
            </w:pPr>
            <w:r w:rsidRPr="0010694E">
              <w:rPr>
                <w:rFonts w:ascii="Calibri" w:hAnsi="Calibri" w:cstheme="minorHAnsi"/>
                <w:color w:val="auto"/>
                <w:sz w:val="18"/>
                <w:szCs w:val="18"/>
                <w:lang w:val="bg-BG"/>
              </w:rPr>
              <w:t>1</w:t>
            </w:r>
          </w:p>
        </w:tc>
      </w:tr>
      <w:tr w:rsidR="0084445A" w:rsidRPr="0010694E" w14:paraId="38E3DB3D" w14:textId="77777777" w:rsidTr="00827A7E">
        <w:trPr>
          <w:trHeight w:val="20"/>
          <w:jc w:val="center"/>
        </w:trPr>
        <w:tc>
          <w:tcPr>
            <w:tcW w:w="3686" w:type="dxa"/>
            <w:tcBorders>
              <w:top w:val="nil"/>
              <w:left w:val="nil"/>
              <w:bottom w:val="nil"/>
              <w:right w:val="nil"/>
            </w:tcBorders>
            <w:shd w:val="clear" w:color="auto" w:fill="auto"/>
            <w:noWrap/>
            <w:tcMar>
              <w:left w:w="28" w:type="dxa"/>
              <w:right w:w="57" w:type="dxa"/>
            </w:tcMar>
            <w:hideMark/>
          </w:tcPr>
          <w:p w14:paraId="348AF2CA" w14:textId="77777777" w:rsidR="0084445A" w:rsidRPr="0010694E" w:rsidRDefault="0084445A" w:rsidP="00274E31">
            <w:pPr>
              <w:pStyle w:val="a"/>
              <w:rPr>
                <w:rFonts w:ascii="Calibri" w:hAnsi="Calibri" w:cstheme="minorHAnsi"/>
                <w:b/>
                <w:bCs/>
                <w:color w:val="auto"/>
                <w:szCs w:val="20"/>
                <w:lang w:val="bg-BG"/>
              </w:rPr>
            </w:pPr>
            <w:r w:rsidRPr="0010694E">
              <w:rPr>
                <w:rFonts w:ascii="Calibri" w:hAnsi="Calibri" w:cstheme="minorHAnsi"/>
                <w:b/>
                <w:color w:val="auto"/>
                <w:szCs w:val="20"/>
                <w:lang w:val="bg-BG"/>
              </w:rPr>
              <w:t>Нетна печалба за периода</w:t>
            </w:r>
          </w:p>
        </w:tc>
        <w:tc>
          <w:tcPr>
            <w:tcW w:w="846" w:type="dxa"/>
            <w:tcBorders>
              <w:top w:val="nil"/>
              <w:left w:val="nil"/>
              <w:bottom w:val="nil"/>
              <w:right w:val="nil"/>
            </w:tcBorders>
            <w:shd w:val="clear" w:color="auto" w:fill="auto"/>
            <w:noWrap/>
            <w:tcMar>
              <w:left w:w="28" w:type="dxa"/>
              <w:right w:w="57" w:type="dxa"/>
            </w:tcMar>
            <w:vAlign w:val="bottom"/>
            <w:hideMark/>
          </w:tcPr>
          <w:p w14:paraId="5190FCA2" w14:textId="77777777" w:rsidR="0084445A" w:rsidRPr="0010694E" w:rsidRDefault="0084445A" w:rsidP="00274E31">
            <w:pPr>
              <w:pStyle w:val="a0"/>
              <w:rPr>
                <w:rFonts w:ascii="Calibri" w:hAnsi="Calibri" w:cstheme="minorHAnsi"/>
                <w:color w:val="auto"/>
                <w:szCs w:val="20"/>
              </w:rPr>
            </w:pPr>
          </w:p>
        </w:tc>
        <w:tc>
          <w:tcPr>
            <w:tcW w:w="825" w:type="dxa"/>
            <w:tcBorders>
              <w:top w:val="nil"/>
              <w:left w:val="nil"/>
              <w:bottom w:val="nil"/>
              <w:right w:val="nil"/>
            </w:tcBorders>
            <w:shd w:val="clear" w:color="auto" w:fill="auto"/>
            <w:noWrap/>
            <w:tcMar>
              <w:left w:w="28" w:type="dxa"/>
              <w:right w:w="57" w:type="dxa"/>
            </w:tcMar>
            <w:vAlign w:val="bottom"/>
            <w:hideMark/>
          </w:tcPr>
          <w:p w14:paraId="4238B71B" w14:textId="77777777" w:rsidR="0084445A" w:rsidRPr="0010694E" w:rsidRDefault="0084445A" w:rsidP="00274E31">
            <w:pPr>
              <w:pStyle w:val="a0"/>
              <w:rPr>
                <w:rFonts w:ascii="Calibri" w:hAnsi="Calibri" w:cstheme="minorHAnsi"/>
                <w:color w:val="auto"/>
                <w:szCs w:val="20"/>
              </w:rPr>
            </w:pPr>
          </w:p>
        </w:tc>
        <w:tc>
          <w:tcPr>
            <w:tcW w:w="882" w:type="dxa"/>
            <w:tcBorders>
              <w:top w:val="nil"/>
              <w:left w:val="nil"/>
              <w:bottom w:val="nil"/>
              <w:right w:val="nil"/>
            </w:tcBorders>
            <w:shd w:val="clear" w:color="auto" w:fill="auto"/>
            <w:noWrap/>
            <w:tcMar>
              <w:left w:w="28" w:type="dxa"/>
              <w:right w:w="57" w:type="dxa"/>
            </w:tcMar>
            <w:vAlign w:val="bottom"/>
            <w:hideMark/>
          </w:tcPr>
          <w:p w14:paraId="14D56200" w14:textId="77777777" w:rsidR="0084445A" w:rsidRPr="0010694E" w:rsidRDefault="0084445A" w:rsidP="00274E31">
            <w:pPr>
              <w:pStyle w:val="a0"/>
              <w:rPr>
                <w:rFonts w:ascii="Calibri" w:hAnsi="Calibri" w:cstheme="minorHAnsi"/>
                <w:color w:val="auto"/>
                <w:szCs w:val="20"/>
              </w:rPr>
            </w:pPr>
          </w:p>
        </w:tc>
        <w:tc>
          <w:tcPr>
            <w:tcW w:w="850" w:type="dxa"/>
            <w:tcBorders>
              <w:top w:val="nil"/>
              <w:left w:val="nil"/>
              <w:bottom w:val="nil"/>
              <w:right w:val="nil"/>
            </w:tcBorders>
            <w:shd w:val="clear" w:color="auto" w:fill="auto"/>
            <w:noWrap/>
            <w:tcMar>
              <w:left w:w="28" w:type="dxa"/>
              <w:right w:w="57" w:type="dxa"/>
            </w:tcMar>
            <w:vAlign w:val="bottom"/>
            <w:hideMark/>
          </w:tcPr>
          <w:p w14:paraId="591D4FA6" w14:textId="77777777" w:rsidR="0084445A" w:rsidRPr="0010694E" w:rsidRDefault="0084445A" w:rsidP="00274E31">
            <w:pPr>
              <w:pStyle w:val="a0"/>
              <w:rPr>
                <w:rFonts w:ascii="Calibri" w:hAnsi="Calibri" w:cstheme="minorHAnsi"/>
                <w:color w:val="auto"/>
                <w:szCs w:val="20"/>
              </w:rPr>
            </w:pPr>
          </w:p>
        </w:tc>
        <w:tc>
          <w:tcPr>
            <w:tcW w:w="1133" w:type="dxa"/>
            <w:tcBorders>
              <w:top w:val="nil"/>
              <w:left w:val="nil"/>
              <w:bottom w:val="nil"/>
              <w:right w:val="nil"/>
            </w:tcBorders>
            <w:shd w:val="clear" w:color="auto" w:fill="auto"/>
            <w:noWrap/>
            <w:tcMar>
              <w:left w:w="28" w:type="dxa"/>
              <w:right w:w="57" w:type="dxa"/>
            </w:tcMar>
            <w:vAlign w:val="bottom"/>
            <w:hideMark/>
          </w:tcPr>
          <w:p w14:paraId="54856F3E" w14:textId="77777777" w:rsidR="0084445A" w:rsidRPr="0010694E" w:rsidRDefault="0084445A" w:rsidP="00274E31">
            <w:pPr>
              <w:pStyle w:val="a0"/>
              <w:rPr>
                <w:rFonts w:ascii="Calibri" w:hAnsi="Calibri" w:cstheme="minorHAnsi"/>
                <w:color w:val="auto"/>
                <w:szCs w:val="20"/>
              </w:rPr>
            </w:pPr>
          </w:p>
        </w:tc>
        <w:tc>
          <w:tcPr>
            <w:tcW w:w="1134" w:type="dxa"/>
            <w:tcBorders>
              <w:top w:val="nil"/>
              <w:left w:val="nil"/>
              <w:bottom w:val="nil"/>
              <w:right w:val="nil"/>
            </w:tcBorders>
            <w:shd w:val="clear" w:color="auto" w:fill="auto"/>
            <w:noWrap/>
            <w:tcMar>
              <w:left w:w="28" w:type="dxa"/>
              <w:right w:w="57" w:type="dxa"/>
            </w:tcMar>
            <w:vAlign w:val="bottom"/>
            <w:hideMark/>
          </w:tcPr>
          <w:p w14:paraId="1E09727F" w14:textId="77777777" w:rsidR="0084445A" w:rsidRPr="0010694E" w:rsidRDefault="0084445A" w:rsidP="00274E31">
            <w:pPr>
              <w:pStyle w:val="a0"/>
              <w:rPr>
                <w:rFonts w:ascii="Calibri" w:hAnsi="Calibri" w:cstheme="minorHAnsi"/>
                <w:color w:val="auto"/>
                <w:szCs w:val="20"/>
              </w:rPr>
            </w:pPr>
          </w:p>
        </w:tc>
        <w:tc>
          <w:tcPr>
            <w:tcW w:w="851" w:type="dxa"/>
            <w:tcBorders>
              <w:top w:val="nil"/>
              <w:left w:val="nil"/>
              <w:bottom w:val="double" w:sz="6" w:space="0" w:color="auto"/>
              <w:right w:val="nil"/>
            </w:tcBorders>
            <w:shd w:val="clear" w:color="auto" w:fill="auto"/>
            <w:noWrap/>
            <w:tcMar>
              <w:left w:w="28" w:type="dxa"/>
              <w:right w:w="57" w:type="dxa"/>
            </w:tcMar>
            <w:vAlign w:val="bottom"/>
            <w:hideMark/>
          </w:tcPr>
          <w:p w14:paraId="6B7A24DC" w14:textId="77777777" w:rsidR="0084445A" w:rsidRPr="0010694E" w:rsidRDefault="0084445A" w:rsidP="00274E31">
            <w:pPr>
              <w:pStyle w:val="a0"/>
              <w:widowControl w:val="0"/>
              <w:rPr>
                <w:rFonts w:ascii="Calibri" w:hAnsi="Calibri" w:cstheme="minorHAnsi"/>
                <w:b/>
                <w:color w:val="auto"/>
                <w:sz w:val="18"/>
                <w:szCs w:val="18"/>
                <w:lang w:val="bg-BG"/>
              </w:rPr>
            </w:pPr>
            <w:r w:rsidRPr="0010694E">
              <w:rPr>
                <w:rFonts w:ascii="Calibri" w:hAnsi="Calibri" w:cstheme="minorHAnsi"/>
                <w:b/>
                <w:color w:val="auto"/>
                <w:sz w:val="18"/>
                <w:szCs w:val="18"/>
                <w:lang w:val="bg-BG"/>
              </w:rPr>
              <w:t>415</w:t>
            </w:r>
          </w:p>
        </w:tc>
        <w:tc>
          <w:tcPr>
            <w:tcW w:w="777" w:type="dxa"/>
            <w:tcBorders>
              <w:top w:val="nil"/>
              <w:left w:val="nil"/>
              <w:bottom w:val="double" w:sz="6" w:space="0" w:color="auto"/>
              <w:right w:val="nil"/>
            </w:tcBorders>
            <w:shd w:val="clear" w:color="auto" w:fill="auto"/>
            <w:noWrap/>
            <w:tcMar>
              <w:left w:w="28" w:type="dxa"/>
              <w:right w:w="57" w:type="dxa"/>
            </w:tcMar>
            <w:vAlign w:val="bottom"/>
            <w:hideMark/>
          </w:tcPr>
          <w:p w14:paraId="47E50B00" w14:textId="77777777" w:rsidR="0084445A" w:rsidRPr="0010694E" w:rsidRDefault="0084445A" w:rsidP="00274E31">
            <w:pPr>
              <w:pStyle w:val="a0"/>
              <w:widowControl w:val="0"/>
              <w:rPr>
                <w:rFonts w:ascii="Calibri" w:hAnsi="Calibri" w:cstheme="minorHAnsi"/>
                <w:b/>
                <w:color w:val="auto"/>
                <w:sz w:val="18"/>
                <w:szCs w:val="18"/>
                <w:lang w:val="bg-BG"/>
              </w:rPr>
            </w:pPr>
            <w:r w:rsidRPr="0010694E">
              <w:rPr>
                <w:rFonts w:ascii="Calibri" w:hAnsi="Calibri" w:cstheme="minorHAnsi"/>
                <w:b/>
                <w:color w:val="auto"/>
                <w:sz w:val="18"/>
                <w:szCs w:val="18"/>
                <w:lang w:val="bg-BG"/>
              </w:rPr>
              <w:t>206</w:t>
            </w:r>
          </w:p>
        </w:tc>
      </w:tr>
      <w:bookmarkEnd w:id="94"/>
    </w:tbl>
    <w:p w14:paraId="59324042" w14:textId="77777777" w:rsidR="00274E31" w:rsidRDefault="00274E31" w:rsidP="00274E31">
      <w:pPr>
        <w:spacing w:after="0"/>
        <w:rPr>
          <w:rFonts w:cstheme="minorHAnsi"/>
        </w:rPr>
      </w:pPr>
    </w:p>
    <w:p w14:paraId="34E62473" w14:textId="77777777" w:rsidR="00274E31" w:rsidRDefault="00274E31">
      <w:pPr>
        <w:rPr>
          <w:rFonts w:cstheme="minorHAnsi"/>
        </w:rPr>
      </w:pPr>
      <w:r>
        <w:rPr>
          <w:rFonts w:cstheme="minorHAnsi"/>
        </w:rPr>
        <w:br w:type="page"/>
      </w:r>
    </w:p>
    <w:p w14:paraId="7C06C52E" w14:textId="77D80288" w:rsidR="0084445A" w:rsidRPr="00741D80" w:rsidRDefault="0084445A" w:rsidP="00274E31">
      <w:pPr>
        <w:spacing w:after="0"/>
        <w:rPr>
          <w:rFonts w:cstheme="minorHAnsi"/>
        </w:rPr>
      </w:pPr>
      <w:r w:rsidRPr="00741D80">
        <w:rPr>
          <w:rFonts w:cstheme="minorHAnsi"/>
        </w:rPr>
        <w:lastRenderedPageBreak/>
        <w:t>Активите и пасивите на бизнес сегментите включват:</w:t>
      </w:r>
    </w:p>
    <w:tbl>
      <w:tblPr>
        <w:tblW w:w="5810" w:type="pct"/>
        <w:jc w:val="center"/>
        <w:tblLayout w:type="fixed"/>
        <w:tblLook w:val="04A0" w:firstRow="1" w:lastRow="0" w:firstColumn="1" w:lastColumn="0" w:noHBand="0" w:noVBand="1"/>
      </w:tblPr>
      <w:tblGrid>
        <w:gridCol w:w="3825"/>
        <w:gridCol w:w="808"/>
        <w:gridCol w:w="811"/>
        <w:gridCol w:w="809"/>
        <w:gridCol w:w="811"/>
        <w:gridCol w:w="1250"/>
        <w:gridCol w:w="1279"/>
        <w:gridCol w:w="809"/>
        <w:gridCol w:w="797"/>
      </w:tblGrid>
      <w:tr w:rsidR="0084445A" w:rsidRPr="00741D80" w14:paraId="6BA7452B"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hideMark/>
          </w:tcPr>
          <w:p w14:paraId="2AC7764A" w14:textId="77777777" w:rsidR="0084445A" w:rsidRPr="00741D80" w:rsidRDefault="0084445A" w:rsidP="00274E31">
            <w:pPr>
              <w:pStyle w:val="a"/>
              <w:jc w:val="center"/>
              <w:rPr>
                <w:rFonts w:asciiTheme="minorHAnsi" w:hAnsiTheme="minorHAnsi" w:cstheme="minorHAnsi"/>
                <w:color w:val="auto"/>
                <w:szCs w:val="20"/>
                <w:lang w:val="bg-BG" w:eastAsia="en-US"/>
              </w:rPr>
            </w:pPr>
            <w:bookmarkStart w:id="95" w:name="_Hlk536223947"/>
          </w:p>
        </w:tc>
        <w:tc>
          <w:tcPr>
            <w:tcW w:w="722" w:type="pct"/>
            <w:gridSpan w:val="2"/>
            <w:tcBorders>
              <w:top w:val="nil"/>
              <w:left w:val="nil"/>
              <w:bottom w:val="nil"/>
              <w:right w:val="nil"/>
            </w:tcBorders>
            <w:shd w:val="clear" w:color="auto" w:fill="auto"/>
            <w:tcMar>
              <w:left w:w="28" w:type="dxa"/>
              <w:right w:w="57" w:type="dxa"/>
            </w:tcMar>
            <w:hideMark/>
          </w:tcPr>
          <w:p w14:paraId="4111C309" w14:textId="77777777" w:rsidR="0084445A" w:rsidRPr="00741D80" w:rsidRDefault="0084445A" w:rsidP="00274E31">
            <w:pPr>
              <w:pStyle w:val="a1"/>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Търговия с финансови инструменти</w:t>
            </w:r>
          </w:p>
        </w:tc>
        <w:tc>
          <w:tcPr>
            <w:tcW w:w="722" w:type="pct"/>
            <w:gridSpan w:val="2"/>
            <w:tcBorders>
              <w:top w:val="nil"/>
              <w:left w:val="nil"/>
              <w:bottom w:val="nil"/>
              <w:right w:val="nil"/>
            </w:tcBorders>
            <w:shd w:val="clear" w:color="auto" w:fill="auto"/>
            <w:tcMar>
              <w:left w:w="28" w:type="dxa"/>
              <w:right w:w="57" w:type="dxa"/>
            </w:tcMar>
            <w:hideMark/>
          </w:tcPr>
          <w:p w14:paraId="6173F50D" w14:textId="77777777" w:rsidR="0084445A" w:rsidRPr="00741D80" w:rsidRDefault="0084445A" w:rsidP="00274E31">
            <w:pPr>
              <w:pStyle w:val="a1"/>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Информационно обслужване</w:t>
            </w:r>
          </w:p>
        </w:tc>
        <w:tc>
          <w:tcPr>
            <w:tcW w:w="1129" w:type="pct"/>
            <w:gridSpan w:val="2"/>
            <w:tcBorders>
              <w:top w:val="nil"/>
              <w:left w:val="nil"/>
              <w:bottom w:val="nil"/>
              <w:right w:val="nil"/>
            </w:tcBorders>
            <w:shd w:val="clear" w:color="auto" w:fill="auto"/>
            <w:tcMar>
              <w:left w:w="28" w:type="dxa"/>
              <w:right w:w="57" w:type="dxa"/>
            </w:tcMar>
            <w:hideMark/>
          </w:tcPr>
          <w:p w14:paraId="388CEA2F" w14:textId="77777777" w:rsidR="0084445A" w:rsidRPr="00741D80" w:rsidRDefault="0084445A" w:rsidP="00274E31">
            <w:pPr>
              <w:pStyle w:val="a1"/>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rPr>
              <w:t>Регистрация и поддържане на емисии финансови инструменти за търговия</w:t>
            </w:r>
          </w:p>
        </w:tc>
        <w:tc>
          <w:tcPr>
            <w:tcW w:w="718" w:type="pct"/>
            <w:gridSpan w:val="2"/>
            <w:tcBorders>
              <w:top w:val="nil"/>
              <w:left w:val="nil"/>
              <w:bottom w:val="nil"/>
              <w:right w:val="nil"/>
            </w:tcBorders>
            <w:shd w:val="clear" w:color="auto" w:fill="auto"/>
            <w:tcMar>
              <w:left w:w="28" w:type="dxa"/>
              <w:right w:w="57" w:type="dxa"/>
            </w:tcMar>
            <w:hideMark/>
          </w:tcPr>
          <w:p w14:paraId="1100ED96" w14:textId="77777777" w:rsidR="0084445A" w:rsidRPr="00741D80" w:rsidRDefault="0084445A" w:rsidP="00274E31">
            <w:pPr>
              <w:pStyle w:val="a1"/>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Общо</w:t>
            </w:r>
          </w:p>
        </w:tc>
      </w:tr>
      <w:tr w:rsidR="0084445A" w:rsidRPr="00741D80" w14:paraId="043244A8"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vAlign w:val="bottom"/>
            <w:hideMark/>
          </w:tcPr>
          <w:p w14:paraId="0B156CDF" w14:textId="77777777" w:rsidR="0084445A" w:rsidRPr="00741D80" w:rsidRDefault="0084445A" w:rsidP="00274E31">
            <w:pPr>
              <w:pStyle w:val="a"/>
              <w:jc w:val="center"/>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center"/>
            <w:hideMark/>
          </w:tcPr>
          <w:p w14:paraId="4FFE705E" w14:textId="77777777" w:rsidR="0084445A" w:rsidRPr="00741D80" w:rsidRDefault="0084445A" w:rsidP="00274E31">
            <w:pPr>
              <w:pStyle w:val="a1"/>
              <w:widowControl w:val="0"/>
              <w:rPr>
                <w:rFonts w:asciiTheme="minorHAnsi" w:hAnsiTheme="minorHAnsi" w:cstheme="minorHAnsi"/>
                <w:color w:val="auto"/>
                <w:szCs w:val="20"/>
                <w:lang w:eastAsia="en-US"/>
              </w:rPr>
            </w:pPr>
            <w:r w:rsidRPr="00741D80">
              <w:rPr>
                <w:rFonts w:asciiTheme="minorHAnsi" w:hAnsiTheme="minorHAnsi" w:cstheme="minorHAnsi"/>
                <w:color w:val="auto"/>
                <w:szCs w:val="20"/>
              </w:rPr>
              <w:t>2018</w:t>
            </w:r>
          </w:p>
        </w:tc>
        <w:tc>
          <w:tcPr>
            <w:tcW w:w="362" w:type="pct"/>
            <w:tcBorders>
              <w:top w:val="nil"/>
              <w:left w:val="nil"/>
              <w:bottom w:val="nil"/>
              <w:right w:val="nil"/>
            </w:tcBorders>
            <w:shd w:val="clear" w:color="auto" w:fill="auto"/>
            <w:noWrap/>
            <w:tcMar>
              <w:left w:w="28" w:type="dxa"/>
              <w:right w:w="57" w:type="dxa"/>
            </w:tcMar>
            <w:vAlign w:val="center"/>
            <w:hideMark/>
          </w:tcPr>
          <w:p w14:paraId="6F299951" w14:textId="77777777" w:rsidR="0084445A" w:rsidRPr="00741D80" w:rsidRDefault="0084445A" w:rsidP="00274E31">
            <w:pPr>
              <w:pStyle w:val="a1"/>
              <w:widowControl w:val="0"/>
              <w:rPr>
                <w:rFonts w:asciiTheme="minorHAnsi" w:hAnsiTheme="minorHAnsi" w:cstheme="minorHAnsi"/>
                <w:color w:val="auto"/>
                <w:szCs w:val="20"/>
                <w:lang w:eastAsia="en-US"/>
              </w:rPr>
            </w:pPr>
            <w:r w:rsidRPr="00741D80">
              <w:rPr>
                <w:rFonts w:asciiTheme="minorHAnsi" w:hAnsiTheme="minorHAnsi" w:cstheme="minorHAnsi"/>
                <w:color w:val="auto"/>
                <w:szCs w:val="20"/>
                <w:lang w:eastAsia="en-US"/>
              </w:rPr>
              <w:t>2017</w:t>
            </w:r>
          </w:p>
        </w:tc>
        <w:tc>
          <w:tcPr>
            <w:tcW w:w="361" w:type="pct"/>
            <w:tcBorders>
              <w:top w:val="nil"/>
              <w:left w:val="nil"/>
              <w:bottom w:val="nil"/>
              <w:right w:val="nil"/>
            </w:tcBorders>
            <w:shd w:val="clear" w:color="auto" w:fill="auto"/>
            <w:noWrap/>
            <w:tcMar>
              <w:left w:w="28" w:type="dxa"/>
              <w:right w:w="57" w:type="dxa"/>
            </w:tcMar>
            <w:vAlign w:val="center"/>
            <w:hideMark/>
          </w:tcPr>
          <w:p w14:paraId="29EBAA18" w14:textId="77777777" w:rsidR="0084445A" w:rsidRPr="00741D80" w:rsidRDefault="0084445A" w:rsidP="00274E31">
            <w:pPr>
              <w:pStyle w:val="a1"/>
              <w:widowControl w:val="0"/>
              <w:rPr>
                <w:rFonts w:asciiTheme="minorHAnsi" w:hAnsiTheme="minorHAnsi" w:cstheme="minorHAnsi"/>
                <w:color w:val="auto"/>
                <w:szCs w:val="20"/>
                <w:lang w:eastAsia="en-US"/>
              </w:rPr>
            </w:pPr>
            <w:r w:rsidRPr="00741D80">
              <w:rPr>
                <w:rFonts w:asciiTheme="minorHAnsi" w:hAnsiTheme="minorHAnsi" w:cstheme="minorHAnsi"/>
                <w:color w:val="auto"/>
                <w:szCs w:val="20"/>
              </w:rPr>
              <w:t>2018</w:t>
            </w:r>
          </w:p>
        </w:tc>
        <w:tc>
          <w:tcPr>
            <w:tcW w:w="362" w:type="pct"/>
            <w:tcBorders>
              <w:top w:val="nil"/>
              <w:left w:val="nil"/>
              <w:bottom w:val="nil"/>
              <w:right w:val="nil"/>
            </w:tcBorders>
            <w:shd w:val="clear" w:color="auto" w:fill="auto"/>
            <w:noWrap/>
            <w:tcMar>
              <w:left w:w="28" w:type="dxa"/>
              <w:right w:w="57" w:type="dxa"/>
            </w:tcMar>
            <w:vAlign w:val="center"/>
            <w:hideMark/>
          </w:tcPr>
          <w:p w14:paraId="50E92353" w14:textId="77777777" w:rsidR="0084445A" w:rsidRPr="00741D80" w:rsidRDefault="0084445A" w:rsidP="00274E31">
            <w:pPr>
              <w:pStyle w:val="a1"/>
              <w:widowControl w:val="0"/>
              <w:rPr>
                <w:rFonts w:asciiTheme="minorHAnsi" w:hAnsiTheme="minorHAnsi" w:cstheme="minorHAnsi"/>
                <w:color w:val="auto"/>
                <w:szCs w:val="20"/>
                <w:lang w:eastAsia="en-US"/>
              </w:rPr>
            </w:pPr>
            <w:r w:rsidRPr="00741D80">
              <w:rPr>
                <w:rFonts w:asciiTheme="minorHAnsi" w:hAnsiTheme="minorHAnsi" w:cstheme="minorHAnsi"/>
                <w:color w:val="auto"/>
                <w:szCs w:val="20"/>
                <w:lang w:eastAsia="en-US"/>
              </w:rPr>
              <w:t>2017</w:t>
            </w:r>
          </w:p>
        </w:tc>
        <w:tc>
          <w:tcPr>
            <w:tcW w:w="558" w:type="pct"/>
            <w:tcBorders>
              <w:top w:val="nil"/>
              <w:left w:val="nil"/>
              <w:bottom w:val="nil"/>
              <w:right w:val="nil"/>
            </w:tcBorders>
            <w:shd w:val="clear" w:color="auto" w:fill="auto"/>
            <w:noWrap/>
            <w:tcMar>
              <w:left w:w="28" w:type="dxa"/>
              <w:right w:w="57" w:type="dxa"/>
            </w:tcMar>
            <w:vAlign w:val="center"/>
            <w:hideMark/>
          </w:tcPr>
          <w:p w14:paraId="1AFD015E" w14:textId="77777777" w:rsidR="0084445A" w:rsidRPr="00741D80" w:rsidRDefault="0084445A" w:rsidP="00274E31">
            <w:pPr>
              <w:pStyle w:val="a1"/>
              <w:widowControl w:val="0"/>
              <w:rPr>
                <w:rFonts w:asciiTheme="minorHAnsi" w:hAnsiTheme="minorHAnsi" w:cstheme="minorHAnsi"/>
                <w:color w:val="auto"/>
                <w:szCs w:val="20"/>
                <w:lang w:eastAsia="en-US"/>
              </w:rPr>
            </w:pPr>
            <w:r w:rsidRPr="00741D80">
              <w:rPr>
                <w:rFonts w:asciiTheme="minorHAnsi" w:hAnsiTheme="minorHAnsi" w:cstheme="minorHAnsi"/>
                <w:color w:val="auto"/>
                <w:szCs w:val="20"/>
              </w:rPr>
              <w:t>2018</w:t>
            </w:r>
          </w:p>
        </w:tc>
        <w:tc>
          <w:tcPr>
            <w:tcW w:w="571" w:type="pct"/>
            <w:tcBorders>
              <w:top w:val="nil"/>
              <w:left w:val="nil"/>
              <w:bottom w:val="nil"/>
              <w:right w:val="nil"/>
            </w:tcBorders>
            <w:shd w:val="clear" w:color="auto" w:fill="auto"/>
            <w:noWrap/>
            <w:tcMar>
              <w:left w:w="28" w:type="dxa"/>
              <w:right w:w="57" w:type="dxa"/>
            </w:tcMar>
            <w:vAlign w:val="center"/>
            <w:hideMark/>
          </w:tcPr>
          <w:p w14:paraId="772A414C" w14:textId="77777777" w:rsidR="0084445A" w:rsidRPr="00741D80" w:rsidRDefault="0084445A" w:rsidP="00274E31">
            <w:pPr>
              <w:pStyle w:val="a1"/>
              <w:widowControl w:val="0"/>
              <w:rPr>
                <w:rFonts w:asciiTheme="minorHAnsi" w:hAnsiTheme="minorHAnsi" w:cstheme="minorHAnsi"/>
                <w:color w:val="auto"/>
                <w:szCs w:val="20"/>
                <w:lang w:eastAsia="en-US"/>
              </w:rPr>
            </w:pPr>
            <w:r w:rsidRPr="00741D80">
              <w:rPr>
                <w:rFonts w:asciiTheme="minorHAnsi" w:hAnsiTheme="minorHAnsi" w:cstheme="minorHAnsi"/>
                <w:color w:val="auto"/>
                <w:szCs w:val="20"/>
                <w:lang w:eastAsia="en-US"/>
              </w:rPr>
              <w:t>2017</w:t>
            </w:r>
          </w:p>
        </w:tc>
        <w:tc>
          <w:tcPr>
            <w:tcW w:w="361" w:type="pct"/>
            <w:tcBorders>
              <w:top w:val="nil"/>
              <w:left w:val="nil"/>
              <w:bottom w:val="nil"/>
              <w:right w:val="nil"/>
            </w:tcBorders>
            <w:shd w:val="clear" w:color="auto" w:fill="auto"/>
            <w:noWrap/>
            <w:tcMar>
              <w:left w:w="28" w:type="dxa"/>
              <w:right w:w="57" w:type="dxa"/>
            </w:tcMar>
            <w:vAlign w:val="center"/>
            <w:hideMark/>
          </w:tcPr>
          <w:p w14:paraId="2B17EBC2" w14:textId="77777777" w:rsidR="0084445A" w:rsidRPr="00741D80" w:rsidRDefault="0084445A" w:rsidP="00274E31">
            <w:pPr>
              <w:pStyle w:val="a1"/>
              <w:rPr>
                <w:rFonts w:asciiTheme="minorHAnsi" w:hAnsiTheme="minorHAnsi" w:cstheme="minorHAnsi"/>
                <w:color w:val="auto"/>
                <w:szCs w:val="20"/>
                <w:lang w:eastAsia="en-US"/>
              </w:rPr>
            </w:pPr>
            <w:r w:rsidRPr="00741D80">
              <w:rPr>
                <w:rFonts w:asciiTheme="minorHAnsi" w:hAnsiTheme="minorHAnsi" w:cstheme="minorHAnsi"/>
                <w:color w:val="auto"/>
                <w:szCs w:val="20"/>
              </w:rPr>
              <w:t>2018</w:t>
            </w:r>
          </w:p>
        </w:tc>
        <w:tc>
          <w:tcPr>
            <w:tcW w:w="358" w:type="pct"/>
            <w:tcBorders>
              <w:top w:val="nil"/>
              <w:left w:val="nil"/>
              <w:bottom w:val="nil"/>
              <w:right w:val="nil"/>
            </w:tcBorders>
            <w:shd w:val="clear" w:color="auto" w:fill="auto"/>
            <w:noWrap/>
            <w:tcMar>
              <w:left w:w="28" w:type="dxa"/>
              <w:right w:w="57" w:type="dxa"/>
            </w:tcMar>
            <w:vAlign w:val="center"/>
            <w:hideMark/>
          </w:tcPr>
          <w:p w14:paraId="4FBC41B9" w14:textId="77777777" w:rsidR="0084445A" w:rsidRPr="00741D80" w:rsidRDefault="0084445A" w:rsidP="00274E31">
            <w:pPr>
              <w:pStyle w:val="a1"/>
              <w:widowControl w:val="0"/>
              <w:rPr>
                <w:rFonts w:asciiTheme="minorHAnsi" w:hAnsiTheme="minorHAnsi" w:cstheme="minorHAnsi"/>
                <w:color w:val="auto"/>
                <w:szCs w:val="20"/>
                <w:lang w:eastAsia="en-US"/>
              </w:rPr>
            </w:pPr>
            <w:r w:rsidRPr="00741D80">
              <w:rPr>
                <w:rFonts w:asciiTheme="minorHAnsi" w:hAnsiTheme="minorHAnsi" w:cstheme="minorHAnsi"/>
                <w:color w:val="auto"/>
                <w:szCs w:val="20"/>
                <w:lang w:eastAsia="en-US"/>
              </w:rPr>
              <w:t>2017</w:t>
            </w:r>
          </w:p>
        </w:tc>
      </w:tr>
      <w:tr w:rsidR="0084445A" w:rsidRPr="00274E31" w14:paraId="701D0072"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vAlign w:val="bottom"/>
            <w:hideMark/>
          </w:tcPr>
          <w:p w14:paraId="17808A78" w14:textId="77777777" w:rsidR="0084445A" w:rsidRPr="00274E31" w:rsidRDefault="0084445A" w:rsidP="00274E31">
            <w:pPr>
              <w:pStyle w:val="a"/>
              <w:jc w:val="center"/>
              <w:rPr>
                <w:rFonts w:asciiTheme="minorHAnsi" w:hAnsiTheme="minorHAnsi" w:cstheme="minorHAnsi"/>
                <w:color w:val="auto"/>
                <w:sz w:val="18"/>
                <w:szCs w:val="18"/>
                <w:lang w:val="bg-BG" w:eastAsia="en-US"/>
              </w:rPr>
            </w:pPr>
          </w:p>
        </w:tc>
        <w:tc>
          <w:tcPr>
            <w:tcW w:w="361" w:type="pct"/>
            <w:tcBorders>
              <w:top w:val="nil"/>
              <w:left w:val="nil"/>
              <w:bottom w:val="nil"/>
              <w:right w:val="nil"/>
            </w:tcBorders>
            <w:shd w:val="clear" w:color="auto" w:fill="auto"/>
            <w:noWrap/>
            <w:tcMar>
              <w:left w:w="28" w:type="dxa"/>
              <w:right w:w="57" w:type="dxa"/>
            </w:tcMar>
            <w:vAlign w:val="center"/>
            <w:hideMark/>
          </w:tcPr>
          <w:p w14:paraId="394CE23B" w14:textId="77777777" w:rsidR="0084445A" w:rsidRPr="00274E31" w:rsidRDefault="0084445A" w:rsidP="00274E31">
            <w:pPr>
              <w:pStyle w:val="a1"/>
              <w:widowControl w:val="0"/>
              <w:rPr>
                <w:rFonts w:asciiTheme="minorHAnsi" w:hAnsiTheme="minorHAnsi" w:cstheme="minorHAnsi"/>
                <w:color w:val="auto"/>
                <w:sz w:val="18"/>
                <w:szCs w:val="18"/>
                <w:lang w:val="bg-BG" w:eastAsia="en-US"/>
              </w:rPr>
            </w:pPr>
            <w:r w:rsidRPr="00274E31">
              <w:rPr>
                <w:rFonts w:asciiTheme="minorHAnsi" w:hAnsiTheme="minorHAnsi" w:cstheme="minorHAnsi"/>
                <w:color w:val="auto"/>
                <w:sz w:val="18"/>
                <w:szCs w:val="18"/>
                <w:lang w:val="bg-BG" w:eastAsia="en-US"/>
              </w:rPr>
              <w:t>BGN'000</w:t>
            </w:r>
          </w:p>
        </w:tc>
        <w:tc>
          <w:tcPr>
            <w:tcW w:w="362" w:type="pct"/>
            <w:tcBorders>
              <w:top w:val="nil"/>
              <w:left w:val="nil"/>
              <w:bottom w:val="nil"/>
              <w:right w:val="nil"/>
            </w:tcBorders>
            <w:shd w:val="clear" w:color="auto" w:fill="auto"/>
            <w:noWrap/>
            <w:tcMar>
              <w:left w:w="28" w:type="dxa"/>
              <w:right w:w="57" w:type="dxa"/>
            </w:tcMar>
            <w:vAlign w:val="center"/>
            <w:hideMark/>
          </w:tcPr>
          <w:p w14:paraId="558FB398" w14:textId="77777777" w:rsidR="0084445A" w:rsidRPr="00274E31" w:rsidRDefault="0084445A" w:rsidP="00274E31">
            <w:pPr>
              <w:pStyle w:val="a1"/>
              <w:widowControl w:val="0"/>
              <w:rPr>
                <w:rFonts w:asciiTheme="minorHAnsi" w:hAnsiTheme="minorHAnsi" w:cstheme="minorHAnsi"/>
                <w:color w:val="auto"/>
                <w:sz w:val="18"/>
                <w:szCs w:val="18"/>
                <w:lang w:val="bg-BG" w:eastAsia="en-US"/>
              </w:rPr>
            </w:pPr>
            <w:r w:rsidRPr="00274E31">
              <w:rPr>
                <w:rFonts w:asciiTheme="minorHAnsi" w:hAnsiTheme="minorHAnsi" w:cstheme="minorHAnsi"/>
                <w:color w:val="auto"/>
                <w:sz w:val="18"/>
                <w:szCs w:val="18"/>
                <w:lang w:val="bg-BG" w:eastAsia="en-US"/>
              </w:rPr>
              <w:t>BGN'000</w:t>
            </w:r>
          </w:p>
        </w:tc>
        <w:tc>
          <w:tcPr>
            <w:tcW w:w="361" w:type="pct"/>
            <w:tcBorders>
              <w:top w:val="nil"/>
              <w:left w:val="nil"/>
              <w:bottom w:val="nil"/>
              <w:right w:val="nil"/>
            </w:tcBorders>
            <w:shd w:val="clear" w:color="auto" w:fill="auto"/>
            <w:noWrap/>
            <w:tcMar>
              <w:left w:w="28" w:type="dxa"/>
              <w:right w:w="57" w:type="dxa"/>
            </w:tcMar>
            <w:vAlign w:val="center"/>
            <w:hideMark/>
          </w:tcPr>
          <w:p w14:paraId="04E9B6F9" w14:textId="77777777" w:rsidR="0084445A" w:rsidRPr="00274E31" w:rsidRDefault="0084445A" w:rsidP="00274E31">
            <w:pPr>
              <w:pStyle w:val="a1"/>
              <w:widowControl w:val="0"/>
              <w:rPr>
                <w:rFonts w:asciiTheme="minorHAnsi" w:hAnsiTheme="minorHAnsi" w:cstheme="minorHAnsi"/>
                <w:color w:val="auto"/>
                <w:sz w:val="18"/>
                <w:szCs w:val="18"/>
                <w:lang w:val="bg-BG" w:eastAsia="en-US"/>
              </w:rPr>
            </w:pPr>
            <w:r w:rsidRPr="00274E31">
              <w:rPr>
                <w:rFonts w:asciiTheme="minorHAnsi" w:hAnsiTheme="minorHAnsi" w:cstheme="minorHAnsi"/>
                <w:color w:val="auto"/>
                <w:sz w:val="18"/>
                <w:szCs w:val="18"/>
                <w:lang w:val="bg-BG" w:eastAsia="en-US"/>
              </w:rPr>
              <w:t>BGN'000</w:t>
            </w:r>
          </w:p>
        </w:tc>
        <w:tc>
          <w:tcPr>
            <w:tcW w:w="362" w:type="pct"/>
            <w:tcBorders>
              <w:top w:val="nil"/>
              <w:left w:val="nil"/>
              <w:bottom w:val="nil"/>
              <w:right w:val="nil"/>
            </w:tcBorders>
            <w:shd w:val="clear" w:color="auto" w:fill="auto"/>
            <w:noWrap/>
            <w:tcMar>
              <w:left w:w="28" w:type="dxa"/>
              <w:right w:w="57" w:type="dxa"/>
            </w:tcMar>
            <w:vAlign w:val="center"/>
            <w:hideMark/>
          </w:tcPr>
          <w:p w14:paraId="151D1F63" w14:textId="77777777" w:rsidR="0084445A" w:rsidRPr="00274E31" w:rsidRDefault="0084445A" w:rsidP="00274E31">
            <w:pPr>
              <w:pStyle w:val="a1"/>
              <w:widowControl w:val="0"/>
              <w:rPr>
                <w:rFonts w:asciiTheme="minorHAnsi" w:hAnsiTheme="minorHAnsi" w:cstheme="minorHAnsi"/>
                <w:color w:val="auto"/>
                <w:sz w:val="18"/>
                <w:szCs w:val="18"/>
                <w:lang w:val="bg-BG" w:eastAsia="en-US"/>
              </w:rPr>
            </w:pPr>
            <w:r w:rsidRPr="00274E31">
              <w:rPr>
                <w:rFonts w:asciiTheme="minorHAnsi" w:hAnsiTheme="minorHAnsi" w:cstheme="minorHAnsi"/>
                <w:color w:val="auto"/>
                <w:sz w:val="18"/>
                <w:szCs w:val="18"/>
                <w:lang w:val="bg-BG" w:eastAsia="en-US"/>
              </w:rPr>
              <w:t>BGN'000</w:t>
            </w:r>
          </w:p>
        </w:tc>
        <w:tc>
          <w:tcPr>
            <w:tcW w:w="558" w:type="pct"/>
            <w:tcBorders>
              <w:top w:val="nil"/>
              <w:left w:val="nil"/>
              <w:bottom w:val="nil"/>
              <w:right w:val="nil"/>
            </w:tcBorders>
            <w:shd w:val="clear" w:color="auto" w:fill="auto"/>
            <w:noWrap/>
            <w:tcMar>
              <w:left w:w="28" w:type="dxa"/>
              <w:right w:w="57" w:type="dxa"/>
            </w:tcMar>
            <w:vAlign w:val="center"/>
            <w:hideMark/>
          </w:tcPr>
          <w:p w14:paraId="1949E3E5" w14:textId="77777777" w:rsidR="0084445A" w:rsidRPr="00274E31" w:rsidRDefault="0084445A" w:rsidP="00274E31">
            <w:pPr>
              <w:pStyle w:val="a1"/>
              <w:widowControl w:val="0"/>
              <w:rPr>
                <w:rFonts w:asciiTheme="minorHAnsi" w:hAnsiTheme="minorHAnsi" w:cstheme="minorHAnsi"/>
                <w:color w:val="auto"/>
                <w:sz w:val="18"/>
                <w:szCs w:val="18"/>
                <w:lang w:val="bg-BG" w:eastAsia="en-US"/>
              </w:rPr>
            </w:pPr>
            <w:r w:rsidRPr="00274E31">
              <w:rPr>
                <w:rFonts w:asciiTheme="minorHAnsi" w:hAnsiTheme="minorHAnsi" w:cstheme="minorHAnsi"/>
                <w:color w:val="auto"/>
                <w:sz w:val="18"/>
                <w:szCs w:val="18"/>
                <w:lang w:val="bg-BG" w:eastAsia="en-US"/>
              </w:rPr>
              <w:t>BGN'000</w:t>
            </w:r>
          </w:p>
        </w:tc>
        <w:tc>
          <w:tcPr>
            <w:tcW w:w="571" w:type="pct"/>
            <w:tcBorders>
              <w:top w:val="nil"/>
              <w:left w:val="nil"/>
              <w:bottom w:val="nil"/>
              <w:right w:val="nil"/>
            </w:tcBorders>
            <w:shd w:val="clear" w:color="auto" w:fill="auto"/>
            <w:noWrap/>
            <w:tcMar>
              <w:left w:w="28" w:type="dxa"/>
              <w:right w:w="57" w:type="dxa"/>
            </w:tcMar>
            <w:vAlign w:val="center"/>
            <w:hideMark/>
          </w:tcPr>
          <w:p w14:paraId="42B8943E" w14:textId="77777777" w:rsidR="0084445A" w:rsidRPr="00274E31" w:rsidRDefault="0084445A" w:rsidP="00274E31">
            <w:pPr>
              <w:pStyle w:val="a1"/>
              <w:widowControl w:val="0"/>
              <w:rPr>
                <w:rFonts w:asciiTheme="minorHAnsi" w:hAnsiTheme="minorHAnsi" w:cstheme="minorHAnsi"/>
                <w:color w:val="auto"/>
                <w:sz w:val="18"/>
                <w:szCs w:val="18"/>
                <w:lang w:val="bg-BG" w:eastAsia="en-US"/>
              </w:rPr>
            </w:pPr>
            <w:r w:rsidRPr="00274E31">
              <w:rPr>
                <w:rFonts w:asciiTheme="minorHAnsi" w:hAnsiTheme="minorHAnsi" w:cstheme="minorHAnsi"/>
                <w:color w:val="auto"/>
                <w:sz w:val="18"/>
                <w:szCs w:val="18"/>
                <w:lang w:val="bg-BG" w:eastAsia="en-US"/>
              </w:rPr>
              <w:t>BGN'000</w:t>
            </w:r>
          </w:p>
        </w:tc>
        <w:tc>
          <w:tcPr>
            <w:tcW w:w="361" w:type="pct"/>
            <w:tcBorders>
              <w:top w:val="nil"/>
              <w:left w:val="nil"/>
              <w:bottom w:val="nil"/>
              <w:right w:val="nil"/>
            </w:tcBorders>
            <w:shd w:val="clear" w:color="auto" w:fill="auto"/>
            <w:noWrap/>
            <w:tcMar>
              <w:left w:w="28" w:type="dxa"/>
              <w:right w:w="57" w:type="dxa"/>
            </w:tcMar>
            <w:vAlign w:val="center"/>
            <w:hideMark/>
          </w:tcPr>
          <w:p w14:paraId="3E1BF660" w14:textId="77777777" w:rsidR="0084445A" w:rsidRPr="00274E31" w:rsidRDefault="0084445A" w:rsidP="00274E31">
            <w:pPr>
              <w:pStyle w:val="a1"/>
              <w:rPr>
                <w:rFonts w:asciiTheme="minorHAnsi" w:hAnsiTheme="minorHAnsi" w:cstheme="minorHAnsi"/>
                <w:color w:val="auto"/>
                <w:sz w:val="18"/>
                <w:szCs w:val="18"/>
                <w:lang w:val="bg-BG" w:eastAsia="en-US"/>
              </w:rPr>
            </w:pPr>
            <w:r w:rsidRPr="00274E31">
              <w:rPr>
                <w:rFonts w:asciiTheme="minorHAnsi" w:hAnsiTheme="minorHAnsi" w:cstheme="minorHAnsi"/>
                <w:color w:val="auto"/>
                <w:sz w:val="18"/>
                <w:szCs w:val="18"/>
                <w:lang w:val="bg-BG" w:eastAsia="en-US"/>
              </w:rPr>
              <w:t>BGN'000</w:t>
            </w:r>
          </w:p>
        </w:tc>
        <w:tc>
          <w:tcPr>
            <w:tcW w:w="358" w:type="pct"/>
            <w:tcBorders>
              <w:top w:val="nil"/>
              <w:left w:val="nil"/>
              <w:bottom w:val="nil"/>
              <w:right w:val="nil"/>
            </w:tcBorders>
            <w:shd w:val="clear" w:color="auto" w:fill="auto"/>
            <w:noWrap/>
            <w:tcMar>
              <w:left w:w="28" w:type="dxa"/>
              <w:right w:w="57" w:type="dxa"/>
            </w:tcMar>
            <w:vAlign w:val="center"/>
            <w:hideMark/>
          </w:tcPr>
          <w:p w14:paraId="51C79146" w14:textId="77777777" w:rsidR="0084445A" w:rsidRPr="00274E31" w:rsidRDefault="0084445A" w:rsidP="00274E31">
            <w:pPr>
              <w:pStyle w:val="a1"/>
              <w:rPr>
                <w:rFonts w:asciiTheme="minorHAnsi" w:hAnsiTheme="minorHAnsi" w:cstheme="minorHAnsi"/>
                <w:color w:val="auto"/>
                <w:sz w:val="18"/>
                <w:szCs w:val="18"/>
                <w:lang w:val="bg-BG" w:eastAsia="en-US"/>
              </w:rPr>
            </w:pPr>
            <w:r w:rsidRPr="00274E31">
              <w:rPr>
                <w:rFonts w:asciiTheme="minorHAnsi" w:hAnsiTheme="minorHAnsi" w:cstheme="minorHAnsi"/>
                <w:color w:val="auto"/>
                <w:sz w:val="18"/>
                <w:szCs w:val="18"/>
                <w:lang w:val="bg-BG" w:eastAsia="en-US"/>
              </w:rPr>
              <w:t>BGN'000</w:t>
            </w:r>
          </w:p>
        </w:tc>
      </w:tr>
      <w:tr w:rsidR="0084445A" w:rsidRPr="00741D80" w14:paraId="0BFE04D4"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hideMark/>
          </w:tcPr>
          <w:p w14:paraId="23A70356" w14:textId="77777777" w:rsidR="0084445A" w:rsidRPr="00741D80" w:rsidRDefault="0084445A" w:rsidP="00274E31">
            <w:pPr>
              <w:pStyle w:val="a"/>
              <w:rPr>
                <w:rFonts w:asciiTheme="minorHAnsi" w:hAnsiTheme="minorHAnsi" w:cstheme="minorHAnsi"/>
                <w:b/>
                <w:bCs/>
                <w:color w:val="auto"/>
                <w:szCs w:val="20"/>
                <w:lang w:val="bg-BG" w:eastAsia="en-US"/>
              </w:rPr>
            </w:pPr>
            <w:r w:rsidRPr="00741D80">
              <w:rPr>
                <w:rFonts w:asciiTheme="minorHAnsi" w:hAnsiTheme="minorHAnsi" w:cstheme="minorHAnsi"/>
                <w:b/>
                <w:color w:val="auto"/>
                <w:szCs w:val="20"/>
                <w:lang w:val="bg-BG" w:eastAsia="en-US"/>
              </w:rPr>
              <w:t>Активи по бизнес сегменти</w:t>
            </w:r>
          </w:p>
        </w:tc>
        <w:tc>
          <w:tcPr>
            <w:tcW w:w="361" w:type="pct"/>
            <w:tcBorders>
              <w:top w:val="nil"/>
              <w:left w:val="nil"/>
              <w:bottom w:val="nil"/>
              <w:right w:val="nil"/>
            </w:tcBorders>
            <w:shd w:val="clear" w:color="auto" w:fill="auto"/>
            <w:noWrap/>
            <w:tcMar>
              <w:left w:w="28" w:type="dxa"/>
              <w:right w:w="57" w:type="dxa"/>
            </w:tcMar>
            <w:vAlign w:val="bottom"/>
            <w:hideMark/>
          </w:tcPr>
          <w:p w14:paraId="5937BFB3"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4AC21E7A"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1418101B"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7A2E90DB"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58" w:type="pct"/>
            <w:tcBorders>
              <w:top w:val="nil"/>
              <w:left w:val="nil"/>
              <w:bottom w:val="nil"/>
              <w:right w:val="nil"/>
            </w:tcBorders>
            <w:shd w:val="clear" w:color="auto" w:fill="auto"/>
            <w:noWrap/>
            <w:tcMar>
              <w:left w:w="28" w:type="dxa"/>
              <w:right w:w="57" w:type="dxa"/>
            </w:tcMar>
            <w:vAlign w:val="bottom"/>
            <w:hideMark/>
          </w:tcPr>
          <w:p w14:paraId="67781279"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71" w:type="pct"/>
            <w:tcBorders>
              <w:top w:val="nil"/>
              <w:left w:val="nil"/>
              <w:bottom w:val="nil"/>
              <w:right w:val="nil"/>
            </w:tcBorders>
            <w:shd w:val="clear" w:color="auto" w:fill="auto"/>
            <w:noWrap/>
            <w:tcMar>
              <w:left w:w="28" w:type="dxa"/>
              <w:right w:w="57" w:type="dxa"/>
            </w:tcMar>
            <w:vAlign w:val="bottom"/>
            <w:hideMark/>
          </w:tcPr>
          <w:p w14:paraId="0469A1F9"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63778427" w14:textId="77777777" w:rsidR="0084445A" w:rsidRPr="00741D80" w:rsidRDefault="0084445A" w:rsidP="00274E31">
            <w:pPr>
              <w:pStyle w:val="a0"/>
              <w:rPr>
                <w:rFonts w:asciiTheme="minorHAnsi" w:hAnsiTheme="minorHAnsi" w:cstheme="minorHAnsi"/>
                <w:color w:val="auto"/>
                <w:szCs w:val="20"/>
                <w:lang w:val="bg-BG" w:eastAsia="en-US"/>
              </w:rPr>
            </w:pPr>
          </w:p>
        </w:tc>
        <w:tc>
          <w:tcPr>
            <w:tcW w:w="358" w:type="pct"/>
            <w:tcBorders>
              <w:top w:val="nil"/>
              <w:left w:val="nil"/>
              <w:bottom w:val="nil"/>
              <w:right w:val="nil"/>
            </w:tcBorders>
            <w:shd w:val="clear" w:color="auto" w:fill="auto"/>
            <w:noWrap/>
            <w:tcMar>
              <w:left w:w="28" w:type="dxa"/>
              <w:right w:w="57" w:type="dxa"/>
            </w:tcMar>
            <w:vAlign w:val="bottom"/>
            <w:hideMark/>
          </w:tcPr>
          <w:p w14:paraId="7B15BCEF" w14:textId="77777777" w:rsidR="0084445A" w:rsidRPr="00741D80" w:rsidRDefault="0084445A" w:rsidP="00274E31">
            <w:pPr>
              <w:pStyle w:val="a0"/>
              <w:rPr>
                <w:rFonts w:asciiTheme="minorHAnsi" w:hAnsiTheme="minorHAnsi" w:cstheme="minorHAnsi"/>
                <w:color w:val="auto"/>
                <w:szCs w:val="20"/>
                <w:lang w:val="bg-BG" w:eastAsia="en-US"/>
              </w:rPr>
            </w:pPr>
          </w:p>
        </w:tc>
      </w:tr>
      <w:tr w:rsidR="0084445A" w:rsidRPr="00741D80" w14:paraId="44C98AB9"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hideMark/>
          </w:tcPr>
          <w:p w14:paraId="2B0BF0FD" w14:textId="77777777" w:rsidR="0084445A" w:rsidRPr="00741D80" w:rsidRDefault="0084445A" w:rsidP="00274E31">
            <w:pPr>
              <w:pStyle w:val="a"/>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Търговски вземания</w:t>
            </w:r>
          </w:p>
        </w:tc>
        <w:tc>
          <w:tcPr>
            <w:tcW w:w="361" w:type="pct"/>
            <w:tcBorders>
              <w:top w:val="nil"/>
              <w:left w:val="nil"/>
              <w:bottom w:val="nil"/>
              <w:right w:val="nil"/>
            </w:tcBorders>
            <w:shd w:val="clear" w:color="auto" w:fill="auto"/>
            <w:noWrap/>
            <w:tcMar>
              <w:left w:w="28" w:type="dxa"/>
              <w:right w:w="57" w:type="dxa"/>
            </w:tcMar>
            <w:vAlign w:val="bottom"/>
            <w:hideMark/>
          </w:tcPr>
          <w:p w14:paraId="0428E7B1"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2</w:t>
            </w:r>
          </w:p>
        </w:tc>
        <w:tc>
          <w:tcPr>
            <w:tcW w:w="362" w:type="pct"/>
            <w:tcBorders>
              <w:top w:val="nil"/>
              <w:left w:val="nil"/>
              <w:bottom w:val="nil"/>
              <w:right w:val="nil"/>
            </w:tcBorders>
            <w:shd w:val="clear" w:color="auto" w:fill="auto"/>
            <w:noWrap/>
            <w:tcMar>
              <w:left w:w="28" w:type="dxa"/>
              <w:right w:w="57" w:type="dxa"/>
            </w:tcMar>
            <w:vAlign w:val="bottom"/>
            <w:hideMark/>
          </w:tcPr>
          <w:p w14:paraId="304D133F" w14:textId="77777777" w:rsidR="0084445A" w:rsidRPr="00741D80" w:rsidRDefault="0084445A" w:rsidP="00274E31">
            <w:pPr>
              <w:pStyle w:val="a0"/>
              <w:widowControl w:val="0"/>
              <w:rPr>
                <w:rFonts w:asciiTheme="minorHAnsi" w:hAnsiTheme="minorHAnsi" w:cstheme="minorHAnsi"/>
                <w:bCs/>
                <w:color w:val="auto"/>
                <w:szCs w:val="20"/>
                <w:lang w:eastAsia="en-US"/>
              </w:rPr>
            </w:pPr>
            <w:r w:rsidRPr="00741D80">
              <w:rPr>
                <w:rFonts w:asciiTheme="minorHAnsi" w:hAnsiTheme="minorHAnsi" w:cstheme="minorHAnsi"/>
                <w:bCs/>
                <w:color w:val="auto"/>
                <w:szCs w:val="20"/>
                <w:lang w:eastAsia="en-US"/>
              </w:rPr>
              <w:t>9</w:t>
            </w:r>
          </w:p>
        </w:tc>
        <w:tc>
          <w:tcPr>
            <w:tcW w:w="361" w:type="pct"/>
            <w:tcBorders>
              <w:top w:val="nil"/>
              <w:left w:val="nil"/>
              <w:bottom w:val="nil"/>
              <w:right w:val="nil"/>
            </w:tcBorders>
            <w:shd w:val="clear" w:color="auto" w:fill="auto"/>
            <w:noWrap/>
            <w:tcMar>
              <w:left w:w="28" w:type="dxa"/>
              <w:right w:w="57" w:type="dxa"/>
            </w:tcMar>
            <w:vAlign w:val="bottom"/>
            <w:hideMark/>
          </w:tcPr>
          <w:p w14:paraId="17E8163B"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152</w:t>
            </w:r>
          </w:p>
        </w:tc>
        <w:tc>
          <w:tcPr>
            <w:tcW w:w="362" w:type="pct"/>
            <w:tcBorders>
              <w:top w:val="nil"/>
              <w:left w:val="nil"/>
              <w:bottom w:val="nil"/>
              <w:right w:val="nil"/>
            </w:tcBorders>
            <w:shd w:val="clear" w:color="auto" w:fill="auto"/>
            <w:noWrap/>
            <w:tcMar>
              <w:left w:w="28" w:type="dxa"/>
              <w:right w:w="57" w:type="dxa"/>
            </w:tcMar>
            <w:vAlign w:val="bottom"/>
            <w:hideMark/>
          </w:tcPr>
          <w:p w14:paraId="3DA98DB5" w14:textId="77777777" w:rsidR="0084445A" w:rsidRPr="00741D80" w:rsidRDefault="0084445A" w:rsidP="00274E31">
            <w:pPr>
              <w:pStyle w:val="a0"/>
              <w:widowControl w:val="0"/>
              <w:rPr>
                <w:rFonts w:asciiTheme="minorHAnsi" w:hAnsiTheme="minorHAnsi" w:cstheme="minorHAnsi"/>
                <w:bCs/>
                <w:color w:val="auto"/>
                <w:szCs w:val="20"/>
                <w:lang w:eastAsia="en-US"/>
              </w:rPr>
            </w:pPr>
            <w:r w:rsidRPr="00741D80">
              <w:rPr>
                <w:rFonts w:asciiTheme="minorHAnsi" w:hAnsiTheme="minorHAnsi" w:cstheme="minorHAnsi"/>
                <w:bCs/>
                <w:color w:val="auto"/>
                <w:szCs w:val="20"/>
                <w:lang w:eastAsia="en-US"/>
              </w:rPr>
              <w:t>112</w:t>
            </w:r>
          </w:p>
        </w:tc>
        <w:tc>
          <w:tcPr>
            <w:tcW w:w="558" w:type="pct"/>
            <w:tcBorders>
              <w:top w:val="nil"/>
              <w:left w:val="nil"/>
              <w:bottom w:val="nil"/>
              <w:right w:val="nil"/>
            </w:tcBorders>
            <w:shd w:val="clear" w:color="auto" w:fill="auto"/>
            <w:noWrap/>
            <w:tcMar>
              <w:left w:w="28" w:type="dxa"/>
              <w:right w:w="57" w:type="dxa"/>
            </w:tcMar>
            <w:vAlign w:val="bottom"/>
            <w:hideMark/>
          </w:tcPr>
          <w:p w14:paraId="2CAE1C0B"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w:t>
            </w:r>
          </w:p>
        </w:tc>
        <w:tc>
          <w:tcPr>
            <w:tcW w:w="571" w:type="pct"/>
            <w:tcBorders>
              <w:top w:val="nil"/>
              <w:left w:val="nil"/>
              <w:bottom w:val="nil"/>
              <w:right w:val="nil"/>
            </w:tcBorders>
            <w:shd w:val="clear" w:color="auto" w:fill="auto"/>
            <w:noWrap/>
            <w:tcMar>
              <w:left w:w="28" w:type="dxa"/>
              <w:right w:w="57" w:type="dxa"/>
            </w:tcMar>
            <w:vAlign w:val="bottom"/>
            <w:hideMark/>
          </w:tcPr>
          <w:p w14:paraId="2E7689D2" w14:textId="77777777" w:rsidR="0084445A" w:rsidRPr="00741D80" w:rsidRDefault="0084445A" w:rsidP="00274E31">
            <w:pPr>
              <w:pStyle w:val="a0"/>
              <w:widowControl w:val="0"/>
              <w:rPr>
                <w:rFonts w:asciiTheme="minorHAnsi" w:hAnsiTheme="minorHAnsi" w:cstheme="minorHAnsi"/>
                <w:bCs/>
                <w:color w:val="auto"/>
                <w:szCs w:val="20"/>
                <w:lang w:val="bg-BG" w:eastAsia="en-US"/>
              </w:rPr>
            </w:pPr>
            <w:r w:rsidRPr="00741D80">
              <w:rPr>
                <w:rFonts w:asciiTheme="minorHAnsi" w:hAnsiTheme="minorHAnsi" w:cstheme="minorHAnsi"/>
                <w:bCs/>
                <w:color w:val="auto"/>
                <w:szCs w:val="20"/>
                <w:lang w:val="bg-BG" w:eastAsia="en-US"/>
              </w:rPr>
              <w:t>-</w:t>
            </w:r>
          </w:p>
        </w:tc>
        <w:tc>
          <w:tcPr>
            <w:tcW w:w="361" w:type="pct"/>
            <w:tcBorders>
              <w:top w:val="nil"/>
              <w:left w:val="nil"/>
              <w:bottom w:val="nil"/>
              <w:right w:val="nil"/>
            </w:tcBorders>
            <w:shd w:val="clear" w:color="auto" w:fill="auto"/>
            <w:noWrap/>
            <w:tcMar>
              <w:left w:w="28" w:type="dxa"/>
              <w:right w:w="57" w:type="dxa"/>
            </w:tcMar>
            <w:vAlign w:val="bottom"/>
            <w:hideMark/>
          </w:tcPr>
          <w:p w14:paraId="1491FD22"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154</w:t>
            </w:r>
          </w:p>
        </w:tc>
        <w:tc>
          <w:tcPr>
            <w:tcW w:w="358" w:type="pct"/>
            <w:tcBorders>
              <w:top w:val="nil"/>
              <w:left w:val="nil"/>
              <w:bottom w:val="nil"/>
              <w:right w:val="nil"/>
            </w:tcBorders>
            <w:shd w:val="clear" w:color="auto" w:fill="auto"/>
            <w:noWrap/>
            <w:tcMar>
              <w:left w:w="28" w:type="dxa"/>
              <w:right w:w="57" w:type="dxa"/>
            </w:tcMar>
            <w:vAlign w:val="bottom"/>
            <w:hideMark/>
          </w:tcPr>
          <w:p w14:paraId="3FA8AB89" w14:textId="77777777" w:rsidR="0084445A" w:rsidRPr="00741D80" w:rsidRDefault="0084445A" w:rsidP="00274E31">
            <w:pPr>
              <w:pStyle w:val="a0"/>
              <w:widowControl w:val="0"/>
              <w:rPr>
                <w:rFonts w:asciiTheme="minorHAnsi" w:hAnsiTheme="minorHAnsi" w:cstheme="minorHAnsi"/>
                <w:bCs/>
                <w:color w:val="auto"/>
                <w:szCs w:val="20"/>
                <w:lang w:eastAsia="en-US"/>
              </w:rPr>
            </w:pPr>
            <w:r w:rsidRPr="00741D80">
              <w:rPr>
                <w:rFonts w:asciiTheme="minorHAnsi" w:hAnsiTheme="minorHAnsi" w:cstheme="minorHAnsi"/>
                <w:bCs/>
                <w:color w:val="auto"/>
                <w:szCs w:val="20"/>
                <w:lang w:eastAsia="en-US"/>
              </w:rPr>
              <w:t>121</w:t>
            </w:r>
          </w:p>
        </w:tc>
      </w:tr>
      <w:tr w:rsidR="0084445A" w:rsidRPr="00741D80" w14:paraId="7EF38991"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hideMark/>
          </w:tcPr>
          <w:p w14:paraId="02DBC0E4" w14:textId="77777777" w:rsidR="0084445A" w:rsidRPr="00741D80" w:rsidRDefault="0084445A" w:rsidP="00274E31">
            <w:pPr>
              <w:pStyle w:val="a"/>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Активи на сегмента</w:t>
            </w:r>
          </w:p>
        </w:tc>
        <w:tc>
          <w:tcPr>
            <w:tcW w:w="361"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43838A99" w14:textId="77777777"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2</w:t>
            </w:r>
          </w:p>
        </w:tc>
        <w:tc>
          <w:tcPr>
            <w:tcW w:w="362"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2868EA06" w14:textId="77777777" w:rsidR="0084445A" w:rsidRPr="00741D80" w:rsidRDefault="0084445A" w:rsidP="00274E31">
            <w:pPr>
              <w:pStyle w:val="a0"/>
              <w:widowControl w:val="0"/>
              <w:rPr>
                <w:rFonts w:asciiTheme="minorHAnsi" w:hAnsiTheme="minorHAnsi" w:cstheme="minorHAnsi"/>
                <w:b/>
                <w:bCs/>
                <w:color w:val="auto"/>
                <w:szCs w:val="20"/>
                <w:lang w:eastAsia="en-US"/>
              </w:rPr>
            </w:pPr>
            <w:r w:rsidRPr="00741D80">
              <w:rPr>
                <w:rFonts w:asciiTheme="minorHAnsi" w:hAnsiTheme="minorHAnsi" w:cstheme="minorHAnsi"/>
                <w:b/>
                <w:bCs/>
                <w:color w:val="auto"/>
                <w:szCs w:val="20"/>
                <w:lang w:eastAsia="en-US"/>
              </w:rPr>
              <w:t>9</w:t>
            </w:r>
          </w:p>
        </w:tc>
        <w:tc>
          <w:tcPr>
            <w:tcW w:w="361"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5BE6BBE0" w14:textId="77777777"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152</w:t>
            </w:r>
          </w:p>
        </w:tc>
        <w:tc>
          <w:tcPr>
            <w:tcW w:w="362"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3DC25618" w14:textId="77777777" w:rsidR="0084445A" w:rsidRPr="00741D80" w:rsidRDefault="0084445A" w:rsidP="00274E31">
            <w:pPr>
              <w:pStyle w:val="a0"/>
              <w:widowControl w:val="0"/>
              <w:rPr>
                <w:rFonts w:asciiTheme="minorHAnsi" w:hAnsiTheme="minorHAnsi" w:cstheme="minorHAnsi"/>
                <w:b/>
                <w:bCs/>
                <w:color w:val="auto"/>
                <w:szCs w:val="20"/>
                <w:lang w:eastAsia="en-US"/>
              </w:rPr>
            </w:pPr>
            <w:r w:rsidRPr="00741D80">
              <w:rPr>
                <w:rFonts w:asciiTheme="minorHAnsi" w:hAnsiTheme="minorHAnsi" w:cstheme="minorHAnsi"/>
                <w:b/>
                <w:bCs/>
                <w:color w:val="auto"/>
                <w:szCs w:val="20"/>
                <w:lang w:eastAsia="en-US"/>
              </w:rPr>
              <w:t>112</w:t>
            </w:r>
          </w:p>
        </w:tc>
        <w:tc>
          <w:tcPr>
            <w:tcW w:w="558"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636DA8C3" w14:textId="77777777"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w:t>
            </w:r>
          </w:p>
        </w:tc>
        <w:tc>
          <w:tcPr>
            <w:tcW w:w="571"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00F03D13" w14:textId="77777777" w:rsidR="0084445A" w:rsidRPr="00741D80" w:rsidRDefault="0084445A" w:rsidP="00274E31">
            <w:pPr>
              <w:pStyle w:val="a0"/>
              <w:widowControl w:val="0"/>
              <w:rPr>
                <w:rFonts w:asciiTheme="minorHAnsi" w:hAnsiTheme="minorHAnsi" w:cstheme="minorHAnsi"/>
                <w:b/>
                <w:bCs/>
                <w:color w:val="auto"/>
                <w:szCs w:val="20"/>
                <w:lang w:val="bg-BG" w:eastAsia="en-US"/>
              </w:rPr>
            </w:pPr>
            <w:r w:rsidRPr="00741D80">
              <w:rPr>
                <w:rFonts w:asciiTheme="minorHAnsi" w:hAnsiTheme="minorHAnsi" w:cstheme="minorHAnsi"/>
                <w:b/>
                <w:bCs/>
                <w:color w:val="auto"/>
                <w:szCs w:val="20"/>
                <w:lang w:val="bg-BG" w:eastAsia="en-US"/>
              </w:rPr>
              <w:t>-</w:t>
            </w:r>
          </w:p>
        </w:tc>
        <w:tc>
          <w:tcPr>
            <w:tcW w:w="361"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1B63BB86" w14:textId="77777777"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154</w:t>
            </w:r>
          </w:p>
        </w:tc>
        <w:tc>
          <w:tcPr>
            <w:tcW w:w="358"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5C1DD14E" w14:textId="77777777" w:rsidR="0084445A" w:rsidRPr="00741D80" w:rsidRDefault="0084445A" w:rsidP="00274E31">
            <w:pPr>
              <w:pStyle w:val="a0"/>
              <w:rPr>
                <w:rFonts w:asciiTheme="minorHAnsi" w:hAnsiTheme="minorHAnsi" w:cstheme="minorHAnsi"/>
                <w:b/>
                <w:bCs/>
                <w:color w:val="auto"/>
                <w:szCs w:val="20"/>
                <w:lang w:eastAsia="en-US"/>
              </w:rPr>
            </w:pPr>
            <w:r w:rsidRPr="00741D80">
              <w:rPr>
                <w:rFonts w:asciiTheme="minorHAnsi" w:hAnsiTheme="minorHAnsi" w:cstheme="minorHAnsi"/>
                <w:b/>
                <w:bCs/>
                <w:color w:val="auto"/>
                <w:szCs w:val="20"/>
                <w:lang w:eastAsia="en-US"/>
              </w:rPr>
              <w:t>121</w:t>
            </w:r>
          </w:p>
        </w:tc>
      </w:tr>
      <w:tr w:rsidR="0084445A" w:rsidRPr="00741D80" w14:paraId="5922B30A"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hideMark/>
          </w:tcPr>
          <w:p w14:paraId="5FF17B4E" w14:textId="77777777" w:rsidR="0084445A" w:rsidRPr="00741D80" w:rsidRDefault="0084445A" w:rsidP="00274E31">
            <w:pPr>
              <w:pStyle w:val="a"/>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Неразпределени активи</w:t>
            </w:r>
          </w:p>
        </w:tc>
        <w:tc>
          <w:tcPr>
            <w:tcW w:w="361" w:type="pct"/>
            <w:tcBorders>
              <w:top w:val="nil"/>
              <w:left w:val="nil"/>
              <w:bottom w:val="nil"/>
              <w:right w:val="nil"/>
            </w:tcBorders>
            <w:shd w:val="clear" w:color="auto" w:fill="auto"/>
            <w:noWrap/>
            <w:tcMar>
              <w:left w:w="28" w:type="dxa"/>
              <w:right w:w="57" w:type="dxa"/>
            </w:tcMar>
            <w:vAlign w:val="bottom"/>
            <w:hideMark/>
          </w:tcPr>
          <w:p w14:paraId="4E145473"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7CF895F1"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679D3A68" w14:textId="77777777" w:rsidR="0084445A" w:rsidRPr="00741D80" w:rsidRDefault="0084445A" w:rsidP="00274E31">
            <w:pPr>
              <w:pStyle w:val="a0"/>
              <w:widowControl w:val="0"/>
              <w:rPr>
                <w:rFonts w:asciiTheme="minorHAnsi" w:hAnsiTheme="minorHAnsi" w:cstheme="minorHAnsi"/>
                <w:color w:val="auto"/>
                <w:szCs w:val="20"/>
                <w:highlight w:val="yellow"/>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15D68B5D"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58" w:type="pct"/>
            <w:tcBorders>
              <w:top w:val="nil"/>
              <w:left w:val="nil"/>
              <w:bottom w:val="nil"/>
              <w:right w:val="nil"/>
            </w:tcBorders>
            <w:shd w:val="clear" w:color="auto" w:fill="auto"/>
            <w:noWrap/>
            <w:tcMar>
              <w:left w:w="28" w:type="dxa"/>
              <w:right w:w="57" w:type="dxa"/>
            </w:tcMar>
            <w:vAlign w:val="bottom"/>
            <w:hideMark/>
          </w:tcPr>
          <w:p w14:paraId="62AD319F"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71" w:type="pct"/>
            <w:tcBorders>
              <w:top w:val="nil"/>
              <w:left w:val="nil"/>
              <w:bottom w:val="nil"/>
              <w:right w:val="nil"/>
            </w:tcBorders>
            <w:shd w:val="clear" w:color="auto" w:fill="auto"/>
            <w:noWrap/>
            <w:tcMar>
              <w:left w:w="28" w:type="dxa"/>
              <w:right w:w="57" w:type="dxa"/>
            </w:tcMar>
            <w:vAlign w:val="bottom"/>
            <w:hideMark/>
          </w:tcPr>
          <w:p w14:paraId="29557B80"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4F6FB611" w14:textId="1E530398"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11,67</w:t>
            </w:r>
            <w:r w:rsidR="00396969">
              <w:rPr>
                <w:rFonts w:asciiTheme="minorHAnsi" w:hAnsiTheme="minorHAnsi" w:cstheme="minorHAnsi"/>
                <w:b/>
                <w:color w:val="auto"/>
                <w:szCs w:val="20"/>
                <w:lang w:val="bg-BG" w:eastAsia="en-US"/>
              </w:rPr>
              <w:t>1</w:t>
            </w:r>
          </w:p>
        </w:tc>
        <w:tc>
          <w:tcPr>
            <w:tcW w:w="358" w:type="pct"/>
            <w:tcBorders>
              <w:top w:val="nil"/>
              <w:left w:val="nil"/>
              <w:bottom w:val="nil"/>
              <w:right w:val="nil"/>
            </w:tcBorders>
            <w:shd w:val="clear" w:color="auto" w:fill="auto"/>
            <w:noWrap/>
            <w:tcMar>
              <w:left w:w="28" w:type="dxa"/>
              <w:right w:w="57" w:type="dxa"/>
            </w:tcMar>
            <w:vAlign w:val="bottom"/>
            <w:hideMark/>
          </w:tcPr>
          <w:p w14:paraId="0BA8787B" w14:textId="77777777" w:rsidR="0084445A" w:rsidRPr="00741D80" w:rsidRDefault="0084445A" w:rsidP="00274E31">
            <w:pPr>
              <w:pStyle w:val="a0"/>
              <w:widowControl w:val="0"/>
              <w:rPr>
                <w:rFonts w:asciiTheme="minorHAnsi" w:hAnsiTheme="minorHAnsi" w:cstheme="minorHAnsi"/>
                <w:b/>
                <w:bCs/>
                <w:color w:val="auto"/>
                <w:szCs w:val="20"/>
                <w:lang w:eastAsia="en-US"/>
              </w:rPr>
            </w:pPr>
            <w:r w:rsidRPr="00741D80">
              <w:rPr>
                <w:rFonts w:asciiTheme="minorHAnsi" w:hAnsiTheme="minorHAnsi" w:cstheme="minorHAnsi"/>
                <w:b/>
                <w:bCs/>
                <w:color w:val="auto"/>
                <w:szCs w:val="20"/>
                <w:lang w:eastAsia="en-US"/>
              </w:rPr>
              <w:t>10,625</w:t>
            </w:r>
          </w:p>
        </w:tc>
      </w:tr>
      <w:tr w:rsidR="0084445A" w:rsidRPr="00741D80" w14:paraId="3479298D"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hideMark/>
          </w:tcPr>
          <w:p w14:paraId="233B74DB" w14:textId="77777777" w:rsidR="0084445A" w:rsidRPr="00741D80" w:rsidRDefault="0084445A" w:rsidP="00274E31">
            <w:pPr>
              <w:pStyle w:val="a"/>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 xml:space="preserve">Общо активи </w:t>
            </w:r>
          </w:p>
        </w:tc>
        <w:tc>
          <w:tcPr>
            <w:tcW w:w="361" w:type="pct"/>
            <w:tcBorders>
              <w:top w:val="nil"/>
              <w:left w:val="nil"/>
              <w:bottom w:val="nil"/>
              <w:right w:val="nil"/>
            </w:tcBorders>
            <w:shd w:val="clear" w:color="auto" w:fill="auto"/>
            <w:noWrap/>
            <w:tcMar>
              <w:left w:w="28" w:type="dxa"/>
              <w:right w:w="57" w:type="dxa"/>
            </w:tcMar>
            <w:vAlign w:val="bottom"/>
            <w:hideMark/>
          </w:tcPr>
          <w:p w14:paraId="3AFEB074"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57C42323"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1A84DD1E" w14:textId="77777777" w:rsidR="0084445A" w:rsidRPr="00741D80" w:rsidRDefault="0084445A" w:rsidP="00274E31">
            <w:pPr>
              <w:pStyle w:val="a0"/>
              <w:widowControl w:val="0"/>
              <w:rPr>
                <w:rFonts w:asciiTheme="minorHAnsi" w:hAnsiTheme="minorHAnsi" w:cstheme="minorHAnsi"/>
                <w:color w:val="auto"/>
                <w:szCs w:val="20"/>
                <w:highlight w:val="yellow"/>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762394D9"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58" w:type="pct"/>
            <w:tcBorders>
              <w:top w:val="nil"/>
              <w:left w:val="nil"/>
              <w:bottom w:val="nil"/>
              <w:right w:val="nil"/>
            </w:tcBorders>
            <w:shd w:val="clear" w:color="auto" w:fill="auto"/>
            <w:noWrap/>
            <w:tcMar>
              <w:left w:w="28" w:type="dxa"/>
              <w:right w:w="57" w:type="dxa"/>
            </w:tcMar>
            <w:vAlign w:val="bottom"/>
            <w:hideMark/>
          </w:tcPr>
          <w:p w14:paraId="4E123793"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71" w:type="pct"/>
            <w:tcBorders>
              <w:top w:val="nil"/>
              <w:left w:val="nil"/>
              <w:bottom w:val="nil"/>
              <w:right w:val="nil"/>
            </w:tcBorders>
            <w:shd w:val="clear" w:color="auto" w:fill="auto"/>
            <w:noWrap/>
            <w:tcMar>
              <w:left w:w="28" w:type="dxa"/>
              <w:right w:w="57" w:type="dxa"/>
            </w:tcMar>
            <w:vAlign w:val="bottom"/>
            <w:hideMark/>
          </w:tcPr>
          <w:p w14:paraId="2BEAEE3A"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single" w:sz="8" w:space="0" w:color="auto"/>
              <w:left w:val="nil"/>
              <w:bottom w:val="double" w:sz="6" w:space="0" w:color="auto"/>
              <w:right w:val="nil"/>
            </w:tcBorders>
            <w:shd w:val="clear" w:color="auto" w:fill="auto"/>
            <w:noWrap/>
            <w:tcMar>
              <w:left w:w="28" w:type="dxa"/>
              <w:right w:w="57" w:type="dxa"/>
            </w:tcMar>
            <w:vAlign w:val="bottom"/>
            <w:hideMark/>
          </w:tcPr>
          <w:p w14:paraId="6EC1E928" w14:textId="1508F79C"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11,82</w:t>
            </w:r>
            <w:r w:rsidR="00396969">
              <w:rPr>
                <w:rFonts w:asciiTheme="minorHAnsi" w:hAnsiTheme="minorHAnsi" w:cstheme="minorHAnsi"/>
                <w:b/>
                <w:color w:val="auto"/>
                <w:szCs w:val="20"/>
                <w:lang w:val="bg-BG" w:eastAsia="en-US"/>
              </w:rPr>
              <w:t>5</w:t>
            </w:r>
          </w:p>
        </w:tc>
        <w:tc>
          <w:tcPr>
            <w:tcW w:w="358" w:type="pct"/>
            <w:tcBorders>
              <w:top w:val="single" w:sz="8" w:space="0" w:color="auto"/>
              <w:left w:val="nil"/>
              <w:bottom w:val="double" w:sz="6" w:space="0" w:color="auto"/>
              <w:right w:val="nil"/>
            </w:tcBorders>
            <w:shd w:val="clear" w:color="auto" w:fill="auto"/>
            <w:noWrap/>
            <w:tcMar>
              <w:left w:w="28" w:type="dxa"/>
              <w:right w:w="57" w:type="dxa"/>
            </w:tcMar>
            <w:vAlign w:val="bottom"/>
            <w:hideMark/>
          </w:tcPr>
          <w:p w14:paraId="201A8551" w14:textId="77777777" w:rsidR="0084445A" w:rsidRPr="00741D80" w:rsidRDefault="0084445A" w:rsidP="00274E31">
            <w:pPr>
              <w:pStyle w:val="a0"/>
              <w:widowControl w:val="0"/>
              <w:rPr>
                <w:rFonts w:asciiTheme="minorHAnsi" w:hAnsiTheme="minorHAnsi" w:cstheme="minorHAnsi"/>
                <w:b/>
                <w:bCs/>
                <w:color w:val="auto"/>
                <w:szCs w:val="20"/>
                <w:lang w:eastAsia="en-US"/>
              </w:rPr>
            </w:pPr>
            <w:r w:rsidRPr="00741D80">
              <w:rPr>
                <w:rFonts w:asciiTheme="minorHAnsi" w:hAnsiTheme="minorHAnsi" w:cstheme="minorHAnsi"/>
                <w:b/>
                <w:bCs/>
                <w:color w:val="auto"/>
                <w:szCs w:val="20"/>
                <w:lang w:eastAsia="en-US"/>
              </w:rPr>
              <w:t>10,746</w:t>
            </w:r>
          </w:p>
        </w:tc>
      </w:tr>
      <w:tr w:rsidR="0084445A" w:rsidRPr="00741D80" w14:paraId="13C97397"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hideMark/>
          </w:tcPr>
          <w:p w14:paraId="273BD7BF" w14:textId="77777777" w:rsidR="0084445A" w:rsidRPr="00741D80" w:rsidRDefault="0084445A" w:rsidP="00274E31">
            <w:pPr>
              <w:pStyle w:val="a"/>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3DD085D7"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03AB5F94"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607E5567" w14:textId="77777777" w:rsidR="0084445A" w:rsidRPr="00741D80" w:rsidRDefault="0084445A" w:rsidP="00274E31">
            <w:pPr>
              <w:pStyle w:val="a0"/>
              <w:widowControl w:val="0"/>
              <w:rPr>
                <w:rFonts w:asciiTheme="minorHAnsi" w:hAnsiTheme="minorHAnsi" w:cstheme="minorHAnsi"/>
                <w:color w:val="auto"/>
                <w:szCs w:val="20"/>
                <w:highlight w:val="yellow"/>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699F49CD"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58" w:type="pct"/>
            <w:tcBorders>
              <w:top w:val="nil"/>
              <w:left w:val="nil"/>
              <w:bottom w:val="nil"/>
              <w:right w:val="nil"/>
            </w:tcBorders>
            <w:shd w:val="clear" w:color="auto" w:fill="auto"/>
            <w:noWrap/>
            <w:tcMar>
              <w:left w:w="28" w:type="dxa"/>
              <w:right w:w="57" w:type="dxa"/>
            </w:tcMar>
            <w:vAlign w:val="bottom"/>
            <w:hideMark/>
          </w:tcPr>
          <w:p w14:paraId="1EDF2134"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71" w:type="pct"/>
            <w:tcBorders>
              <w:top w:val="nil"/>
              <w:left w:val="nil"/>
              <w:bottom w:val="nil"/>
              <w:right w:val="nil"/>
            </w:tcBorders>
            <w:shd w:val="clear" w:color="auto" w:fill="auto"/>
            <w:noWrap/>
            <w:tcMar>
              <w:left w:w="28" w:type="dxa"/>
              <w:right w:w="57" w:type="dxa"/>
            </w:tcMar>
            <w:vAlign w:val="bottom"/>
            <w:hideMark/>
          </w:tcPr>
          <w:p w14:paraId="710998A9"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18328442"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58" w:type="pct"/>
            <w:tcBorders>
              <w:top w:val="nil"/>
              <w:left w:val="nil"/>
              <w:bottom w:val="nil"/>
              <w:right w:val="nil"/>
            </w:tcBorders>
            <w:shd w:val="clear" w:color="auto" w:fill="auto"/>
            <w:noWrap/>
            <w:tcMar>
              <w:left w:w="28" w:type="dxa"/>
              <w:right w:w="57" w:type="dxa"/>
            </w:tcMar>
            <w:vAlign w:val="bottom"/>
            <w:hideMark/>
          </w:tcPr>
          <w:p w14:paraId="65088B00"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r>
      <w:tr w:rsidR="0084445A" w:rsidRPr="00741D80" w14:paraId="3B688F9E"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hideMark/>
          </w:tcPr>
          <w:p w14:paraId="3264339C" w14:textId="77777777" w:rsidR="0084445A" w:rsidRPr="00741D80" w:rsidRDefault="0084445A" w:rsidP="00274E31">
            <w:pPr>
              <w:pStyle w:val="a"/>
              <w:rPr>
                <w:rFonts w:asciiTheme="minorHAnsi" w:hAnsiTheme="minorHAnsi" w:cstheme="minorHAnsi"/>
                <w:b/>
                <w:bCs/>
                <w:color w:val="auto"/>
                <w:szCs w:val="20"/>
                <w:lang w:val="bg-BG" w:eastAsia="en-US"/>
              </w:rPr>
            </w:pPr>
            <w:r w:rsidRPr="00741D80">
              <w:rPr>
                <w:rFonts w:asciiTheme="minorHAnsi" w:hAnsiTheme="minorHAnsi" w:cstheme="minorHAnsi"/>
                <w:b/>
                <w:color w:val="auto"/>
                <w:szCs w:val="20"/>
                <w:lang w:val="bg-BG" w:eastAsia="en-US"/>
              </w:rPr>
              <w:t>Пасиви по бизнес сегменти</w:t>
            </w:r>
          </w:p>
        </w:tc>
        <w:tc>
          <w:tcPr>
            <w:tcW w:w="361" w:type="pct"/>
            <w:tcBorders>
              <w:top w:val="nil"/>
              <w:left w:val="nil"/>
              <w:bottom w:val="nil"/>
              <w:right w:val="nil"/>
            </w:tcBorders>
            <w:shd w:val="clear" w:color="auto" w:fill="auto"/>
            <w:noWrap/>
            <w:tcMar>
              <w:left w:w="28" w:type="dxa"/>
              <w:right w:w="57" w:type="dxa"/>
            </w:tcMar>
            <w:vAlign w:val="bottom"/>
            <w:hideMark/>
          </w:tcPr>
          <w:p w14:paraId="491CB3A6"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6D24C82F"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3720ADF5" w14:textId="77777777" w:rsidR="0084445A" w:rsidRPr="00741D80" w:rsidRDefault="0084445A" w:rsidP="00274E31">
            <w:pPr>
              <w:pStyle w:val="a0"/>
              <w:widowControl w:val="0"/>
              <w:rPr>
                <w:rFonts w:asciiTheme="minorHAnsi" w:hAnsiTheme="minorHAnsi" w:cstheme="minorHAnsi"/>
                <w:color w:val="auto"/>
                <w:szCs w:val="20"/>
                <w:highlight w:val="yellow"/>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7BBE65A5"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58" w:type="pct"/>
            <w:tcBorders>
              <w:top w:val="nil"/>
              <w:left w:val="nil"/>
              <w:bottom w:val="nil"/>
              <w:right w:val="nil"/>
            </w:tcBorders>
            <w:shd w:val="clear" w:color="auto" w:fill="auto"/>
            <w:noWrap/>
            <w:tcMar>
              <w:left w:w="28" w:type="dxa"/>
              <w:right w:w="57" w:type="dxa"/>
            </w:tcMar>
            <w:vAlign w:val="bottom"/>
            <w:hideMark/>
          </w:tcPr>
          <w:p w14:paraId="524E5C62"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71" w:type="pct"/>
            <w:tcBorders>
              <w:top w:val="nil"/>
              <w:left w:val="nil"/>
              <w:bottom w:val="nil"/>
              <w:right w:val="nil"/>
            </w:tcBorders>
            <w:shd w:val="clear" w:color="auto" w:fill="auto"/>
            <w:noWrap/>
            <w:tcMar>
              <w:left w:w="28" w:type="dxa"/>
              <w:right w:w="57" w:type="dxa"/>
            </w:tcMar>
            <w:vAlign w:val="bottom"/>
            <w:hideMark/>
          </w:tcPr>
          <w:p w14:paraId="233AF5BE"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27F24135"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58" w:type="pct"/>
            <w:tcBorders>
              <w:top w:val="nil"/>
              <w:left w:val="nil"/>
              <w:bottom w:val="nil"/>
              <w:right w:val="nil"/>
            </w:tcBorders>
            <w:shd w:val="clear" w:color="auto" w:fill="auto"/>
            <w:noWrap/>
            <w:tcMar>
              <w:left w:w="28" w:type="dxa"/>
              <w:right w:w="57" w:type="dxa"/>
            </w:tcMar>
            <w:vAlign w:val="bottom"/>
            <w:hideMark/>
          </w:tcPr>
          <w:p w14:paraId="13BC572A"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r>
      <w:tr w:rsidR="0084445A" w:rsidRPr="00741D80" w14:paraId="42B6490A" w14:textId="77777777" w:rsidTr="00274E31">
        <w:trPr>
          <w:cantSplit/>
          <w:trHeight w:val="20"/>
          <w:jc w:val="center"/>
        </w:trPr>
        <w:tc>
          <w:tcPr>
            <w:tcW w:w="1708" w:type="pct"/>
            <w:tcBorders>
              <w:top w:val="nil"/>
              <w:left w:val="nil"/>
              <w:bottom w:val="nil"/>
              <w:right w:val="nil"/>
            </w:tcBorders>
            <w:shd w:val="clear" w:color="auto" w:fill="auto"/>
            <w:tcMar>
              <w:left w:w="28" w:type="dxa"/>
              <w:right w:w="57" w:type="dxa"/>
            </w:tcMar>
            <w:hideMark/>
          </w:tcPr>
          <w:p w14:paraId="355A846E" w14:textId="77777777" w:rsidR="0084445A" w:rsidRPr="00741D80" w:rsidRDefault="0084445A" w:rsidP="00274E31">
            <w:pPr>
              <w:pStyle w:val="a"/>
              <w:rPr>
                <w:rFonts w:asciiTheme="minorHAnsi" w:hAnsiTheme="minorHAnsi" w:cstheme="minorHAnsi"/>
                <w:bCs/>
                <w:color w:val="auto"/>
                <w:szCs w:val="20"/>
                <w:lang w:val="bg-BG" w:eastAsia="en-US"/>
              </w:rPr>
            </w:pPr>
            <w:r w:rsidRPr="00741D80">
              <w:rPr>
                <w:rFonts w:asciiTheme="minorHAnsi" w:hAnsiTheme="minorHAnsi" w:cstheme="minorHAnsi"/>
                <w:color w:val="auto"/>
                <w:szCs w:val="20"/>
                <w:lang w:val="bg-BG" w:eastAsia="en-US"/>
              </w:rPr>
              <w:t>Задължения към доставчици</w:t>
            </w:r>
          </w:p>
        </w:tc>
        <w:tc>
          <w:tcPr>
            <w:tcW w:w="361" w:type="pct"/>
            <w:tcBorders>
              <w:top w:val="nil"/>
              <w:left w:val="nil"/>
              <w:bottom w:val="nil"/>
              <w:right w:val="nil"/>
            </w:tcBorders>
            <w:shd w:val="clear" w:color="auto" w:fill="auto"/>
            <w:noWrap/>
            <w:tcMar>
              <w:left w:w="28" w:type="dxa"/>
              <w:right w:w="57" w:type="dxa"/>
            </w:tcMar>
            <w:vAlign w:val="bottom"/>
            <w:hideMark/>
          </w:tcPr>
          <w:p w14:paraId="6C97363E"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196</w:t>
            </w:r>
          </w:p>
        </w:tc>
        <w:tc>
          <w:tcPr>
            <w:tcW w:w="362" w:type="pct"/>
            <w:tcBorders>
              <w:top w:val="nil"/>
              <w:left w:val="nil"/>
              <w:bottom w:val="nil"/>
              <w:right w:val="nil"/>
            </w:tcBorders>
            <w:shd w:val="clear" w:color="auto" w:fill="auto"/>
            <w:noWrap/>
            <w:tcMar>
              <w:left w:w="28" w:type="dxa"/>
              <w:right w:w="57" w:type="dxa"/>
            </w:tcMar>
            <w:vAlign w:val="bottom"/>
            <w:hideMark/>
          </w:tcPr>
          <w:p w14:paraId="0008D0E7" w14:textId="77777777" w:rsidR="0084445A" w:rsidRPr="00741D80" w:rsidRDefault="0084445A" w:rsidP="00274E31">
            <w:pPr>
              <w:pStyle w:val="a0"/>
              <w:widowControl w:val="0"/>
              <w:rPr>
                <w:rFonts w:asciiTheme="minorHAnsi" w:hAnsiTheme="minorHAnsi" w:cstheme="minorHAnsi"/>
                <w:bCs/>
                <w:color w:val="auto"/>
                <w:szCs w:val="20"/>
                <w:lang w:eastAsia="en-US"/>
              </w:rPr>
            </w:pPr>
            <w:r w:rsidRPr="00741D80">
              <w:rPr>
                <w:rFonts w:asciiTheme="minorHAnsi" w:hAnsiTheme="minorHAnsi" w:cstheme="minorHAnsi"/>
                <w:bCs/>
                <w:color w:val="auto"/>
                <w:szCs w:val="20"/>
                <w:lang w:eastAsia="en-US"/>
              </w:rPr>
              <w:t>145</w:t>
            </w:r>
          </w:p>
        </w:tc>
        <w:tc>
          <w:tcPr>
            <w:tcW w:w="361" w:type="pct"/>
            <w:tcBorders>
              <w:top w:val="nil"/>
              <w:left w:val="nil"/>
              <w:bottom w:val="nil"/>
              <w:right w:val="nil"/>
            </w:tcBorders>
            <w:shd w:val="clear" w:color="auto" w:fill="auto"/>
            <w:noWrap/>
            <w:tcMar>
              <w:left w:w="28" w:type="dxa"/>
              <w:right w:w="57" w:type="dxa"/>
            </w:tcMar>
            <w:vAlign w:val="bottom"/>
            <w:hideMark/>
          </w:tcPr>
          <w:p w14:paraId="6D42E271"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w:t>
            </w:r>
          </w:p>
        </w:tc>
        <w:tc>
          <w:tcPr>
            <w:tcW w:w="362" w:type="pct"/>
            <w:tcBorders>
              <w:top w:val="nil"/>
              <w:left w:val="nil"/>
              <w:bottom w:val="nil"/>
              <w:right w:val="nil"/>
            </w:tcBorders>
            <w:shd w:val="clear" w:color="auto" w:fill="auto"/>
            <w:noWrap/>
            <w:tcMar>
              <w:left w:w="28" w:type="dxa"/>
              <w:right w:w="57" w:type="dxa"/>
            </w:tcMar>
            <w:vAlign w:val="bottom"/>
            <w:hideMark/>
          </w:tcPr>
          <w:p w14:paraId="39F5EF8E" w14:textId="77777777" w:rsidR="0084445A" w:rsidRPr="00741D80" w:rsidRDefault="0084445A" w:rsidP="00274E31">
            <w:pPr>
              <w:pStyle w:val="a0"/>
              <w:widowControl w:val="0"/>
              <w:rPr>
                <w:rFonts w:asciiTheme="minorHAnsi" w:hAnsiTheme="minorHAnsi" w:cstheme="minorHAnsi"/>
                <w:bCs/>
                <w:color w:val="auto"/>
                <w:szCs w:val="20"/>
                <w:lang w:val="bg-BG" w:eastAsia="en-US"/>
              </w:rPr>
            </w:pPr>
            <w:r w:rsidRPr="00741D80">
              <w:rPr>
                <w:rFonts w:asciiTheme="minorHAnsi" w:hAnsiTheme="minorHAnsi" w:cstheme="minorHAnsi"/>
                <w:color w:val="auto"/>
                <w:szCs w:val="20"/>
                <w:lang w:val="bg-BG" w:eastAsia="en-US"/>
              </w:rPr>
              <w:t>-</w:t>
            </w:r>
          </w:p>
        </w:tc>
        <w:tc>
          <w:tcPr>
            <w:tcW w:w="558" w:type="pct"/>
            <w:tcBorders>
              <w:top w:val="nil"/>
              <w:left w:val="nil"/>
              <w:bottom w:val="nil"/>
              <w:right w:val="nil"/>
            </w:tcBorders>
            <w:shd w:val="clear" w:color="auto" w:fill="auto"/>
            <w:noWrap/>
            <w:tcMar>
              <w:left w:w="28" w:type="dxa"/>
              <w:right w:w="57" w:type="dxa"/>
            </w:tcMar>
            <w:vAlign w:val="bottom"/>
            <w:hideMark/>
          </w:tcPr>
          <w:p w14:paraId="2AF3EE6F"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11</w:t>
            </w:r>
          </w:p>
        </w:tc>
        <w:tc>
          <w:tcPr>
            <w:tcW w:w="571" w:type="pct"/>
            <w:tcBorders>
              <w:top w:val="nil"/>
              <w:left w:val="nil"/>
              <w:bottom w:val="nil"/>
              <w:right w:val="nil"/>
            </w:tcBorders>
            <w:shd w:val="clear" w:color="auto" w:fill="auto"/>
            <w:noWrap/>
            <w:tcMar>
              <w:left w:w="28" w:type="dxa"/>
              <w:right w:w="57" w:type="dxa"/>
            </w:tcMar>
            <w:vAlign w:val="bottom"/>
            <w:hideMark/>
          </w:tcPr>
          <w:p w14:paraId="6B0ED59D" w14:textId="77777777" w:rsidR="0084445A" w:rsidRPr="00741D80" w:rsidRDefault="0084445A" w:rsidP="00274E31">
            <w:pPr>
              <w:pStyle w:val="a0"/>
              <w:widowControl w:val="0"/>
              <w:rPr>
                <w:rFonts w:asciiTheme="minorHAnsi" w:hAnsiTheme="minorHAnsi" w:cstheme="minorHAnsi"/>
                <w:bCs/>
                <w:color w:val="auto"/>
                <w:szCs w:val="20"/>
                <w:lang w:eastAsia="en-US"/>
              </w:rPr>
            </w:pPr>
            <w:r w:rsidRPr="00741D80">
              <w:rPr>
                <w:rFonts w:asciiTheme="minorHAnsi" w:hAnsiTheme="minorHAnsi" w:cstheme="minorHAnsi"/>
                <w:color w:val="auto"/>
                <w:szCs w:val="20"/>
                <w:lang w:eastAsia="en-US"/>
              </w:rPr>
              <w:t>20</w:t>
            </w:r>
          </w:p>
        </w:tc>
        <w:tc>
          <w:tcPr>
            <w:tcW w:w="361" w:type="pct"/>
            <w:tcBorders>
              <w:top w:val="nil"/>
              <w:left w:val="nil"/>
              <w:bottom w:val="nil"/>
              <w:right w:val="nil"/>
            </w:tcBorders>
            <w:shd w:val="clear" w:color="auto" w:fill="auto"/>
            <w:noWrap/>
            <w:tcMar>
              <w:left w:w="28" w:type="dxa"/>
              <w:right w:w="57" w:type="dxa"/>
            </w:tcMar>
            <w:vAlign w:val="bottom"/>
            <w:hideMark/>
          </w:tcPr>
          <w:p w14:paraId="3325D834"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207</w:t>
            </w:r>
          </w:p>
        </w:tc>
        <w:tc>
          <w:tcPr>
            <w:tcW w:w="358" w:type="pct"/>
            <w:tcBorders>
              <w:top w:val="nil"/>
              <w:left w:val="nil"/>
              <w:bottom w:val="nil"/>
              <w:right w:val="nil"/>
            </w:tcBorders>
            <w:shd w:val="clear" w:color="auto" w:fill="auto"/>
            <w:noWrap/>
            <w:tcMar>
              <w:left w:w="28" w:type="dxa"/>
              <w:right w:w="57" w:type="dxa"/>
            </w:tcMar>
            <w:vAlign w:val="bottom"/>
            <w:hideMark/>
          </w:tcPr>
          <w:p w14:paraId="4DE41995" w14:textId="77777777" w:rsidR="0084445A" w:rsidRPr="00741D80" w:rsidRDefault="0084445A" w:rsidP="00274E31">
            <w:pPr>
              <w:pStyle w:val="a0"/>
              <w:widowControl w:val="0"/>
              <w:rPr>
                <w:rFonts w:asciiTheme="minorHAnsi" w:hAnsiTheme="minorHAnsi" w:cstheme="minorHAnsi"/>
                <w:bCs/>
                <w:color w:val="auto"/>
                <w:szCs w:val="20"/>
                <w:lang w:eastAsia="en-US"/>
              </w:rPr>
            </w:pPr>
            <w:r w:rsidRPr="00741D80">
              <w:rPr>
                <w:rFonts w:asciiTheme="minorHAnsi" w:hAnsiTheme="minorHAnsi" w:cstheme="minorHAnsi"/>
                <w:bCs/>
                <w:color w:val="auto"/>
                <w:szCs w:val="20"/>
                <w:lang w:eastAsia="en-US"/>
              </w:rPr>
              <w:t>165</w:t>
            </w:r>
          </w:p>
        </w:tc>
      </w:tr>
      <w:tr w:rsidR="0084445A" w:rsidRPr="00741D80" w14:paraId="288A1435" w14:textId="77777777" w:rsidTr="00274E31">
        <w:trPr>
          <w:cantSplit/>
          <w:trHeight w:val="20"/>
          <w:jc w:val="center"/>
        </w:trPr>
        <w:tc>
          <w:tcPr>
            <w:tcW w:w="1708" w:type="pct"/>
            <w:tcBorders>
              <w:top w:val="nil"/>
              <w:left w:val="nil"/>
              <w:bottom w:val="nil"/>
              <w:right w:val="nil"/>
            </w:tcBorders>
            <w:shd w:val="clear" w:color="auto" w:fill="auto"/>
            <w:tcMar>
              <w:left w:w="28" w:type="dxa"/>
              <w:right w:w="57" w:type="dxa"/>
            </w:tcMar>
            <w:hideMark/>
          </w:tcPr>
          <w:p w14:paraId="661CCB4A" w14:textId="77777777" w:rsidR="0084445A" w:rsidRPr="00741D80" w:rsidRDefault="0084445A" w:rsidP="00274E31">
            <w:pPr>
              <w:pStyle w:val="a"/>
              <w:rPr>
                <w:rFonts w:asciiTheme="minorHAnsi" w:hAnsiTheme="minorHAnsi" w:cstheme="minorHAnsi"/>
                <w:bCs/>
                <w:color w:val="auto"/>
                <w:szCs w:val="20"/>
                <w:lang w:val="bg-BG" w:eastAsia="en-US"/>
              </w:rPr>
            </w:pPr>
            <w:r w:rsidRPr="00741D80">
              <w:rPr>
                <w:rFonts w:asciiTheme="minorHAnsi" w:hAnsiTheme="minorHAnsi" w:cstheme="minorHAnsi"/>
                <w:color w:val="auto"/>
                <w:szCs w:val="20"/>
                <w:lang w:val="bg-BG" w:eastAsia="en-US"/>
              </w:rPr>
              <w:t xml:space="preserve">Задължения към персонала и социалното осигуряване </w:t>
            </w:r>
          </w:p>
        </w:tc>
        <w:tc>
          <w:tcPr>
            <w:tcW w:w="361" w:type="pct"/>
            <w:tcBorders>
              <w:top w:val="nil"/>
              <w:left w:val="nil"/>
              <w:bottom w:val="nil"/>
              <w:right w:val="nil"/>
            </w:tcBorders>
            <w:shd w:val="clear" w:color="auto" w:fill="auto"/>
            <w:noWrap/>
            <w:tcMar>
              <w:left w:w="28" w:type="dxa"/>
              <w:right w:w="57" w:type="dxa"/>
            </w:tcMar>
            <w:vAlign w:val="bottom"/>
            <w:hideMark/>
          </w:tcPr>
          <w:p w14:paraId="79AFBABC"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44</w:t>
            </w:r>
          </w:p>
        </w:tc>
        <w:tc>
          <w:tcPr>
            <w:tcW w:w="362" w:type="pct"/>
            <w:tcBorders>
              <w:top w:val="nil"/>
              <w:left w:val="nil"/>
              <w:bottom w:val="nil"/>
              <w:right w:val="nil"/>
            </w:tcBorders>
            <w:shd w:val="clear" w:color="auto" w:fill="auto"/>
            <w:noWrap/>
            <w:tcMar>
              <w:left w:w="28" w:type="dxa"/>
              <w:right w:w="57" w:type="dxa"/>
            </w:tcMar>
            <w:vAlign w:val="bottom"/>
            <w:hideMark/>
          </w:tcPr>
          <w:p w14:paraId="659BAADE" w14:textId="77777777" w:rsidR="0084445A" w:rsidRPr="00741D80" w:rsidRDefault="0084445A" w:rsidP="00274E31">
            <w:pPr>
              <w:pStyle w:val="a0"/>
              <w:widowControl w:val="0"/>
              <w:rPr>
                <w:rFonts w:asciiTheme="minorHAnsi" w:hAnsiTheme="minorHAnsi" w:cstheme="minorHAnsi"/>
                <w:bCs/>
                <w:color w:val="auto"/>
                <w:szCs w:val="20"/>
                <w:lang w:eastAsia="en-US"/>
              </w:rPr>
            </w:pPr>
            <w:r w:rsidRPr="00741D80">
              <w:rPr>
                <w:rFonts w:asciiTheme="minorHAnsi" w:hAnsiTheme="minorHAnsi" w:cstheme="minorHAnsi"/>
                <w:bCs/>
                <w:color w:val="auto"/>
                <w:szCs w:val="20"/>
                <w:lang w:eastAsia="en-US"/>
              </w:rPr>
              <w:t>41</w:t>
            </w:r>
          </w:p>
        </w:tc>
        <w:tc>
          <w:tcPr>
            <w:tcW w:w="361" w:type="pct"/>
            <w:tcBorders>
              <w:top w:val="nil"/>
              <w:left w:val="nil"/>
              <w:bottom w:val="nil"/>
              <w:right w:val="nil"/>
            </w:tcBorders>
            <w:shd w:val="clear" w:color="auto" w:fill="auto"/>
            <w:noWrap/>
            <w:tcMar>
              <w:left w:w="28" w:type="dxa"/>
              <w:right w:w="57" w:type="dxa"/>
            </w:tcMar>
            <w:vAlign w:val="bottom"/>
            <w:hideMark/>
          </w:tcPr>
          <w:p w14:paraId="1FF6E822"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16</w:t>
            </w:r>
          </w:p>
        </w:tc>
        <w:tc>
          <w:tcPr>
            <w:tcW w:w="362" w:type="pct"/>
            <w:tcBorders>
              <w:top w:val="nil"/>
              <w:left w:val="nil"/>
              <w:bottom w:val="nil"/>
              <w:right w:val="nil"/>
            </w:tcBorders>
            <w:shd w:val="clear" w:color="auto" w:fill="auto"/>
            <w:noWrap/>
            <w:tcMar>
              <w:left w:w="28" w:type="dxa"/>
              <w:right w:w="57" w:type="dxa"/>
            </w:tcMar>
            <w:vAlign w:val="bottom"/>
            <w:hideMark/>
          </w:tcPr>
          <w:p w14:paraId="5E341FE4" w14:textId="77777777" w:rsidR="0084445A" w:rsidRPr="00741D80" w:rsidRDefault="0084445A" w:rsidP="00274E31">
            <w:pPr>
              <w:pStyle w:val="a0"/>
              <w:widowControl w:val="0"/>
              <w:rPr>
                <w:rFonts w:asciiTheme="minorHAnsi" w:hAnsiTheme="minorHAnsi" w:cstheme="minorHAnsi"/>
                <w:bCs/>
                <w:color w:val="auto"/>
                <w:szCs w:val="20"/>
                <w:lang w:eastAsia="en-US"/>
              </w:rPr>
            </w:pPr>
            <w:r w:rsidRPr="00741D80">
              <w:rPr>
                <w:rFonts w:asciiTheme="minorHAnsi" w:hAnsiTheme="minorHAnsi" w:cstheme="minorHAnsi"/>
                <w:color w:val="auto"/>
                <w:szCs w:val="20"/>
                <w:lang w:eastAsia="en-US"/>
              </w:rPr>
              <w:t>16</w:t>
            </w:r>
          </w:p>
        </w:tc>
        <w:tc>
          <w:tcPr>
            <w:tcW w:w="558" w:type="pct"/>
            <w:tcBorders>
              <w:top w:val="nil"/>
              <w:left w:val="nil"/>
              <w:bottom w:val="nil"/>
              <w:right w:val="nil"/>
            </w:tcBorders>
            <w:shd w:val="clear" w:color="auto" w:fill="auto"/>
            <w:noWrap/>
            <w:tcMar>
              <w:left w:w="28" w:type="dxa"/>
              <w:right w:w="57" w:type="dxa"/>
            </w:tcMar>
            <w:vAlign w:val="bottom"/>
            <w:hideMark/>
          </w:tcPr>
          <w:p w14:paraId="10B848DF"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31</w:t>
            </w:r>
          </w:p>
        </w:tc>
        <w:tc>
          <w:tcPr>
            <w:tcW w:w="571" w:type="pct"/>
            <w:tcBorders>
              <w:top w:val="nil"/>
              <w:left w:val="nil"/>
              <w:bottom w:val="nil"/>
              <w:right w:val="nil"/>
            </w:tcBorders>
            <w:shd w:val="clear" w:color="auto" w:fill="auto"/>
            <w:noWrap/>
            <w:tcMar>
              <w:left w:w="28" w:type="dxa"/>
              <w:right w:w="57" w:type="dxa"/>
            </w:tcMar>
            <w:vAlign w:val="bottom"/>
            <w:hideMark/>
          </w:tcPr>
          <w:p w14:paraId="08D03ABA" w14:textId="77777777" w:rsidR="0084445A" w:rsidRPr="00741D80" w:rsidRDefault="0084445A" w:rsidP="00274E31">
            <w:pPr>
              <w:pStyle w:val="a0"/>
              <w:widowControl w:val="0"/>
              <w:rPr>
                <w:rFonts w:asciiTheme="minorHAnsi" w:hAnsiTheme="minorHAnsi" w:cstheme="minorHAnsi"/>
                <w:bCs/>
                <w:color w:val="auto"/>
                <w:szCs w:val="20"/>
                <w:lang w:eastAsia="en-US"/>
              </w:rPr>
            </w:pPr>
            <w:r w:rsidRPr="00741D80">
              <w:rPr>
                <w:rFonts w:asciiTheme="minorHAnsi" w:hAnsiTheme="minorHAnsi" w:cstheme="minorHAnsi"/>
                <w:color w:val="auto"/>
                <w:szCs w:val="20"/>
                <w:lang w:eastAsia="en-US"/>
              </w:rPr>
              <w:t>29</w:t>
            </w:r>
          </w:p>
        </w:tc>
        <w:tc>
          <w:tcPr>
            <w:tcW w:w="361" w:type="pct"/>
            <w:tcBorders>
              <w:top w:val="nil"/>
              <w:left w:val="nil"/>
              <w:bottom w:val="nil"/>
              <w:right w:val="nil"/>
            </w:tcBorders>
            <w:shd w:val="clear" w:color="auto" w:fill="auto"/>
            <w:noWrap/>
            <w:tcMar>
              <w:left w:w="28" w:type="dxa"/>
              <w:right w:w="57" w:type="dxa"/>
            </w:tcMar>
            <w:vAlign w:val="bottom"/>
            <w:hideMark/>
          </w:tcPr>
          <w:p w14:paraId="3769AF63" w14:textId="77777777" w:rsidR="0084445A" w:rsidRPr="00741D80" w:rsidRDefault="0084445A" w:rsidP="00274E31">
            <w:pPr>
              <w:pStyle w:val="a0"/>
              <w:widowControl w:val="0"/>
              <w:rPr>
                <w:rFonts w:asciiTheme="minorHAnsi" w:hAnsiTheme="minorHAnsi" w:cstheme="minorHAnsi"/>
                <w:color w:val="auto"/>
                <w:szCs w:val="20"/>
                <w:lang w:val="bg-BG" w:eastAsia="en-US"/>
              </w:rPr>
            </w:pPr>
            <w:r w:rsidRPr="00741D80">
              <w:rPr>
                <w:rFonts w:asciiTheme="minorHAnsi" w:hAnsiTheme="minorHAnsi" w:cstheme="minorHAnsi"/>
                <w:color w:val="auto"/>
                <w:szCs w:val="20"/>
                <w:lang w:val="bg-BG" w:eastAsia="en-US"/>
              </w:rPr>
              <w:t>91</w:t>
            </w:r>
          </w:p>
        </w:tc>
        <w:tc>
          <w:tcPr>
            <w:tcW w:w="358" w:type="pct"/>
            <w:tcBorders>
              <w:top w:val="nil"/>
              <w:left w:val="nil"/>
              <w:bottom w:val="nil"/>
              <w:right w:val="nil"/>
            </w:tcBorders>
            <w:shd w:val="clear" w:color="auto" w:fill="auto"/>
            <w:noWrap/>
            <w:tcMar>
              <w:left w:w="28" w:type="dxa"/>
              <w:right w:w="57" w:type="dxa"/>
            </w:tcMar>
            <w:vAlign w:val="bottom"/>
            <w:hideMark/>
          </w:tcPr>
          <w:p w14:paraId="6C7A3D2F" w14:textId="77777777" w:rsidR="0084445A" w:rsidRPr="00741D80" w:rsidRDefault="0084445A" w:rsidP="00274E31">
            <w:pPr>
              <w:pStyle w:val="a0"/>
              <w:widowControl w:val="0"/>
              <w:rPr>
                <w:rFonts w:asciiTheme="minorHAnsi" w:hAnsiTheme="minorHAnsi" w:cstheme="minorHAnsi"/>
                <w:bCs/>
                <w:color w:val="auto"/>
                <w:szCs w:val="20"/>
                <w:lang w:eastAsia="en-US"/>
              </w:rPr>
            </w:pPr>
            <w:r w:rsidRPr="00741D80">
              <w:rPr>
                <w:rFonts w:asciiTheme="minorHAnsi" w:hAnsiTheme="minorHAnsi" w:cstheme="minorHAnsi"/>
                <w:bCs/>
                <w:color w:val="auto"/>
                <w:szCs w:val="20"/>
                <w:lang w:eastAsia="en-US"/>
              </w:rPr>
              <w:t>86</w:t>
            </w:r>
          </w:p>
        </w:tc>
      </w:tr>
      <w:tr w:rsidR="0084445A" w:rsidRPr="00741D80" w14:paraId="18B5BF36"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hideMark/>
          </w:tcPr>
          <w:p w14:paraId="543610E4" w14:textId="77777777" w:rsidR="0084445A" w:rsidRPr="00741D80" w:rsidRDefault="0084445A" w:rsidP="00274E31">
            <w:pPr>
              <w:pStyle w:val="a"/>
              <w:rPr>
                <w:rFonts w:asciiTheme="minorHAnsi" w:hAnsiTheme="minorHAnsi" w:cstheme="minorHAnsi"/>
                <w:b/>
                <w:bCs/>
                <w:color w:val="auto"/>
                <w:szCs w:val="20"/>
                <w:lang w:val="bg-BG" w:eastAsia="en-US"/>
              </w:rPr>
            </w:pPr>
            <w:r w:rsidRPr="00741D80">
              <w:rPr>
                <w:rFonts w:asciiTheme="minorHAnsi" w:hAnsiTheme="minorHAnsi" w:cstheme="minorHAnsi"/>
                <w:b/>
                <w:color w:val="auto"/>
                <w:szCs w:val="20"/>
                <w:lang w:val="bg-BG" w:eastAsia="en-US"/>
              </w:rPr>
              <w:t>Пасиви на сегмента</w:t>
            </w:r>
          </w:p>
        </w:tc>
        <w:tc>
          <w:tcPr>
            <w:tcW w:w="361"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3932DA4A" w14:textId="77777777"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240</w:t>
            </w:r>
          </w:p>
        </w:tc>
        <w:tc>
          <w:tcPr>
            <w:tcW w:w="362"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6EED0C17" w14:textId="77777777" w:rsidR="0084445A" w:rsidRPr="00741D80" w:rsidRDefault="0084445A" w:rsidP="00274E31">
            <w:pPr>
              <w:pStyle w:val="a0"/>
              <w:widowControl w:val="0"/>
              <w:rPr>
                <w:rFonts w:asciiTheme="minorHAnsi" w:hAnsiTheme="minorHAnsi" w:cstheme="minorHAnsi"/>
                <w:b/>
                <w:bCs/>
                <w:color w:val="auto"/>
                <w:szCs w:val="20"/>
                <w:lang w:eastAsia="en-US"/>
              </w:rPr>
            </w:pPr>
            <w:r w:rsidRPr="00741D80">
              <w:rPr>
                <w:rFonts w:asciiTheme="minorHAnsi" w:hAnsiTheme="minorHAnsi" w:cstheme="minorHAnsi"/>
                <w:b/>
                <w:bCs/>
                <w:color w:val="auto"/>
                <w:szCs w:val="20"/>
                <w:lang w:eastAsia="en-US"/>
              </w:rPr>
              <w:t>186</w:t>
            </w:r>
          </w:p>
        </w:tc>
        <w:tc>
          <w:tcPr>
            <w:tcW w:w="361"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16F5CBF0" w14:textId="77777777"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16</w:t>
            </w:r>
          </w:p>
        </w:tc>
        <w:tc>
          <w:tcPr>
            <w:tcW w:w="362"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6E9D7A25" w14:textId="77777777" w:rsidR="0084445A" w:rsidRPr="00741D80" w:rsidRDefault="0084445A" w:rsidP="00274E31">
            <w:pPr>
              <w:pStyle w:val="a0"/>
              <w:widowControl w:val="0"/>
              <w:rPr>
                <w:rFonts w:asciiTheme="minorHAnsi" w:hAnsiTheme="minorHAnsi" w:cstheme="minorHAnsi"/>
                <w:b/>
                <w:bCs/>
                <w:color w:val="auto"/>
                <w:szCs w:val="20"/>
                <w:lang w:eastAsia="en-US"/>
              </w:rPr>
            </w:pPr>
            <w:r w:rsidRPr="00741D80">
              <w:rPr>
                <w:rFonts w:asciiTheme="minorHAnsi" w:hAnsiTheme="minorHAnsi" w:cstheme="minorHAnsi"/>
                <w:b/>
                <w:color w:val="auto"/>
                <w:szCs w:val="20"/>
                <w:lang w:eastAsia="en-US"/>
              </w:rPr>
              <w:t>16</w:t>
            </w:r>
          </w:p>
        </w:tc>
        <w:tc>
          <w:tcPr>
            <w:tcW w:w="558"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2A63D3FB" w14:textId="77777777"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42</w:t>
            </w:r>
          </w:p>
        </w:tc>
        <w:tc>
          <w:tcPr>
            <w:tcW w:w="571"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52C80572" w14:textId="77777777" w:rsidR="0084445A" w:rsidRPr="00741D80" w:rsidRDefault="0084445A" w:rsidP="00274E31">
            <w:pPr>
              <w:pStyle w:val="a0"/>
              <w:widowControl w:val="0"/>
              <w:rPr>
                <w:rFonts w:asciiTheme="minorHAnsi" w:hAnsiTheme="minorHAnsi" w:cstheme="minorHAnsi"/>
                <w:b/>
                <w:bCs/>
                <w:color w:val="auto"/>
                <w:szCs w:val="20"/>
                <w:lang w:eastAsia="en-US"/>
              </w:rPr>
            </w:pPr>
            <w:r w:rsidRPr="00741D80">
              <w:rPr>
                <w:rFonts w:asciiTheme="minorHAnsi" w:hAnsiTheme="minorHAnsi" w:cstheme="minorHAnsi"/>
                <w:b/>
                <w:color w:val="auto"/>
                <w:szCs w:val="20"/>
                <w:lang w:eastAsia="en-US"/>
              </w:rPr>
              <w:t>49</w:t>
            </w:r>
          </w:p>
        </w:tc>
        <w:tc>
          <w:tcPr>
            <w:tcW w:w="361"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5E85C845" w14:textId="77777777"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298</w:t>
            </w:r>
          </w:p>
        </w:tc>
        <w:tc>
          <w:tcPr>
            <w:tcW w:w="358" w:type="pct"/>
            <w:tcBorders>
              <w:top w:val="single" w:sz="8" w:space="0" w:color="auto"/>
              <w:left w:val="nil"/>
              <w:bottom w:val="single" w:sz="8" w:space="0" w:color="auto"/>
              <w:right w:val="nil"/>
            </w:tcBorders>
            <w:shd w:val="clear" w:color="auto" w:fill="auto"/>
            <w:noWrap/>
            <w:tcMar>
              <w:left w:w="28" w:type="dxa"/>
              <w:right w:w="57" w:type="dxa"/>
            </w:tcMar>
            <w:vAlign w:val="bottom"/>
            <w:hideMark/>
          </w:tcPr>
          <w:p w14:paraId="4D60E172" w14:textId="77777777" w:rsidR="0084445A" w:rsidRPr="00741D80" w:rsidRDefault="0084445A" w:rsidP="00274E31">
            <w:pPr>
              <w:pStyle w:val="a0"/>
              <w:widowControl w:val="0"/>
              <w:rPr>
                <w:rFonts w:asciiTheme="minorHAnsi" w:hAnsiTheme="minorHAnsi" w:cstheme="minorHAnsi"/>
                <w:b/>
                <w:bCs/>
                <w:color w:val="auto"/>
                <w:szCs w:val="20"/>
                <w:lang w:eastAsia="en-US"/>
              </w:rPr>
            </w:pPr>
            <w:r w:rsidRPr="00741D80">
              <w:rPr>
                <w:rFonts w:asciiTheme="minorHAnsi" w:hAnsiTheme="minorHAnsi" w:cstheme="minorHAnsi"/>
                <w:b/>
                <w:bCs/>
                <w:color w:val="auto"/>
                <w:szCs w:val="20"/>
                <w:lang w:eastAsia="en-US"/>
              </w:rPr>
              <w:t>251</w:t>
            </w:r>
          </w:p>
        </w:tc>
      </w:tr>
      <w:tr w:rsidR="0084445A" w:rsidRPr="00741D80" w14:paraId="6CFF9B0C"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hideMark/>
          </w:tcPr>
          <w:p w14:paraId="0F754A92" w14:textId="77777777" w:rsidR="0084445A" w:rsidRPr="00741D80" w:rsidRDefault="0084445A" w:rsidP="00274E31">
            <w:pPr>
              <w:pStyle w:val="a"/>
              <w:rPr>
                <w:rFonts w:asciiTheme="minorHAnsi" w:hAnsiTheme="minorHAnsi" w:cstheme="minorHAnsi"/>
                <w:bCs/>
                <w:color w:val="auto"/>
                <w:szCs w:val="20"/>
                <w:lang w:val="bg-BG" w:eastAsia="en-US"/>
              </w:rPr>
            </w:pPr>
            <w:r w:rsidRPr="00741D80">
              <w:rPr>
                <w:rFonts w:asciiTheme="minorHAnsi" w:hAnsiTheme="minorHAnsi" w:cstheme="minorHAnsi"/>
                <w:color w:val="auto"/>
                <w:szCs w:val="20"/>
                <w:lang w:val="bg-BG" w:eastAsia="en-US"/>
              </w:rPr>
              <w:t>Неразпределени пасиви</w:t>
            </w:r>
          </w:p>
        </w:tc>
        <w:tc>
          <w:tcPr>
            <w:tcW w:w="361" w:type="pct"/>
            <w:tcBorders>
              <w:top w:val="nil"/>
              <w:left w:val="nil"/>
              <w:bottom w:val="nil"/>
              <w:right w:val="nil"/>
            </w:tcBorders>
            <w:shd w:val="clear" w:color="auto" w:fill="auto"/>
            <w:noWrap/>
            <w:tcMar>
              <w:left w:w="28" w:type="dxa"/>
              <w:right w:w="57" w:type="dxa"/>
            </w:tcMar>
            <w:vAlign w:val="bottom"/>
            <w:hideMark/>
          </w:tcPr>
          <w:p w14:paraId="21BA6F40"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084AA42C"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3288EF1F"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4A4A4882"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58" w:type="pct"/>
            <w:tcBorders>
              <w:top w:val="nil"/>
              <w:left w:val="nil"/>
              <w:bottom w:val="nil"/>
              <w:right w:val="nil"/>
            </w:tcBorders>
            <w:shd w:val="clear" w:color="auto" w:fill="auto"/>
            <w:noWrap/>
            <w:tcMar>
              <w:left w:w="28" w:type="dxa"/>
              <w:right w:w="57" w:type="dxa"/>
            </w:tcMar>
            <w:vAlign w:val="bottom"/>
            <w:hideMark/>
          </w:tcPr>
          <w:p w14:paraId="1ECC91AC"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71" w:type="pct"/>
            <w:tcBorders>
              <w:top w:val="nil"/>
              <w:left w:val="nil"/>
              <w:bottom w:val="nil"/>
              <w:right w:val="nil"/>
            </w:tcBorders>
            <w:shd w:val="clear" w:color="auto" w:fill="auto"/>
            <w:noWrap/>
            <w:tcMar>
              <w:left w:w="28" w:type="dxa"/>
              <w:right w:w="57" w:type="dxa"/>
            </w:tcMar>
            <w:vAlign w:val="bottom"/>
            <w:hideMark/>
          </w:tcPr>
          <w:p w14:paraId="28FD4349"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170B0C28" w14:textId="77777777"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996</w:t>
            </w:r>
          </w:p>
        </w:tc>
        <w:tc>
          <w:tcPr>
            <w:tcW w:w="358" w:type="pct"/>
            <w:tcBorders>
              <w:top w:val="nil"/>
              <w:left w:val="nil"/>
              <w:bottom w:val="nil"/>
              <w:right w:val="nil"/>
            </w:tcBorders>
            <w:shd w:val="clear" w:color="auto" w:fill="auto"/>
            <w:noWrap/>
            <w:tcMar>
              <w:left w:w="28" w:type="dxa"/>
              <w:right w:w="57" w:type="dxa"/>
            </w:tcMar>
            <w:vAlign w:val="bottom"/>
            <w:hideMark/>
          </w:tcPr>
          <w:p w14:paraId="1DDE1CB2" w14:textId="77777777" w:rsidR="0084445A" w:rsidRPr="00741D80" w:rsidRDefault="0084445A" w:rsidP="00274E31">
            <w:pPr>
              <w:pStyle w:val="a0"/>
              <w:widowControl w:val="0"/>
              <w:rPr>
                <w:rFonts w:asciiTheme="minorHAnsi" w:hAnsiTheme="minorHAnsi" w:cstheme="minorHAnsi"/>
                <w:b/>
                <w:bCs/>
                <w:color w:val="auto"/>
                <w:szCs w:val="20"/>
                <w:lang w:eastAsia="en-US"/>
              </w:rPr>
            </w:pPr>
            <w:r w:rsidRPr="00741D80">
              <w:rPr>
                <w:rFonts w:asciiTheme="minorHAnsi" w:hAnsiTheme="minorHAnsi" w:cstheme="minorHAnsi"/>
                <w:b/>
                <w:bCs/>
                <w:color w:val="auto"/>
                <w:szCs w:val="20"/>
                <w:lang w:eastAsia="en-US"/>
              </w:rPr>
              <w:t>238</w:t>
            </w:r>
          </w:p>
        </w:tc>
      </w:tr>
      <w:tr w:rsidR="0084445A" w:rsidRPr="00741D80" w14:paraId="3362B65C" w14:textId="77777777" w:rsidTr="00274E31">
        <w:trPr>
          <w:cantSplit/>
          <w:trHeight w:val="20"/>
          <w:jc w:val="center"/>
        </w:trPr>
        <w:tc>
          <w:tcPr>
            <w:tcW w:w="1708" w:type="pct"/>
            <w:tcBorders>
              <w:top w:val="nil"/>
              <w:left w:val="nil"/>
              <w:bottom w:val="nil"/>
              <w:right w:val="nil"/>
            </w:tcBorders>
            <w:shd w:val="clear" w:color="auto" w:fill="auto"/>
            <w:noWrap/>
            <w:tcMar>
              <w:left w:w="28" w:type="dxa"/>
              <w:right w:w="57" w:type="dxa"/>
            </w:tcMar>
            <w:hideMark/>
          </w:tcPr>
          <w:p w14:paraId="24EC1904" w14:textId="77777777" w:rsidR="0084445A" w:rsidRPr="00741D80" w:rsidRDefault="0084445A" w:rsidP="00274E31">
            <w:pPr>
              <w:pStyle w:val="a"/>
              <w:rPr>
                <w:rFonts w:asciiTheme="minorHAnsi" w:hAnsiTheme="minorHAnsi" w:cstheme="minorHAnsi"/>
                <w:b/>
                <w:bCs/>
                <w:color w:val="auto"/>
                <w:szCs w:val="20"/>
                <w:lang w:val="bg-BG" w:eastAsia="en-US"/>
              </w:rPr>
            </w:pPr>
            <w:r w:rsidRPr="00741D80">
              <w:rPr>
                <w:rFonts w:asciiTheme="minorHAnsi" w:hAnsiTheme="minorHAnsi" w:cstheme="minorHAnsi"/>
                <w:b/>
                <w:color w:val="auto"/>
                <w:szCs w:val="20"/>
                <w:lang w:val="bg-BG" w:eastAsia="en-US"/>
              </w:rPr>
              <w:t>Общо пасиви</w:t>
            </w:r>
          </w:p>
        </w:tc>
        <w:tc>
          <w:tcPr>
            <w:tcW w:w="361" w:type="pct"/>
            <w:tcBorders>
              <w:top w:val="nil"/>
              <w:left w:val="nil"/>
              <w:bottom w:val="nil"/>
              <w:right w:val="nil"/>
            </w:tcBorders>
            <w:shd w:val="clear" w:color="auto" w:fill="auto"/>
            <w:noWrap/>
            <w:tcMar>
              <w:left w:w="28" w:type="dxa"/>
              <w:right w:w="57" w:type="dxa"/>
            </w:tcMar>
            <w:vAlign w:val="bottom"/>
            <w:hideMark/>
          </w:tcPr>
          <w:p w14:paraId="10887976"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5EA85086"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nil"/>
              <w:left w:val="nil"/>
              <w:bottom w:val="nil"/>
              <w:right w:val="nil"/>
            </w:tcBorders>
            <w:shd w:val="clear" w:color="auto" w:fill="auto"/>
            <w:noWrap/>
            <w:tcMar>
              <w:left w:w="28" w:type="dxa"/>
              <w:right w:w="57" w:type="dxa"/>
            </w:tcMar>
            <w:vAlign w:val="bottom"/>
            <w:hideMark/>
          </w:tcPr>
          <w:p w14:paraId="7A260868"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2" w:type="pct"/>
            <w:tcBorders>
              <w:top w:val="nil"/>
              <w:left w:val="nil"/>
              <w:bottom w:val="nil"/>
              <w:right w:val="nil"/>
            </w:tcBorders>
            <w:shd w:val="clear" w:color="auto" w:fill="auto"/>
            <w:noWrap/>
            <w:tcMar>
              <w:left w:w="28" w:type="dxa"/>
              <w:right w:w="57" w:type="dxa"/>
            </w:tcMar>
            <w:vAlign w:val="bottom"/>
            <w:hideMark/>
          </w:tcPr>
          <w:p w14:paraId="201D74EB"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58" w:type="pct"/>
            <w:tcBorders>
              <w:top w:val="nil"/>
              <w:left w:val="nil"/>
              <w:bottom w:val="nil"/>
              <w:right w:val="nil"/>
            </w:tcBorders>
            <w:shd w:val="clear" w:color="auto" w:fill="auto"/>
            <w:noWrap/>
            <w:tcMar>
              <w:left w:w="28" w:type="dxa"/>
              <w:right w:w="57" w:type="dxa"/>
            </w:tcMar>
            <w:vAlign w:val="bottom"/>
            <w:hideMark/>
          </w:tcPr>
          <w:p w14:paraId="251B2E05"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571" w:type="pct"/>
            <w:tcBorders>
              <w:top w:val="nil"/>
              <w:left w:val="nil"/>
              <w:bottom w:val="nil"/>
              <w:right w:val="nil"/>
            </w:tcBorders>
            <w:shd w:val="clear" w:color="auto" w:fill="auto"/>
            <w:noWrap/>
            <w:tcMar>
              <w:left w:w="28" w:type="dxa"/>
              <w:right w:w="57" w:type="dxa"/>
            </w:tcMar>
            <w:vAlign w:val="bottom"/>
            <w:hideMark/>
          </w:tcPr>
          <w:p w14:paraId="1EC136B5" w14:textId="77777777" w:rsidR="0084445A" w:rsidRPr="00741D80" w:rsidRDefault="0084445A" w:rsidP="00274E31">
            <w:pPr>
              <w:pStyle w:val="a0"/>
              <w:widowControl w:val="0"/>
              <w:rPr>
                <w:rFonts w:asciiTheme="minorHAnsi" w:hAnsiTheme="minorHAnsi" w:cstheme="minorHAnsi"/>
                <w:color w:val="auto"/>
                <w:szCs w:val="20"/>
                <w:lang w:val="bg-BG" w:eastAsia="en-US"/>
              </w:rPr>
            </w:pPr>
          </w:p>
        </w:tc>
        <w:tc>
          <w:tcPr>
            <w:tcW w:w="361" w:type="pct"/>
            <w:tcBorders>
              <w:top w:val="single" w:sz="8" w:space="0" w:color="auto"/>
              <w:left w:val="nil"/>
              <w:bottom w:val="double" w:sz="6" w:space="0" w:color="auto"/>
              <w:right w:val="nil"/>
            </w:tcBorders>
            <w:shd w:val="clear" w:color="auto" w:fill="auto"/>
            <w:noWrap/>
            <w:tcMar>
              <w:left w:w="28" w:type="dxa"/>
              <w:right w:w="57" w:type="dxa"/>
            </w:tcMar>
            <w:vAlign w:val="bottom"/>
            <w:hideMark/>
          </w:tcPr>
          <w:p w14:paraId="755C7CC4" w14:textId="77777777" w:rsidR="0084445A" w:rsidRPr="00741D80" w:rsidRDefault="0084445A" w:rsidP="00274E31">
            <w:pPr>
              <w:pStyle w:val="a0"/>
              <w:widowControl w:val="0"/>
              <w:rPr>
                <w:rFonts w:asciiTheme="minorHAnsi" w:hAnsiTheme="minorHAnsi" w:cstheme="minorHAnsi"/>
                <w:b/>
                <w:color w:val="auto"/>
                <w:szCs w:val="20"/>
                <w:lang w:val="bg-BG" w:eastAsia="en-US"/>
              </w:rPr>
            </w:pPr>
            <w:r w:rsidRPr="00741D80">
              <w:rPr>
                <w:rFonts w:asciiTheme="minorHAnsi" w:hAnsiTheme="minorHAnsi" w:cstheme="minorHAnsi"/>
                <w:b/>
                <w:color w:val="auto"/>
                <w:szCs w:val="20"/>
                <w:lang w:val="bg-BG" w:eastAsia="en-US"/>
              </w:rPr>
              <w:t>1,294</w:t>
            </w:r>
          </w:p>
        </w:tc>
        <w:tc>
          <w:tcPr>
            <w:tcW w:w="358" w:type="pct"/>
            <w:tcBorders>
              <w:top w:val="single" w:sz="8" w:space="0" w:color="auto"/>
              <w:left w:val="nil"/>
              <w:bottom w:val="double" w:sz="6" w:space="0" w:color="auto"/>
              <w:right w:val="nil"/>
            </w:tcBorders>
            <w:shd w:val="clear" w:color="auto" w:fill="auto"/>
            <w:noWrap/>
            <w:tcMar>
              <w:left w:w="28" w:type="dxa"/>
              <w:right w:w="57" w:type="dxa"/>
            </w:tcMar>
            <w:vAlign w:val="bottom"/>
            <w:hideMark/>
          </w:tcPr>
          <w:p w14:paraId="782B6230" w14:textId="77777777" w:rsidR="0084445A" w:rsidRPr="00741D80" w:rsidRDefault="0084445A" w:rsidP="00274E31">
            <w:pPr>
              <w:pStyle w:val="a0"/>
              <w:widowControl w:val="0"/>
              <w:rPr>
                <w:rFonts w:asciiTheme="minorHAnsi" w:hAnsiTheme="minorHAnsi" w:cstheme="minorHAnsi"/>
                <w:b/>
                <w:bCs/>
                <w:color w:val="auto"/>
                <w:szCs w:val="20"/>
                <w:lang w:eastAsia="en-US"/>
              </w:rPr>
            </w:pPr>
            <w:r w:rsidRPr="00741D80">
              <w:rPr>
                <w:rFonts w:asciiTheme="minorHAnsi" w:hAnsiTheme="minorHAnsi" w:cstheme="minorHAnsi"/>
                <w:b/>
                <w:bCs/>
                <w:color w:val="auto"/>
                <w:szCs w:val="20"/>
                <w:lang w:eastAsia="en-US"/>
              </w:rPr>
              <w:t>489</w:t>
            </w:r>
          </w:p>
        </w:tc>
      </w:tr>
    </w:tbl>
    <w:bookmarkEnd w:id="95"/>
    <w:p w14:paraId="6BFFEB8F" w14:textId="77777777" w:rsidR="0084445A" w:rsidRPr="00741D80" w:rsidRDefault="0084445A" w:rsidP="00274E31">
      <w:pPr>
        <w:spacing w:after="0"/>
        <w:jc w:val="both"/>
        <w:rPr>
          <w:rFonts w:cstheme="minorHAnsi"/>
        </w:rPr>
      </w:pPr>
      <w:r w:rsidRPr="00741D80">
        <w:rPr>
          <w:rFonts w:cstheme="minorHAnsi"/>
        </w:rPr>
        <w:t>Дружеството няма капиталови разходи, свързани с бизнес сегментите. Към 31.12.</w:t>
      </w:r>
      <w:r w:rsidRPr="00741D80">
        <w:rPr>
          <w:rFonts w:cstheme="minorHAnsi"/>
          <w:lang w:val="en-US"/>
        </w:rPr>
        <w:t>2018</w:t>
      </w:r>
      <w:r w:rsidRPr="00741D80">
        <w:rPr>
          <w:rFonts w:cstheme="minorHAnsi"/>
        </w:rPr>
        <w:t xml:space="preserve"> г. няма отчетени разходи за амортизация, свързани с бизнес сегментите (</w:t>
      </w:r>
      <w:r w:rsidRPr="00741D80">
        <w:rPr>
          <w:rFonts w:cstheme="minorHAnsi"/>
          <w:lang w:val="en-US"/>
        </w:rPr>
        <w:t>2017</w:t>
      </w:r>
      <w:r w:rsidRPr="00741D80">
        <w:rPr>
          <w:rFonts w:cstheme="minorHAnsi"/>
        </w:rPr>
        <w:t xml:space="preserve"> г.: няма).</w:t>
      </w:r>
    </w:p>
    <w:p w14:paraId="53FCC642" w14:textId="77777777" w:rsidR="0084445A" w:rsidRPr="00741D80" w:rsidRDefault="0084445A" w:rsidP="00274E31">
      <w:pPr>
        <w:spacing w:after="0"/>
        <w:jc w:val="both"/>
        <w:rPr>
          <w:rFonts w:cstheme="minorHAnsi"/>
        </w:rPr>
      </w:pPr>
      <w:r w:rsidRPr="00741D80">
        <w:rPr>
          <w:rFonts w:cstheme="minorHAnsi"/>
        </w:rPr>
        <w:t>Към 31.12.</w:t>
      </w:r>
      <w:r w:rsidRPr="00741D80">
        <w:rPr>
          <w:rFonts w:cstheme="minorHAnsi"/>
          <w:lang w:val="en-US"/>
        </w:rPr>
        <w:t>2018</w:t>
      </w:r>
      <w:r w:rsidRPr="00741D80">
        <w:rPr>
          <w:rFonts w:cstheme="minorHAnsi"/>
        </w:rPr>
        <w:t xml:space="preserve"> г. няма отчетени непарични разходи, различни от амортизации, свързани с бизнес сегменти (</w:t>
      </w:r>
      <w:r w:rsidRPr="00741D80">
        <w:rPr>
          <w:rFonts w:cstheme="minorHAnsi"/>
          <w:lang w:val="en-US"/>
        </w:rPr>
        <w:t>2017</w:t>
      </w:r>
      <w:r w:rsidRPr="00741D80">
        <w:rPr>
          <w:rFonts w:cstheme="minorHAnsi"/>
        </w:rPr>
        <w:t xml:space="preserve"> г.: няма).</w:t>
      </w:r>
    </w:p>
    <w:p w14:paraId="234EAED1" w14:textId="77777777" w:rsidR="0084445A" w:rsidRPr="00741D80" w:rsidRDefault="0084445A" w:rsidP="00274E31">
      <w:pPr>
        <w:spacing w:after="0"/>
        <w:jc w:val="both"/>
        <w:rPr>
          <w:rFonts w:cstheme="minorHAnsi"/>
        </w:rPr>
      </w:pPr>
      <w:r w:rsidRPr="00741D80">
        <w:rPr>
          <w:rFonts w:cstheme="minorHAnsi"/>
        </w:rPr>
        <w:t>Българска фондова борса АД извършва своята дейност само на територията на Република България.</w:t>
      </w:r>
    </w:p>
    <w:p w14:paraId="1C953D6D" w14:textId="77777777" w:rsidR="0084445A" w:rsidRPr="00741D80" w:rsidRDefault="0084445A" w:rsidP="00274E31">
      <w:pPr>
        <w:spacing w:after="0"/>
        <w:jc w:val="both"/>
        <w:rPr>
          <w:rFonts w:cstheme="minorHAnsi"/>
        </w:rPr>
      </w:pPr>
      <w:r w:rsidRPr="00741D80">
        <w:rPr>
          <w:rFonts w:cstheme="minorHAnsi"/>
        </w:rPr>
        <w:t>Към 31.12.</w:t>
      </w:r>
      <w:r w:rsidRPr="00741D80">
        <w:rPr>
          <w:rFonts w:cstheme="minorHAnsi"/>
          <w:lang w:val="en-US"/>
        </w:rPr>
        <w:t>2018</w:t>
      </w:r>
      <w:r w:rsidRPr="00741D80">
        <w:rPr>
          <w:rFonts w:cstheme="minorHAnsi"/>
        </w:rPr>
        <w:t xml:space="preserve"> г. дружеството е реализирало приходи от български клиенти в размер на 1,413</w:t>
      </w:r>
      <w:r w:rsidRPr="00741D80">
        <w:rPr>
          <w:rFonts w:cstheme="minorHAnsi"/>
          <w:lang w:val="en-US"/>
        </w:rPr>
        <w:t xml:space="preserve"> </w:t>
      </w:r>
      <w:proofErr w:type="spellStart"/>
      <w:r w:rsidRPr="00741D80">
        <w:rPr>
          <w:rFonts w:cstheme="minorHAnsi"/>
        </w:rPr>
        <w:t>х.лв</w:t>
      </w:r>
      <w:proofErr w:type="spellEnd"/>
      <w:r w:rsidRPr="00741D80">
        <w:rPr>
          <w:rFonts w:cstheme="minorHAnsi"/>
        </w:rPr>
        <w:t>. (31.12.</w:t>
      </w:r>
      <w:r w:rsidRPr="00741D80">
        <w:rPr>
          <w:rFonts w:cstheme="minorHAnsi"/>
          <w:lang w:val="en-US"/>
        </w:rPr>
        <w:t>2017</w:t>
      </w:r>
      <w:r w:rsidRPr="00741D80">
        <w:rPr>
          <w:rFonts w:cstheme="minorHAnsi"/>
        </w:rPr>
        <w:t xml:space="preserve"> г.: 1,747 </w:t>
      </w:r>
      <w:proofErr w:type="spellStart"/>
      <w:r w:rsidRPr="00741D80">
        <w:rPr>
          <w:rFonts w:cstheme="minorHAnsi"/>
        </w:rPr>
        <w:t>х.лв</w:t>
      </w:r>
      <w:proofErr w:type="spellEnd"/>
      <w:r w:rsidRPr="00741D80">
        <w:rPr>
          <w:rFonts w:cstheme="minorHAnsi"/>
        </w:rPr>
        <w:t>.), а приходите от чуждестранни клиенти са в размер на 472</w:t>
      </w:r>
      <w:r w:rsidRPr="00741D80">
        <w:rPr>
          <w:rFonts w:cstheme="minorHAnsi"/>
          <w:lang w:val="en-US"/>
        </w:rPr>
        <w:t xml:space="preserve"> </w:t>
      </w:r>
      <w:proofErr w:type="spellStart"/>
      <w:r w:rsidRPr="00741D80">
        <w:rPr>
          <w:rFonts w:cstheme="minorHAnsi"/>
        </w:rPr>
        <w:t>х.лв</w:t>
      </w:r>
      <w:proofErr w:type="spellEnd"/>
      <w:r w:rsidRPr="00741D80">
        <w:rPr>
          <w:rFonts w:cstheme="minorHAnsi"/>
        </w:rPr>
        <w:t>. (31.12.</w:t>
      </w:r>
      <w:r w:rsidRPr="00741D80">
        <w:rPr>
          <w:rFonts w:cstheme="minorHAnsi"/>
          <w:lang w:val="en-US"/>
        </w:rPr>
        <w:t>2017</w:t>
      </w:r>
      <w:r w:rsidRPr="00741D80">
        <w:rPr>
          <w:rFonts w:cstheme="minorHAnsi"/>
        </w:rPr>
        <w:t xml:space="preserve"> г.: 374 </w:t>
      </w:r>
      <w:proofErr w:type="spellStart"/>
      <w:r w:rsidRPr="00741D80">
        <w:rPr>
          <w:rFonts w:cstheme="minorHAnsi"/>
        </w:rPr>
        <w:t>х.лв</w:t>
      </w:r>
      <w:proofErr w:type="spellEnd"/>
      <w:r w:rsidRPr="00741D80">
        <w:rPr>
          <w:rFonts w:cstheme="minorHAnsi"/>
        </w:rPr>
        <w:t>.).</w:t>
      </w:r>
    </w:p>
    <w:p w14:paraId="24624C9A" w14:textId="77777777" w:rsidR="0084445A" w:rsidRPr="00741D80" w:rsidRDefault="0084445A" w:rsidP="00274E31">
      <w:pPr>
        <w:spacing w:after="0"/>
        <w:jc w:val="both"/>
        <w:rPr>
          <w:rFonts w:cstheme="minorHAnsi"/>
        </w:rPr>
      </w:pPr>
      <w:r w:rsidRPr="00741D80">
        <w:rPr>
          <w:rFonts w:cstheme="minorHAnsi"/>
        </w:rPr>
        <w:t>Общите приходи от сделки с най-големите клиенти на дружеството и съответния бизнес сегмент са както следва:</w:t>
      </w:r>
    </w:p>
    <w:tbl>
      <w:tblPr>
        <w:tblW w:w="3622" w:type="pct"/>
        <w:jc w:val="center"/>
        <w:tblCellMar>
          <w:left w:w="6" w:type="dxa"/>
          <w:right w:w="6" w:type="dxa"/>
        </w:tblCellMar>
        <w:tblLook w:val="04A0" w:firstRow="1" w:lastRow="0" w:firstColumn="1" w:lastColumn="0" w:noHBand="0" w:noVBand="1"/>
      </w:tblPr>
      <w:tblGrid>
        <w:gridCol w:w="1418"/>
        <w:gridCol w:w="3372"/>
        <w:gridCol w:w="1202"/>
        <w:gridCol w:w="990"/>
      </w:tblGrid>
      <w:tr w:rsidR="0084445A" w:rsidRPr="00741D80" w14:paraId="225CC98D" w14:textId="77777777" w:rsidTr="0010694E">
        <w:trPr>
          <w:trHeight w:val="170"/>
          <w:jc w:val="center"/>
        </w:trPr>
        <w:tc>
          <w:tcPr>
            <w:tcW w:w="1015" w:type="pct"/>
            <w:shd w:val="clear" w:color="auto" w:fill="auto"/>
            <w:noWrap/>
            <w:hideMark/>
          </w:tcPr>
          <w:p w14:paraId="6A2166CA"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p>
        </w:tc>
        <w:tc>
          <w:tcPr>
            <w:tcW w:w="2415" w:type="pct"/>
            <w:shd w:val="clear" w:color="auto" w:fill="auto"/>
            <w:noWrap/>
            <w:hideMark/>
          </w:tcPr>
          <w:p w14:paraId="1E715217"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p>
        </w:tc>
        <w:tc>
          <w:tcPr>
            <w:tcW w:w="861" w:type="pct"/>
            <w:shd w:val="clear" w:color="auto" w:fill="auto"/>
            <w:noWrap/>
            <w:hideMark/>
          </w:tcPr>
          <w:p w14:paraId="7C66F5BF" w14:textId="77777777" w:rsidR="0084445A" w:rsidRPr="00741D80" w:rsidRDefault="0084445A" w:rsidP="00AE7CF9">
            <w:pPr>
              <w:pStyle w:val="a1"/>
              <w:spacing w:line="276" w:lineRule="auto"/>
              <w:rPr>
                <w:rFonts w:asciiTheme="minorHAnsi" w:hAnsiTheme="minorHAnsi" w:cstheme="minorHAnsi"/>
                <w:color w:val="auto"/>
                <w:szCs w:val="20"/>
              </w:rPr>
            </w:pPr>
            <w:r w:rsidRPr="00741D80">
              <w:rPr>
                <w:rFonts w:asciiTheme="minorHAnsi" w:hAnsiTheme="minorHAnsi" w:cstheme="minorHAnsi"/>
                <w:color w:val="auto"/>
                <w:szCs w:val="20"/>
                <w:lang w:val="bg-BG"/>
              </w:rPr>
              <w:t>31.12.201</w:t>
            </w:r>
            <w:r w:rsidRPr="00741D80">
              <w:rPr>
                <w:rFonts w:asciiTheme="minorHAnsi" w:hAnsiTheme="minorHAnsi" w:cstheme="minorHAnsi"/>
                <w:color w:val="auto"/>
                <w:szCs w:val="20"/>
              </w:rPr>
              <w:t>8</w:t>
            </w:r>
          </w:p>
        </w:tc>
        <w:tc>
          <w:tcPr>
            <w:tcW w:w="709" w:type="pct"/>
            <w:shd w:val="clear" w:color="auto" w:fill="auto"/>
            <w:noWrap/>
            <w:hideMark/>
          </w:tcPr>
          <w:p w14:paraId="14EEA5D6"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p>
        </w:tc>
      </w:tr>
      <w:tr w:rsidR="0084445A" w:rsidRPr="00741D80" w14:paraId="4C26F473" w14:textId="77777777" w:rsidTr="0010694E">
        <w:trPr>
          <w:trHeight w:val="170"/>
          <w:jc w:val="center"/>
        </w:trPr>
        <w:tc>
          <w:tcPr>
            <w:tcW w:w="1015" w:type="pct"/>
            <w:shd w:val="clear" w:color="auto" w:fill="auto"/>
            <w:noWrap/>
            <w:hideMark/>
          </w:tcPr>
          <w:p w14:paraId="5CACF2A6"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p>
        </w:tc>
        <w:tc>
          <w:tcPr>
            <w:tcW w:w="2415" w:type="pct"/>
            <w:shd w:val="clear" w:color="auto" w:fill="auto"/>
            <w:noWrap/>
            <w:hideMark/>
          </w:tcPr>
          <w:p w14:paraId="71E5AEA2"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p>
        </w:tc>
        <w:tc>
          <w:tcPr>
            <w:tcW w:w="861" w:type="pct"/>
            <w:shd w:val="clear" w:color="auto" w:fill="auto"/>
            <w:noWrap/>
            <w:hideMark/>
          </w:tcPr>
          <w:p w14:paraId="13695F03"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709" w:type="pct"/>
            <w:shd w:val="clear" w:color="auto" w:fill="auto"/>
            <w:noWrap/>
            <w:hideMark/>
          </w:tcPr>
          <w:p w14:paraId="4C6EA7C4"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r>
      <w:tr w:rsidR="0084445A" w:rsidRPr="00741D80" w14:paraId="26CA63B4" w14:textId="77777777" w:rsidTr="0010694E">
        <w:trPr>
          <w:trHeight w:val="170"/>
          <w:jc w:val="center"/>
        </w:trPr>
        <w:tc>
          <w:tcPr>
            <w:tcW w:w="1015" w:type="pct"/>
            <w:shd w:val="clear" w:color="auto" w:fill="auto"/>
            <w:noWrap/>
            <w:hideMark/>
          </w:tcPr>
          <w:p w14:paraId="0D7CCF59" w14:textId="77777777" w:rsidR="0084445A" w:rsidRPr="00741D80" w:rsidRDefault="0084445A" w:rsidP="00AE7CF9">
            <w:pPr>
              <w:pStyle w:val="a1"/>
              <w:widowControl w:val="0"/>
              <w:spacing w:line="276" w:lineRule="auto"/>
              <w:jc w:val="both"/>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Клиент 1</w:t>
            </w:r>
          </w:p>
        </w:tc>
        <w:tc>
          <w:tcPr>
            <w:tcW w:w="2415" w:type="pct"/>
            <w:shd w:val="clear" w:color="auto" w:fill="auto"/>
            <w:noWrap/>
            <w:hideMark/>
          </w:tcPr>
          <w:p w14:paraId="082B4E92" w14:textId="77777777" w:rsidR="0084445A" w:rsidRPr="00741D80" w:rsidRDefault="0084445A" w:rsidP="00AE7CF9">
            <w:pPr>
              <w:pStyle w:val="a1"/>
              <w:widowControl w:val="0"/>
              <w:spacing w:line="276" w:lineRule="auto"/>
              <w:jc w:val="both"/>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 xml:space="preserve">чуждестранен клиент </w:t>
            </w:r>
          </w:p>
        </w:tc>
        <w:tc>
          <w:tcPr>
            <w:tcW w:w="861" w:type="pct"/>
            <w:shd w:val="clear" w:color="auto" w:fill="auto"/>
            <w:noWrap/>
            <w:hideMark/>
          </w:tcPr>
          <w:p w14:paraId="0071E43A" w14:textId="77777777" w:rsidR="0084445A" w:rsidRPr="00741D80" w:rsidRDefault="0084445A" w:rsidP="00AE7CF9">
            <w:pPr>
              <w:pStyle w:val="a1"/>
              <w:widowControl w:val="0"/>
              <w:spacing w:line="276" w:lineRule="auto"/>
              <w:jc w:val="right"/>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446</w:t>
            </w:r>
          </w:p>
        </w:tc>
        <w:tc>
          <w:tcPr>
            <w:tcW w:w="709" w:type="pct"/>
            <w:shd w:val="clear" w:color="auto" w:fill="auto"/>
            <w:noWrap/>
            <w:hideMark/>
          </w:tcPr>
          <w:p w14:paraId="2C4D267D" w14:textId="77777777" w:rsidR="0084445A" w:rsidRPr="00741D80" w:rsidRDefault="0084445A" w:rsidP="00AE7CF9">
            <w:pPr>
              <w:pStyle w:val="a1"/>
              <w:widowControl w:val="0"/>
              <w:spacing w:line="276" w:lineRule="auto"/>
              <w:jc w:val="right"/>
              <w:rPr>
                <w:rFonts w:asciiTheme="minorHAnsi" w:hAnsiTheme="minorHAnsi" w:cstheme="minorHAnsi"/>
                <w:b w:val="0"/>
                <w:color w:val="auto"/>
                <w:szCs w:val="20"/>
                <w:lang w:val="bg-BG"/>
              </w:rPr>
            </w:pPr>
            <w:r w:rsidRPr="00741D80">
              <w:rPr>
                <w:rFonts w:asciiTheme="minorHAnsi" w:hAnsiTheme="minorHAnsi" w:cstheme="minorHAnsi"/>
                <w:b w:val="0"/>
                <w:color w:val="auto"/>
                <w:szCs w:val="20"/>
              </w:rPr>
              <w:t>2</w:t>
            </w:r>
            <w:r w:rsidRPr="00741D80">
              <w:rPr>
                <w:rFonts w:asciiTheme="minorHAnsi" w:hAnsiTheme="minorHAnsi" w:cstheme="minorHAnsi"/>
                <w:b w:val="0"/>
                <w:color w:val="auto"/>
                <w:szCs w:val="20"/>
                <w:lang w:val="bg-BG"/>
              </w:rPr>
              <w:t>4%</w:t>
            </w:r>
          </w:p>
        </w:tc>
      </w:tr>
      <w:tr w:rsidR="0084445A" w:rsidRPr="00741D80" w14:paraId="0016C0C9" w14:textId="77777777" w:rsidTr="0010694E">
        <w:trPr>
          <w:trHeight w:val="170"/>
          <w:jc w:val="center"/>
        </w:trPr>
        <w:tc>
          <w:tcPr>
            <w:tcW w:w="1015" w:type="pct"/>
            <w:shd w:val="clear" w:color="auto" w:fill="auto"/>
            <w:noWrap/>
            <w:hideMark/>
          </w:tcPr>
          <w:p w14:paraId="3D5FAAA6" w14:textId="77777777" w:rsidR="0084445A" w:rsidRPr="00741D80" w:rsidRDefault="0084445A" w:rsidP="00AE7CF9">
            <w:pPr>
              <w:pStyle w:val="a1"/>
              <w:widowControl w:val="0"/>
              <w:spacing w:line="276" w:lineRule="auto"/>
              <w:jc w:val="both"/>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Клиент 2</w:t>
            </w:r>
          </w:p>
        </w:tc>
        <w:tc>
          <w:tcPr>
            <w:tcW w:w="2415" w:type="pct"/>
            <w:shd w:val="clear" w:color="auto" w:fill="auto"/>
            <w:noWrap/>
            <w:hideMark/>
          </w:tcPr>
          <w:p w14:paraId="1A22719E" w14:textId="77777777" w:rsidR="0084445A" w:rsidRPr="00741D80" w:rsidRDefault="0084445A" w:rsidP="00AE7CF9">
            <w:pPr>
              <w:pStyle w:val="a1"/>
              <w:widowControl w:val="0"/>
              <w:spacing w:line="276" w:lineRule="auto"/>
              <w:jc w:val="both"/>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български клиент</w:t>
            </w:r>
          </w:p>
        </w:tc>
        <w:tc>
          <w:tcPr>
            <w:tcW w:w="861" w:type="pct"/>
            <w:shd w:val="clear" w:color="auto" w:fill="auto"/>
            <w:noWrap/>
            <w:hideMark/>
          </w:tcPr>
          <w:p w14:paraId="366D8B52" w14:textId="77777777" w:rsidR="0084445A" w:rsidRPr="00741D80" w:rsidRDefault="0084445A" w:rsidP="00AE7CF9">
            <w:pPr>
              <w:pStyle w:val="a1"/>
              <w:widowControl w:val="0"/>
              <w:spacing w:line="276" w:lineRule="auto"/>
              <w:jc w:val="right"/>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165</w:t>
            </w:r>
          </w:p>
        </w:tc>
        <w:tc>
          <w:tcPr>
            <w:tcW w:w="709" w:type="pct"/>
            <w:shd w:val="clear" w:color="auto" w:fill="auto"/>
            <w:noWrap/>
            <w:hideMark/>
          </w:tcPr>
          <w:p w14:paraId="2386A939" w14:textId="77777777" w:rsidR="0084445A" w:rsidRPr="00741D80" w:rsidRDefault="0084445A" w:rsidP="00AE7CF9">
            <w:pPr>
              <w:pStyle w:val="a1"/>
              <w:widowControl w:val="0"/>
              <w:spacing w:line="276" w:lineRule="auto"/>
              <w:jc w:val="right"/>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9%</w:t>
            </w:r>
          </w:p>
        </w:tc>
      </w:tr>
      <w:tr w:rsidR="0084445A" w:rsidRPr="00741D80" w14:paraId="2288B1E9" w14:textId="77777777" w:rsidTr="0010694E">
        <w:trPr>
          <w:trHeight w:val="170"/>
          <w:jc w:val="center"/>
        </w:trPr>
        <w:tc>
          <w:tcPr>
            <w:tcW w:w="1015" w:type="pct"/>
            <w:shd w:val="clear" w:color="auto" w:fill="auto"/>
            <w:noWrap/>
            <w:hideMark/>
          </w:tcPr>
          <w:p w14:paraId="03EE80AB" w14:textId="77777777" w:rsidR="0084445A" w:rsidRPr="00741D80" w:rsidRDefault="0084445A" w:rsidP="00AE7CF9">
            <w:pPr>
              <w:pStyle w:val="a1"/>
              <w:widowControl w:val="0"/>
              <w:spacing w:line="276" w:lineRule="auto"/>
              <w:jc w:val="both"/>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Клиент 3</w:t>
            </w:r>
          </w:p>
        </w:tc>
        <w:tc>
          <w:tcPr>
            <w:tcW w:w="2415" w:type="pct"/>
            <w:shd w:val="clear" w:color="auto" w:fill="auto"/>
            <w:noWrap/>
            <w:hideMark/>
          </w:tcPr>
          <w:p w14:paraId="6FCAC296" w14:textId="77777777" w:rsidR="0084445A" w:rsidRPr="00741D80" w:rsidRDefault="0084445A" w:rsidP="00AE7CF9">
            <w:pPr>
              <w:pStyle w:val="a1"/>
              <w:widowControl w:val="0"/>
              <w:spacing w:line="276" w:lineRule="auto"/>
              <w:jc w:val="both"/>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български клиент</w:t>
            </w:r>
          </w:p>
        </w:tc>
        <w:tc>
          <w:tcPr>
            <w:tcW w:w="861" w:type="pct"/>
            <w:shd w:val="clear" w:color="auto" w:fill="auto"/>
            <w:noWrap/>
            <w:hideMark/>
          </w:tcPr>
          <w:p w14:paraId="5097F144" w14:textId="77777777" w:rsidR="0084445A" w:rsidRPr="00741D80" w:rsidRDefault="0084445A" w:rsidP="00AE7CF9">
            <w:pPr>
              <w:pStyle w:val="a1"/>
              <w:widowControl w:val="0"/>
              <w:spacing w:line="276" w:lineRule="auto"/>
              <w:jc w:val="right"/>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83</w:t>
            </w:r>
          </w:p>
        </w:tc>
        <w:tc>
          <w:tcPr>
            <w:tcW w:w="709" w:type="pct"/>
            <w:shd w:val="clear" w:color="auto" w:fill="auto"/>
            <w:noWrap/>
            <w:hideMark/>
          </w:tcPr>
          <w:p w14:paraId="700FA062" w14:textId="77777777" w:rsidR="0084445A" w:rsidRPr="00741D80" w:rsidRDefault="0084445A" w:rsidP="00AE7CF9">
            <w:pPr>
              <w:pStyle w:val="a1"/>
              <w:widowControl w:val="0"/>
              <w:spacing w:line="276" w:lineRule="auto"/>
              <w:jc w:val="right"/>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4%</w:t>
            </w:r>
          </w:p>
        </w:tc>
      </w:tr>
      <w:tr w:rsidR="0084445A" w:rsidRPr="00741D80" w14:paraId="5FCE2AD3" w14:textId="77777777" w:rsidTr="0010694E">
        <w:trPr>
          <w:trHeight w:val="170"/>
          <w:jc w:val="center"/>
        </w:trPr>
        <w:tc>
          <w:tcPr>
            <w:tcW w:w="1015" w:type="pct"/>
            <w:shd w:val="clear" w:color="auto" w:fill="auto"/>
            <w:noWrap/>
            <w:hideMark/>
          </w:tcPr>
          <w:p w14:paraId="711DF71B" w14:textId="77777777" w:rsidR="0084445A" w:rsidRPr="00741D80" w:rsidRDefault="0084445A" w:rsidP="00AE7CF9">
            <w:pPr>
              <w:pStyle w:val="a1"/>
              <w:widowControl w:val="0"/>
              <w:spacing w:line="276" w:lineRule="auto"/>
              <w:jc w:val="both"/>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Клиент 4</w:t>
            </w:r>
          </w:p>
        </w:tc>
        <w:tc>
          <w:tcPr>
            <w:tcW w:w="2415" w:type="pct"/>
            <w:shd w:val="clear" w:color="auto" w:fill="auto"/>
            <w:noWrap/>
            <w:hideMark/>
          </w:tcPr>
          <w:p w14:paraId="259DC13E" w14:textId="77777777" w:rsidR="0084445A" w:rsidRPr="00741D80" w:rsidRDefault="0084445A" w:rsidP="00AE7CF9">
            <w:pPr>
              <w:pStyle w:val="a1"/>
              <w:widowControl w:val="0"/>
              <w:spacing w:line="276" w:lineRule="auto"/>
              <w:jc w:val="both"/>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български клиент</w:t>
            </w:r>
          </w:p>
        </w:tc>
        <w:tc>
          <w:tcPr>
            <w:tcW w:w="861" w:type="pct"/>
            <w:shd w:val="clear" w:color="auto" w:fill="auto"/>
            <w:noWrap/>
            <w:hideMark/>
          </w:tcPr>
          <w:p w14:paraId="300B39DF" w14:textId="77777777" w:rsidR="0084445A" w:rsidRPr="00741D80" w:rsidRDefault="0084445A" w:rsidP="00AE7CF9">
            <w:pPr>
              <w:pStyle w:val="a1"/>
              <w:widowControl w:val="0"/>
              <w:spacing w:line="276" w:lineRule="auto"/>
              <w:jc w:val="right"/>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69</w:t>
            </w:r>
          </w:p>
        </w:tc>
        <w:tc>
          <w:tcPr>
            <w:tcW w:w="709" w:type="pct"/>
            <w:shd w:val="clear" w:color="auto" w:fill="auto"/>
            <w:noWrap/>
            <w:hideMark/>
          </w:tcPr>
          <w:p w14:paraId="39B7EB64" w14:textId="77777777" w:rsidR="0084445A" w:rsidRPr="00741D80" w:rsidRDefault="0084445A" w:rsidP="00AE7CF9">
            <w:pPr>
              <w:pStyle w:val="a1"/>
              <w:widowControl w:val="0"/>
              <w:spacing w:line="276" w:lineRule="auto"/>
              <w:jc w:val="right"/>
              <w:rPr>
                <w:rFonts w:asciiTheme="minorHAnsi" w:hAnsiTheme="minorHAnsi" w:cstheme="minorHAnsi"/>
                <w:b w:val="0"/>
                <w:color w:val="auto"/>
                <w:szCs w:val="20"/>
                <w:lang w:val="bg-BG"/>
              </w:rPr>
            </w:pPr>
            <w:r w:rsidRPr="00741D80">
              <w:rPr>
                <w:rFonts w:asciiTheme="minorHAnsi" w:hAnsiTheme="minorHAnsi" w:cstheme="minorHAnsi"/>
                <w:b w:val="0"/>
                <w:color w:val="auto"/>
                <w:szCs w:val="20"/>
                <w:lang w:val="bg-BG"/>
              </w:rPr>
              <w:t>4%</w:t>
            </w:r>
          </w:p>
        </w:tc>
      </w:tr>
    </w:tbl>
    <w:p w14:paraId="5C1CF5B9" w14:textId="77777777" w:rsidR="0084445A" w:rsidRPr="00741D80" w:rsidRDefault="0084445A" w:rsidP="00274E31">
      <w:pPr>
        <w:spacing w:after="0"/>
        <w:rPr>
          <w:rFonts w:cstheme="minorHAnsi"/>
          <w:lang w:val="en-US"/>
        </w:rPr>
      </w:pPr>
    </w:p>
    <w:tbl>
      <w:tblPr>
        <w:tblW w:w="3644" w:type="pct"/>
        <w:jc w:val="center"/>
        <w:tblCellMar>
          <w:left w:w="6" w:type="dxa"/>
          <w:right w:w="6" w:type="dxa"/>
        </w:tblCellMar>
        <w:tblLook w:val="04A0" w:firstRow="1" w:lastRow="0" w:firstColumn="1" w:lastColumn="0" w:noHBand="0" w:noVBand="1"/>
      </w:tblPr>
      <w:tblGrid>
        <w:gridCol w:w="1559"/>
        <w:gridCol w:w="3077"/>
        <w:gridCol w:w="1395"/>
        <w:gridCol w:w="993"/>
      </w:tblGrid>
      <w:tr w:rsidR="0084445A" w:rsidRPr="00741D80" w14:paraId="4ED6A5AA" w14:textId="77777777" w:rsidTr="0010694E">
        <w:trPr>
          <w:trHeight w:val="170"/>
          <w:jc w:val="center"/>
        </w:trPr>
        <w:tc>
          <w:tcPr>
            <w:tcW w:w="1110" w:type="pct"/>
            <w:shd w:val="clear" w:color="auto" w:fill="auto"/>
            <w:noWrap/>
            <w:hideMark/>
          </w:tcPr>
          <w:p w14:paraId="5E0BA176"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p>
        </w:tc>
        <w:tc>
          <w:tcPr>
            <w:tcW w:w="2190" w:type="pct"/>
            <w:shd w:val="clear" w:color="auto" w:fill="auto"/>
            <w:noWrap/>
            <w:hideMark/>
          </w:tcPr>
          <w:p w14:paraId="7F3E01E2"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p>
        </w:tc>
        <w:tc>
          <w:tcPr>
            <w:tcW w:w="993" w:type="pct"/>
            <w:shd w:val="clear" w:color="auto" w:fill="auto"/>
            <w:noWrap/>
            <w:hideMark/>
          </w:tcPr>
          <w:p w14:paraId="08DB2906" w14:textId="77777777" w:rsidR="0084445A" w:rsidRPr="00741D80" w:rsidRDefault="0084445A" w:rsidP="00AE7CF9">
            <w:pPr>
              <w:pStyle w:val="a1"/>
              <w:spacing w:line="276" w:lineRule="auto"/>
              <w:rPr>
                <w:rFonts w:asciiTheme="minorHAnsi" w:hAnsiTheme="minorHAnsi" w:cstheme="minorHAnsi"/>
                <w:color w:val="auto"/>
                <w:szCs w:val="20"/>
              </w:rPr>
            </w:pPr>
            <w:r w:rsidRPr="00741D80">
              <w:rPr>
                <w:rFonts w:asciiTheme="minorHAnsi" w:hAnsiTheme="minorHAnsi" w:cstheme="minorHAnsi"/>
                <w:color w:val="auto"/>
                <w:szCs w:val="20"/>
                <w:lang w:val="bg-BG"/>
              </w:rPr>
              <w:t>31.12.</w:t>
            </w:r>
            <w:r w:rsidRPr="00741D80">
              <w:rPr>
                <w:rFonts w:asciiTheme="minorHAnsi" w:hAnsiTheme="minorHAnsi" w:cstheme="minorHAnsi"/>
                <w:color w:val="auto"/>
                <w:szCs w:val="20"/>
              </w:rPr>
              <w:t>2017</w:t>
            </w:r>
          </w:p>
        </w:tc>
        <w:tc>
          <w:tcPr>
            <w:tcW w:w="707" w:type="pct"/>
            <w:shd w:val="clear" w:color="auto" w:fill="auto"/>
            <w:noWrap/>
            <w:hideMark/>
          </w:tcPr>
          <w:p w14:paraId="5AC190A3"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p>
        </w:tc>
      </w:tr>
      <w:tr w:rsidR="0084445A" w:rsidRPr="00741D80" w14:paraId="505D0BB9" w14:textId="77777777" w:rsidTr="0010694E">
        <w:trPr>
          <w:trHeight w:val="170"/>
          <w:jc w:val="center"/>
        </w:trPr>
        <w:tc>
          <w:tcPr>
            <w:tcW w:w="1110" w:type="pct"/>
            <w:shd w:val="clear" w:color="auto" w:fill="auto"/>
            <w:noWrap/>
            <w:hideMark/>
          </w:tcPr>
          <w:p w14:paraId="1B9E4C8B"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p>
        </w:tc>
        <w:tc>
          <w:tcPr>
            <w:tcW w:w="2190" w:type="pct"/>
            <w:shd w:val="clear" w:color="auto" w:fill="auto"/>
            <w:noWrap/>
            <w:hideMark/>
          </w:tcPr>
          <w:p w14:paraId="22EB258C"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p>
        </w:tc>
        <w:tc>
          <w:tcPr>
            <w:tcW w:w="993" w:type="pct"/>
            <w:shd w:val="clear" w:color="auto" w:fill="auto"/>
            <w:noWrap/>
            <w:hideMark/>
          </w:tcPr>
          <w:p w14:paraId="320C366A" w14:textId="77777777" w:rsidR="0084445A" w:rsidRPr="00741D80" w:rsidRDefault="0084445A" w:rsidP="00AE7CF9">
            <w:pPr>
              <w:pStyle w:val="a1"/>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BGN’000</w:t>
            </w:r>
          </w:p>
        </w:tc>
        <w:tc>
          <w:tcPr>
            <w:tcW w:w="707" w:type="pct"/>
            <w:shd w:val="clear" w:color="auto" w:fill="auto"/>
            <w:noWrap/>
            <w:hideMark/>
          </w:tcPr>
          <w:p w14:paraId="19905016" w14:textId="77777777" w:rsidR="0084445A" w:rsidRPr="00741D80" w:rsidRDefault="0084445A" w:rsidP="00AE7CF9">
            <w:pPr>
              <w:pStyle w:val="a1"/>
              <w:widowControl w:val="0"/>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r>
      <w:tr w:rsidR="0084445A" w:rsidRPr="00741D80" w14:paraId="727C1584" w14:textId="77777777" w:rsidTr="0010694E">
        <w:trPr>
          <w:trHeight w:val="170"/>
          <w:jc w:val="center"/>
        </w:trPr>
        <w:tc>
          <w:tcPr>
            <w:tcW w:w="1110" w:type="pct"/>
            <w:shd w:val="clear" w:color="auto" w:fill="auto"/>
            <w:noWrap/>
            <w:hideMark/>
          </w:tcPr>
          <w:p w14:paraId="1C9786BC" w14:textId="77777777" w:rsidR="0084445A" w:rsidRPr="00741D80" w:rsidRDefault="0084445A" w:rsidP="00AE7CF9">
            <w:pPr>
              <w:pStyle w:val="a"/>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Клиент 1</w:t>
            </w:r>
          </w:p>
        </w:tc>
        <w:tc>
          <w:tcPr>
            <w:tcW w:w="2190" w:type="pct"/>
            <w:shd w:val="clear" w:color="auto" w:fill="auto"/>
            <w:hideMark/>
          </w:tcPr>
          <w:p w14:paraId="7C189B8E" w14:textId="77777777" w:rsidR="0084445A" w:rsidRPr="00741D80" w:rsidRDefault="0084445A" w:rsidP="00AE7CF9">
            <w:pPr>
              <w:pStyle w:val="a"/>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чуждестранен клиент</w:t>
            </w:r>
          </w:p>
        </w:tc>
        <w:tc>
          <w:tcPr>
            <w:tcW w:w="993" w:type="pct"/>
            <w:shd w:val="clear" w:color="auto" w:fill="auto"/>
            <w:noWrap/>
            <w:hideMark/>
          </w:tcPr>
          <w:p w14:paraId="57149ECE" w14:textId="77777777" w:rsidR="0084445A" w:rsidRPr="00741D80" w:rsidRDefault="0084445A" w:rsidP="00AE7CF9">
            <w:pPr>
              <w:pStyle w:val="a"/>
              <w:widowControl w:val="0"/>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347</w:t>
            </w:r>
          </w:p>
        </w:tc>
        <w:tc>
          <w:tcPr>
            <w:tcW w:w="707" w:type="pct"/>
            <w:shd w:val="clear" w:color="auto" w:fill="auto"/>
            <w:noWrap/>
            <w:hideMark/>
          </w:tcPr>
          <w:p w14:paraId="4D1D275E" w14:textId="77777777" w:rsidR="0084445A" w:rsidRPr="00741D80" w:rsidRDefault="0084445A" w:rsidP="00AE7CF9">
            <w:pPr>
              <w:pStyle w:val="a"/>
              <w:widowControl w:val="0"/>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16%</w:t>
            </w:r>
          </w:p>
        </w:tc>
      </w:tr>
      <w:tr w:rsidR="0084445A" w:rsidRPr="00741D80" w14:paraId="712BF942" w14:textId="77777777" w:rsidTr="0010694E">
        <w:trPr>
          <w:trHeight w:val="170"/>
          <w:jc w:val="center"/>
        </w:trPr>
        <w:tc>
          <w:tcPr>
            <w:tcW w:w="1110" w:type="pct"/>
            <w:shd w:val="clear" w:color="auto" w:fill="auto"/>
            <w:noWrap/>
            <w:hideMark/>
          </w:tcPr>
          <w:p w14:paraId="1D525706" w14:textId="77777777" w:rsidR="0084445A" w:rsidRPr="00741D80" w:rsidRDefault="0084445A" w:rsidP="00AE7CF9">
            <w:pPr>
              <w:pStyle w:val="a"/>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Клиент 2</w:t>
            </w:r>
          </w:p>
        </w:tc>
        <w:tc>
          <w:tcPr>
            <w:tcW w:w="2190" w:type="pct"/>
            <w:shd w:val="clear" w:color="auto" w:fill="auto"/>
            <w:hideMark/>
          </w:tcPr>
          <w:p w14:paraId="7AE15492" w14:textId="77777777" w:rsidR="0084445A" w:rsidRPr="00741D80" w:rsidRDefault="0084445A" w:rsidP="00AE7CF9">
            <w:pPr>
              <w:pStyle w:val="a"/>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български клиент</w:t>
            </w:r>
          </w:p>
        </w:tc>
        <w:tc>
          <w:tcPr>
            <w:tcW w:w="993" w:type="pct"/>
            <w:shd w:val="clear" w:color="auto" w:fill="auto"/>
            <w:noWrap/>
            <w:hideMark/>
          </w:tcPr>
          <w:p w14:paraId="31766B9D" w14:textId="77777777" w:rsidR="0084445A" w:rsidRPr="00741D80" w:rsidRDefault="0084445A" w:rsidP="00AE7CF9">
            <w:pPr>
              <w:pStyle w:val="a"/>
              <w:widowControl w:val="0"/>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168</w:t>
            </w:r>
          </w:p>
        </w:tc>
        <w:tc>
          <w:tcPr>
            <w:tcW w:w="707" w:type="pct"/>
            <w:shd w:val="clear" w:color="auto" w:fill="auto"/>
            <w:noWrap/>
            <w:hideMark/>
          </w:tcPr>
          <w:p w14:paraId="270B2234" w14:textId="77777777" w:rsidR="0084445A" w:rsidRPr="00741D80" w:rsidRDefault="0084445A" w:rsidP="00AE7CF9">
            <w:pPr>
              <w:pStyle w:val="a"/>
              <w:widowControl w:val="0"/>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8%</w:t>
            </w:r>
          </w:p>
        </w:tc>
      </w:tr>
      <w:tr w:rsidR="0084445A" w:rsidRPr="00741D80" w14:paraId="6E655828" w14:textId="77777777" w:rsidTr="0010694E">
        <w:trPr>
          <w:trHeight w:val="170"/>
          <w:jc w:val="center"/>
        </w:trPr>
        <w:tc>
          <w:tcPr>
            <w:tcW w:w="1110" w:type="pct"/>
            <w:shd w:val="clear" w:color="auto" w:fill="auto"/>
            <w:noWrap/>
            <w:hideMark/>
          </w:tcPr>
          <w:p w14:paraId="3F06470C" w14:textId="77777777" w:rsidR="0084445A" w:rsidRPr="00741D80" w:rsidRDefault="0084445A" w:rsidP="00AE7CF9">
            <w:pPr>
              <w:pStyle w:val="a"/>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Клиент 3</w:t>
            </w:r>
          </w:p>
        </w:tc>
        <w:tc>
          <w:tcPr>
            <w:tcW w:w="2190" w:type="pct"/>
            <w:shd w:val="clear" w:color="auto" w:fill="auto"/>
            <w:hideMark/>
          </w:tcPr>
          <w:p w14:paraId="6EE06AC1" w14:textId="77777777" w:rsidR="0084445A" w:rsidRPr="00741D80" w:rsidRDefault="0084445A" w:rsidP="00AE7CF9">
            <w:pPr>
              <w:pStyle w:val="a"/>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български клиент</w:t>
            </w:r>
          </w:p>
        </w:tc>
        <w:tc>
          <w:tcPr>
            <w:tcW w:w="993" w:type="pct"/>
            <w:shd w:val="clear" w:color="auto" w:fill="auto"/>
            <w:noWrap/>
            <w:vAlign w:val="bottom"/>
            <w:hideMark/>
          </w:tcPr>
          <w:p w14:paraId="326C4E53" w14:textId="77777777" w:rsidR="0084445A" w:rsidRPr="00741D80" w:rsidRDefault="0084445A" w:rsidP="00AE7CF9">
            <w:pPr>
              <w:pStyle w:val="a"/>
              <w:widowControl w:val="0"/>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108</w:t>
            </w:r>
          </w:p>
        </w:tc>
        <w:tc>
          <w:tcPr>
            <w:tcW w:w="707" w:type="pct"/>
            <w:shd w:val="clear" w:color="auto" w:fill="auto"/>
            <w:noWrap/>
            <w:hideMark/>
          </w:tcPr>
          <w:p w14:paraId="00058253" w14:textId="77777777" w:rsidR="0084445A" w:rsidRPr="00741D80" w:rsidRDefault="0084445A" w:rsidP="00AE7CF9">
            <w:pPr>
              <w:pStyle w:val="a"/>
              <w:spacing w:line="276" w:lineRule="auto"/>
              <w:jc w:val="right"/>
              <w:rPr>
                <w:rFonts w:asciiTheme="minorHAnsi" w:hAnsiTheme="minorHAnsi" w:cstheme="minorHAnsi"/>
                <w:bCs/>
                <w:color w:val="auto"/>
                <w:szCs w:val="20"/>
                <w:lang w:val="bg-BG"/>
              </w:rPr>
            </w:pPr>
            <w:r w:rsidRPr="00741D80">
              <w:rPr>
                <w:rFonts w:asciiTheme="minorHAnsi" w:hAnsiTheme="minorHAnsi" w:cstheme="minorHAnsi"/>
                <w:color w:val="auto"/>
                <w:szCs w:val="20"/>
              </w:rPr>
              <w:t>5</w:t>
            </w:r>
            <w:r w:rsidRPr="00741D80">
              <w:rPr>
                <w:rFonts w:asciiTheme="minorHAnsi" w:hAnsiTheme="minorHAnsi" w:cstheme="minorHAnsi"/>
                <w:color w:val="auto"/>
                <w:szCs w:val="20"/>
                <w:lang w:val="bg-BG"/>
              </w:rPr>
              <w:t>%</w:t>
            </w:r>
          </w:p>
        </w:tc>
      </w:tr>
      <w:tr w:rsidR="0084445A" w:rsidRPr="00741D80" w14:paraId="4360C079" w14:textId="77777777" w:rsidTr="0010694E">
        <w:trPr>
          <w:trHeight w:val="170"/>
          <w:jc w:val="center"/>
        </w:trPr>
        <w:tc>
          <w:tcPr>
            <w:tcW w:w="1110" w:type="pct"/>
            <w:shd w:val="clear" w:color="auto" w:fill="auto"/>
            <w:noWrap/>
            <w:hideMark/>
          </w:tcPr>
          <w:p w14:paraId="40F3E49A" w14:textId="77777777" w:rsidR="0084445A" w:rsidRPr="00741D80" w:rsidRDefault="0084445A" w:rsidP="00AE7CF9">
            <w:pPr>
              <w:pStyle w:val="a"/>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Клиент 4</w:t>
            </w:r>
          </w:p>
        </w:tc>
        <w:tc>
          <w:tcPr>
            <w:tcW w:w="2190" w:type="pct"/>
            <w:shd w:val="clear" w:color="auto" w:fill="auto"/>
            <w:hideMark/>
          </w:tcPr>
          <w:p w14:paraId="6795C920" w14:textId="77777777" w:rsidR="0084445A" w:rsidRPr="00741D80" w:rsidRDefault="0084445A" w:rsidP="00AE7CF9">
            <w:pPr>
              <w:pStyle w:val="a"/>
              <w:widowControl w:val="0"/>
              <w:spacing w:line="276" w:lineRule="auto"/>
              <w:rPr>
                <w:rFonts w:asciiTheme="minorHAnsi" w:hAnsiTheme="minorHAnsi" w:cstheme="minorHAnsi"/>
                <w:color w:val="auto"/>
                <w:szCs w:val="20"/>
                <w:lang w:val="bg-BG"/>
              </w:rPr>
            </w:pPr>
            <w:r w:rsidRPr="00741D80">
              <w:rPr>
                <w:rFonts w:asciiTheme="minorHAnsi" w:hAnsiTheme="minorHAnsi" w:cstheme="minorHAnsi"/>
                <w:color w:val="auto"/>
                <w:szCs w:val="20"/>
                <w:lang w:val="bg-BG"/>
              </w:rPr>
              <w:t>български клиент</w:t>
            </w:r>
          </w:p>
        </w:tc>
        <w:tc>
          <w:tcPr>
            <w:tcW w:w="993" w:type="pct"/>
            <w:shd w:val="clear" w:color="auto" w:fill="auto"/>
            <w:noWrap/>
            <w:vAlign w:val="bottom"/>
            <w:hideMark/>
          </w:tcPr>
          <w:p w14:paraId="7851C104" w14:textId="77777777" w:rsidR="0084445A" w:rsidRPr="00741D80" w:rsidRDefault="0084445A" w:rsidP="00AE7CF9">
            <w:pPr>
              <w:pStyle w:val="a"/>
              <w:widowControl w:val="0"/>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93</w:t>
            </w:r>
          </w:p>
        </w:tc>
        <w:tc>
          <w:tcPr>
            <w:tcW w:w="707" w:type="pct"/>
            <w:shd w:val="clear" w:color="auto" w:fill="auto"/>
            <w:noWrap/>
            <w:hideMark/>
          </w:tcPr>
          <w:p w14:paraId="7366A1F9" w14:textId="77777777" w:rsidR="0084445A" w:rsidRPr="00741D80" w:rsidRDefault="0084445A" w:rsidP="00AE7CF9">
            <w:pPr>
              <w:pStyle w:val="a"/>
              <w:widowControl w:val="0"/>
              <w:spacing w:line="276" w:lineRule="auto"/>
              <w:jc w:val="right"/>
              <w:rPr>
                <w:rFonts w:asciiTheme="minorHAnsi" w:hAnsiTheme="minorHAnsi" w:cstheme="minorHAnsi"/>
                <w:color w:val="auto"/>
                <w:szCs w:val="20"/>
                <w:lang w:val="bg-BG"/>
              </w:rPr>
            </w:pPr>
            <w:r w:rsidRPr="00741D80">
              <w:rPr>
                <w:rFonts w:asciiTheme="minorHAnsi" w:hAnsiTheme="minorHAnsi" w:cstheme="minorHAnsi"/>
                <w:color w:val="auto"/>
                <w:szCs w:val="20"/>
              </w:rPr>
              <w:t>4</w:t>
            </w:r>
            <w:r w:rsidRPr="00741D80">
              <w:rPr>
                <w:rFonts w:asciiTheme="minorHAnsi" w:hAnsiTheme="minorHAnsi" w:cstheme="minorHAnsi"/>
                <w:color w:val="auto"/>
                <w:szCs w:val="20"/>
                <w:lang w:val="bg-BG"/>
              </w:rPr>
              <w:t>%</w:t>
            </w:r>
          </w:p>
        </w:tc>
      </w:tr>
    </w:tbl>
    <w:p w14:paraId="71C4B4E6" w14:textId="77777777" w:rsidR="0084445A" w:rsidRPr="00741D80" w:rsidRDefault="0084445A" w:rsidP="00833465">
      <w:pPr>
        <w:pStyle w:val="Mainnumbers"/>
      </w:pPr>
      <w:bookmarkStart w:id="96" w:name="_Toc418084398"/>
      <w:bookmarkStart w:id="97" w:name="_Toc536452035"/>
      <w:r w:rsidRPr="00741D80">
        <w:t>УПРАВЛЕНИЕ НА ФИНАНСОВИЯ РИСК</w:t>
      </w:r>
      <w:bookmarkEnd w:id="96"/>
      <w:bookmarkEnd w:id="97"/>
      <w:r w:rsidRPr="00741D80">
        <w:t xml:space="preserve"> </w:t>
      </w:r>
    </w:p>
    <w:p w14:paraId="225CDEAE" w14:textId="77777777" w:rsidR="0084445A" w:rsidRPr="00741D80" w:rsidRDefault="0084445A" w:rsidP="00274E31">
      <w:pPr>
        <w:spacing w:after="0" w:line="276" w:lineRule="auto"/>
        <w:jc w:val="both"/>
        <w:rPr>
          <w:rFonts w:cstheme="minorHAnsi"/>
        </w:rPr>
      </w:pPr>
      <w:r w:rsidRPr="00741D80">
        <w:rPr>
          <w:rFonts w:cstheme="minorHAnsi"/>
        </w:rPr>
        <w:t xml:space="preserve">Дружеството е изложено на различни видове рискове по отношение на финансовите си инструменти. Най-значимите финансови рискове, на които е изложено дружеството са пазарен риск (включващ валутен риск, риск от промяна на справедливата стойност и ценови риск), кредитен риск, ликвиден риск и риск на лихвено-обвързаните парични потоци. </w:t>
      </w:r>
    </w:p>
    <w:p w14:paraId="5FD78E41" w14:textId="77777777" w:rsidR="0084445A" w:rsidRPr="00741D80" w:rsidRDefault="0084445A" w:rsidP="00274E31">
      <w:pPr>
        <w:spacing w:after="0" w:line="276" w:lineRule="auto"/>
        <w:jc w:val="both"/>
        <w:rPr>
          <w:rFonts w:cstheme="minorHAnsi"/>
        </w:rPr>
      </w:pPr>
      <w:r w:rsidRPr="00741D80">
        <w:rPr>
          <w:rFonts w:cstheme="minorHAnsi"/>
        </w:rPr>
        <w:t xml:space="preserve">Междинният съкратен индивидуален финансов отчет не включва цялата информация относно управлението на риска и оповестяванията, изисквани при изготвянето на годишни финансови отчети, и следва да се чете заедно с годишния индивидуален финансов отчет на Дружеството към 31.12.2017 </w:t>
      </w:r>
      <w:r w:rsidRPr="00741D80">
        <w:rPr>
          <w:rFonts w:cstheme="minorHAnsi"/>
        </w:rPr>
        <w:lastRenderedPageBreak/>
        <w:t>г. Не е имало промени в политиката за управление на риска относно финансови инструменти през периода.</w:t>
      </w:r>
    </w:p>
    <w:p w14:paraId="6B7933AB" w14:textId="77777777" w:rsidR="0084445A" w:rsidRPr="00741D80" w:rsidRDefault="0084445A" w:rsidP="00833465">
      <w:pPr>
        <w:pStyle w:val="Mainnumbers"/>
      </w:pPr>
      <w:bookmarkStart w:id="98" w:name="_Toc128275773"/>
      <w:bookmarkStart w:id="99" w:name="_Toc223511071"/>
      <w:bookmarkStart w:id="100" w:name="_Toc418084404"/>
      <w:bookmarkStart w:id="101" w:name="_Toc536452036"/>
      <w:r w:rsidRPr="00741D80">
        <w:t>СВЪРЗАНИ ЛИЦА И СДЕЛКИ СЪС СВЪРЗАНИ ЛИЦА</w:t>
      </w:r>
      <w:bookmarkEnd w:id="98"/>
      <w:bookmarkEnd w:id="99"/>
      <w:bookmarkEnd w:id="100"/>
      <w:bookmarkEnd w:id="101"/>
    </w:p>
    <w:p w14:paraId="23C02215" w14:textId="77777777" w:rsidR="0084445A" w:rsidRPr="00741D80" w:rsidRDefault="0084445A" w:rsidP="00D46960">
      <w:pPr>
        <w:pStyle w:val="BoldHeading"/>
        <w:rPr>
          <w:rFonts w:asciiTheme="minorHAnsi" w:hAnsiTheme="minorHAnsi" w:cstheme="minorHAnsi"/>
        </w:rPr>
      </w:pPr>
      <w:proofErr w:type="spellStart"/>
      <w:r w:rsidRPr="00741D80">
        <w:rPr>
          <w:rFonts w:asciiTheme="minorHAnsi" w:hAnsiTheme="minorHAnsi" w:cstheme="minorHAnsi"/>
        </w:rPr>
        <w:t>Дъщерни</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дружества</w:t>
      </w:r>
      <w:proofErr w:type="spellEnd"/>
    </w:p>
    <w:p w14:paraId="1CE835F4" w14:textId="77777777" w:rsidR="0084445A" w:rsidRPr="00741D80" w:rsidRDefault="0084445A" w:rsidP="00D46960">
      <w:pPr>
        <w:jc w:val="both"/>
        <w:rPr>
          <w:rFonts w:cstheme="minorHAnsi"/>
        </w:rPr>
      </w:pPr>
      <w:r w:rsidRPr="00741D80">
        <w:rPr>
          <w:rFonts w:cstheme="minorHAnsi"/>
        </w:rPr>
        <w:t>Борсата притежава 100 % от капитала на Сервиз Финансови Пазари EООД, което е дъщерно дружество, считано от 06.03.2007 г. Борсата притежава 100 % от капитала на Българска независима енергийна борса ЕАД, което е дъщерно дружество, считано от 07.02.2018 г. Българска фондова борса АД осъществява контрол върху финансовата и оперативната политика на дъщерните дружества.</w:t>
      </w:r>
    </w:p>
    <w:p w14:paraId="136A9F92" w14:textId="79305DDA" w:rsidR="0084445A" w:rsidRPr="00741D80" w:rsidRDefault="0084445A" w:rsidP="0084445A">
      <w:pPr>
        <w:pStyle w:val="BoldHeading"/>
        <w:rPr>
          <w:rFonts w:asciiTheme="minorHAnsi" w:hAnsiTheme="minorHAnsi" w:cstheme="minorHAnsi"/>
        </w:rPr>
      </w:pPr>
      <w:proofErr w:type="spellStart"/>
      <w:r w:rsidRPr="00741D80">
        <w:rPr>
          <w:rFonts w:asciiTheme="minorHAnsi" w:hAnsiTheme="minorHAnsi" w:cstheme="minorHAnsi"/>
        </w:rPr>
        <w:t>Съвместно</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дружество</w:t>
      </w:r>
      <w:proofErr w:type="spellEnd"/>
    </w:p>
    <w:p w14:paraId="7C7853EA" w14:textId="77777777" w:rsidR="0084445A" w:rsidRPr="00741D80" w:rsidRDefault="0084445A" w:rsidP="00D46960">
      <w:pPr>
        <w:jc w:val="both"/>
        <w:rPr>
          <w:rFonts w:cstheme="minorHAnsi"/>
        </w:rPr>
      </w:pPr>
      <w:r w:rsidRPr="00741D80">
        <w:rPr>
          <w:rFonts w:cstheme="minorHAnsi"/>
        </w:rPr>
        <w:t>Борсата притежава 33.33 % от капитала на СЕЕ Линк ДОО, Скопие, което е съвместно дружество, считано от 15.04.2014 г. като осъществява съвместен контрол върху финансовата и оперативната му политика.</w:t>
      </w:r>
    </w:p>
    <w:p w14:paraId="2F383AD5" w14:textId="77777777" w:rsidR="0084445A" w:rsidRPr="00741D80" w:rsidRDefault="0084445A" w:rsidP="00D46960">
      <w:pPr>
        <w:pStyle w:val="BoldHeading"/>
        <w:rPr>
          <w:rFonts w:asciiTheme="minorHAnsi" w:hAnsiTheme="minorHAnsi" w:cstheme="minorHAnsi"/>
        </w:rPr>
      </w:pPr>
      <w:proofErr w:type="spellStart"/>
      <w:r w:rsidRPr="00741D80">
        <w:rPr>
          <w:rFonts w:asciiTheme="minorHAnsi" w:hAnsiTheme="minorHAnsi" w:cstheme="minorHAnsi"/>
        </w:rPr>
        <w:t>Основен</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собственик</w:t>
      </w:r>
      <w:proofErr w:type="spellEnd"/>
      <w:r w:rsidRPr="00741D80">
        <w:rPr>
          <w:rFonts w:asciiTheme="minorHAnsi" w:hAnsiTheme="minorHAnsi" w:cstheme="minorHAnsi"/>
        </w:rPr>
        <w:t xml:space="preserve"> </w:t>
      </w:r>
    </w:p>
    <w:p w14:paraId="1B35DCEA" w14:textId="77777777" w:rsidR="0084445A" w:rsidRPr="00741D80" w:rsidRDefault="0084445A" w:rsidP="00D46960">
      <w:pPr>
        <w:jc w:val="both"/>
        <w:rPr>
          <w:rFonts w:cstheme="minorHAnsi"/>
        </w:rPr>
      </w:pPr>
      <w:r w:rsidRPr="00741D80">
        <w:rPr>
          <w:rFonts w:cstheme="minorHAnsi"/>
        </w:rPr>
        <w:t>Държавата чрез Министерство на финансите притежава 50,05 % от акциите в основния акционерен капитал на Борсата и упражнява контрол върху финансовата и оперативната политика на дружеството.</w:t>
      </w:r>
    </w:p>
    <w:p w14:paraId="7C68C72F" w14:textId="77777777" w:rsidR="0084445A" w:rsidRPr="00741D80" w:rsidRDefault="0084445A" w:rsidP="00D46960">
      <w:pPr>
        <w:pStyle w:val="BoldHeading"/>
        <w:rPr>
          <w:rFonts w:asciiTheme="minorHAnsi" w:hAnsiTheme="minorHAnsi" w:cstheme="minorHAnsi"/>
        </w:rPr>
      </w:pPr>
      <w:proofErr w:type="spellStart"/>
      <w:r w:rsidRPr="00741D80">
        <w:rPr>
          <w:rFonts w:asciiTheme="minorHAnsi" w:hAnsiTheme="minorHAnsi" w:cstheme="minorHAnsi"/>
        </w:rPr>
        <w:t>Предприятие</w:t>
      </w:r>
      <w:proofErr w:type="spellEnd"/>
      <w:r w:rsidRPr="00741D80">
        <w:rPr>
          <w:rFonts w:asciiTheme="minorHAnsi" w:hAnsiTheme="minorHAnsi" w:cstheme="minorHAnsi"/>
        </w:rPr>
        <w:t xml:space="preserve"> с </w:t>
      </w:r>
      <w:proofErr w:type="spellStart"/>
      <w:r w:rsidRPr="00741D80">
        <w:rPr>
          <w:rFonts w:asciiTheme="minorHAnsi" w:hAnsiTheme="minorHAnsi" w:cstheme="minorHAnsi"/>
        </w:rPr>
        <w:t>квалифицирано</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участие</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от</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страна</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на</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държавата</w:t>
      </w:r>
      <w:proofErr w:type="spellEnd"/>
    </w:p>
    <w:p w14:paraId="5AAE4F88" w14:textId="77777777" w:rsidR="0084445A" w:rsidRPr="00741D80" w:rsidRDefault="0084445A" w:rsidP="00D46960">
      <w:pPr>
        <w:jc w:val="both"/>
        <w:rPr>
          <w:rFonts w:cstheme="minorHAnsi"/>
        </w:rPr>
      </w:pPr>
      <w:r w:rsidRPr="00741D80">
        <w:rPr>
          <w:rFonts w:cstheme="minorHAnsi"/>
        </w:rPr>
        <w:t>Държавата чрез Министерство на финансите притежава пряко 43.7 % от акциите в основния акционерен капитал на Централен депозитар АД и притежава значително влияние. Последното е свързано лице с Борсата, доколкото и в двете дружества държавата има квалифицирано участие. Българска фондова борса АД от своя страна също е акционер в Централен депозитар АД с 6.61 % акционерно участие към 31.12.2018 г. (31.12.2017 г.: 6.61 %).</w:t>
      </w:r>
    </w:p>
    <w:p w14:paraId="6C2DFF2D" w14:textId="77777777" w:rsidR="0084445A" w:rsidRPr="00741D80" w:rsidRDefault="0084445A" w:rsidP="0084445A">
      <w:pPr>
        <w:pStyle w:val="BoldHeading"/>
        <w:rPr>
          <w:rFonts w:asciiTheme="minorHAnsi" w:hAnsiTheme="minorHAnsi" w:cstheme="minorHAnsi"/>
        </w:rPr>
      </w:pPr>
      <w:proofErr w:type="spellStart"/>
      <w:r w:rsidRPr="00741D80">
        <w:rPr>
          <w:rFonts w:asciiTheme="minorHAnsi" w:hAnsiTheme="minorHAnsi" w:cstheme="minorHAnsi"/>
        </w:rPr>
        <w:t>Предприятия</w:t>
      </w:r>
      <w:proofErr w:type="spellEnd"/>
      <w:r w:rsidRPr="00741D80">
        <w:rPr>
          <w:rFonts w:asciiTheme="minorHAnsi" w:hAnsiTheme="minorHAnsi" w:cstheme="minorHAnsi"/>
        </w:rPr>
        <w:t xml:space="preserve">, в </w:t>
      </w:r>
      <w:proofErr w:type="spellStart"/>
      <w:r w:rsidRPr="00741D80">
        <w:rPr>
          <w:rFonts w:asciiTheme="minorHAnsi" w:hAnsiTheme="minorHAnsi" w:cstheme="minorHAnsi"/>
        </w:rPr>
        <w:t>които</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лице</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от</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ключовия</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управленски</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персонал</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на</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Борсата</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едновременно</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взема</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участие</w:t>
      </w:r>
      <w:proofErr w:type="spellEnd"/>
      <w:r w:rsidRPr="00741D80">
        <w:rPr>
          <w:rFonts w:asciiTheme="minorHAnsi" w:hAnsiTheme="minorHAnsi" w:cstheme="minorHAnsi"/>
        </w:rPr>
        <w:t xml:space="preserve"> в </w:t>
      </w:r>
      <w:proofErr w:type="spellStart"/>
      <w:r w:rsidRPr="00741D80">
        <w:rPr>
          <w:rFonts w:asciiTheme="minorHAnsi" w:hAnsiTheme="minorHAnsi" w:cstheme="minorHAnsi"/>
        </w:rPr>
        <w:t>ръководството</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му</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като</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изпълнителен</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директор</w:t>
      </w:r>
      <w:proofErr w:type="spellEnd"/>
      <w:r w:rsidRPr="00741D80">
        <w:rPr>
          <w:rFonts w:asciiTheme="minorHAnsi" w:hAnsiTheme="minorHAnsi" w:cstheme="minorHAnsi"/>
        </w:rPr>
        <w:t>/</w:t>
      </w:r>
      <w:proofErr w:type="spellStart"/>
      <w:r w:rsidRPr="00741D80">
        <w:rPr>
          <w:rFonts w:asciiTheme="minorHAnsi" w:hAnsiTheme="minorHAnsi" w:cstheme="minorHAnsi"/>
        </w:rPr>
        <w:t>управител</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т.е</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има</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управленска</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власт</w:t>
      </w:r>
      <w:proofErr w:type="spellEnd"/>
      <w:r w:rsidRPr="00741D80">
        <w:rPr>
          <w:rFonts w:asciiTheme="minorHAnsi" w:hAnsiTheme="minorHAnsi" w:cstheme="minorHAnsi"/>
        </w:rPr>
        <w:t xml:space="preserve"> в </w:t>
      </w:r>
      <w:proofErr w:type="spellStart"/>
      <w:r w:rsidRPr="00741D80">
        <w:rPr>
          <w:rFonts w:asciiTheme="minorHAnsi" w:hAnsiTheme="minorHAnsi" w:cstheme="minorHAnsi"/>
        </w:rPr>
        <w:t>това</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предприятие</w:t>
      </w:r>
      <w:proofErr w:type="spellEnd"/>
    </w:p>
    <w:p w14:paraId="3BA35B55" w14:textId="5688B010" w:rsidR="0084445A" w:rsidRPr="00741D80" w:rsidRDefault="0084445A" w:rsidP="00D46960">
      <w:pPr>
        <w:jc w:val="both"/>
        <w:rPr>
          <w:rFonts w:cstheme="minorHAnsi"/>
        </w:rPr>
      </w:pPr>
      <w:r w:rsidRPr="005535E6">
        <w:rPr>
          <w:rFonts w:cstheme="minorHAnsi"/>
        </w:rPr>
        <w:t xml:space="preserve">Към 31.12.2018 г. предприятия, които имат подобна свързаност са: Юробанк България АД, Булстрад Живот Виена Иншурънс Груп АД, Бенчмарк груп АД, Бенчмарк кредит АД, Бенчмарк Финанс </w:t>
      </w:r>
      <w:r w:rsidR="005535E6" w:rsidRPr="005535E6">
        <w:rPr>
          <w:rFonts w:cstheme="minorHAnsi"/>
        </w:rPr>
        <w:t>АД</w:t>
      </w:r>
      <w:r w:rsidRPr="005535E6">
        <w:rPr>
          <w:rFonts w:cstheme="minorHAnsi"/>
        </w:rPr>
        <w:t>, ЛПБ Инвестиции ООД, ЛНБ Трейдинг ЕООД</w:t>
      </w:r>
      <w:r w:rsidR="005535E6" w:rsidRPr="005535E6">
        <w:rPr>
          <w:rFonts w:cstheme="minorHAnsi"/>
        </w:rPr>
        <w:t>, Централен депозитар АД</w:t>
      </w:r>
      <w:r w:rsidR="005535E6">
        <w:rPr>
          <w:rFonts w:cstheme="minorHAnsi"/>
        </w:rPr>
        <w:t>.</w:t>
      </w:r>
    </w:p>
    <w:p w14:paraId="04F39AA2" w14:textId="77777777" w:rsidR="0084445A" w:rsidRPr="00741D80" w:rsidRDefault="0084445A" w:rsidP="00D46960">
      <w:pPr>
        <w:jc w:val="both"/>
        <w:rPr>
          <w:rFonts w:cstheme="minorHAnsi"/>
          <w:lang w:val="en-US"/>
        </w:rPr>
      </w:pPr>
      <w:r w:rsidRPr="00741D80">
        <w:rPr>
          <w:rFonts w:cstheme="minorHAnsi"/>
        </w:rPr>
        <w:t>Към 31.12.2017 г. предприятия, които имат подобна свързаност са: Юробанк България АД, Булстрад Живот Виена Иншурънс Груп АД, Бенчмарк Финанс АД, Бенчмарк груп АД, Бенчмарк кредит АД, Бенчмарк Финанс ЛТД, ЛПБ Инвестиции ООД, ЛНБ Трейдинг ЕООД, Централен депозитар АД и Регистър на енергийните деривати и транзакции АД (в ликвидация).</w:t>
      </w:r>
    </w:p>
    <w:p w14:paraId="107FE8A9" w14:textId="77777777" w:rsidR="0084445A" w:rsidRPr="00741D80" w:rsidRDefault="0084445A" w:rsidP="0084445A">
      <w:pPr>
        <w:pStyle w:val="BoldHeading"/>
        <w:rPr>
          <w:rFonts w:asciiTheme="minorHAnsi" w:hAnsiTheme="minorHAnsi" w:cstheme="minorHAnsi"/>
        </w:rPr>
      </w:pPr>
      <w:proofErr w:type="spellStart"/>
      <w:r w:rsidRPr="00741D80">
        <w:rPr>
          <w:rFonts w:asciiTheme="minorHAnsi" w:hAnsiTheme="minorHAnsi" w:cstheme="minorHAnsi"/>
        </w:rPr>
        <w:t>Сделки</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със</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свързани</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лица</w:t>
      </w:r>
      <w:proofErr w:type="spellEnd"/>
    </w:p>
    <w:p w14:paraId="16F0DA30" w14:textId="45EE918F" w:rsidR="0084445A" w:rsidRPr="00741D80" w:rsidRDefault="0084445A" w:rsidP="0084445A">
      <w:pPr>
        <w:rPr>
          <w:rFonts w:cstheme="minorHAnsi"/>
        </w:rPr>
      </w:pPr>
      <w:r w:rsidRPr="00741D80">
        <w:rPr>
          <w:rFonts w:cstheme="minorHAnsi"/>
        </w:rPr>
        <w:t>Общият размер на сделките със свързани лица са, както следва:</w:t>
      </w:r>
    </w:p>
    <w:tbl>
      <w:tblPr>
        <w:tblW w:w="10065" w:type="dxa"/>
        <w:jc w:val="center"/>
        <w:tblLayout w:type="fixed"/>
        <w:tblCellMar>
          <w:left w:w="6" w:type="dxa"/>
          <w:right w:w="6" w:type="dxa"/>
        </w:tblCellMar>
        <w:tblLook w:val="04A0" w:firstRow="1" w:lastRow="0" w:firstColumn="1" w:lastColumn="0" w:noHBand="0" w:noVBand="1"/>
      </w:tblPr>
      <w:tblGrid>
        <w:gridCol w:w="4820"/>
        <w:gridCol w:w="2977"/>
        <w:gridCol w:w="1134"/>
        <w:gridCol w:w="1134"/>
      </w:tblGrid>
      <w:tr w:rsidR="0084445A" w:rsidRPr="00741D80" w14:paraId="6E5C6310" w14:textId="77777777" w:rsidTr="00274E31">
        <w:trPr>
          <w:trHeight w:val="170"/>
          <w:jc w:val="center"/>
        </w:trPr>
        <w:tc>
          <w:tcPr>
            <w:tcW w:w="4820" w:type="dxa"/>
            <w:tcBorders>
              <w:top w:val="nil"/>
              <w:left w:val="nil"/>
              <w:bottom w:val="nil"/>
              <w:right w:val="nil"/>
            </w:tcBorders>
            <w:shd w:val="clear" w:color="auto" w:fill="auto"/>
            <w:tcMar>
              <w:left w:w="28" w:type="dxa"/>
              <w:right w:w="57" w:type="dxa"/>
            </w:tcMar>
            <w:hideMark/>
          </w:tcPr>
          <w:p w14:paraId="30EF1F4E" w14:textId="77777777" w:rsidR="0084445A" w:rsidRPr="00741D80" w:rsidRDefault="0084445A" w:rsidP="00274E31">
            <w:pPr>
              <w:pStyle w:val="a1"/>
              <w:jc w:val="left"/>
              <w:rPr>
                <w:rFonts w:asciiTheme="minorHAnsi" w:hAnsiTheme="minorHAnsi" w:cstheme="minorHAnsi"/>
                <w:color w:val="auto"/>
                <w:szCs w:val="20"/>
                <w:lang w:val="bg-BG"/>
              </w:rPr>
            </w:pPr>
            <w:bookmarkStart w:id="102" w:name="_Hlk536224398"/>
            <w:r w:rsidRPr="00741D80">
              <w:rPr>
                <w:rFonts w:asciiTheme="minorHAnsi" w:hAnsiTheme="minorHAnsi" w:cstheme="minorHAnsi"/>
                <w:color w:val="auto"/>
                <w:szCs w:val="20"/>
                <w:lang w:val="bg-BG"/>
              </w:rPr>
              <w:t>Продажби на свързани лица</w:t>
            </w:r>
          </w:p>
        </w:tc>
        <w:tc>
          <w:tcPr>
            <w:tcW w:w="2977" w:type="dxa"/>
            <w:tcBorders>
              <w:top w:val="nil"/>
              <w:left w:val="nil"/>
              <w:bottom w:val="nil"/>
              <w:right w:val="nil"/>
            </w:tcBorders>
            <w:shd w:val="clear" w:color="auto" w:fill="auto"/>
            <w:tcMar>
              <w:left w:w="28" w:type="dxa"/>
              <w:right w:w="57" w:type="dxa"/>
            </w:tcMar>
            <w:hideMark/>
          </w:tcPr>
          <w:p w14:paraId="6090D232" w14:textId="77777777" w:rsidR="0084445A" w:rsidRPr="00741D80" w:rsidRDefault="0084445A" w:rsidP="00274E31">
            <w:pPr>
              <w:pStyle w:val="a1"/>
              <w:jc w:val="left"/>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Свързано лице</w:t>
            </w:r>
          </w:p>
        </w:tc>
        <w:tc>
          <w:tcPr>
            <w:tcW w:w="1134" w:type="dxa"/>
            <w:tcBorders>
              <w:top w:val="nil"/>
              <w:left w:val="nil"/>
              <w:bottom w:val="nil"/>
              <w:right w:val="nil"/>
            </w:tcBorders>
            <w:shd w:val="clear" w:color="auto" w:fill="auto"/>
            <w:tcMar>
              <w:left w:w="28" w:type="dxa"/>
              <w:right w:w="57" w:type="dxa"/>
            </w:tcMar>
            <w:hideMark/>
          </w:tcPr>
          <w:p w14:paraId="2EDCA05B" w14:textId="77777777" w:rsidR="0084445A" w:rsidRPr="00741D80" w:rsidRDefault="0084445A" w:rsidP="00274E31">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1134" w:type="dxa"/>
            <w:tcBorders>
              <w:top w:val="nil"/>
              <w:left w:val="nil"/>
              <w:bottom w:val="nil"/>
              <w:right w:val="nil"/>
            </w:tcBorders>
            <w:shd w:val="clear" w:color="auto" w:fill="auto"/>
            <w:tcMar>
              <w:left w:w="28" w:type="dxa"/>
              <w:right w:w="57" w:type="dxa"/>
            </w:tcMar>
            <w:hideMark/>
          </w:tcPr>
          <w:p w14:paraId="610094E1" w14:textId="77777777" w:rsidR="0084445A" w:rsidRPr="00741D80" w:rsidRDefault="0084445A" w:rsidP="00274E31">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04CD4A68" w14:textId="77777777" w:rsidTr="00274E31">
        <w:trPr>
          <w:trHeight w:val="170"/>
          <w:jc w:val="center"/>
        </w:trPr>
        <w:tc>
          <w:tcPr>
            <w:tcW w:w="4820" w:type="dxa"/>
            <w:tcBorders>
              <w:top w:val="nil"/>
              <w:left w:val="nil"/>
              <w:bottom w:val="nil"/>
              <w:right w:val="nil"/>
            </w:tcBorders>
            <w:shd w:val="clear" w:color="auto" w:fill="auto"/>
            <w:tcMar>
              <w:left w:w="28" w:type="dxa"/>
              <w:right w:w="57" w:type="dxa"/>
            </w:tcMar>
            <w:hideMark/>
          </w:tcPr>
          <w:p w14:paraId="69514928" w14:textId="77777777" w:rsidR="0084445A" w:rsidRPr="00741D80" w:rsidRDefault="0084445A" w:rsidP="00274E31">
            <w:pPr>
              <w:pStyle w:val="a1"/>
              <w:jc w:val="left"/>
              <w:rPr>
                <w:rFonts w:asciiTheme="minorHAnsi" w:hAnsiTheme="minorHAnsi" w:cstheme="minorHAnsi"/>
                <w:color w:val="auto"/>
                <w:szCs w:val="20"/>
                <w:lang w:val="bg-BG"/>
              </w:rPr>
            </w:pPr>
          </w:p>
        </w:tc>
        <w:tc>
          <w:tcPr>
            <w:tcW w:w="2977" w:type="dxa"/>
            <w:tcBorders>
              <w:top w:val="nil"/>
              <w:left w:val="nil"/>
              <w:bottom w:val="nil"/>
              <w:right w:val="nil"/>
            </w:tcBorders>
            <w:shd w:val="clear" w:color="auto" w:fill="auto"/>
            <w:tcMar>
              <w:left w:w="28" w:type="dxa"/>
              <w:right w:w="57" w:type="dxa"/>
            </w:tcMar>
            <w:hideMark/>
          </w:tcPr>
          <w:p w14:paraId="6E70768B" w14:textId="77777777" w:rsidR="0084445A" w:rsidRPr="00741D80" w:rsidRDefault="0084445A" w:rsidP="00274E31">
            <w:pPr>
              <w:pStyle w:val="a1"/>
              <w:jc w:val="left"/>
              <w:rPr>
                <w:rFonts w:asciiTheme="minorHAnsi" w:hAnsiTheme="minorHAnsi" w:cstheme="minorHAnsi"/>
                <w:color w:val="auto"/>
                <w:szCs w:val="20"/>
                <w:lang w:val="bg-BG"/>
              </w:rPr>
            </w:pPr>
          </w:p>
        </w:tc>
        <w:tc>
          <w:tcPr>
            <w:tcW w:w="1134" w:type="dxa"/>
            <w:tcBorders>
              <w:top w:val="nil"/>
              <w:left w:val="nil"/>
              <w:bottom w:val="nil"/>
              <w:right w:val="nil"/>
            </w:tcBorders>
            <w:shd w:val="clear" w:color="auto" w:fill="auto"/>
            <w:tcMar>
              <w:left w:w="28" w:type="dxa"/>
              <w:right w:w="57" w:type="dxa"/>
            </w:tcMar>
            <w:hideMark/>
          </w:tcPr>
          <w:p w14:paraId="6B80ABBA" w14:textId="77777777" w:rsidR="0084445A" w:rsidRPr="00741D80" w:rsidRDefault="0084445A" w:rsidP="00274E31">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 ‘000</w:t>
            </w:r>
          </w:p>
        </w:tc>
        <w:tc>
          <w:tcPr>
            <w:tcW w:w="1134" w:type="dxa"/>
            <w:tcBorders>
              <w:top w:val="nil"/>
              <w:left w:val="nil"/>
              <w:bottom w:val="nil"/>
              <w:right w:val="nil"/>
            </w:tcBorders>
            <w:shd w:val="clear" w:color="auto" w:fill="auto"/>
            <w:tcMar>
              <w:left w:w="28" w:type="dxa"/>
              <w:right w:w="57" w:type="dxa"/>
            </w:tcMar>
            <w:hideMark/>
          </w:tcPr>
          <w:p w14:paraId="4248FAE0" w14:textId="77777777" w:rsidR="0084445A" w:rsidRPr="00741D80" w:rsidRDefault="0084445A" w:rsidP="00274E31">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 ‘000</w:t>
            </w:r>
          </w:p>
        </w:tc>
      </w:tr>
      <w:tr w:rsidR="0084445A" w:rsidRPr="00741D80" w14:paraId="61020474" w14:textId="77777777" w:rsidTr="00274E31">
        <w:trPr>
          <w:trHeight w:val="170"/>
          <w:jc w:val="center"/>
        </w:trPr>
        <w:tc>
          <w:tcPr>
            <w:tcW w:w="4820" w:type="dxa"/>
            <w:tcBorders>
              <w:top w:val="nil"/>
              <w:left w:val="nil"/>
              <w:bottom w:val="nil"/>
              <w:right w:val="nil"/>
            </w:tcBorders>
            <w:shd w:val="clear" w:color="auto" w:fill="auto"/>
            <w:noWrap/>
            <w:tcMar>
              <w:left w:w="28" w:type="dxa"/>
              <w:right w:w="57" w:type="dxa"/>
            </w:tcMar>
            <w:hideMark/>
          </w:tcPr>
          <w:p w14:paraId="52AC21E4"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Такса сделки, такса членство, такса интернет търговия</w:t>
            </w:r>
          </w:p>
        </w:tc>
        <w:tc>
          <w:tcPr>
            <w:tcW w:w="2977" w:type="dxa"/>
            <w:tcBorders>
              <w:top w:val="nil"/>
              <w:left w:val="nil"/>
              <w:bottom w:val="nil"/>
              <w:right w:val="nil"/>
            </w:tcBorders>
            <w:shd w:val="clear" w:color="auto" w:fill="auto"/>
            <w:tcMar>
              <w:left w:w="28" w:type="dxa"/>
              <w:right w:w="57" w:type="dxa"/>
            </w:tcMar>
            <w:hideMark/>
          </w:tcPr>
          <w:p w14:paraId="309D04D1"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Бенчмарк Финанс АД</w:t>
            </w:r>
          </w:p>
        </w:tc>
        <w:tc>
          <w:tcPr>
            <w:tcW w:w="1134" w:type="dxa"/>
            <w:tcBorders>
              <w:top w:val="nil"/>
              <w:left w:val="nil"/>
              <w:bottom w:val="nil"/>
              <w:right w:val="nil"/>
            </w:tcBorders>
            <w:shd w:val="clear" w:color="auto" w:fill="auto"/>
            <w:tcMar>
              <w:left w:w="28" w:type="dxa"/>
              <w:right w:w="57" w:type="dxa"/>
            </w:tcMar>
            <w:vAlign w:val="bottom"/>
            <w:hideMark/>
          </w:tcPr>
          <w:p w14:paraId="12CE895D" w14:textId="77777777" w:rsidR="0084445A" w:rsidRPr="00741D80" w:rsidRDefault="0084445A" w:rsidP="00274E31">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30</w:t>
            </w:r>
          </w:p>
        </w:tc>
        <w:tc>
          <w:tcPr>
            <w:tcW w:w="1134" w:type="dxa"/>
            <w:tcBorders>
              <w:top w:val="nil"/>
              <w:left w:val="nil"/>
              <w:bottom w:val="nil"/>
              <w:right w:val="nil"/>
            </w:tcBorders>
            <w:shd w:val="clear" w:color="auto" w:fill="auto"/>
            <w:tcMar>
              <w:left w:w="28" w:type="dxa"/>
              <w:right w:w="57" w:type="dxa"/>
            </w:tcMar>
            <w:vAlign w:val="bottom"/>
            <w:hideMark/>
          </w:tcPr>
          <w:p w14:paraId="18787A8C" w14:textId="77777777" w:rsidR="0084445A" w:rsidRPr="00741D80" w:rsidRDefault="0084445A" w:rsidP="00274E31">
            <w:pPr>
              <w:pStyle w:val="a0"/>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65</w:t>
            </w:r>
          </w:p>
        </w:tc>
      </w:tr>
      <w:tr w:rsidR="0084445A" w:rsidRPr="00741D80" w14:paraId="42E1CC7A" w14:textId="77777777" w:rsidTr="00274E31">
        <w:trPr>
          <w:trHeight w:val="170"/>
          <w:jc w:val="center"/>
        </w:trPr>
        <w:tc>
          <w:tcPr>
            <w:tcW w:w="4820" w:type="dxa"/>
            <w:tcBorders>
              <w:top w:val="nil"/>
              <w:left w:val="nil"/>
              <w:bottom w:val="nil"/>
              <w:right w:val="nil"/>
            </w:tcBorders>
            <w:shd w:val="clear" w:color="auto" w:fill="auto"/>
            <w:noWrap/>
            <w:tcMar>
              <w:left w:w="28" w:type="dxa"/>
              <w:right w:w="57" w:type="dxa"/>
            </w:tcMar>
            <w:hideMark/>
          </w:tcPr>
          <w:p w14:paraId="2571CDCE"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Такса сделки, такса членство, такса интернет търговия</w:t>
            </w:r>
          </w:p>
        </w:tc>
        <w:tc>
          <w:tcPr>
            <w:tcW w:w="2977" w:type="dxa"/>
            <w:tcBorders>
              <w:top w:val="nil"/>
              <w:left w:val="nil"/>
              <w:bottom w:val="nil"/>
              <w:right w:val="nil"/>
            </w:tcBorders>
            <w:shd w:val="clear" w:color="auto" w:fill="auto"/>
            <w:tcMar>
              <w:left w:w="28" w:type="dxa"/>
              <w:right w:w="57" w:type="dxa"/>
            </w:tcMar>
            <w:hideMark/>
          </w:tcPr>
          <w:p w14:paraId="19F10E63"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Юробанк България АД</w:t>
            </w:r>
          </w:p>
        </w:tc>
        <w:tc>
          <w:tcPr>
            <w:tcW w:w="1134" w:type="dxa"/>
            <w:tcBorders>
              <w:top w:val="nil"/>
              <w:left w:val="nil"/>
              <w:bottom w:val="nil"/>
              <w:right w:val="nil"/>
            </w:tcBorders>
            <w:shd w:val="clear" w:color="auto" w:fill="auto"/>
            <w:tcMar>
              <w:left w:w="28" w:type="dxa"/>
              <w:right w:w="57" w:type="dxa"/>
            </w:tcMar>
            <w:vAlign w:val="bottom"/>
            <w:hideMark/>
          </w:tcPr>
          <w:p w14:paraId="4FC1A86E" w14:textId="77777777" w:rsidR="0084445A" w:rsidRPr="00741D80" w:rsidRDefault="0084445A" w:rsidP="00274E31">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7</w:t>
            </w:r>
          </w:p>
        </w:tc>
        <w:tc>
          <w:tcPr>
            <w:tcW w:w="1134" w:type="dxa"/>
            <w:tcBorders>
              <w:top w:val="nil"/>
              <w:left w:val="nil"/>
              <w:bottom w:val="nil"/>
              <w:right w:val="nil"/>
            </w:tcBorders>
            <w:shd w:val="clear" w:color="auto" w:fill="auto"/>
            <w:tcMar>
              <w:left w:w="28" w:type="dxa"/>
              <w:right w:w="57" w:type="dxa"/>
            </w:tcMar>
            <w:vAlign w:val="bottom"/>
            <w:hideMark/>
          </w:tcPr>
          <w:p w14:paraId="53677434" w14:textId="77777777" w:rsidR="0084445A" w:rsidRPr="00741D80" w:rsidRDefault="0084445A" w:rsidP="00274E31">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8</w:t>
            </w:r>
          </w:p>
        </w:tc>
      </w:tr>
      <w:tr w:rsidR="0084445A" w:rsidRPr="00741D80" w14:paraId="14287936" w14:textId="77777777" w:rsidTr="00274E31">
        <w:trPr>
          <w:trHeight w:val="170"/>
          <w:jc w:val="center"/>
        </w:trPr>
        <w:tc>
          <w:tcPr>
            <w:tcW w:w="4820" w:type="dxa"/>
            <w:tcBorders>
              <w:top w:val="nil"/>
              <w:left w:val="nil"/>
              <w:bottom w:val="nil"/>
              <w:right w:val="nil"/>
            </w:tcBorders>
            <w:shd w:val="clear" w:color="auto" w:fill="auto"/>
            <w:tcMar>
              <w:left w:w="28" w:type="dxa"/>
              <w:right w:w="57" w:type="dxa"/>
            </w:tcMar>
            <w:hideMark/>
          </w:tcPr>
          <w:p w14:paraId="6B6E3923"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Информационно обслужване</w:t>
            </w:r>
          </w:p>
        </w:tc>
        <w:tc>
          <w:tcPr>
            <w:tcW w:w="2977" w:type="dxa"/>
            <w:tcBorders>
              <w:top w:val="nil"/>
              <w:left w:val="nil"/>
              <w:bottom w:val="nil"/>
              <w:right w:val="nil"/>
            </w:tcBorders>
            <w:shd w:val="clear" w:color="auto" w:fill="auto"/>
            <w:tcMar>
              <w:left w:w="28" w:type="dxa"/>
              <w:right w:w="57" w:type="dxa"/>
            </w:tcMar>
            <w:hideMark/>
          </w:tcPr>
          <w:p w14:paraId="7E92E53A"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Сервиз финансови пазари ЕООД</w:t>
            </w:r>
          </w:p>
        </w:tc>
        <w:tc>
          <w:tcPr>
            <w:tcW w:w="1134" w:type="dxa"/>
            <w:tcBorders>
              <w:top w:val="nil"/>
              <w:left w:val="nil"/>
              <w:bottom w:val="nil"/>
              <w:right w:val="nil"/>
            </w:tcBorders>
            <w:shd w:val="clear" w:color="auto" w:fill="auto"/>
            <w:tcMar>
              <w:left w:w="28" w:type="dxa"/>
              <w:right w:w="57" w:type="dxa"/>
            </w:tcMar>
            <w:vAlign w:val="bottom"/>
            <w:hideMark/>
          </w:tcPr>
          <w:p w14:paraId="6470E977" w14:textId="77777777" w:rsidR="0084445A" w:rsidRPr="00741D80" w:rsidRDefault="0084445A" w:rsidP="00274E31">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3</w:t>
            </w:r>
          </w:p>
        </w:tc>
        <w:tc>
          <w:tcPr>
            <w:tcW w:w="1134" w:type="dxa"/>
            <w:tcBorders>
              <w:top w:val="nil"/>
              <w:left w:val="nil"/>
              <w:bottom w:val="nil"/>
              <w:right w:val="nil"/>
            </w:tcBorders>
            <w:shd w:val="clear" w:color="auto" w:fill="auto"/>
            <w:tcMar>
              <w:left w:w="28" w:type="dxa"/>
              <w:right w:w="57" w:type="dxa"/>
            </w:tcMar>
            <w:vAlign w:val="bottom"/>
            <w:hideMark/>
          </w:tcPr>
          <w:p w14:paraId="5AB95CC3" w14:textId="77777777" w:rsidR="0084445A" w:rsidRPr="00741D80" w:rsidRDefault="0084445A" w:rsidP="00274E31">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w:t>
            </w:r>
          </w:p>
        </w:tc>
      </w:tr>
      <w:tr w:rsidR="0084445A" w:rsidRPr="00741D80" w14:paraId="66FBF011" w14:textId="77777777" w:rsidTr="00274E31">
        <w:trPr>
          <w:trHeight w:val="170"/>
          <w:jc w:val="center"/>
        </w:trPr>
        <w:tc>
          <w:tcPr>
            <w:tcW w:w="4820" w:type="dxa"/>
            <w:tcBorders>
              <w:top w:val="nil"/>
              <w:left w:val="nil"/>
              <w:bottom w:val="nil"/>
              <w:right w:val="nil"/>
            </w:tcBorders>
            <w:shd w:val="clear" w:color="auto" w:fill="auto"/>
            <w:tcMar>
              <w:left w:w="28" w:type="dxa"/>
              <w:right w:w="57" w:type="dxa"/>
            </w:tcMar>
            <w:hideMark/>
          </w:tcPr>
          <w:p w14:paraId="6FBED452"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Наем на офис</w:t>
            </w:r>
          </w:p>
        </w:tc>
        <w:tc>
          <w:tcPr>
            <w:tcW w:w="2977" w:type="dxa"/>
            <w:tcBorders>
              <w:top w:val="nil"/>
              <w:left w:val="nil"/>
              <w:bottom w:val="nil"/>
              <w:right w:val="nil"/>
            </w:tcBorders>
            <w:shd w:val="clear" w:color="auto" w:fill="auto"/>
            <w:tcMar>
              <w:left w:w="28" w:type="dxa"/>
              <w:right w:w="57" w:type="dxa"/>
            </w:tcMar>
            <w:hideMark/>
          </w:tcPr>
          <w:p w14:paraId="06E4477A"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Сервиз финансови пазари ЕООД</w:t>
            </w:r>
          </w:p>
        </w:tc>
        <w:tc>
          <w:tcPr>
            <w:tcW w:w="1134" w:type="dxa"/>
            <w:tcBorders>
              <w:top w:val="nil"/>
              <w:left w:val="nil"/>
              <w:bottom w:val="nil"/>
              <w:right w:val="nil"/>
            </w:tcBorders>
            <w:shd w:val="clear" w:color="auto" w:fill="auto"/>
            <w:tcMar>
              <w:left w:w="28" w:type="dxa"/>
              <w:right w:w="57" w:type="dxa"/>
            </w:tcMar>
            <w:vAlign w:val="bottom"/>
            <w:hideMark/>
          </w:tcPr>
          <w:p w14:paraId="7E96C631" w14:textId="77777777" w:rsidR="0084445A" w:rsidRPr="00741D80" w:rsidRDefault="0084445A" w:rsidP="00274E31">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36</w:t>
            </w:r>
          </w:p>
        </w:tc>
        <w:tc>
          <w:tcPr>
            <w:tcW w:w="1134" w:type="dxa"/>
            <w:tcBorders>
              <w:top w:val="nil"/>
              <w:left w:val="nil"/>
              <w:bottom w:val="nil"/>
              <w:right w:val="nil"/>
            </w:tcBorders>
            <w:shd w:val="clear" w:color="auto" w:fill="auto"/>
            <w:tcMar>
              <w:left w:w="28" w:type="dxa"/>
              <w:right w:w="57" w:type="dxa"/>
            </w:tcMar>
            <w:vAlign w:val="bottom"/>
            <w:hideMark/>
          </w:tcPr>
          <w:p w14:paraId="793E52D0" w14:textId="77777777" w:rsidR="0084445A" w:rsidRPr="00741D80" w:rsidRDefault="0084445A" w:rsidP="00274E31">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33</w:t>
            </w:r>
          </w:p>
        </w:tc>
      </w:tr>
      <w:tr w:rsidR="0084445A" w:rsidRPr="00741D80" w14:paraId="149765F1" w14:textId="77777777" w:rsidTr="00274E31">
        <w:trPr>
          <w:trHeight w:val="170"/>
          <w:jc w:val="center"/>
        </w:trPr>
        <w:tc>
          <w:tcPr>
            <w:tcW w:w="4820" w:type="dxa"/>
            <w:tcBorders>
              <w:top w:val="nil"/>
              <w:left w:val="nil"/>
              <w:bottom w:val="nil"/>
              <w:right w:val="nil"/>
            </w:tcBorders>
            <w:shd w:val="clear" w:color="auto" w:fill="auto"/>
            <w:tcMar>
              <w:left w:w="28" w:type="dxa"/>
              <w:right w:w="57" w:type="dxa"/>
            </w:tcMar>
            <w:hideMark/>
          </w:tcPr>
          <w:p w14:paraId="6A35BBC7"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Получен дивидент </w:t>
            </w:r>
          </w:p>
        </w:tc>
        <w:tc>
          <w:tcPr>
            <w:tcW w:w="2977" w:type="dxa"/>
            <w:tcBorders>
              <w:top w:val="nil"/>
              <w:left w:val="nil"/>
              <w:bottom w:val="nil"/>
              <w:right w:val="nil"/>
            </w:tcBorders>
            <w:shd w:val="clear" w:color="auto" w:fill="auto"/>
            <w:tcMar>
              <w:left w:w="28" w:type="dxa"/>
              <w:right w:w="57" w:type="dxa"/>
            </w:tcMar>
            <w:hideMark/>
          </w:tcPr>
          <w:p w14:paraId="2A71A7F2"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БНЕБ ЕАД</w:t>
            </w:r>
          </w:p>
        </w:tc>
        <w:tc>
          <w:tcPr>
            <w:tcW w:w="1134" w:type="dxa"/>
            <w:tcBorders>
              <w:top w:val="nil"/>
              <w:left w:val="nil"/>
              <w:bottom w:val="nil"/>
              <w:right w:val="nil"/>
            </w:tcBorders>
            <w:shd w:val="clear" w:color="auto" w:fill="auto"/>
            <w:tcMar>
              <w:left w:w="28" w:type="dxa"/>
              <w:right w:w="57" w:type="dxa"/>
            </w:tcMar>
            <w:vAlign w:val="bottom"/>
            <w:hideMark/>
          </w:tcPr>
          <w:p w14:paraId="6544C2E8" w14:textId="77777777" w:rsidR="0084445A" w:rsidRPr="00741D80" w:rsidRDefault="0084445A" w:rsidP="00274E31">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715</w:t>
            </w:r>
          </w:p>
        </w:tc>
        <w:tc>
          <w:tcPr>
            <w:tcW w:w="1134" w:type="dxa"/>
            <w:tcBorders>
              <w:top w:val="nil"/>
              <w:left w:val="nil"/>
              <w:bottom w:val="nil"/>
              <w:right w:val="nil"/>
            </w:tcBorders>
            <w:shd w:val="clear" w:color="auto" w:fill="auto"/>
            <w:tcMar>
              <w:left w:w="28" w:type="dxa"/>
              <w:right w:w="57" w:type="dxa"/>
            </w:tcMar>
            <w:vAlign w:val="bottom"/>
            <w:hideMark/>
          </w:tcPr>
          <w:p w14:paraId="19F62FE0" w14:textId="77777777" w:rsidR="0084445A" w:rsidRPr="00741D80" w:rsidRDefault="0084445A" w:rsidP="00274E31">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r>
      <w:tr w:rsidR="0084445A" w:rsidRPr="00741D80" w14:paraId="4D41843C" w14:textId="77777777" w:rsidTr="00274E31">
        <w:trPr>
          <w:trHeight w:val="170"/>
          <w:jc w:val="center"/>
        </w:trPr>
        <w:tc>
          <w:tcPr>
            <w:tcW w:w="4820" w:type="dxa"/>
            <w:tcBorders>
              <w:top w:val="nil"/>
              <w:left w:val="nil"/>
              <w:bottom w:val="nil"/>
              <w:right w:val="nil"/>
            </w:tcBorders>
            <w:shd w:val="clear" w:color="auto" w:fill="auto"/>
            <w:tcMar>
              <w:left w:w="28" w:type="dxa"/>
              <w:right w:w="57" w:type="dxa"/>
            </w:tcMar>
            <w:hideMark/>
          </w:tcPr>
          <w:p w14:paraId="0F2E7F8F"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Получен дивидент </w:t>
            </w:r>
          </w:p>
        </w:tc>
        <w:tc>
          <w:tcPr>
            <w:tcW w:w="2977" w:type="dxa"/>
            <w:tcBorders>
              <w:top w:val="nil"/>
              <w:left w:val="nil"/>
              <w:bottom w:val="nil"/>
              <w:right w:val="nil"/>
            </w:tcBorders>
            <w:shd w:val="clear" w:color="auto" w:fill="auto"/>
            <w:tcMar>
              <w:left w:w="28" w:type="dxa"/>
              <w:right w:w="57" w:type="dxa"/>
            </w:tcMar>
            <w:hideMark/>
          </w:tcPr>
          <w:p w14:paraId="05E03C7D"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Централен Депозитар АД</w:t>
            </w:r>
          </w:p>
        </w:tc>
        <w:tc>
          <w:tcPr>
            <w:tcW w:w="1134" w:type="dxa"/>
            <w:tcBorders>
              <w:top w:val="nil"/>
              <w:left w:val="nil"/>
              <w:bottom w:val="nil"/>
              <w:right w:val="nil"/>
            </w:tcBorders>
            <w:shd w:val="clear" w:color="auto" w:fill="auto"/>
            <w:tcMar>
              <w:left w:w="28" w:type="dxa"/>
              <w:right w:w="57" w:type="dxa"/>
            </w:tcMar>
            <w:vAlign w:val="bottom"/>
            <w:hideMark/>
          </w:tcPr>
          <w:p w14:paraId="067D28FB" w14:textId="77777777" w:rsidR="0084445A" w:rsidRPr="00741D80" w:rsidRDefault="0084445A" w:rsidP="00274E31">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c>
          <w:tcPr>
            <w:tcW w:w="1134" w:type="dxa"/>
            <w:tcBorders>
              <w:top w:val="nil"/>
              <w:left w:val="nil"/>
              <w:bottom w:val="nil"/>
              <w:right w:val="nil"/>
            </w:tcBorders>
            <w:shd w:val="clear" w:color="auto" w:fill="auto"/>
            <w:tcMar>
              <w:left w:w="28" w:type="dxa"/>
              <w:right w:w="57" w:type="dxa"/>
            </w:tcMar>
            <w:vAlign w:val="bottom"/>
            <w:hideMark/>
          </w:tcPr>
          <w:p w14:paraId="0A99E70D" w14:textId="77777777" w:rsidR="0084445A" w:rsidRPr="00741D80" w:rsidRDefault="0084445A" w:rsidP="00274E31">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w:t>
            </w:r>
          </w:p>
        </w:tc>
      </w:tr>
      <w:tr w:rsidR="0084445A" w:rsidRPr="00741D80" w14:paraId="403F9E68" w14:textId="77777777" w:rsidTr="00274E31">
        <w:trPr>
          <w:trHeight w:val="170"/>
          <w:jc w:val="center"/>
        </w:trPr>
        <w:tc>
          <w:tcPr>
            <w:tcW w:w="4820" w:type="dxa"/>
            <w:tcBorders>
              <w:top w:val="nil"/>
              <w:left w:val="nil"/>
              <w:bottom w:val="nil"/>
              <w:right w:val="nil"/>
            </w:tcBorders>
            <w:shd w:val="clear" w:color="auto" w:fill="auto"/>
            <w:noWrap/>
            <w:tcMar>
              <w:left w:w="28" w:type="dxa"/>
              <w:right w:w="57" w:type="dxa"/>
            </w:tcMar>
            <w:hideMark/>
          </w:tcPr>
          <w:p w14:paraId="657AD992" w14:textId="77777777" w:rsidR="0084445A" w:rsidRPr="00741D80" w:rsidRDefault="0084445A" w:rsidP="00274E31">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2977" w:type="dxa"/>
            <w:tcBorders>
              <w:top w:val="nil"/>
              <w:left w:val="nil"/>
              <w:bottom w:val="nil"/>
              <w:right w:val="nil"/>
            </w:tcBorders>
            <w:shd w:val="clear" w:color="auto" w:fill="auto"/>
            <w:tcMar>
              <w:left w:w="28" w:type="dxa"/>
              <w:right w:w="57" w:type="dxa"/>
            </w:tcMar>
            <w:hideMark/>
          </w:tcPr>
          <w:p w14:paraId="34F9A5D5" w14:textId="77777777" w:rsidR="0084445A" w:rsidRPr="00741D80" w:rsidRDefault="0084445A" w:rsidP="00274E31">
            <w:pPr>
              <w:pStyle w:val="a"/>
              <w:rPr>
                <w:rFonts w:asciiTheme="minorHAnsi" w:hAnsiTheme="minorHAnsi" w:cstheme="minorHAnsi"/>
                <w:b/>
                <w:color w:val="auto"/>
                <w:szCs w:val="20"/>
                <w:lang w:val="bg-BG"/>
              </w:rPr>
            </w:pPr>
          </w:p>
        </w:tc>
        <w:tc>
          <w:tcPr>
            <w:tcW w:w="1134" w:type="dxa"/>
            <w:tcBorders>
              <w:top w:val="single" w:sz="4" w:space="0" w:color="auto"/>
              <w:left w:val="nil"/>
              <w:bottom w:val="double" w:sz="6" w:space="0" w:color="auto"/>
              <w:right w:val="nil"/>
            </w:tcBorders>
            <w:shd w:val="clear" w:color="auto" w:fill="auto"/>
            <w:tcMar>
              <w:left w:w="28" w:type="dxa"/>
              <w:right w:w="57" w:type="dxa"/>
            </w:tcMar>
            <w:vAlign w:val="bottom"/>
            <w:hideMark/>
          </w:tcPr>
          <w:p w14:paraId="685BB684" w14:textId="77777777" w:rsidR="0084445A" w:rsidRPr="00741D80" w:rsidRDefault="0084445A" w:rsidP="00274E31">
            <w:pPr>
              <w:pStyle w:val="a0"/>
              <w:widowControl w:val="0"/>
              <w:ind w:firstLine="709"/>
              <w:rPr>
                <w:rFonts w:asciiTheme="minorHAnsi" w:hAnsiTheme="minorHAnsi" w:cstheme="minorHAnsi"/>
                <w:b/>
                <w:color w:val="auto"/>
                <w:szCs w:val="20"/>
              </w:rPr>
            </w:pPr>
            <w:r w:rsidRPr="00741D80">
              <w:rPr>
                <w:rFonts w:asciiTheme="minorHAnsi" w:hAnsiTheme="minorHAnsi" w:cstheme="minorHAnsi"/>
                <w:b/>
                <w:color w:val="auto"/>
                <w:szCs w:val="20"/>
                <w:lang w:val="bg-BG"/>
              </w:rPr>
              <w:t>791</w:t>
            </w:r>
          </w:p>
        </w:tc>
        <w:tc>
          <w:tcPr>
            <w:tcW w:w="1134" w:type="dxa"/>
            <w:tcBorders>
              <w:top w:val="single" w:sz="4" w:space="0" w:color="auto"/>
              <w:left w:val="nil"/>
              <w:bottom w:val="double" w:sz="6" w:space="0" w:color="auto"/>
              <w:right w:val="nil"/>
            </w:tcBorders>
            <w:shd w:val="clear" w:color="auto" w:fill="auto"/>
            <w:tcMar>
              <w:left w:w="28" w:type="dxa"/>
              <w:right w:w="57" w:type="dxa"/>
            </w:tcMar>
            <w:vAlign w:val="bottom"/>
            <w:hideMark/>
          </w:tcPr>
          <w:p w14:paraId="2175D380" w14:textId="77777777" w:rsidR="0084445A" w:rsidRPr="00741D80" w:rsidRDefault="0084445A" w:rsidP="00274E31">
            <w:pPr>
              <w:pStyle w:val="a0"/>
              <w:rPr>
                <w:rFonts w:asciiTheme="minorHAnsi" w:hAnsiTheme="minorHAnsi" w:cstheme="minorHAnsi"/>
                <w:b/>
                <w:color w:val="auto"/>
                <w:szCs w:val="20"/>
                <w:lang w:val="bg-BG"/>
              </w:rPr>
            </w:pPr>
            <w:r w:rsidRPr="00741D80">
              <w:rPr>
                <w:rFonts w:asciiTheme="minorHAnsi" w:hAnsiTheme="minorHAnsi" w:cstheme="minorHAnsi"/>
                <w:b/>
                <w:bCs/>
                <w:color w:val="auto"/>
                <w:szCs w:val="20"/>
                <w:lang w:val="bg-BG"/>
              </w:rPr>
              <w:t>112</w:t>
            </w:r>
          </w:p>
        </w:tc>
      </w:tr>
      <w:bookmarkEnd w:id="102"/>
    </w:tbl>
    <w:p w14:paraId="63ACCB81" w14:textId="5EABE0F0" w:rsidR="00274E31" w:rsidRDefault="00274E31" w:rsidP="0084445A">
      <w:pPr>
        <w:rPr>
          <w:rFonts w:cstheme="minorHAnsi"/>
        </w:rPr>
      </w:pPr>
    </w:p>
    <w:p w14:paraId="02E151ED" w14:textId="77777777" w:rsidR="00274E31" w:rsidRDefault="00274E31">
      <w:pPr>
        <w:rPr>
          <w:rFonts w:cstheme="minorHAnsi"/>
        </w:rPr>
      </w:pPr>
      <w:r>
        <w:rPr>
          <w:rFonts w:cstheme="minorHAnsi"/>
        </w:rPr>
        <w:br w:type="page"/>
      </w:r>
    </w:p>
    <w:tbl>
      <w:tblPr>
        <w:tblW w:w="5000" w:type="pct"/>
        <w:jc w:val="center"/>
        <w:tblCellMar>
          <w:left w:w="6" w:type="dxa"/>
          <w:right w:w="6" w:type="dxa"/>
        </w:tblCellMar>
        <w:tblLook w:val="04A0" w:firstRow="1" w:lastRow="0" w:firstColumn="1" w:lastColumn="0" w:noHBand="0" w:noVBand="1"/>
      </w:tblPr>
      <w:tblGrid>
        <w:gridCol w:w="4312"/>
        <w:gridCol w:w="3042"/>
        <w:gridCol w:w="1135"/>
        <w:gridCol w:w="1149"/>
      </w:tblGrid>
      <w:tr w:rsidR="0084445A" w:rsidRPr="00741D80" w14:paraId="50F0089D" w14:textId="77777777" w:rsidTr="00827A7E">
        <w:trPr>
          <w:trHeight w:val="170"/>
          <w:jc w:val="center"/>
        </w:trPr>
        <w:tc>
          <w:tcPr>
            <w:tcW w:w="2237" w:type="pct"/>
            <w:tcBorders>
              <w:top w:val="nil"/>
              <w:left w:val="nil"/>
              <w:bottom w:val="nil"/>
              <w:right w:val="nil"/>
            </w:tcBorders>
            <w:shd w:val="clear" w:color="auto" w:fill="auto"/>
            <w:tcMar>
              <w:left w:w="28" w:type="dxa"/>
              <w:right w:w="57" w:type="dxa"/>
            </w:tcMar>
            <w:vAlign w:val="bottom"/>
            <w:hideMark/>
          </w:tcPr>
          <w:p w14:paraId="7707F7E4" w14:textId="77777777" w:rsidR="0084445A" w:rsidRPr="00741D80" w:rsidRDefault="0084445A" w:rsidP="00274E31">
            <w:pPr>
              <w:pStyle w:val="a1"/>
              <w:rPr>
                <w:rFonts w:asciiTheme="minorHAnsi" w:hAnsiTheme="minorHAnsi" w:cstheme="minorHAnsi"/>
                <w:color w:val="auto"/>
                <w:szCs w:val="20"/>
                <w:lang w:val="bg-BG"/>
              </w:rPr>
            </w:pPr>
            <w:bookmarkStart w:id="103" w:name="_Hlk536224423"/>
            <w:r w:rsidRPr="00741D80">
              <w:rPr>
                <w:rFonts w:asciiTheme="minorHAnsi" w:hAnsiTheme="minorHAnsi" w:cstheme="minorHAnsi"/>
                <w:color w:val="auto"/>
                <w:szCs w:val="20"/>
                <w:lang w:val="bg-BG"/>
              </w:rPr>
              <w:lastRenderedPageBreak/>
              <w:t>Доставки от свързани лица</w:t>
            </w:r>
          </w:p>
        </w:tc>
        <w:tc>
          <w:tcPr>
            <w:tcW w:w="1578" w:type="pct"/>
            <w:tcBorders>
              <w:top w:val="nil"/>
              <w:left w:val="nil"/>
              <w:bottom w:val="nil"/>
              <w:right w:val="nil"/>
            </w:tcBorders>
            <w:shd w:val="clear" w:color="auto" w:fill="auto"/>
            <w:tcMar>
              <w:left w:w="28" w:type="dxa"/>
              <w:right w:w="57" w:type="dxa"/>
            </w:tcMar>
            <w:vAlign w:val="bottom"/>
            <w:hideMark/>
          </w:tcPr>
          <w:p w14:paraId="07BDD27A" w14:textId="77777777" w:rsidR="0084445A" w:rsidRPr="00741D80" w:rsidRDefault="0084445A" w:rsidP="00274E31">
            <w:pPr>
              <w:pStyle w:val="a1"/>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Свързано лице</w:t>
            </w:r>
          </w:p>
        </w:tc>
        <w:tc>
          <w:tcPr>
            <w:tcW w:w="589" w:type="pct"/>
            <w:tcBorders>
              <w:top w:val="nil"/>
              <w:left w:val="nil"/>
              <w:bottom w:val="nil"/>
              <w:right w:val="nil"/>
            </w:tcBorders>
            <w:shd w:val="clear" w:color="auto" w:fill="auto"/>
            <w:tcMar>
              <w:left w:w="28" w:type="dxa"/>
              <w:right w:w="57" w:type="dxa"/>
            </w:tcMar>
            <w:vAlign w:val="bottom"/>
            <w:hideMark/>
          </w:tcPr>
          <w:p w14:paraId="1840547C" w14:textId="77777777" w:rsidR="0084445A" w:rsidRPr="00741D80" w:rsidRDefault="0084445A" w:rsidP="00274E31">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31.12.2018</w:t>
            </w:r>
          </w:p>
        </w:tc>
        <w:tc>
          <w:tcPr>
            <w:tcW w:w="596" w:type="pct"/>
            <w:tcBorders>
              <w:top w:val="nil"/>
              <w:left w:val="nil"/>
              <w:bottom w:val="nil"/>
              <w:right w:val="nil"/>
            </w:tcBorders>
            <w:shd w:val="clear" w:color="auto" w:fill="auto"/>
            <w:tcMar>
              <w:left w:w="28" w:type="dxa"/>
              <w:right w:w="57" w:type="dxa"/>
            </w:tcMar>
            <w:vAlign w:val="bottom"/>
            <w:hideMark/>
          </w:tcPr>
          <w:p w14:paraId="76F5DB6E" w14:textId="77777777" w:rsidR="0084445A" w:rsidRPr="00741D80" w:rsidRDefault="0084445A" w:rsidP="00274E31">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31.12.2017</w:t>
            </w:r>
          </w:p>
        </w:tc>
      </w:tr>
      <w:tr w:rsidR="0084445A" w:rsidRPr="00741D80" w14:paraId="3D611770" w14:textId="77777777" w:rsidTr="00827A7E">
        <w:trPr>
          <w:trHeight w:val="170"/>
          <w:jc w:val="center"/>
        </w:trPr>
        <w:tc>
          <w:tcPr>
            <w:tcW w:w="2237" w:type="pct"/>
            <w:tcBorders>
              <w:top w:val="nil"/>
              <w:left w:val="nil"/>
              <w:bottom w:val="nil"/>
              <w:right w:val="nil"/>
            </w:tcBorders>
            <w:shd w:val="clear" w:color="auto" w:fill="auto"/>
            <w:tcMar>
              <w:left w:w="28" w:type="dxa"/>
              <w:right w:w="57" w:type="dxa"/>
            </w:tcMar>
            <w:vAlign w:val="bottom"/>
            <w:hideMark/>
          </w:tcPr>
          <w:p w14:paraId="23876067" w14:textId="77777777" w:rsidR="0084445A" w:rsidRPr="00741D80" w:rsidRDefault="0084445A" w:rsidP="00274E31">
            <w:pPr>
              <w:pStyle w:val="a1"/>
              <w:rPr>
                <w:rFonts w:asciiTheme="minorHAnsi" w:hAnsiTheme="minorHAnsi" w:cstheme="minorHAnsi"/>
                <w:color w:val="auto"/>
                <w:szCs w:val="20"/>
                <w:lang w:val="bg-BG"/>
              </w:rPr>
            </w:pPr>
          </w:p>
        </w:tc>
        <w:tc>
          <w:tcPr>
            <w:tcW w:w="1578" w:type="pct"/>
            <w:tcBorders>
              <w:top w:val="nil"/>
              <w:left w:val="nil"/>
              <w:bottom w:val="nil"/>
              <w:right w:val="nil"/>
            </w:tcBorders>
            <w:shd w:val="clear" w:color="auto" w:fill="auto"/>
            <w:tcMar>
              <w:left w:w="28" w:type="dxa"/>
              <w:right w:w="57" w:type="dxa"/>
            </w:tcMar>
            <w:vAlign w:val="bottom"/>
            <w:hideMark/>
          </w:tcPr>
          <w:p w14:paraId="1B8A2271" w14:textId="77777777" w:rsidR="0084445A" w:rsidRPr="00741D80" w:rsidRDefault="0084445A" w:rsidP="00274E31">
            <w:pPr>
              <w:pStyle w:val="a1"/>
              <w:rPr>
                <w:rFonts w:asciiTheme="minorHAnsi" w:hAnsiTheme="minorHAnsi" w:cstheme="minorHAnsi"/>
                <w:color w:val="auto"/>
                <w:szCs w:val="20"/>
                <w:lang w:val="bg-BG"/>
              </w:rPr>
            </w:pPr>
          </w:p>
        </w:tc>
        <w:tc>
          <w:tcPr>
            <w:tcW w:w="589" w:type="pct"/>
            <w:tcBorders>
              <w:top w:val="nil"/>
              <w:left w:val="nil"/>
              <w:bottom w:val="nil"/>
              <w:right w:val="nil"/>
            </w:tcBorders>
            <w:shd w:val="clear" w:color="auto" w:fill="auto"/>
            <w:tcMar>
              <w:left w:w="28" w:type="dxa"/>
              <w:right w:w="57" w:type="dxa"/>
            </w:tcMar>
            <w:vAlign w:val="bottom"/>
            <w:hideMark/>
          </w:tcPr>
          <w:p w14:paraId="1D58066B" w14:textId="77777777" w:rsidR="0084445A" w:rsidRPr="00741D80" w:rsidRDefault="0084445A" w:rsidP="00274E31">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 ‘000</w:t>
            </w:r>
          </w:p>
        </w:tc>
        <w:tc>
          <w:tcPr>
            <w:tcW w:w="596" w:type="pct"/>
            <w:tcBorders>
              <w:top w:val="nil"/>
              <w:left w:val="nil"/>
              <w:bottom w:val="nil"/>
              <w:right w:val="nil"/>
            </w:tcBorders>
            <w:shd w:val="clear" w:color="auto" w:fill="auto"/>
            <w:tcMar>
              <w:left w:w="28" w:type="dxa"/>
              <w:right w:w="57" w:type="dxa"/>
            </w:tcMar>
            <w:vAlign w:val="bottom"/>
            <w:hideMark/>
          </w:tcPr>
          <w:p w14:paraId="54FB07A5" w14:textId="77777777" w:rsidR="0084445A" w:rsidRPr="00741D80" w:rsidRDefault="0084445A" w:rsidP="00274E31">
            <w:pPr>
              <w:pStyle w:val="a1"/>
              <w:jc w:val="right"/>
              <w:rPr>
                <w:rFonts w:asciiTheme="minorHAnsi" w:hAnsiTheme="minorHAnsi" w:cstheme="minorHAnsi"/>
                <w:color w:val="auto"/>
                <w:szCs w:val="20"/>
                <w:lang w:val="bg-BG"/>
              </w:rPr>
            </w:pPr>
            <w:r w:rsidRPr="00741D80">
              <w:rPr>
                <w:rFonts w:asciiTheme="minorHAnsi" w:hAnsiTheme="minorHAnsi" w:cstheme="minorHAnsi"/>
                <w:color w:val="auto"/>
                <w:szCs w:val="20"/>
                <w:lang w:val="bg-BG"/>
              </w:rPr>
              <w:t>BGN ‘000</w:t>
            </w:r>
          </w:p>
        </w:tc>
      </w:tr>
      <w:tr w:rsidR="0084445A" w:rsidRPr="00741D80" w14:paraId="7FAAB753" w14:textId="77777777" w:rsidTr="00827A7E">
        <w:trPr>
          <w:trHeight w:val="170"/>
          <w:jc w:val="center"/>
        </w:trPr>
        <w:tc>
          <w:tcPr>
            <w:tcW w:w="2237" w:type="pct"/>
            <w:tcBorders>
              <w:top w:val="nil"/>
              <w:left w:val="nil"/>
              <w:bottom w:val="nil"/>
              <w:right w:val="nil"/>
            </w:tcBorders>
            <w:shd w:val="clear" w:color="auto" w:fill="auto"/>
            <w:tcMar>
              <w:left w:w="28" w:type="dxa"/>
              <w:right w:w="57" w:type="dxa"/>
            </w:tcMar>
            <w:vAlign w:val="bottom"/>
            <w:hideMark/>
          </w:tcPr>
          <w:p w14:paraId="50CCFD00"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Информационно обслужване</w:t>
            </w:r>
          </w:p>
        </w:tc>
        <w:tc>
          <w:tcPr>
            <w:tcW w:w="1578" w:type="pct"/>
            <w:tcBorders>
              <w:top w:val="nil"/>
              <w:left w:val="nil"/>
              <w:bottom w:val="nil"/>
              <w:right w:val="nil"/>
            </w:tcBorders>
            <w:shd w:val="clear" w:color="auto" w:fill="auto"/>
            <w:tcMar>
              <w:left w:w="28" w:type="dxa"/>
              <w:right w:w="57" w:type="dxa"/>
            </w:tcMar>
            <w:vAlign w:val="bottom"/>
            <w:hideMark/>
          </w:tcPr>
          <w:p w14:paraId="6312D69E"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Централен депозитар АД</w:t>
            </w:r>
          </w:p>
        </w:tc>
        <w:tc>
          <w:tcPr>
            <w:tcW w:w="589" w:type="pct"/>
            <w:tcBorders>
              <w:top w:val="nil"/>
              <w:left w:val="nil"/>
              <w:bottom w:val="nil"/>
              <w:right w:val="nil"/>
            </w:tcBorders>
            <w:shd w:val="clear" w:color="auto" w:fill="auto"/>
            <w:tcMar>
              <w:left w:w="28" w:type="dxa"/>
              <w:right w:w="57" w:type="dxa"/>
            </w:tcMar>
            <w:vAlign w:val="bottom"/>
            <w:hideMark/>
          </w:tcPr>
          <w:p w14:paraId="64C061A2" w14:textId="77777777" w:rsidR="0084445A" w:rsidRPr="00741D80" w:rsidRDefault="0084445A" w:rsidP="00274E31">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3</w:t>
            </w:r>
          </w:p>
        </w:tc>
        <w:tc>
          <w:tcPr>
            <w:tcW w:w="596" w:type="pct"/>
            <w:tcBorders>
              <w:top w:val="nil"/>
              <w:left w:val="nil"/>
              <w:bottom w:val="nil"/>
              <w:right w:val="nil"/>
            </w:tcBorders>
            <w:shd w:val="clear" w:color="auto" w:fill="auto"/>
            <w:tcMar>
              <w:left w:w="28" w:type="dxa"/>
              <w:right w:w="57" w:type="dxa"/>
            </w:tcMar>
            <w:vAlign w:val="bottom"/>
            <w:hideMark/>
          </w:tcPr>
          <w:p w14:paraId="436E75D1" w14:textId="77777777" w:rsidR="0084445A" w:rsidRPr="00741D80" w:rsidRDefault="0084445A" w:rsidP="00274E31">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4</w:t>
            </w:r>
          </w:p>
        </w:tc>
      </w:tr>
      <w:tr w:rsidR="0084445A" w:rsidRPr="00741D80" w14:paraId="7A150077" w14:textId="77777777" w:rsidTr="00827A7E">
        <w:trPr>
          <w:trHeight w:val="170"/>
          <w:jc w:val="center"/>
        </w:trPr>
        <w:tc>
          <w:tcPr>
            <w:tcW w:w="2237" w:type="pct"/>
            <w:tcBorders>
              <w:top w:val="nil"/>
              <w:left w:val="nil"/>
              <w:bottom w:val="nil"/>
              <w:right w:val="nil"/>
            </w:tcBorders>
            <w:shd w:val="clear" w:color="auto" w:fill="auto"/>
            <w:tcMar>
              <w:left w:w="28" w:type="dxa"/>
              <w:right w:w="57" w:type="dxa"/>
            </w:tcMar>
            <w:hideMark/>
          </w:tcPr>
          <w:p w14:paraId="5347FAA4"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Деловодни услуги</w:t>
            </w:r>
          </w:p>
        </w:tc>
        <w:tc>
          <w:tcPr>
            <w:tcW w:w="1578" w:type="pct"/>
            <w:tcBorders>
              <w:top w:val="nil"/>
              <w:left w:val="nil"/>
              <w:bottom w:val="nil"/>
              <w:right w:val="nil"/>
            </w:tcBorders>
            <w:shd w:val="clear" w:color="auto" w:fill="auto"/>
            <w:tcMar>
              <w:left w:w="28" w:type="dxa"/>
              <w:right w:w="57" w:type="dxa"/>
            </w:tcMar>
            <w:hideMark/>
          </w:tcPr>
          <w:p w14:paraId="0B67396D"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Сервиз Финансови Пазари ЕООД</w:t>
            </w:r>
          </w:p>
        </w:tc>
        <w:tc>
          <w:tcPr>
            <w:tcW w:w="589" w:type="pct"/>
            <w:tcBorders>
              <w:top w:val="nil"/>
              <w:left w:val="nil"/>
              <w:bottom w:val="nil"/>
              <w:right w:val="nil"/>
            </w:tcBorders>
            <w:shd w:val="clear" w:color="auto" w:fill="auto"/>
            <w:tcMar>
              <w:left w:w="28" w:type="dxa"/>
              <w:right w:w="57" w:type="dxa"/>
            </w:tcMar>
            <w:hideMark/>
          </w:tcPr>
          <w:p w14:paraId="1212C7E4" w14:textId="77777777" w:rsidR="0084445A" w:rsidRPr="00741D80" w:rsidRDefault="0084445A" w:rsidP="00274E31">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34</w:t>
            </w:r>
          </w:p>
        </w:tc>
        <w:tc>
          <w:tcPr>
            <w:tcW w:w="596" w:type="pct"/>
            <w:tcBorders>
              <w:top w:val="nil"/>
              <w:left w:val="nil"/>
              <w:bottom w:val="nil"/>
              <w:right w:val="nil"/>
            </w:tcBorders>
            <w:shd w:val="clear" w:color="auto" w:fill="auto"/>
            <w:tcMar>
              <w:left w:w="28" w:type="dxa"/>
              <w:right w:w="57" w:type="dxa"/>
            </w:tcMar>
            <w:hideMark/>
          </w:tcPr>
          <w:p w14:paraId="758B3FA1" w14:textId="77777777" w:rsidR="0084445A" w:rsidRPr="00741D80" w:rsidRDefault="0084445A" w:rsidP="00274E31">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14</w:t>
            </w:r>
          </w:p>
        </w:tc>
      </w:tr>
      <w:tr w:rsidR="0084445A" w:rsidRPr="00741D80" w14:paraId="1EF36F2C" w14:textId="77777777" w:rsidTr="00827A7E">
        <w:trPr>
          <w:trHeight w:val="170"/>
          <w:jc w:val="center"/>
        </w:trPr>
        <w:tc>
          <w:tcPr>
            <w:tcW w:w="2237" w:type="pct"/>
            <w:tcBorders>
              <w:top w:val="nil"/>
              <w:left w:val="nil"/>
              <w:bottom w:val="nil"/>
              <w:right w:val="nil"/>
            </w:tcBorders>
            <w:shd w:val="clear" w:color="auto" w:fill="auto"/>
            <w:tcMar>
              <w:left w:w="28" w:type="dxa"/>
              <w:right w:w="57" w:type="dxa"/>
            </w:tcMar>
            <w:hideMark/>
          </w:tcPr>
          <w:p w14:paraId="12BFD489"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Възнаграждения за </w:t>
            </w:r>
            <w:proofErr w:type="spellStart"/>
            <w:r w:rsidRPr="00741D80">
              <w:rPr>
                <w:rFonts w:asciiTheme="minorHAnsi" w:hAnsiTheme="minorHAnsi" w:cstheme="minorHAnsi"/>
                <w:color w:val="auto"/>
                <w:szCs w:val="20"/>
                <w:lang w:val="bg-BG"/>
              </w:rPr>
              <w:t>оперириране</w:t>
            </w:r>
            <w:proofErr w:type="spellEnd"/>
            <w:r w:rsidRPr="00741D80">
              <w:rPr>
                <w:rFonts w:asciiTheme="minorHAnsi" w:hAnsiTheme="minorHAnsi" w:cstheme="minorHAnsi"/>
                <w:color w:val="auto"/>
                <w:szCs w:val="20"/>
                <w:lang w:val="bg-BG"/>
              </w:rPr>
              <w:t xml:space="preserve"> с продукта Х3</w:t>
            </w:r>
          </w:p>
        </w:tc>
        <w:tc>
          <w:tcPr>
            <w:tcW w:w="1578" w:type="pct"/>
            <w:tcBorders>
              <w:top w:val="nil"/>
              <w:left w:val="nil"/>
              <w:bottom w:val="nil"/>
              <w:right w:val="nil"/>
            </w:tcBorders>
            <w:shd w:val="clear" w:color="auto" w:fill="auto"/>
            <w:tcMar>
              <w:left w:w="28" w:type="dxa"/>
              <w:right w:w="57" w:type="dxa"/>
            </w:tcMar>
            <w:hideMark/>
          </w:tcPr>
          <w:p w14:paraId="6449569F" w14:textId="77777777" w:rsidR="0084445A" w:rsidRPr="00741D80" w:rsidRDefault="0084445A" w:rsidP="00274E31">
            <w:pPr>
              <w:pStyle w:val="a"/>
              <w:rPr>
                <w:rFonts w:asciiTheme="minorHAnsi" w:hAnsiTheme="minorHAnsi" w:cstheme="minorHAnsi"/>
                <w:color w:val="auto"/>
                <w:szCs w:val="20"/>
                <w:lang w:val="bg-BG"/>
              </w:rPr>
            </w:pPr>
            <w:r w:rsidRPr="00741D80">
              <w:rPr>
                <w:rFonts w:asciiTheme="minorHAnsi" w:hAnsiTheme="minorHAnsi" w:cstheme="minorHAnsi"/>
                <w:color w:val="auto"/>
                <w:szCs w:val="20"/>
                <w:lang w:val="bg-BG"/>
              </w:rPr>
              <w:t>Сервиз Финансови Пазари ЕООД</w:t>
            </w:r>
          </w:p>
        </w:tc>
        <w:tc>
          <w:tcPr>
            <w:tcW w:w="589" w:type="pct"/>
            <w:tcBorders>
              <w:top w:val="nil"/>
              <w:left w:val="nil"/>
              <w:bottom w:val="nil"/>
              <w:right w:val="nil"/>
            </w:tcBorders>
            <w:shd w:val="clear" w:color="auto" w:fill="auto"/>
            <w:tcMar>
              <w:left w:w="28" w:type="dxa"/>
              <w:right w:w="57" w:type="dxa"/>
            </w:tcMar>
            <w:hideMark/>
          </w:tcPr>
          <w:p w14:paraId="6C8CFD35" w14:textId="77777777" w:rsidR="0084445A" w:rsidRPr="00741D80" w:rsidRDefault="0084445A" w:rsidP="00274E31">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1</w:t>
            </w:r>
          </w:p>
        </w:tc>
        <w:tc>
          <w:tcPr>
            <w:tcW w:w="596" w:type="pct"/>
            <w:tcBorders>
              <w:top w:val="nil"/>
              <w:left w:val="nil"/>
              <w:bottom w:val="nil"/>
              <w:right w:val="nil"/>
            </w:tcBorders>
            <w:shd w:val="clear" w:color="auto" w:fill="auto"/>
            <w:tcMar>
              <w:left w:w="28" w:type="dxa"/>
              <w:right w:w="57" w:type="dxa"/>
            </w:tcMar>
            <w:hideMark/>
          </w:tcPr>
          <w:p w14:paraId="77DAC639" w14:textId="77777777" w:rsidR="0084445A" w:rsidRPr="00741D80" w:rsidRDefault="0084445A" w:rsidP="00274E31">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1</w:t>
            </w:r>
          </w:p>
        </w:tc>
      </w:tr>
      <w:tr w:rsidR="0084445A" w:rsidRPr="00741D80" w14:paraId="6B9EDE64" w14:textId="77777777" w:rsidTr="00827A7E">
        <w:trPr>
          <w:trHeight w:val="170"/>
          <w:jc w:val="center"/>
        </w:trPr>
        <w:tc>
          <w:tcPr>
            <w:tcW w:w="2237" w:type="pct"/>
            <w:tcBorders>
              <w:top w:val="nil"/>
              <w:left w:val="nil"/>
              <w:bottom w:val="nil"/>
              <w:right w:val="nil"/>
            </w:tcBorders>
            <w:shd w:val="clear" w:color="auto" w:fill="auto"/>
            <w:tcMar>
              <w:left w:w="28" w:type="dxa"/>
              <w:right w:w="57" w:type="dxa"/>
            </w:tcMar>
            <w:hideMark/>
          </w:tcPr>
          <w:p w14:paraId="7BFCA533" w14:textId="77777777" w:rsidR="0084445A" w:rsidRPr="00741D80" w:rsidRDefault="0084445A" w:rsidP="00274E31">
            <w:pPr>
              <w:pStyle w:val="a"/>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 xml:space="preserve">Такса </w:t>
            </w:r>
            <w:proofErr w:type="spellStart"/>
            <w:r w:rsidRPr="00741D80">
              <w:rPr>
                <w:rFonts w:asciiTheme="minorHAnsi" w:hAnsiTheme="minorHAnsi" w:cstheme="minorHAnsi"/>
                <w:color w:val="auto"/>
                <w:szCs w:val="20"/>
                <w:lang w:val="bg-BG"/>
              </w:rPr>
              <w:t>попечителски</w:t>
            </w:r>
            <w:proofErr w:type="spellEnd"/>
            <w:r w:rsidRPr="00741D80">
              <w:rPr>
                <w:rFonts w:asciiTheme="minorHAnsi" w:hAnsiTheme="minorHAnsi" w:cstheme="minorHAnsi"/>
                <w:color w:val="auto"/>
                <w:szCs w:val="20"/>
                <w:lang w:val="bg-BG"/>
              </w:rPr>
              <w:t xml:space="preserve"> услуги</w:t>
            </w:r>
          </w:p>
        </w:tc>
        <w:tc>
          <w:tcPr>
            <w:tcW w:w="1578" w:type="pct"/>
            <w:tcBorders>
              <w:top w:val="nil"/>
              <w:left w:val="nil"/>
              <w:bottom w:val="nil"/>
              <w:right w:val="nil"/>
            </w:tcBorders>
            <w:shd w:val="clear" w:color="auto" w:fill="auto"/>
            <w:tcMar>
              <w:left w:w="28" w:type="dxa"/>
              <w:right w:w="57" w:type="dxa"/>
            </w:tcMar>
            <w:hideMark/>
          </w:tcPr>
          <w:p w14:paraId="265A9AE7" w14:textId="77777777" w:rsidR="0084445A" w:rsidRPr="00741D80" w:rsidRDefault="0084445A" w:rsidP="00274E31">
            <w:pPr>
              <w:pStyle w:val="a"/>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Юробанк България АД</w:t>
            </w:r>
          </w:p>
        </w:tc>
        <w:tc>
          <w:tcPr>
            <w:tcW w:w="589" w:type="pct"/>
            <w:tcBorders>
              <w:top w:val="nil"/>
              <w:left w:val="nil"/>
              <w:bottom w:val="nil"/>
              <w:right w:val="nil"/>
            </w:tcBorders>
            <w:shd w:val="clear" w:color="auto" w:fill="auto"/>
            <w:tcMar>
              <w:left w:w="28" w:type="dxa"/>
              <w:right w:w="57" w:type="dxa"/>
            </w:tcMar>
            <w:hideMark/>
          </w:tcPr>
          <w:p w14:paraId="7CF54FAE" w14:textId="77777777" w:rsidR="0084445A" w:rsidRPr="00741D80" w:rsidRDefault="0084445A" w:rsidP="00274E31">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1</w:t>
            </w:r>
          </w:p>
        </w:tc>
        <w:tc>
          <w:tcPr>
            <w:tcW w:w="596" w:type="pct"/>
            <w:tcBorders>
              <w:top w:val="nil"/>
              <w:left w:val="nil"/>
              <w:bottom w:val="nil"/>
              <w:right w:val="nil"/>
            </w:tcBorders>
            <w:shd w:val="clear" w:color="auto" w:fill="auto"/>
            <w:tcMar>
              <w:left w:w="28" w:type="dxa"/>
              <w:right w:w="57" w:type="dxa"/>
            </w:tcMar>
          </w:tcPr>
          <w:p w14:paraId="69FEB627" w14:textId="77777777" w:rsidR="0084445A" w:rsidRPr="00741D80" w:rsidRDefault="0084445A" w:rsidP="00274E31">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3</w:t>
            </w:r>
          </w:p>
        </w:tc>
      </w:tr>
      <w:tr w:rsidR="0084445A" w:rsidRPr="00741D80" w14:paraId="56CACD4C" w14:textId="77777777" w:rsidTr="00827A7E">
        <w:trPr>
          <w:trHeight w:val="170"/>
          <w:jc w:val="center"/>
        </w:trPr>
        <w:tc>
          <w:tcPr>
            <w:tcW w:w="2237" w:type="pct"/>
            <w:tcBorders>
              <w:top w:val="nil"/>
              <w:left w:val="nil"/>
              <w:bottom w:val="nil"/>
              <w:right w:val="nil"/>
            </w:tcBorders>
            <w:shd w:val="clear" w:color="auto" w:fill="auto"/>
            <w:tcMar>
              <w:left w:w="28" w:type="dxa"/>
              <w:right w:w="57" w:type="dxa"/>
            </w:tcMar>
            <w:hideMark/>
          </w:tcPr>
          <w:p w14:paraId="48C69591" w14:textId="77777777" w:rsidR="0084445A" w:rsidRPr="00741D80" w:rsidRDefault="0084445A" w:rsidP="00274E31">
            <w:pPr>
              <w:pStyle w:val="a"/>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Такса за финансиране на мероприятие</w:t>
            </w:r>
          </w:p>
        </w:tc>
        <w:tc>
          <w:tcPr>
            <w:tcW w:w="1578" w:type="pct"/>
            <w:tcBorders>
              <w:top w:val="nil"/>
              <w:left w:val="nil"/>
              <w:bottom w:val="nil"/>
              <w:right w:val="nil"/>
            </w:tcBorders>
            <w:shd w:val="clear" w:color="auto" w:fill="auto"/>
            <w:tcMar>
              <w:left w:w="28" w:type="dxa"/>
              <w:right w:w="57" w:type="dxa"/>
            </w:tcMar>
            <w:hideMark/>
          </w:tcPr>
          <w:p w14:paraId="0564C39B" w14:textId="77777777" w:rsidR="0084445A" w:rsidRPr="00741D80" w:rsidRDefault="0084445A" w:rsidP="00274E31">
            <w:pPr>
              <w:pStyle w:val="a"/>
              <w:widowControl w:val="0"/>
              <w:rPr>
                <w:rFonts w:asciiTheme="minorHAnsi" w:hAnsiTheme="minorHAnsi" w:cstheme="minorHAnsi"/>
                <w:color w:val="auto"/>
                <w:szCs w:val="20"/>
                <w:lang w:val="bg-BG"/>
              </w:rPr>
            </w:pPr>
            <w:r w:rsidRPr="00741D80">
              <w:rPr>
                <w:rFonts w:asciiTheme="minorHAnsi" w:hAnsiTheme="minorHAnsi" w:cstheme="minorHAnsi"/>
                <w:color w:val="auto"/>
                <w:szCs w:val="20"/>
                <w:lang w:val="bg-BG"/>
              </w:rPr>
              <w:t>НККУ</w:t>
            </w:r>
          </w:p>
        </w:tc>
        <w:tc>
          <w:tcPr>
            <w:tcW w:w="589" w:type="pct"/>
            <w:tcBorders>
              <w:top w:val="nil"/>
              <w:left w:val="nil"/>
              <w:bottom w:val="nil"/>
              <w:right w:val="nil"/>
            </w:tcBorders>
            <w:shd w:val="clear" w:color="auto" w:fill="auto"/>
            <w:tcMar>
              <w:left w:w="28" w:type="dxa"/>
              <w:right w:w="57" w:type="dxa"/>
            </w:tcMar>
            <w:hideMark/>
          </w:tcPr>
          <w:p w14:paraId="05B0C251" w14:textId="77777777" w:rsidR="0084445A" w:rsidRPr="00741D80" w:rsidRDefault="0084445A" w:rsidP="00274E31">
            <w:pPr>
              <w:pStyle w:val="a0"/>
              <w:widowControl w:val="0"/>
              <w:ind w:firstLine="709"/>
              <w:rPr>
                <w:rFonts w:asciiTheme="minorHAnsi" w:hAnsiTheme="minorHAnsi" w:cstheme="minorHAnsi"/>
                <w:color w:val="auto"/>
                <w:szCs w:val="20"/>
                <w:lang w:val="bg-BG"/>
              </w:rPr>
            </w:pPr>
            <w:r w:rsidRPr="00741D80">
              <w:rPr>
                <w:rFonts w:asciiTheme="minorHAnsi" w:hAnsiTheme="minorHAnsi" w:cstheme="minorHAnsi"/>
                <w:color w:val="auto"/>
                <w:szCs w:val="20"/>
                <w:lang w:val="bg-BG"/>
              </w:rPr>
              <w:t>8</w:t>
            </w:r>
          </w:p>
        </w:tc>
        <w:tc>
          <w:tcPr>
            <w:tcW w:w="596" w:type="pct"/>
            <w:tcBorders>
              <w:top w:val="nil"/>
              <w:left w:val="nil"/>
              <w:bottom w:val="nil"/>
              <w:right w:val="nil"/>
            </w:tcBorders>
            <w:shd w:val="clear" w:color="auto" w:fill="auto"/>
            <w:tcMar>
              <w:left w:w="28" w:type="dxa"/>
              <w:right w:w="57" w:type="dxa"/>
            </w:tcMar>
          </w:tcPr>
          <w:p w14:paraId="691B48F5" w14:textId="77777777" w:rsidR="0084445A" w:rsidRPr="00741D80" w:rsidRDefault="0084445A" w:rsidP="00274E31">
            <w:pPr>
              <w:pStyle w:val="a0"/>
              <w:rPr>
                <w:rFonts w:asciiTheme="minorHAnsi" w:hAnsiTheme="minorHAnsi" w:cstheme="minorHAnsi"/>
                <w:color w:val="auto"/>
                <w:szCs w:val="20"/>
                <w:lang w:val="bg-BG"/>
              </w:rPr>
            </w:pPr>
            <w:r w:rsidRPr="00741D80">
              <w:rPr>
                <w:rFonts w:asciiTheme="minorHAnsi" w:hAnsiTheme="minorHAnsi" w:cstheme="minorHAnsi"/>
                <w:color w:val="auto"/>
                <w:szCs w:val="20"/>
                <w:lang w:val="bg-BG"/>
              </w:rPr>
              <w:t>-</w:t>
            </w:r>
          </w:p>
        </w:tc>
      </w:tr>
      <w:tr w:rsidR="0084445A" w:rsidRPr="00741D80" w14:paraId="46A50E6E" w14:textId="77777777" w:rsidTr="00827A7E">
        <w:trPr>
          <w:trHeight w:val="170"/>
          <w:jc w:val="center"/>
        </w:trPr>
        <w:tc>
          <w:tcPr>
            <w:tcW w:w="2237" w:type="pct"/>
            <w:tcBorders>
              <w:top w:val="nil"/>
              <w:left w:val="nil"/>
              <w:bottom w:val="nil"/>
              <w:right w:val="nil"/>
            </w:tcBorders>
            <w:shd w:val="clear" w:color="auto" w:fill="auto"/>
            <w:noWrap/>
            <w:tcMar>
              <w:left w:w="28" w:type="dxa"/>
              <w:right w:w="57" w:type="dxa"/>
            </w:tcMar>
            <w:vAlign w:val="bottom"/>
            <w:hideMark/>
          </w:tcPr>
          <w:p w14:paraId="3D32C4D6" w14:textId="77777777" w:rsidR="0084445A" w:rsidRPr="00741D80" w:rsidRDefault="0084445A" w:rsidP="00274E31">
            <w:pPr>
              <w:pStyle w:val="a"/>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Общо</w:t>
            </w:r>
          </w:p>
        </w:tc>
        <w:tc>
          <w:tcPr>
            <w:tcW w:w="1578" w:type="pct"/>
            <w:tcBorders>
              <w:top w:val="nil"/>
              <w:left w:val="nil"/>
              <w:bottom w:val="nil"/>
              <w:right w:val="nil"/>
            </w:tcBorders>
            <w:shd w:val="clear" w:color="auto" w:fill="auto"/>
            <w:tcMar>
              <w:left w:w="28" w:type="dxa"/>
              <w:right w:w="57" w:type="dxa"/>
            </w:tcMar>
            <w:vAlign w:val="bottom"/>
            <w:hideMark/>
          </w:tcPr>
          <w:p w14:paraId="5FB6129E" w14:textId="77777777" w:rsidR="0084445A" w:rsidRPr="00741D80" w:rsidRDefault="0084445A" w:rsidP="00274E31">
            <w:pPr>
              <w:pStyle w:val="a"/>
              <w:rPr>
                <w:rFonts w:asciiTheme="minorHAnsi" w:hAnsiTheme="minorHAnsi" w:cstheme="minorHAnsi"/>
                <w:b/>
                <w:color w:val="auto"/>
                <w:szCs w:val="20"/>
                <w:lang w:val="bg-BG"/>
              </w:rPr>
            </w:pPr>
          </w:p>
        </w:tc>
        <w:tc>
          <w:tcPr>
            <w:tcW w:w="589" w:type="pct"/>
            <w:tcBorders>
              <w:top w:val="single" w:sz="4" w:space="0" w:color="auto"/>
              <w:left w:val="nil"/>
              <w:bottom w:val="double" w:sz="6" w:space="0" w:color="auto"/>
              <w:right w:val="nil"/>
            </w:tcBorders>
            <w:shd w:val="clear" w:color="auto" w:fill="auto"/>
            <w:tcMar>
              <w:left w:w="28" w:type="dxa"/>
              <w:right w:w="57" w:type="dxa"/>
            </w:tcMar>
            <w:vAlign w:val="bottom"/>
            <w:hideMark/>
          </w:tcPr>
          <w:p w14:paraId="66F51F2C" w14:textId="77777777" w:rsidR="0084445A" w:rsidRPr="00741D80" w:rsidRDefault="0084445A" w:rsidP="00274E31">
            <w:pPr>
              <w:pStyle w:val="a0"/>
              <w:widowControl w:val="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47</w:t>
            </w:r>
          </w:p>
        </w:tc>
        <w:tc>
          <w:tcPr>
            <w:tcW w:w="596" w:type="pct"/>
            <w:tcBorders>
              <w:top w:val="single" w:sz="4" w:space="0" w:color="auto"/>
              <w:left w:val="nil"/>
              <w:bottom w:val="double" w:sz="6" w:space="0" w:color="auto"/>
              <w:right w:val="nil"/>
            </w:tcBorders>
            <w:shd w:val="clear" w:color="auto" w:fill="auto"/>
            <w:tcMar>
              <w:left w:w="28" w:type="dxa"/>
              <w:right w:w="57" w:type="dxa"/>
            </w:tcMar>
            <w:vAlign w:val="bottom"/>
            <w:hideMark/>
          </w:tcPr>
          <w:p w14:paraId="64B9CAC7" w14:textId="77777777" w:rsidR="0084445A" w:rsidRPr="00741D80" w:rsidRDefault="0084445A" w:rsidP="00274E31">
            <w:pPr>
              <w:pStyle w:val="a0"/>
              <w:rPr>
                <w:rFonts w:asciiTheme="minorHAnsi" w:hAnsiTheme="minorHAnsi" w:cstheme="minorHAnsi"/>
                <w:b/>
                <w:color w:val="auto"/>
                <w:szCs w:val="20"/>
                <w:lang w:val="bg-BG"/>
              </w:rPr>
            </w:pPr>
            <w:r w:rsidRPr="00741D80">
              <w:rPr>
                <w:rFonts w:asciiTheme="minorHAnsi" w:hAnsiTheme="minorHAnsi" w:cstheme="minorHAnsi"/>
                <w:b/>
                <w:color w:val="auto"/>
                <w:szCs w:val="20"/>
                <w:lang w:val="bg-BG"/>
              </w:rPr>
              <w:t>22</w:t>
            </w:r>
          </w:p>
        </w:tc>
      </w:tr>
    </w:tbl>
    <w:bookmarkEnd w:id="103"/>
    <w:p w14:paraId="45277F82" w14:textId="77777777" w:rsidR="0084445A" w:rsidRPr="00741D80" w:rsidRDefault="0084445A" w:rsidP="0084445A">
      <w:pPr>
        <w:pStyle w:val="BoldHeading"/>
        <w:rPr>
          <w:rFonts w:asciiTheme="minorHAnsi" w:hAnsiTheme="minorHAnsi" w:cstheme="minorHAnsi"/>
        </w:rPr>
      </w:pPr>
      <w:proofErr w:type="spellStart"/>
      <w:r w:rsidRPr="00741D80">
        <w:rPr>
          <w:rFonts w:asciiTheme="minorHAnsi" w:hAnsiTheme="minorHAnsi" w:cstheme="minorHAnsi"/>
        </w:rPr>
        <w:t>Разчети</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със</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свързани</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лица</w:t>
      </w:r>
      <w:proofErr w:type="spellEnd"/>
    </w:p>
    <w:p w14:paraId="17536722" w14:textId="77777777" w:rsidR="0084445A" w:rsidRPr="00741D80" w:rsidRDefault="0084445A" w:rsidP="00D46960">
      <w:pPr>
        <w:jc w:val="both"/>
        <w:rPr>
          <w:rFonts w:cstheme="minorHAnsi"/>
        </w:rPr>
      </w:pPr>
      <w:r w:rsidRPr="00741D80">
        <w:rPr>
          <w:rFonts w:cstheme="minorHAnsi"/>
        </w:rPr>
        <w:t xml:space="preserve">Разчетните взаимоотношения със свързани лица включват вземания по продажби към 31.12.2018 г.: 1 </w:t>
      </w:r>
      <w:proofErr w:type="spellStart"/>
      <w:r w:rsidRPr="00741D80">
        <w:rPr>
          <w:rFonts w:cstheme="minorHAnsi"/>
        </w:rPr>
        <w:t>х.лв</w:t>
      </w:r>
      <w:proofErr w:type="spellEnd"/>
      <w:r w:rsidRPr="00741D80">
        <w:rPr>
          <w:rFonts w:cstheme="minorHAnsi"/>
        </w:rPr>
        <w:t>. (31.01.2017 г:</w:t>
      </w:r>
      <w:r w:rsidRPr="00741D80">
        <w:rPr>
          <w:rFonts w:cstheme="minorHAnsi"/>
          <w:lang w:val="en-US"/>
        </w:rPr>
        <w:t xml:space="preserve"> </w:t>
      </w:r>
      <w:r w:rsidRPr="00741D80">
        <w:rPr>
          <w:rFonts w:cstheme="minorHAnsi"/>
        </w:rPr>
        <w:t xml:space="preserve">1 </w:t>
      </w:r>
      <w:proofErr w:type="spellStart"/>
      <w:r w:rsidRPr="00741D80">
        <w:rPr>
          <w:rFonts w:cstheme="minorHAnsi"/>
        </w:rPr>
        <w:t>х.лв</w:t>
      </w:r>
      <w:proofErr w:type="spellEnd"/>
      <w:r w:rsidRPr="00741D80">
        <w:rPr>
          <w:rFonts w:cstheme="minorHAnsi"/>
        </w:rPr>
        <w:t>.).</w:t>
      </w:r>
    </w:p>
    <w:p w14:paraId="75A85313" w14:textId="77777777" w:rsidR="0084445A" w:rsidRPr="00741D80" w:rsidRDefault="0084445A" w:rsidP="0084445A">
      <w:pPr>
        <w:pStyle w:val="BoldHeading"/>
        <w:rPr>
          <w:rFonts w:asciiTheme="minorHAnsi" w:hAnsiTheme="minorHAnsi" w:cstheme="minorHAnsi"/>
        </w:rPr>
      </w:pPr>
      <w:proofErr w:type="spellStart"/>
      <w:r w:rsidRPr="00741D80">
        <w:rPr>
          <w:rFonts w:asciiTheme="minorHAnsi" w:hAnsiTheme="minorHAnsi" w:cstheme="minorHAnsi"/>
        </w:rPr>
        <w:t>Възнаграждения</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на</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ключовия</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управленски</w:t>
      </w:r>
      <w:proofErr w:type="spellEnd"/>
      <w:r w:rsidRPr="00741D80">
        <w:rPr>
          <w:rFonts w:asciiTheme="minorHAnsi" w:hAnsiTheme="minorHAnsi" w:cstheme="minorHAnsi"/>
        </w:rPr>
        <w:t xml:space="preserve"> </w:t>
      </w:r>
      <w:proofErr w:type="spellStart"/>
      <w:r w:rsidRPr="00741D80">
        <w:rPr>
          <w:rFonts w:asciiTheme="minorHAnsi" w:hAnsiTheme="minorHAnsi" w:cstheme="minorHAnsi"/>
        </w:rPr>
        <w:t>персонал</w:t>
      </w:r>
      <w:proofErr w:type="spellEnd"/>
    </w:p>
    <w:p w14:paraId="5587E3EE" w14:textId="77777777" w:rsidR="0084445A" w:rsidRPr="00741D80" w:rsidRDefault="0084445A" w:rsidP="00D46960">
      <w:pPr>
        <w:jc w:val="both"/>
        <w:rPr>
          <w:rFonts w:cstheme="minorHAnsi"/>
        </w:rPr>
      </w:pPr>
      <w:r w:rsidRPr="00741D80">
        <w:rPr>
          <w:rFonts w:cstheme="minorHAnsi"/>
        </w:rPr>
        <w:t xml:space="preserve">Съставът на ключовия управленски персонал е оповестен в </w:t>
      </w:r>
      <w:r w:rsidRPr="00741D80">
        <w:rPr>
          <w:rFonts w:cstheme="minorHAnsi"/>
          <w:i/>
        </w:rPr>
        <w:t>Приложение № 1.1</w:t>
      </w:r>
      <w:r w:rsidRPr="00741D80">
        <w:rPr>
          <w:rFonts w:cstheme="minorHAnsi"/>
        </w:rPr>
        <w:t>.</w:t>
      </w:r>
    </w:p>
    <w:p w14:paraId="59400E2E" w14:textId="77777777" w:rsidR="0084445A" w:rsidRPr="00741D80" w:rsidRDefault="0084445A" w:rsidP="00D46960">
      <w:pPr>
        <w:jc w:val="both"/>
        <w:rPr>
          <w:rFonts w:cstheme="minorHAnsi"/>
        </w:rPr>
      </w:pPr>
      <w:r w:rsidRPr="00741D80">
        <w:rPr>
          <w:rFonts w:cstheme="minorHAnsi"/>
        </w:rPr>
        <w:t>Заплатите и другите краткосрочни доходи на ключовия управленски персонал към 31.12.201</w:t>
      </w:r>
      <w:r w:rsidRPr="00741D80">
        <w:rPr>
          <w:rFonts w:cstheme="minorHAnsi"/>
          <w:lang w:val="en-US"/>
        </w:rPr>
        <w:t>8</w:t>
      </w:r>
      <w:r w:rsidRPr="00741D80">
        <w:rPr>
          <w:rFonts w:cstheme="minorHAnsi"/>
        </w:rPr>
        <w:t xml:space="preserve"> г. възлизат на 273 </w:t>
      </w:r>
      <w:proofErr w:type="spellStart"/>
      <w:r w:rsidRPr="00741D80">
        <w:rPr>
          <w:rFonts w:cstheme="minorHAnsi"/>
        </w:rPr>
        <w:t>х.лв</w:t>
      </w:r>
      <w:proofErr w:type="spellEnd"/>
      <w:r w:rsidRPr="00741D80">
        <w:rPr>
          <w:rFonts w:cstheme="minorHAnsi"/>
        </w:rPr>
        <w:t xml:space="preserve">. (31.12.2017 г.: 360 </w:t>
      </w:r>
      <w:proofErr w:type="spellStart"/>
      <w:r w:rsidRPr="00741D80">
        <w:rPr>
          <w:rFonts w:cstheme="minorHAnsi"/>
        </w:rPr>
        <w:t>х.лв</w:t>
      </w:r>
      <w:proofErr w:type="spellEnd"/>
      <w:r w:rsidRPr="00741D80">
        <w:rPr>
          <w:rFonts w:cstheme="minorHAnsi"/>
        </w:rPr>
        <w:t>.).</w:t>
      </w:r>
    </w:p>
    <w:p w14:paraId="096CEA0F" w14:textId="77777777" w:rsidR="0084445A" w:rsidRPr="00741D80" w:rsidRDefault="0084445A" w:rsidP="00833465">
      <w:pPr>
        <w:pStyle w:val="Mainnumbers"/>
      </w:pPr>
      <w:bookmarkStart w:id="104" w:name="_Toc283195461"/>
      <w:bookmarkStart w:id="105" w:name="_Toc418084405"/>
      <w:bookmarkStart w:id="106" w:name="_Toc223511072"/>
      <w:bookmarkStart w:id="107" w:name="_Toc536452037"/>
      <w:r w:rsidRPr="00741D80">
        <w:t>СЪБИТИЯ СЛЕД КРАЯ НА ОТЧЕТНИЯ ПЕРИОД</w:t>
      </w:r>
      <w:bookmarkEnd w:id="104"/>
      <w:bookmarkEnd w:id="105"/>
      <w:bookmarkEnd w:id="107"/>
      <w:r w:rsidRPr="00741D80">
        <w:t xml:space="preserve"> </w:t>
      </w:r>
      <w:bookmarkEnd w:id="106"/>
    </w:p>
    <w:p w14:paraId="0632060D" w14:textId="3F73F167" w:rsidR="00AA24CF" w:rsidRPr="00274E31" w:rsidRDefault="0084445A" w:rsidP="00274E31">
      <w:pPr>
        <w:jc w:val="both"/>
        <w:rPr>
          <w:rFonts w:cstheme="minorHAnsi"/>
          <w:highlight w:val="yellow"/>
        </w:rPr>
      </w:pPr>
      <w:r w:rsidRPr="00741D80">
        <w:rPr>
          <w:rFonts w:cstheme="minorHAnsi"/>
        </w:rPr>
        <w:t>Няма важни събития след края на отчетния период, които могат да окажат съществено влияние върху дейността на дружеството.</w:t>
      </w:r>
    </w:p>
    <w:sectPr w:rsidR="00AA24CF" w:rsidRPr="00274E31" w:rsidSect="00AE7CF9">
      <w:headerReference w:type="even" r:id="rId11"/>
      <w:headerReference w:type="default" r:id="rId12"/>
      <w:footerReference w:type="default" r:id="rId13"/>
      <w:headerReference w:type="first" r:id="rId14"/>
      <w:footerReference w:type="first" r:id="rId15"/>
      <w:pgSz w:w="11906" w:h="16838" w:code="9"/>
      <w:pgMar w:top="1134" w:right="1134" w:bottom="1134" w:left="1134" w:header="567" w:footer="346" w:gutter="0"/>
      <w:pgNumType w:start="5"/>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F8962" w14:textId="77777777" w:rsidR="00F4491C" w:rsidRDefault="00F4491C" w:rsidP="00930481">
      <w:pPr>
        <w:spacing w:after="0" w:line="240" w:lineRule="auto"/>
      </w:pPr>
      <w:r>
        <w:separator/>
      </w:r>
    </w:p>
  </w:endnote>
  <w:endnote w:type="continuationSeparator" w:id="0">
    <w:p w14:paraId="4495091A" w14:textId="77777777" w:rsidR="00F4491C" w:rsidRDefault="00F4491C" w:rsidP="00930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 Gothic Cyr">
    <w:panose1 w:val="020B0503020103020203"/>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EYInterstate Light">
    <w:altName w:val="Times New Roman"/>
    <w:charset w:val="CC"/>
    <w:family w:val="auto"/>
    <w:pitch w:val="variable"/>
    <w:sig w:usb0="00000001" w:usb1="5000206A"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E0913" w14:textId="77777777" w:rsidR="005C3668" w:rsidRDefault="005C3668" w:rsidP="00AE7CF9">
    <w:pP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62</w:t>
    </w:r>
    <w:r>
      <w:rPr>
        <w:rStyle w:val="PageNumber"/>
      </w:rPr>
      <w:fldChar w:fldCharType="end"/>
    </w:r>
  </w:p>
  <w:p w14:paraId="0AAF11F8" w14:textId="77777777" w:rsidR="005C3668" w:rsidRDefault="005C3668" w:rsidP="00AE7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6287D" w14:textId="1121DA44" w:rsidR="005C3668" w:rsidRDefault="005C3668" w:rsidP="00AE7CF9">
    <w:r w:rsidRPr="006920D1">
      <w:fldChar w:fldCharType="begin"/>
    </w:r>
    <w:r w:rsidRPr="006920D1">
      <w:instrText xml:space="preserve"> PAGE   \* MERGEFORMAT </w:instrText>
    </w:r>
    <w:r w:rsidRPr="006920D1">
      <w:fldChar w:fldCharType="separate"/>
    </w:r>
    <w:r w:rsidRPr="006920D1">
      <w:t>36</w:t>
    </w:r>
    <w:r w:rsidRPr="006920D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EBEAE" w14:textId="77777777" w:rsidR="005C3668" w:rsidRDefault="005C3668" w:rsidP="00AE7CF9">
    <w:pPr>
      <w:pStyle w:val="Footer"/>
    </w:pPr>
    <w:r w:rsidRPr="00C51DA2">
      <w:fldChar w:fldCharType="begin"/>
    </w:r>
    <w:r w:rsidRPr="00C51DA2">
      <w:instrText xml:space="preserve"> PAGE   \* MERGEFORMAT </w:instrText>
    </w:r>
    <w:r w:rsidRPr="00C51DA2">
      <w:fldChar w:fldCharType="separate"/>
    </w:r>
    <w:r>
      <w:t>5</w:t>
    </w:r>
    <w:r w:rsidRPr="00C51DA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97A1D" w14:textId="77777777" w:rsidR="00F4491C" w:rsidRDefault="00F4491C" w:rsidP="00930481">
      <w:pPr>
        <w:spacing w:after="0" w:line="240" w:lineRule="auto"/>
      </w:pPr>
      <w:r>
        <w:separator/>
      </w:r>
    </w:p>
  </w:footnote>
  <w:footnote w:type="continuationSeparator" w:id="0">
    <w:p w14:paraId="6B08F6F5" w14:textId="77777777" w:rsidR="00F4491C" w:rsidRDefault="00F4491C" w:rsidP="00930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403B7" w14:textId="77777777" w:rsidR="005C3668" w:rsidRPr="0070541D" w:rsidRDefault="005C3668" w:rsidP="00721377">
    <w:pPr>
      <w:pStyle w:val="a2"/>
    </w:pPr>
    <w:r w:rsidRPr="0070541D">
      <w:t>БЪЛГАРСКА ФОНДОВА БОРСА АД</w:t>
    </w:r>
  </w:p>
  <w:p w14:paraId="49AAC658" w14:textId="758328BD" w:rsidR="005C3668" w:rsidRPr="0070541D" w:rsidRDefault="005C3668" w:rsidP="00721377">
    <w:pPr>
      <w:pStyle w:val="a2"/>
    </w:pPr>
    <w:r>
      <w:rPr>
        <w:lang w:val="en-US"/>
      </w:rPr>
      <mc:AlternateContent>
        <mc:Choice Requires="wps">
          <w:drawing>
            <wp:anchor distT="4294967291" distB="4294967291" distL="114300" distR="114300" simplePos="0" relativeHeight="251658240" behindDoc="0" locked="0" layoutInCell="1" allowOverlap="1" wp14:anchorId="0C573F34" wp14:editId="3CA69716">
              <wp:simplePos x="0" y="0"/>
              <wp:positionH relativeFrom="margin">
                <wp:posOffset>-168275</wp:posOffset>
              </wp:positionH>
              <wp:positionV relativeFrom="paragraph">
                <wp:posOffset>172084</wp:posOffset>
              </wp:positionV>
              <wp:extent cx="603377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3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D80DA" id="Straight Connector 4" o:spid="_x0000_s1026" style="position:absolute;z-index:25166028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from="-13.25pt,13.55pt" to="461.8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oml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">
              <w10:wrap anchorx="margin"/>
            </v:line>
          </w:pict>
        </mc:Fallback>
      </mc:AlternateContent>
    </w:r>
    <w:r w:rsidRPr="0070541D">
      <w:t xml:space="preserve">МЕЖДИНЕН СЪКРАТЕН ИНДИВИДУАЛЕН ФИНАНСОВ ОТЧЕТ ЗА </w:t>
    </w:r>
    <w:r>
      <w:rPr>
        <w:lang w:val="bg-BG"/>
      </w:rPr>
      <w:t>ЧЕТВЪРТО</w:t>
    </w:r>
    <w:r w:rsidRPr="0070541D">
      <w:rPr>
        <w:lang w:val="bg-BG"/>
      </w:rPr>
      <w:t xml:space="preserve"> ТРИМЕСЕЧИЕ</w:t>
    </w:r>
    <w:r w:rsidRPr="0070541D">
      <w:t xml:space="preserve"> НА 2018 </w:t>
    </w:r>
    <w:r w:rsidRPr="0070541D">
      <w:rPr>
        <w:color w:val="000000" w:themeColor="text1"/>
      </w:rPr>
      <w:t>ГОДИНА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5FCA8" w14:textId="77777777" w:rsidR="005C3668" w:rsidRDefault="005C3668" w:rsidP="00AE7CF9">
    <w:r w:rsidRPr="00DB1B90">
      <w:t>БЪЛГАРСКА ФОНДОВА БОРСА – СОФИЯ АД</w:t>
    </w:r>
  </w:p>
  <w:p w14:paraId="475A932B" w14:textId="64090B54" w:rsidR="005C3668" w:rsidRDefault="005C3668" w:rsidP="00AE7CF9">
    <w:r w:rsidRPr="00BD4D19">
      <w:rPr>
        <w:highlight w:val="red"/>
      </w:rPr>
      <w:t>ИНДИВИДУАЛЕН ГОДИШЕН ФИНАНСОВ ОТЧЕТ</w:t>
    </w:r>
    <w:r>
      <w:rPr>
        <w:highlight w:val="red"/>
      </w:rPr>
      <w:t xml:space="preserve"> </w:t>
    </w:r>
    <w:r>
      <w:rPr>
        <w:noProof/>
        <w:lang w:val="en-US"/>
      </w:rPr>
      <mc:AlternateContent>
        <mc:Choice Requires="wps">
          <w:drawing>
            <wp:anchor distT="4294967291" distB="4294967291" distL="114300" distR="114300" simplePos="0" relativeHeight="251656192" behindDoc="0" locked="0" layoutInCell="1" allowOverlap="1" wp14:anchorId="0A20748D" wp14:editId="712643EF">
              <wp:simplePos x="0" y="0"/>
              <wp:positionH relativeFrom="column">
                <wp:posOffset>0</wp:posOffset>
              </wp:positionH>
              <wp:positionV relativeFrom="paragraph">
                <wp:posOffset>267969</wp:posOffset>
              </wp:positionV>
              <wp:extent cx="57785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D1981" id="Straight Connector 3"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21.1pt" to="45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8T9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"/>
          </w:pict>
        </mc:Fallback>
      </mc:AlternateContent>
    </w:r>
    <w:r w:rsidRPr="00BD4D19">
      <w:rPr>
        <w:highlight w:val="red"/>
      </w:rPr>
      <w:t>ЗА 2013 ГОДИНА</w:t>
    </w:r>
  </w:p>
  <w:p w14:paraId="78CCC62A" w14:textId="77777777" w:rsidR="005C3668" w:rsidRDefault="005C3668" w:rsidP="00AE7CF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326F8" w14:textId="77777777" w:rsidR="005C3668" w:rsidRDefault="005C3668" w:rsidP="00AE7CF9"/>
  <w:p w14:paraId="2C7AE0D8" w14:textId="77777777" w:rsidR="005C3668" w:rsidRDefault="005C3668" w:rsidP="00AE7CF9"/>
  <w:p w14:paraId="011095EA" w14:textId="77777777" w:rsidR="005C3668" w:rsidRDefault="005C3668" w:rsidP="00AE7CF9"/>
  <w:p w14:paraId="7453E482" w14:textId="77777777" w:rsidR="005C3668" w:rsidRDefault="005C3668" w:rsidP="00AE7CF9"/>
  <w:p w14:paraId="51723967" w14:textId="77777777" w:rsidR="005C3668" w:rsidRDefault="005C3668" w:rsidP="00AE7CF9"/>
  <w:p w14:paraId="2610F245" w14:textId="77777777" w:rsidR="005C3668" w:rsidRDefault="005C3668" w:rsidP="00AE7CF9"/>
  <w:p w14:paraId="732B1056" w14:textId="77777777" w:rsidR="005C3668" w:rsidRDefault="005C3668" w:rsidP="00AE7CF9"/>
  <w:p w14:paraId="561EBA30" w14:textId="77777777" w:rsidR="005C3668" w:rsidRDefault="005C3668" w:rsidP="00AE7CF9"/>
  <w:p w14:paraId="73D9A285" w14:textId="77777777" w:rsidR="005C3668" w:rsidRDefault="005C3668" w:rsidP="00AE7CF9"/>
  <w:p w14:paraId="7F3CB569" w14:textId="77777777" w:rsidR="005C3668" w:rsidRDefault="005C3668" w:rsidP="00AE7CF9"/>
  <w:p w14:paraId="570868F7" w14:textId="77777777" w:rsidR="005C3668" w:rsidRDefault="005C3668" w:rsidP="00AE7CF9"/>
  <w:p w14:paraId="78AFB441" w14:textId="77777777" w:rsidR="005C3668" w:rsidRDefault="005C3668" w:rsidP="00AE7CF9"/>
  <w:p w14:paraId="07A30A5E" w14:textId="77777777" w:rsidR="005C3668" w:rsidRDefault="005C3668" w:rsidP="00AE7CF9"/>
  <w:p w14:paraId="14D1693B" w14:textId="77777777" w:rsidR="005C3668" w:rsidRDefault="005C3668" w:rsidP="00AE7CF9"/>
  <w:p w14:paraId="40BEAEF0" w14:textId="77777777" w:rsidR="005C3668" w:rsidRDefault="005C3668" w:rsidP="00AE7CF9"/>
  <w:p w14:paraId="6E49F0FF" w14:textId="77777777" w:rsidR="005C3668" w:rsidRDefault="005C3668" w:rsidP="00AE7CF9"/>
  <w:p w14:paraId="25AF4F3D" w14:textId="77777777" w:rsidR="005C3668" w:rsidRDefault="005C3668" w:rsidP="00AE7CF9"/>
  <w:p w14:paraId="517FA084" w14:textId="77777777" w:rsidR="005C3668" w:rsidRDefault="005C3668" w:rsidP="00AE7CF9"/>
  <w:p w14:paraId="283DBB20" w14:textId="77777777" w:rsidR="005C3668" w:rsidRDefault="005C3668" w:rsidP="00AE7CF9"/>
  <w:p w14:paraId="634085ED" w14:textId="77777777" w:rsidR="005C3668" w:rsidRDefault="005C3668" w:rsidP="00AE7CF9"/>
  <w:p w14:paraId="3D5EC3FE" w14:textId="77777777" w:rsidR="005C3668" w:rsidRDefault="005C3668" w:rsidP="00AE7CF9"/>
  <w:p w14:paraId="7791BA84" w14:textId="77777777" w:rsidR="005C3668" w:rsidRDefault="005C3668" w:rsidP="00AE7CF9"/>
  <w:p w14:paraId="2CAD5297" w14:textId="77777777" w:rsidR="005C3668" w:rsidRDefault="005C3668" w:rsidP="00AE7CF9"/>
  <w:p w14:paraId="10462F6B" w14:textId="77777777" w:rsidR="005C3668" w:rsidRDefault="005C3668" w:rsidP="00AE7CF9"/>
  <w:p w14:paraId="6F95D710" w14:textId="77777777" w:rsidR="005C3668" w:rsidRDefault="005C3668" w:rsidP="00AE7CF9"/>
  <w:p w14:paraId="62686DAE" w14:textId="77777777" w:rsidR="005C3668" w:rsidRDefault="005C3668" w:rsidP="00AE7CF9"/>
  <w:p w14:paraId="5B44A991" w14:textId="77777777" w:rsidR="005C3668" w:rsidRDefault="005C3668" w:rsidP="00AE7CF9"/>
  <w:p w14:paraId="7429F517" w14:textId="77777777" w:rsidR="005C3668" w:rsidRDefault="005C3668" w:rsidP="00AE7CF9"/>
  <w:p w14:paraId="08AC7642" w14:textId="77777777" w:rsidR="005C3668" w:rsidRDefault="005C3668" w:rsidP="00AE7CF9"/>
  <w:p w14:paraId="5B41820A" w14:textId="77777777" w:rsidR="005C3668" w:rsidRDefault="005C3668" w:rsidP="00AE7CF9"/>
  <w:p w14:paraId="7B269F15" w14:textId="77777777" w:rsidR="005C3668" w:rsidRDefault="005C3668" w:rsidP="00AE7CF9"/>
  <w:p w14:paraId="13B1E696" w14:textId="77777777" w:rsidR="005C3668" w:rsidRDefault="005C3668" w:rsidP="00AE7CF9"/>
  <w:p w14:paraId="2AE7C902" w14:textId="77777777" w:rsidR="005C3668" w:rsidRDefault="005C3668" w:rsidP="00AE7CF9"/>
  <w:p w14:paraId="19171444" w14:textId="77777777" w:rsidR="005C3668" w:rsidRDefault="005C3668" w:rsidP="00AE7CF9"/>
  <w:p w14:paraId="25713392" w14:textId="77777777" w:rsidR="005C3668" w:rsidRDefault="005C3668" w:rsidP="00AE7CF9"/>
  <w:p w14:paraId="02D42ABB" w14:textId="77777777" w:rsidR="005C3668" w:rsidRDefault="005C3668" w:rsidP="00AE7CF9"/>
  <w:p w14:paraId="2077EE60" w14:textId="77777777" w:rsidR="005C3668" w:rsidRDefault="005C3668" w:rsidP="00AE7CF9"/>
  <w:p w14:paraId="34009353" w14:textId="77777777" w:rsidR="005C3668" w:rsidRDefault="005C3668" w:rsidP="00AE7CF9"/>
  <w:p w14:paraId="15209559" w14:textId="77777777" w:rsidR="005C3668" w:rsidRDefault="005C3668" w:rsidP="00AE7CF9"/>
  <w:p w14:paraId="1E0E21AB" w14:textId="77777777" w:rsidR="005C3668" w:rsidRDefault="005C3668" w:rsidP="00AE7CF9"/>
  <w:p w14:paraId="1F2E68A7" w14:textId="77777777" w:rsidR="005C3668" w:rsidRDefault="005C3668" w:rsidP="00AE7CF9"/>
  <w:p w14:paraId="527185BD" w14:textId="77777777" w:rsidR="005C3668" w:rsidRDefault="005C3668" w:rsidP="00AE7CF9"/>
  <w:p w14:paraId="682490E7" w14:textId="77777777" w:rsidR="005C3668" w:rsidRDefault="005C3668" w:rsidP="00AE7CF9"/>
  <w:p w14:paraId="5DD7E7AD" w14:textId="77777777" w:rsidR="005C3668" w:rsidRDefault="005C3668" w:rsidP="00AE7CF9"/>
  <w:p w14:paraId="3EDFB80E" w14:textId="77777777" w:rsidR="005C3668" w:rsidRDefault="005C3668" w:rsidP="00AE7CF9"/>
  <w:p w14:paraId="27A4D39E" w14:textId="77777777" w:rsidR="005C3668" w:rsidRDefault="005C3668" w:rsidP="00AE7CF9"/>
  <w:p w14:paraId="795728C4" w14:textId="77777777" w:rsidR="005C3668" w:rsidRDefault="005C3668" w:rsidP="00AE7CF9"/>
  <w:p w14:paraId="1FC3D546" w14:textId="77777777" w:rsidR="005C3668" w:rsidRDefault="005C3668" w:rsidP="00AE7CF9"/>
  <w:p w14:paraId="36D9B1D3" w14:textId="77777777" w:rsidR="005C3668" w:rsidRDefault="005C3668" w:rsidP="00AE7CF9"/>
  <w:p w14:paraId="5887CBDC" w14:textId="77777777" w:rsidR="005C3668" w:rsidRDefault="005C3668" w:rsidP="00AE7CF9"/>
  <w:p w14:paraId="6CA49973" w14:textId="77777777" w:rsidR="005C3668" w:rsidRDefault="005C3668" w:rsidP="00AE7CF9"/>
  <w:p w14:paraId="019FCB84" w14:textId="77777777" w:rsidR="005C3668" w:rsidRDefault="005C3668" w:rsidP="00AE7CF9"/>
  <w:p w14:paraId="6A4F2872" w14:textId="77777777" w:rsidR="005C3668" w:rsidRDefault="005C3668" w:rsidP="00AE7CF9"/>
  <w:p w14:paraId="79CF7EAB" w14:textId="77777777" w:rsidR="005C3668" w:rsidRDefault="005C3668" w:rsidP="00AE7CF9"/>
  <w:p w14:paraId="283B68F3" w14:textId="77777777" w:rsidR="005C3668" w:rsidRDefault="005C3668" w:rsidP="00AE7CF9"/>
  <w:p w14:paraId="0A35EB74" w14:textId="77777777" w:rsidR="005C3668" w:rsidRDefault="005C3668" w:rsidP="00AE7CF9"/>
  <w:p w14:paraId="519664F5" w14:textId="77777777" w:rsidR="005C3668" w:rsidRDefault="005C3668" w:rsidP="00AE7CF9"/>
  <w:p w14:paraId="11ABDE1A" w14:textId="77777777" w:rsidR="005C3668" w:rsidRDefault="005C3668" w:rsidP="00AE7CF9"/>
  <w:p w14:paraId="09744FC9" w14:textId="77777777" w:rsidR="005C3668" w:rsidRDefault="005C3668" w:rsidP="00AE7CF9"/>
  <w:p w14:paraId="4E25784F" w14:textId="77777777" w:rsidR="005C3668" w:rsidRDefault="005C3668" w:rsidP="00AE7CF9"/>
  <w:p w14:paraId="0E854193" w14:textId="77777777" w:rsidR="005C3668" w:rsidRDefault="005C3668" w:rsidP="00AE7CF9"/>
  <w:p w14:paraId="293153D5" w14:textId="77777777" w:rsidR="005C3668" w:rsidRDefault="005C3668" w:rsidP="00AE7CF9"/>
  <w:p w14:paraId="6469EB64" w14:textId="77777777" w:rsidR="005C3668" w:rsidRDefault="005C3668" w:rsidP="00AE7CF9"/>
  <w:p w14:paraId="4E785370" w14:textId="77777777" w:rsidR="005C3668" w:rsidRDefault="005C3668" w:rsidP="00AE7CF9"/>
  <w:p w14:paraId="7925D00B" w14:textId="77777777" w:rsidR="005C3668" w:rsidRDefault="005C3668" w:rsidP="00AE7CF9"/>
  <w:p w14:paraId="3AAB2677" w14:textId="77777777" w:rsidR="005C3668" w:rsidRDefault="005C3668" w:rsidP="00AE7CF9"/>
  <w:p w14:paraId="52EF6F6F" w14:textId="77777777" w:rsidR="005C3668" w:rsidRDefault="005C3668" w:rsidP="00AE7CF9"/>
  <w:p w14:paraId="4692C4C0" w14:textId="77777777" w:rsidR="005C3668" w:rsidRDefault="005C3668" w:rsidP="00AE7CF9"/>
  <w:p w14:paraId="0792C1E9" w14:textId="77777777" w:rsidR="005C3668" w:rsidRDefault="005C3668" w:rsidP="00AE7CF9"/>
  <w:p w14:paraId="2425B80D" w14:textId="77777777" w:rsidR="005C3668" w:rsidRDefault="005C3668" w:rsidP="00AE7CF9"/>
  <w:p w14:paraId="56128B3C" w14:textId="77777777" w:rsidR="005C3668" w:rsidRDefault="005C3668" w:rsidP="00AE7CF9"/>
  <w:p w14:paraId="207465B3" w14:textId="77777777" w:rsidR="005C3668" w:rsidRDefault="005C3668" w:rsidP="00AE7CF9"/>
  <w:p w14:paraId="2C6E42E5" w14:textId="77777777" w:rsidR="005C3668" w:rsidRDefault="005C3668" w:rsidP="00AE7CF9"/>
  <w:p w14:paraId="1D090DE1" w14:textId="77777777" w:rsidR="005C3668" w:rsidRDefault="005C3668" w:rsidP="00AE7CF9"/>
  <w:p w14:paraId="7F663D89" w14:textId="77777777" w:rsidR="005C3668" w:rsidRDefault="005C3668" w:rsidP="00AE7CF9"/>
  <w:p w14:paraId="1053B7F2" w14:textId="77777777" w:rsidR="005C3668" w:rsidRDefault="005C3668" w:rsidP="00AE7CF9"/>
  <w:p w14:paraId="76C46619" w14:textId="77777777" w:rsidR="005C3668" w:rsidRDefault="005C3668" w:rsidP="00AE7CF9"/>
  <w:p w14:paraId="678DCD35" w14:textId="77777777" w:rsidR="005C3668" w:rsidRDefault="005C3668" w:rsidP="00AE7CF9"/>
  <w:p w14:paraId="46065B78" w14:textId="77777777" w:rsidR="005C3668" w:rsidRDefault="005C3668" w:rsidP="00AE7CF9"/>
  <w:p w14:paraId="7CEFF60A" w14:textId="77777777" w:rsidR="005C3668" w:rsidRDefault="005C3668" w:rsidP="00AE7CF9"/>
  <w:p w14:paraId="1CBEC99B" w14:textId="77777777" w:rsidR="005C3668" w:rsidRDefault="005C3668" w:rsidP="00AE7CF9"/>
  <w:p w14:paraId="5E490F68" w14:textId="77777777" w:rsidR="005C3668" w:rsidRDefault="005C3668" w:rsidP="00AE7CF9"/>
  <w:p w14:paraId="33E0E94A" w14:textId="77777777" w:rsidR="005C3668" w:rsidRDefault="005C3668" w:rsidP="00AE7CF9"/>
  <w:p w14:paraId="566293EC" w14:textId="77777777" w:rsidR="005C3668" w:rsidRDefault="005C3668" w:rsidP="00AE7CF9"/>
  <w:p w14:paraId="1ED1AEFC" w14:textId="77777777" w:rsidR="005C3668" w:rsidRDefault="005C3668" w:rsidP="00AE7CF9"/>
  <w:p w14:paraId="6D32C2C0" w14:textId="77777777" w:rsidR="005C3668" w:rsidRDefault="005C3668" w:rsidP="00AE7CF9"/>
  <w:p w14:paraId="4F662B59" w14:textId="77777777" w:rsidR="005C3668" w:rsidRDefault="005C3668" w:rsidP="00AE7CF9"/>
  <w:p w14:paraId="1D99C8E1" w14:textId="77777777" w:rsidR="005C3668" w:rsidRDefault="005C3668" w:rsidP="00AE7CF9"/>
  <w:p w14:paraId="2FBC2785" w14:textId="77777777" w:rsidR="005C3668" w:rsidRDefault="005C3668" w:rsidP="00AE7CF9"/>
  <w:p w14:paraId="6044F39A" w14:textId="77777777" w:rsidR="005C3668" w:rsidRDefault="005C3668" w:rsidP="00AE7CF9"/>
  <w:p w14:paraId="5042566D" w14:textId="77777777" w:rsidR="005C3668" w:rsidRDefault="005C3668" w:rsidP="00AE7CF9"/>
  <w:p w14:paraId="1BFA7AA0" w14:textId="77777777" w:rsidR="005C3668" w:rsidRDefault="005C3668" w:rsidP="00AE7CF9"/>
  <w:p w14:paraId="733F1C98" w14:textId="77777777" w:rsidR="005C3668" w:rsidRDefault="005C3668" w:rsidP="00AE7CF9"/>
  <w:p w14:paraId="5738F691" w14:textId="77777777" w:rsidR="005C3668" w:rsidRDefault="005C3668" w:rsidP="00AE7CF9"/>
  <w:p w14:paraId="3F58028D" w14:textId="77777777" w:rsidR="005C3668" w:rsidRDefault="005C3668" w:rsidP="00AE7CF9"/>
  <w:p w14:paraId="2E66A7F3" w14:textId="77777777" w:rsidR="005C3668" w:rsidRDefault="005C3668" w:rsidP="00AE7CF9"/>
  <w:p w14:paraId="3345EF1E" w14:textId="77777777" w:rsidR="005C3668" w:rsidRDefault="005C3668" w:rsidP="00AE7CF9"/>
  <w:p w14:paraId="1CF32393" w14:textId="77777777" w:rsidR="005C3668" w:rsidRDefault="005C3668" w:rsidP="00AE7CF9"/>
  <w:p w14:paraId="36A8716E" w14:textId="77777777" w:rsidR="005C3668" w:rsidRDefault="005C3668" w:rsidP="00AE7CF9"/>
  <w:p w14:paraId="7714572F" w14:textId="77777777" w:rsidR="005C3668" w:rsidRDefault="005C3668" w:rsidP="00AE7CF9"/>
  <w:p w14:paraId="62619830" w14:textId="77777777" w:rsidR="005C3668" w:rsidRDefault="005C3668" w:rsidP="00AE7CF9"/>
  <w:p w14:paraId="55185BDA" w14:textId="77777777" w:rsidR="005C3668" w:rsidRDefault="005C3668" w:rsidP="00AE7CF9"/>
  <w:p w14:paraId="2288A20C" w14:textId="77777777" w:rsidR="005C3668" w:rsidRDefault="005C3668" w:rsidP="00AE7CF9"/>
  <w:p w14:paraId="6EBD76C1" w14:textId="77777777" w:rsidR="005C3668" w:rsidRDefault="005C3668" w:rsidP="00AE7CF9"/>
  <w:p w14:paraId="7581C67E" w14:textId="77777777" w:rsidR="005C3668" w:rsidRDefault="005C3668" w:rsidP="00AE7CF9"/>
  <w:p w14:paraId="0EA8BDB2" w14:textId="77777777" w:rsidR="005C3668" w:rsidRDefault="005C3668" w:rsidP="00AE7CF9"/>
  <w:p w14:paraId="7A821B1F" w14:textId="77777777" w:rsidR="005C3668" w:rsidRDefault="005C3668" w:rsidP="00AE7CF9"/>
  <w:p w14:paraId="6C575CB6" w14:textId="77777777" w:rsidR="005C3668" w:rsidRDefault="005C3668" w:rsidP="00AE7CF9"/>
  <w:p w14:paraId="6E8C940C" w14:textId="77777777" w:rsidR="005C3668" w:rsidRDefault="005C3668" w:rsidP="00AE7CF9"/>
  <w:p w14:paraId="221879C9" w14:textId="77777777" w:rsidR="005C3668" w:rsidRDefault="005C3668" w:rsidP="00AE7CF9"/>
  <w:p w14:paraId="2004DD60" w14:textId="77777777" w:rsidR="005C3668" w:rsidRDefault="005C3668" w:rsidP="00AE7CF9"/>
  <w:p w14:paraId="75AD7F0B" w14:textId="77777777" w:rsidR="005C3668" w:rsidRDefault="005C3668" w:rsidP="00AE7CF9"/>
  <w:p w14:paraId="1BEFBAAA" w14:textId="77777777" w:rsidR="005C3668" w:rsidRDefault="005C3668" w:rsidP="00AE7CF9"/>
  <w:p w14:paraId="56D8D45D" w14:textId="77777777" w:rsidR="005C3668" w:rsidRDefault="005C3668" w:rsidP="00AE7CF9"/>
  <w:p w14:paraId="5757CDFF" w14:textId="77777777" w:rsidR="005C3668" w:rsidRDefault="005C3668" w:rsidP="00AE7CF9"/>
  <w:p w14:paraId="5E86A426" w14:textId="77777777" w:rsidR="005C3668" w:rsidRDefault="005C3668" w:rsidP="00AE7CF9"/>
  <w:p w14:paraId="6E5430F3" w14:textId="77777777" w:rsidR="005C3668" w:rsidRDefault="005C3668" w:rsidP="00AE7CF9"/>
  <w:p w14:paraId="2EE6D0BE" w14:textId="77777777" w:rsidR="005C3668" w:rsidRDefault="005C3668" w:rsidP="00AE7CF9"/>
  <w:p w14:paraId="67E2C33E" w14:textId="77777777" w:rsidR="005C3668" w:rsidRDefault="005C3668" w:rsidP="00AE7CF9"/>
  <w:p w14:paraId="01690089" w14:textId="77777777" w:rsidR="005C3668" w:rsidRDefault="005C3668" w:rsidP="00AE7CF9"/>
  <w:p w14:paraId="34464789" w14:textId="77777777" w:rsidR="005C3668" w:rsidRDefault="005C3668" w:rsidP="00AE7CF9"/>
  <w:p w14:paraId="07331C5B" w14:textId="77777777" w:rsidR="005C3668" w:rsidRDefault="005C3668" w:rsidP="00AE7CF9"/>
  <w:p w14:paraId="4ED375E9" w14:textId="77777777" w:rsidR="005C3668" w:rsidRDefault="005C3668" w:rsidP="00AE7CF9"/>
  <w:p w14:paraId="215F393C" w14:textId="77777777" w:rsidR="005C3668" w:rsidRDefault="005C3668" w:rsidP="00AE7CF9"/>
  <w:p w14:paraId="5D237CD3" w14:textId="77777777" w:rsidR="005C3668" w:rsidRDefault="005C3668" w:rsidP="00AE7CF9"/>
  <w:p w14:paraId="3578962D" w14:textId="77777777" w:rsidR="005C3668" w:rsidRDefault="005C3668" w:rsidP="00AE7CF9"/>
  <w:p w14:paraId="6E2608EC" w14:textId="77777777" w:rsidR="005C3668" w:rsidRDefault="005C3668" w:rsidP="00AE7CF9"/>
  <w:p w14:paraId="44313800" w14:textId="77777777" w:rsidR="005C3668" w:rsidRDefault="005C3668" w:rsidP="00AE7CF9"/>
  <w:p w14:paraId="2F3E31FD" w14:textId="77777777" w:rsidR="005C3668" w:rsidRDefault="005C3668" w:rsidP="00AE7CF9"/>
  <w:p w14:paraId="00109686" w14:textId="77777777" w:rsidR="005C3668" w:rsidRDefault="005C3668" w:rsidP="00AE7CF9"/>
  <w:p w14:paraId="176B3D77" w14:textId="77777777" w:rsidR="005C3668" w:rsidRDefault="005C3668" w:rsidP="00AE7CF9"/>
  <w:p w14:paraId="0821CD36" w14:textId="77777777" w:rsidR="005C3668" w:rsidRDefault="005C3668" w:rsidP="00AE7CF9"/>
  <w:p w14:paraId="13CA3C9F" w14:textId="77777777" w:rsidR="005C3668" w:rsidRDefault="005C3668" w:rsidP="00AE7CF9"/>
  <w:p w14:paraId="5084634A" w14:textId="77777777" w:rsidR="005C3668" w:rsidRDefault="005C3668" w:rsidP="00AE7CF9"/>
  <w:p w14:paraId="01E1F921" w14:textId="77777777" w:rsidR="005C3668" w:rsidRDefault="005C3668" w:rsidP="00AE7CF9"/>
  <w:p w14:paraId="551F0FD3" w14:textId="77777777" w:rsidR="005C3668" w:rsidRDefault="005C3668" w:rsidP="00AE7CF9"/>
  <w:p w14:paraId="23AEEB45" w14:textId="77777777" w:rsidR="005C3668" w:rsidRDefault="005C3668" w:rsidP="00AE7CF9"/>
  <w:p w14:paraId="088489D7" w14:textId="77777777" w:rsidR="005C3668" w:rsidRDefault="005C3668" w:rsidP="00AE7CF9"/>
  <w:p w14:paraId="5FA8B36D" w14:textId="77777777" w:rsidR="005C3668" w:rsidRDefault="005C3668" w:rsidP="00AE7CF9"/>
  <w:p w14:paraId="65F850E2" w14:textId="77777777" w:rsidR="005C3668" w:rsidRDefault="005C3668" w:rsidP="00AE7CF9"/>
  <w:p w14:paraId="0243EAB6" w14:textId="77777777" w:rsidR="005C3668" w:rsidRDefault="005C3668" w:rsidP="00AE7CF9"/>
  <w:p w14:paraId="028FFE38" w14:textId="77777777" w:rsidR="005C3668" w:rsidRDefault="005C3668" w:rsidP="00AE7CF9"/>
  <w:p w14:paraId="6918635D" w14:textId="77777777" w:rsidR="005C3668" w:rsidRDefault="005C3668" w:rsidP="00AE7CF9"/>
  <w:p w14:paraId="67A8E063" w14:textId="77777777" w:rsidR="005C3668" w:rsidRDefault="005C3668" w:rsidP="00AE7CF9"/>
  <w:p w14:paraId="54B526F5" w14:textId="77777777" w:rsidR="005C3668" w:rsidRDefault="005C3668" w:rsidP="00AE7CF9"/>
  <w:p w14:paraId="44A45B8C" w14:textId="77777777" w:rsidR="005C3668" w:rsidRDefault="005C3668" w:rsidP="00AE7CF9"/>
  <w:p w14:paraId="7058DBD4" w14:textId="77777777" w:rsidR="005C3668" w:rsidRDefault="005C3668" w:rsidP="00AE7CF9"/>
  <w:p w14:paraId="1BF64948" w14:textId="77777777" w:rsidR="005C3668" w:rsidRDefault="005C3668" w:rsidP="00AE7CF9"/>
  <w:p w14:paraId="52660CF9" w14:textId="77777777" w:rsidR="005C3668" w:rsidRDefault="005C3668" w:rsidP="00AE7CF9"/>
  <w:p w14:paraId="300C80AD" w14:textId="77777777" w:rsidR="005C3668" w:rsidRDefault="005C3668" w:rsidP="00AE7CF9"/>
  <w:p w14:paraId="6AB14CFA" w14:textId="77777777" w:rsidR="005C3668" w:rsidRDefault="005C3668" w:rsidP="00AE7CF9"/>
  <w:p w14:paraId="2EE314BF" w14:textId="77777777" w:rsidR="005C3668" w:rsidRDefault="005C3668" w:rsidP="00AE7CF9"/>
  <w:p w14:paraId="589FBBE0" w14:textId="77777777" w:rsidR="005C3668" w:rsidRDefault="005C3668" w:rsidP="00AE7CF9"/>
  <w:p w14:paraId="02F76E13" w14:textId="77777777" w:rsidR="005C3668" w:rsidRDefault="005C3668" w:rsidP="00AE7CF9"/>
  <w:p w14:paraId="69467F61" w14:textId="77777777" w:rsidR="005C3668" w:rsidRDefault="005C3668" w:rsidP="00AE7CF9"/>
  <w:p w14:paraId="50919A16" w14:textId="77777777" w:rsidR="005C3668" w:rsidRDefault="005C3668" w:rsidP="00AE7CF9"/>
  <w:p w14:paraId="7CD11368" w14:textId="77777777" w:rsidR="005C3668" w:rsidRDefault="005C3668" w:rsidP="00AE7CF9"/>
  <w:p w14:paraId="7BE27FAD" w14:textId="77777777" w:rsidR="005C3668" w:rsidRDefault="005C3668" w:rsidP="00AE7CF9"/>
  <w:p w14:paraId="3B491CA3" w14:textId="77777777" w:rsidR="005C3668" w:rsidRDefault="005C3668" w:rsidP="00AE7CF9"/>
  <w:p w14:paraId="7EDC7EBD" w14:textId="77777777" w:rsidR="005C3668" w:rsidRDefault="005C3668" w:rsidP="00AE7CF9"/>
  <w:p w14:paraId="6BF71D95" w14:textId="77777777" w:rsidR="005C3668" w:rsidRDefault="005C3668" w:rsidP="00AE7CF9"/>
  <w:p w14:paraId="0236BFF7" w14:textId="77777777" w:rsidR="005C3668" w:rsidRDefault="005C3668" w:rsidP="00AE7CF9"/>
  <w:p w14:paraId="096F0A53" w14:textId="77777777" w:rsidR="005C3668" w:rsidRDefault="005C3668" w:rsidP="00AE7CF9"/>
  <w:p w14:paraId="03EBD059" w14:textId="77777777" w:rsidR="005C3668" w:rsidRDefault="005C3668" w:rsidP="00AE7CF9"/>
  <w:p w14:paraId="08A4A7AA" w14:textId="77777777" w:rsidR="005C3668" w:rsidRDefault="005C3668" w:rsidP="00AE7CF9"/>
  <w:p w14:paraId="2FC0D7F7" w14:textId="77777777" w:rsidR="005C3668" w:rsidRDefault="005C3668" w:rsidP="00AE7CF9"/>
  <w:p w14:paraId="1429DBF1" w14:textId="77777777" w:rsidR="005C3668" w:rsidRDefault="005C3668" w:rsidP="00AE7CF9"/>
  <w:p w14:paraId="24E76024" w14:textId="77777777" w:rsidR="005C3668" w:rsidRDefault="005C3668" w:rsidP="00AE7CF9"/>
  <w:p w14:paraId="5B600E05" w14:textId="77777777" w:rsidR="005C3668" w:rsidRDefault="005C3668" w:rsidP="00AE7CF9"/>
  <w:p w14:paraId="0F06BC36" w14:textId="77777777" w:rsidR="005C3668" w:rsidRDefault="005C3668" w:rsidP="00AE7CF9"/>
  <w:p w14:paraId="106F0C15" w14:textId="77777777" w:rsidR="005C3668" w:rsidRDefault="005C3668" w:rsidP="00AE7CF9"/>
  <w:p w14:paraId="0F2F3868" w14:textId="77777777" w:rsidR="005C3668" w:rsidRDefault="005C3668" w:rsidP="00AE7CF9"/>
  <w:p w14:paraId="219398CB" w14:textId="77777777" w:rsidR="005C3668" w:rsidRDefault="005C3668" w:rsidP="00AE7CF9"/>
  <w:p w14:paraId="36596143" w14:textId="77777777" w:rsidR="005C3668" w:rsidRDefault="005C3668" w:rsidP="00AE7CF9"/>
  <w:p w14:paraId="1DF5260D" w14:textId="77777777" w:rsidR="005C3668" w:rsidRDefault="005C3668" w:rsidP="00AE7CF9"/>
  <w:p w14:paraId="60C18AFA" w14:textId="77777777" w:rsidR="005C3668" w:rsidRDefault="005C3668" w:rsidP="00AE7CF9"/>
  <w:p w14:paraId="7BFD72E1" w14:textId="77777777" w:rsidR="005C3668" w:rsidRDefault="005C3668" w:rsidP="00AE7CF9"/>
  <w:p w14:paraId="452D2EAE" w14:textId="77777777" w:rsidR="005C3668" w:rsidRDefault="005C3668" w:rsidP="00AE7CF9"/>
  <w:p w14:paraId="7164964F" w14:textId="77777777" w:rsidR="005C3668" w:rsidRDefault="005C3668" w:rsidP="00AE7CF9"/>
  <w:p w14:paraId="3AE75161" w14:textId="77777777" w:rsidR="005C3668" w:rsidRDefault="005C3668" w:rsidP="00AE7CF9"/>
  <w:p w14:paraId="5729D9AB" w14:textId="77777777" w:rsidR="005C3668" w:rsidRDefault="005C3668" w:rsidP="00AE7CF9"/>
  <w:p w14:paraId="7B905061" w14:textId="77777777" w:rsidR="005C3668" w:rsidRDefault="005C3668" w:rsidP="00AE7CF9"/>
  <w:p w14:paraId="6A68A294" w14:textId="77777777" w:rsidR="005C3668" w:rsidRDefault="005C3668" w:rsidP="00AE7CF9"/>
  <w:p w14:paraId="4B320605" w14:textId="77777777" w:rsidR="005C3668" w:rsidRDefault="005C3668" w:rsidP="00AE7CF9"/>
  <w:p w14:paraId="591DCA20" w14:textId="77777777" w:rsidR="005C3668" w:rsidRDefault="005C3668" w:rsidP="00AE7CF9"/>
  <w:p w14:paraId="66E0256F" w14:textId="77777777" w:rsidR="005C3668" w:rsidRDefault="005C3668" w:rsidP="00AE7CF9"/>
  <w:p w14:paraId="4008FE2C" w14:textId="77777777" w:rsidR="005C3668" w:rsidRDefault="005C3668" w:rsidP="00AE7CF9"/>
  <w:p w14:paraId="340BB893" w14:textId="77777777" w:rsidR="005C3668" w:rsidRDefault="005C3668" w:rsidP="00AE7CF9"/>
  <w:p w14:paraId="40B4AA08" w14:textId="77777777" w:rsidR="005C3668" w:rsidRDefault="005C3668" w:rsidP="00AE7CF9"/>
  <w:p w14:paraId="6DEBCB72" w14:textId="77777777" w:rsidR="005C3668" w:rsidRDefault="005C3668" w:rsidP="00AE7CF9"/>
  <w:p w14:paraId="09E8CCC1" w14:textId="77777777" w:rsidR="005C3668" w:rsidRDefault="005C3668" w:rsidP="00AE7CF9"/>
  <w:p w14:paraId="4303B0CD" w14:textId="77777777" w:rsidR="005C3668" w:rsidRDefault="005C3668" w:rsidP="00AE7CF9"/>
  <w:p w14:paraId="7FA27426" w14:textId="77777777" w:rsidR="005C3668" w:rsidRDefault="005C3668" w:rsidP="00AE7CF9"/>
  <w:p w14:paraId="164EC12E" w14:textId="77777777" w:rsidR="005C3668" w:rsidRDefault="005C3668" w:rsidP="00AE7CF9"/>
  <w:p w14:paraId="6655C06D" w14:textId="77777777" w:rsidR="005C3668" w:rsidRDefault="005C3668" w:rsidP="00AE7CF9"/>
  <w:p w14:paraId="02C3F0B7" w14:textId="77777777" w:rsidR="005C3668" w:rsidRDefault="005C3668" w:rsidP="00AE7CF9"/>
  <w:p w14:paraId="31F64B29" w14:textId="77777777" w:rsidR="005C3668" w:rsidRDefault="005C3668" w:rsidP="00AE7CF9"/>
  <w:p w14:paraId="50AE43F4" w14:textId="77777777" w:rsidR="005C3668" w:rsidRDefault="005C3668" w:rsidP="00AE7CF9"/>
  <w:p w14:paraId="4871D33D" w14:textId="77777777" w:rsidR="005C3668" w:rsidRDefault="005C3668" w:rsidP="00AE7CF9"/>
  <w:p w14:paraId="51C19EB4" w14:textId="77777777" w:rsidR="005C3668" w:rsidRDefault="005C3668" w:rsidP="00AE7CF9"/>
  <w:p w14:paraId="0BF24D8A" w14:textId="77777777" w:rsidR="005C3668" w:rsidRDefault="005C3668" w:rsidP="00AE7CF9"/>
  <w:p w14:paraId="69955B0E" w14:textId="77777777" w:rsidR="005C3668" w:rsidRDefault="005C3668" w:rsidP="00AE7CF9"/>
  <w:p w14:paraId="21D32392" w14:textId="77777777" w:rsidR="005C3668" w:rsidRDefault="005C3668" w:rsidP="00AE7CF9"/>
  <w:p w14:paraId="3C0858B4" w14:textId="77777777" w:rsidR="005C3668" w:rsidRDefault="005C3668" w:rsidP="00AE7CF9"/>
  <w:p w14:paraId="273FC1DE" w14:textId="77777777" w:rsidR="005C3668" w:rsidRDefault="005C3668" w:rsidP="00AE7CF9"/>
  <w:p w14:paraId="53FD1845" w14:textId="77777777" w:rsidR="005C3668" w:rsidRDefault="005C3668" w:rsidP="00AE7CF9"/>
  <w:p w14:paraId="2F98F8DE" w14:textId="77777777" w:rsidR="005C3668" w:rsidRDefault="005C3668" w:rsidP="00AE7CF9"/>
  <w:p w14:paraId="1A902269" w14:textId="77777777" w:rsidR="005C3668" w:rsidRDefault="005C3668" w:rsidP="00AE7CF9"/>
  <w:p w14:paraId="2684CDBE" w14:textId="77777777" w:rsidR="005C3668" w:rsidRDefault="005C3668" w:rsidP="00AE7CF9"/>
  <w:p w14:paraId="4FD5C352" w14:textId="77777777" w:rsidR="005C3668" w:rsidRDefault="005C3668" w:rsidP="00AE7CF9"/>
  <w:p w14:paraId="56B2FDB3" w14:textId="77777777" w:rsidR="005C3668" w:rsidRDefault="005C3668" w:rsidP="00AE7CF9"/>
  <w:p w14:paraId="2BBB9EDC" w14:textId="77777777" w:rsidR="005C3668" w:rsidRDefault="005C3668" w:rsidP="00AE7CF9"/>
  <w:p w14:paraId="57CA27CD" w14:textId="77777777" w:rsidR="005C3668" w:rsidRDefault="005C3668" w:rsidP="00AE7CF9"/>
  <w:p w14:paraId="0165C110" w14:textId="77777777" w:rsidR="005C3668" w:rsidRDefault="005C3668" w:rsidP="00AE7CF9"/>
  <w:p w14:paraId="37AC3145" w14:textId="77777777" w:rsidR="005C3668" w:rsidRDefault="005C3668" w:rsidP="00AE7CF9"/>
  <w:p w14:paraId="63EAEF38" w14:textId="77777777" w:rsidR="005C3668" w:rsidRDefault="005C3668" w:rsidP="00AE7CF9"/>
  <w:p w14:paraId="46E823C4" w14:textId="77777777" w:rsidR="005C3668" w:rsidRDefault="005C3668" w:rsidP="00AE7CF9"/>
  <w:p w14:paraId="52B0E9AC" w14:textId="77777777" w:rsidR="005C3668" w:rsidRDefault="005C3668" w:rsidP="00AE7CF9"/>
  <w:p w14:paraId="680152A9" w14:textId="77777777" w:rsidR="005C3668" w:rsidRDefault="005C3668" w:rsidP="00AE7CF9"/>
  <w:p w14:paraId="15CCFBCF" w14:textId="77777777" w:rsidR="005C3668" w:rsidRDefault="005C3668" w:rsidP="00AE7CF9"/>
  <w:p w14:paraId="73E4E294" w14:textId="77777777" w:rsidR="005C3668" w:rsidRDefault="005C3668" w:rsidP="00AE7CF9"/>
  <w:p w14:paraId="2ED53251" w14:textId="77777777" w:rsidR="005C3668" w:rsidRDefault="005C3668" w:rsidP="00AE7CF9"/>
  <w:p w14:paraId="43F80C4A" w14:textId="77777777" w:rsidR="005C3668" w:rsidRDefault="005C3668" w:rsidP="00AE7CF9"/>
  <w:p w14:paraId="1DFC5BEF" w14:textId="77777777" w:rsidR="005C3668" w:rsidRDefault="005C3668" w:rsidP="00AE7CF9"/>
  <w:p w14:paraId="755FAC9F" w14:textId="77777777" w:rsidR="005C3668" w:rsidRDefault="005C3668" w:rsidP="00AE7CF9"/>
  <w:p w14:paraId="726E56EE" w14:textId="77777777" w:rsidR="005C3668" w:rsidRDefault="005C3668" w:rsidP="00AE7CF9"/>
  <w:p w14:paraId="0E09DC61" w14:textId="77777777" w:rsidR="005C3668" w:rsidRDefault="005C3668" w:rsidP="00AE7CF9"/>
  <w:p w14:paraId="2B5828B7" w14:textId="77777777" w:rsidR="005C3668" w:rsidRDefault="005C3668" w:rsidP="00AE7CF9"/>
  <w:p w14:paraId="701EC626" w14:textId="77777777" w:rsidR="005C3668" w:rsidRDefault="005C3668" w:rsidP="00AE7CF9"/>
  <w:p w14:paraId="67A49F8E" w14:textId="77777777" w:rsidR="005C3668" w:rsidRDefault="005C3668" w:rsidP="00AE7CF9"/>
  <w:p w14:paraId="3189FF40" w14:textId="77777777" w:rsidR="005C3668" w:rsidRDefault="005C3668" w:rsidP="00AE7CF9"/>
  <w:p w14:paraId="16120CF9" w14:textId="77777777" w:rsidR="005C3668" w:rsidRDefault="005C3668" w:rsidP="00AE7CF9"/>
  <w:p w14:paraId="4D887450" w14:textId="77777777" w:rsidR="005C3668" w:rsidRDefault="005C3668" w:rsidP="00AE7CF9"/>
  <w:p w14:paraId="06E30253" w14:textId="77777777" w:rsidR="005C3668" w:rsidRDefault="005C3668" w:rsidP="00AE7CF9"/>
  <w:p w14:paraId="4DDCD4C9" w14:textId="77777777" w:rsidR="005C3668" w:rsidRDefault="005C3668" w:rsidP="00AE7CF9"/>
  <w:p w14:paraId="2BDC0A6C" w14:textId="77777777" w:rsidR="005C3668" w:rsidRDefault="005C3668" w:rsidP="00AE7CF9"/>
  <w:p w14:paraId="33889E30" w14:textId="77777777" w:rsidR="005C3668" w:rsidRDefault="005C3668" w:rsidP="00AE7CF9"/>
  <w:p w14:paraId="1B295FD2" w14:textId="77777777" w:rsidR="005C3668" w:rsidRDefault="005C3668" w:rsidP="00AE7CF9"/>
  <w:p w14:paraId="1D4DC09A" w14:textId="77777777" w:rsidR="005C3668" w:rsidRDefault="005C3668" w:rsidP="00AE7CF9"/>
  <w:p w14:paraId="4AE28818" w14:textId="77777777" w:rsidR="005C3668" w:rsidRDefault="005C3668" w:rsidP="00AE7CF9"/>
  <w:p w14:paraId="6F8BEABD" w14:textId="77777777" w:rsidR="005C3668" w:rsidRDefault="005C3668" w:rsidP="00AE7CF9"/>
  <w:p w14:paraId="65B955AF" w14:textId="77777777" w:rsidR="005C3668" w:rsidRDefault="005C3668" w:rsidP="00AE7CF9"/>
  <w:p w14:paraId="121912B0" w14:textId="77777777" w:rsidR="005C3668" w:rsidRDefault="005C3668" w:rsidP="00AE7CF9"/>
  <w:p w14:paraId="66EEA3EE" w14:textId="77777777" w:rsidR="005C3668" w:rsidRDefault="005C3668" w:rsidP="00AE7CF9"/>
  <w:p w14:paraId="6C13D1ED" w14:textId="77777777" w:rsidR="005C3668" w:rsidRDefault="005C3668" w:rsidP="00AE7CF9"/>
  <w:p w14:paraId="4F696396" w14:textId="77777777" w:rsidR="005C3668" w:rsidRDefault="005C3668" w:rsidP="00AE7CF9"/>
  <w:p w14:paraId="191E6050" w14:textId="77777777" w:rsidR="005C3668" w:rsidRDefault="005C3668" w:rsidP="00AE7CF9"/>
  <w:p w14:paraId="3D61A957" w14:textId="77777777" w:rsidR="005C3668" w:rsidRDefault="005C3668" w:rsidP="00AE7CF9"/>
  <w:p w14:paraId="66AA44FF" w14:textId="77777777" w:rsidR="005C3668" w:rsidRDefault="005C3668" w:rsidP="00AE7CF9"/>
  <w:p w14:paraId="2D25D509" w14:textId="77777777" w:rsidR="005C3668" w:rsidRDefault="005C3668" w:rsidP="00AE7CF9"/>
  <w:p w14:paraId="1F6A916A" w14:textId="77777777" w:rsidR="005C3668" w:rsidRDefault="005C3668" w:rsidP="00AE7CF9"/>
  <w:p w14:paraId="56594C80" w14:textId="77777777" w:rsidR="005C3668" w:rsidRDefault="005C3668" w:rsidP="00AE7CF9"/>
  <w:p w14:paraId="3AD89ECC" w14:textId="77777777" w:rsidR="005C3668" w:rsidRDefault="005C3668" w:rsidP="00AE7CF9"/>
  <w:p w14:paraId="2350B8D9" w14:textId="77777777" w:rsidR="005C3668" w:rsidRDefault="005C3668" w:rsidP="00AE7CF9"/>
  <w:p w14:paraId="6AD03445" w14:textId="77777777" w:rsidR="005C3668" w:rsidRDefault="005C3668" w:rsidP="00AE7CF9"/>
  <w:p w14:paraId="50723A4B" w14:textId="77777777" w:rsidR="005C3668" w:rsidRDefault="005C3668" w:rsidP="00AE7CF9"/>
  <w:p w14:paraId="49333992" w14:textId="77777777" w:rsidR="005C3668" w:rsidRDefault="005C3668" w:rsidP="00AE7CF9"/>
  <w:p w14:paraId="4D346636" w14:textId="77777777" w:rsidR="005C3668" w:rsidRDefault="005C3668" w:rsidP="00AE7CF9"/>
  <w:p w14:paraId="6E420D17" w14:textId="77777777" w:rsidR="005C3668" w:rsidRDefault="005C3668" w:rsidP="00AE7CF9"/>
  <w:p w14:paraId="76FD25A3" w14:textId="77777777" w:rsidR="005C3668" w:rsidRDefault="005C3668" w:rsidP="00AE7CF9"/>
  <w:p w14:paraId="6899C8D6" w14:textId="77777777" w:rsidR="005C3668" w:rsidRDefault="005C3668" w:rsidP="00AE7CF9"/>
  <w:p w14:paraId="6EBAA5DC" w14:textId="77777777" w:rsidR="005C3668" w:rsidRDefault="005C3668" w:rsidP="00AE7CF9"/>
  <w:p w14:paraId="0979ED40" w14:textId="77777777" w:rsidR="005C3668" w:rsidRDefault="005C3668" w:rsidP="00AE7CF9"/>
  <w:p w14:paraId="258F5B56" w14:textId="77777777" w:rsidR="005C3668" w:rsidRDefault="005C3668" w:rsidP="00AE7CF9"/>
  <w:p w14:paraId="07AFB6BB" w14:textId="77777777" w:rsidR="005C3668" w:rsidRDefault="005C3668" w:rsidP="00AE7CF9"/>
  <w:p w14:paraId="7B01D828" w14:textId="77777777" w:rsidR="005C3668" w:rsidRDefault="005C3668" w:rsidP="00AE7CF9"/>
  <w:p w14:paraId="10CE6787" w14:textId="77777777" w:rsidR="005C3668" w:rsidRDefault="005C3668" w:rsidP="00AE7CF9"/>
  <w:p w14:paraId="59665638" w14:textId="77777777" w:rsidR="005C3668" w:rsidRDefault="005C3668" w:rsidP="00AE7CF9"/>
  <w:p w14:paraId="46069AAE" w14:textId="77777777" w:rsidR="005C3668" w:rsidRDefault="005C3668" w:rsidP="00AE7CF9"/>
  <w:p w14:paraId="0668D41D" w14:textId="77777777" w:rsidR="005C3668" w:rsidRDefault="005C3668" w:rsidP="00AE7CF9"/>
  <w:p w14:paraId="7E9E1A46" w14:textId="77777777" w:rsidR="005C3668" w:rsidRDefault="005C3668" w:rsidP="00AE7CF9"/>
  <w:p w14:paraId="1262E30C" w14:textId="77777777" w:rsidR="005C3668" w:rsidRDefault="005C3668" w:rsidP="00AE7CF9"/>
  <w:p w14:paraId="76AD0152" w14:textId="77777777" w:rsidR="005C3668" w:rsidRDefault="005C3668" w:rsidP="00AE7CF9"/>
  <w:p w14:paraId="6618AF4E" w14:textId="77777777" w:rsidR="005C3668" w:rsidRDefault="005C3668" w:rsidP="00AE7CF9"/>
  <w:p w14:paraId="5C0A41BD" w14:textId="77777777" w:rsidR="005C3668" w:rsidRDefault="005C3668" w:rsidP="00AE7CF9"/>
  <w:p w14:paraId="1088D9E9" w14:textId="77777777" w:rsidR="005C3668" w:rsidRDefault="005C3668" w:rsidP="00AE7CF9"/>
  <w:p w14:paraId="6D1C88D9" w14:textId="77777777" w:rsidR="005C3668" w:rsidRDefault="005C3668" w:rsidP="00AE7CF9"/>
  <w:p w14:paraId="7ABAD86D" w14:textId="77777777" w:rsidR="005C3668" w:rsidRDefault="005C3668" w:rsidP="00AE7CF9"/>
  <w:p w14:paraId="6D0DC781" w14:textId="77777777" w:rsidR="005C3668" w:rsidRDefault="005C3668" w:rsidP="00AE7CF9"/>
  <w:p w14:paraId="44AB8E15" w14:textId="77777777" w:rsidR="005C3668" w:rsidRDefault="005C3668" w:rsidP="00AE7CF9"/>
  <w:p w14:paraId="04769CF7" w14:textId="77777777" w:rsidR="005C3668" w:rsidRDefault="005C3668" w:rsidP="00AE7CF9"/>
  <w:p w14:paraId="55706155" w14:textId="77777777" w:rsidR="005C3668" w:rsidRDefault="005C3668" w:rsidP="00AE7CF9"/>
  <w:p w14:paraId="5352DD28" w14:textId="77777777" w:rsidR="005C3668" w:rsidRDefault="005C3668" w:rsidP="00AE7CF9"/>
  <w:p w14:paraId="2CFB3B39" w14:textId="77777777" w:rsidR="005C3668" w:rsidRDefault="005C3668" w:rsidP="00AE7CF9"/>
  <w:p w14:paraId="3D1BBE91" w14:textId="77777777" w:rsidR="005C3668" w:rsidRDefault="005C3668" w:rsidP="00AE7CF9"/>
  <w:p w14:paraId="6C6A97BD" w14:textId="77777777" w:rsidR="005C3668" w:rsidRDefault="005C3668" w:rsidP="00AE7CF9"/>
  <w:p w14:paraId="504C3069" w14:textId="77777777" w:rsidR="005C3668" w:rsidRDefault="005C3668" w:rsidP="00AE7CF9"/>
  <w:p w14:paraId="15EA04A3" w14:textId="77777777" w:rsidR="005C3668" w:rsidRDefault="005C3668" w:rsidP="00AE7CF9"/>
  <w:p w14:paraId="4DC0A88C" w14:textId="77777777" w:rsidR="005C3668" w:rsidRDefault="005C3668" w:rsidP="00AE7CF9"/>
  <w:p w14:paraId="730ED9B3" w14:textId="77777777" w:rsidR="005C3668" w:rsidRDefault="005C3668" w:rsidP="00AE7CF9"/>
  <w:p w14:paraId="1BC295E0" w14:textId="77777777" w:rsidR="005C3668" w:rsidRDefault="005C3668" w:rsidP="00AE7CF9"/>
  <w:p w14:paraId="12FC70F1" w14:textId="77777777" w:rsidR="005C3668" w:rsidRDefault="005C3668" w:rsidP="00AE7CF9"/>
  <w:p w14:paraId="79859AB9" w14:textId="77777777" w:rsidR="005C3668" w:rsidRDefault="005C3668" w:rsidP="00AE7CF9"/>
  <w:p w14:paraId="158DAEDC" w14:textId="77777777" w:rsidR="005C3668" w:rsidRDefault="005C3668" w:rsidP="00AE7CF9"/>
  <w:p w14:paraId="7779E6F0" w14:textId="77777777" w:rsidR="005C3668" w:rsidRDefault="005C3668" w:rsidP="00AE7CF9"/>
  <w:p w14:paraId="1A9D8E29" w14:textId="77777777" w:rsidR="005C3668" w:rsidRDefault="005C3668" w:rsidP="00AE7CF9"/>
  <w:p w14:paraId="29636FDF" w14:textId="77777777" w:rsidR="005C3668" w:rsidRDefault="005C3668" w:rsidP="00AE7CF9"/>
  <w:p w14:paraId="66C78198" w14:textId="77777777" w:rsidR="005C3668" w:rsidRDefault="005C3668" w:rsidP="00AE7CF9"/>
  <w:p w14:paraId="0EC39E48" w14:textId="77777777" w:rsidR="005C3668" w:rsidRDefault="005C3668" w:rsidP="00AE7CF9"/>
  <w:p w14:paraId="019BDF84" w14:textId="77777777" w:rsidR="005C3668" w:rsidRDefault="005C3668" w:rsidP="00AE7CF9"/>
  <w:p w14:paraId="53DA76A3" w14:textId="77777777" w:rsidR="005C3668" w:rsidRDefault="005C3668" w:rsidP="00AE7CF9"/>
  <w:p w14:paraId="7F062115" w14:textId="77777777" w:rsidR="005C3668" w:rsidRDefault="005C3668" w:rsidP="00AE7CF9"/>
  <w:p w14:paraId="29300E14" w14:textId="77777777" w:rsidR="005C3668" w:rsidRDefault="005C3668" w:rsidP="00AE7CF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75325" w14:textId="77777777" w:rsidR="005C3668" w:rsidRPr="0070541D" w:rsidRDefault="005C3668" w:rsidP="00721377">
    <w:pPr>
      <w:pStyle w:val="a2"/>
    </w:pPr>
    <w:r w:rsidRPr="0070541D">
      <w:t>БЪЛГАРСКА ФОНДОВА БОРСА АД</w:t>
    </w:r>
  </w:p>
  <w:p w14:paraId="365408C9" w14:textId="38051147" w:rsidR="005C3668" w:rsidRDefault="005C3668" w:rsidP="00721377">
    <w:pPr>
      <w:pStyle w:val="a2"/>
    </w:pPr>
    <w:r>
      <mc:AlternateContent>
        <mc:Choice Requires="wps">
          <w:drawing>
            <wp:anchor distT="4294967291" distB="4294967291" distL="114300" distR="114300" simplePos="0" relativeHeight="251659264" behindDoc="0" locked="0" layoutInCell="1" allowOverlap="1" wp14:anchorId="0CAE92D8" wp14:editId="5BE26A75">
              <wp:simplePos x="0" y="0"/>
              <wp:positionH relativeFrom="column">
                <wp:posOffset>0</wp:posOffset>
              </wp:positionH>
              <wp:positionV relativeFrom="paragraph">
                <wp:posOffset>176529</wp:posOffset>
              </wp:positionV>
              <wp:extent cx="61722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8486B" id="Straight Connector 2"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3.9pt" to="486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pvYHAIAADYEAAAOAAAAZHJzL2Uyb0RvYy54bWysU8uu2yAQ3VfqPyD2iR91ch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"/>
          </w:pict>
        </mc:Fallback>
      </mc:AlternateContent>
    </w:r>
    <w:r w:rsidRPr="0070541D">
      <w:t xml:space="preserve">ПРИЛОЖЕНИЯ КЪМ МЕЖДИННИЯ СЪКРАТЕН ИНДИВИДУАЛЕН ФИНАНСОВ ОТЧЕТ ЗА </w:t>
    </w:r>
    <w:r>
      <w:rPr>
        <w:lang w:val="bg-BG"/>
      </w:rPr>
      <w:t>ЧЕТВЪРТО</w:t>
    </w:r>
    <w:r w:rsidRPr="0070541D">
      <w:rPr>
        <w:lang w:val="bg-BG"/>
      </w:rPr>
      <w:t xml:space="preserve"> ТРИМЕСЕЧИЕ</w:t>
    </w:r>
    <w:r w:rsidRPr="0070541D">
      <w:t xml:space="preserve"> НА 2018 ГОДИНА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A5A96" w14:textId="77777777" w:rsidR="005C3668" w:rsidRPr="006920D1" w:rsidRDefault="005C3668" w:rsidP="00721377">
    <w:pPr>
      <w:pStyle w:val="a2"/>
    </w:pPr>
    <w:r w:rsidRPr="006920D1">
      <w:t>БЪЛГАРСКА ФОНДОВА БОРСА АД</w:t>
    </w:r>
  </w:p>
  <w:p w14:paraId="5E970538" w14:textId="43BEC535" w:rsidR="005C3668" w:rsidRDefault="005C3668" w:rsidP="00721377">
    <w:pPr>
      <w:pStyle w:val="a2"/>
    </w:pPr>
    <w:r w:rsidRPr="006920D1">
      <w:rPr>
        <w:lang w:val="en-US"/>
      </w:rPr>
      <mc:AlternateContent>
        <mc:Choice Requires="wps">
          <w:drawing>
            <wp:anchor distT="4294967291" distB="4294967291" distL="114300" distR="114300" simplePos="0" relativeHeight="251657216" behindDoc="0" locked="0" layoutInCell="1" allowOverlap="1" wp14:anchorId="20442D1B" wp14:editId="6508FAFE">
              <wp:simplePos x="0" y="0"/>
              <wp:positionH relativeFrom="column">
                <wp:posOffset>-5080</wp:posOffset>
              </wp:positionH>
              <wp:positionV relativeFrom="paragraph">
                <wp:posOffset>158749</wp:posOffset>
              </wp:positionV>
              <wp:extent cx="61741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41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B8571" id="Straight Connector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pt,12.5pt" to="485.7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lfHQIAADY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"/>
          </w:pict>
        </mc:Fallback>
      </mc:AlternateContent>
    </w:r>
    <w:r w:rsidRPr="006920D1">
      <w:t xml:space="preserve">ПРИЛОЖЕНИЯ КЪМ МЕЖДИННИЯ СЪКРАТЕН ИНДИВИДУАЛЕН ФИНАНСОВ ОТЧЕТ ЗА </w:t>
    </w:r>
    <w:r w:rsidRPr="006920D1">
      <w:rPr>
        <w:lang w:val="bg-BG"/>
      </w:rPr>
      <w:t>ЧЕТВЪРТО ТРИМЕСЕЧИЕ</w:t>
    </w:r>
    <w:r w:rsidRPr="006920D1">
      <w:t xml:space="preserve"> НА 2018 ГОДИНА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73C0"/>
    <w:multiLevelType w:val="hybridMultilevel"/>
    <w:tmpl w:val="C2BA14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CD22C3"/>
    <w:multiLevelType w:val="hybridMultilevel"/>
    <w:tmpl w:val="73D8A5D6"/>
    <w:lvl w:ilvl="0" w:tplc="73E0DAE8">
      <w:numFmt w:val="bullet"/>
      <w:lvlText w:val="-"/>
      <w:lvlJc w:val="left"/>
      <w:pPr>
        <w:ind w:left="1517" w:hanging="360"/>
      </w:pPr>
      <w:rPr>
        <w:rFonts w:ascii="Calibri" w:eastAsia="Times New Roman" w:hAnsi="Calibri" w:cs="Calibri" w:hint="default"/>
      </w:rPr>
    </w:lvl>
    <w:lvl w:ilvl="1" w:tplc="04020003" w:tentative="1">
      <w:start w:val="1"/>
      <w:numFmt w:val="bullet"/>
      <w:lvlText w:val="o"/>
      <w:lvlJc w:val="left"/>
      <w:pPr>
        <w:ind w:left="2237" w:hanging="360"/>
      </w:pPr>
      <w:rPr>
        <w:rFonts w:ascii="Courier New" w:hAnsi="Courier New" w:cs="Courier New" w:hint="default"/>
      </w:rPr>
    </w:lvl>
    <w:lvl w:ilvl="2" w:tplc="04020005" w:tentative="1">
      <w:start w:val="1"/>
      <w:numFmt w:val="bullet"/>
      <w:lvlText w:val=""/>
      <w:lvlJc w:val="left"/>
      <w:pPr>
        <w:ind w:left="2957" w:hanging="360"/>
      </w:pPr>
      <w:rPr>
        <w:rFonts w:ascii="Wingdings" w:hAnsi="Wingdings" w:hint="default"/>
      </w:rPr>
    </w:lvl>
    <w:lvl w:ilvl="3" w:tplc="04020001" w:tentative="1">
      <w:start w:val="1"/>
      <w:numFmt w:val="bullet"/>
      <w:lvlText w:val=""/>
      <w:lvlJc w:val="left"/>
      <w:pPr>
        <w:ind w:left="3677" w:hanging="360"/>
      </w:pPr>
      <w:rPr>
        <w:rFonts w:ascii="Symbol" w:hAnsi="Symbol" w:hint="default"/>
      </w:rPr>
    </w:lvl>
    <w:lvl w:ilvl="4" w:tplc="04020003" w:tentative="1">
      <w:start w:val="1"/>
      <w:numFmt w:val="bullet"/>
      <w:lvlText w:val="o"/>
      <w:lvlJc w:val="left"/>
      <w:pPr>
        <w:ind w:left="4397" w:hanging="360"/>
      </w:pPr>
      <w:rPr>
        <w:rFonts w:ascii="Courier New" w:hAnsi="Courier New" w:cs="Courier New" w:hint="default"/>
      </w:rPr>
    </w:lvl>
    <w:lvl w:ilvl="5" w:tplc="04020005" w:tentative="1">
      <w:start w:val="1"/>
      <w:numFmt w:val="bullet"/>
      <w:lvlText w:val=""/>
      <w:lvlJc w:val="left"/>
      <w:pPr>
        <w:ind w:left="5117" w:hanging="360"/>
      </w:pPr>
      <w:rPr>
        <w:rFonts w:ascii="Wingdings" w:hAnsi="Wingdings" w:hint="default"/>
      </w:rPr>
    </w:lvl>
    <w:lvl w:ilvl="6" w:tplc="04020001" w:tentative="1">
      <w:start w:val="1"/>
      <w:numFmt w:val="bullet"/>
      <w:lvlText w:val=""/>
      <w:lvlJc w:val="left"/>
      <w:pPr>
        <w:ind w:left="5837" w:hanging="360"/>
      </w:pPr>
      <w:rPr>
        <w:rFonts w:ascii="Symbol" w:hAnsi="Symbol" w:hint="default"/>
      </w:rPr>
    </w:lvl>
    <w:lvl w:ilvl="7" w:tplc="04020003" w:tentative="1">
      <w:start w:val="1"/>
      <w:numFmt w:val="bullet"/>
      <w:lvlText w:val="o"/>
      <w:lvlJc w:val="left"/>
      <w:pPr>
        <w:ind w:left="6557" w:hanging="360"/>
      </w:pPr>
      <w:rPr>
        <w:rFonts w:ascii="Courier New" w:hAnsi="Courier New" w:cs="Courier New" w:hint="default"/>
      </w:rPr>
    </w:lvl>
    <w:lvl w:ilvl="8" w:tplc="04020005" w:tentative="1">
      <w:start w:val="1"/>
      <w:numFmt w:val="bullet"/>
      <w:lvlText w:val=""/>
      <w:lvlJc w:val="left"/>
      <w:pPr>
        <w:ind w:left="7277" w:hanging="360"/>
      </w:pPr>
      <w:rPr>
        <w:rFonts w:ascii="Wingdings" w:hAnsi="Wingdings" w:hint="default"/>
      </w:rPr>
    </w:lvl>
  </w:abstractNum>
  <w:abstractNum w:abstractNumId="2" w15:restartNumberingAfterBreak="0">
    <w:nsid w:val="0CD043BC"/>
    <w:multiLevelType w:val="multilevel"/>
    <w:tmpl w:val="B09A70F8"/>
    <w:lvl w:ilvl="0">
      <w:start w:val="1"/>
      <w:numFmt w:val="decimal"/>
      <w:lvlText w:val="%1."/>
      <w:lvlJc w:val="left"/>
      <w:pPr>
        <w:ind w:left="360" w:hanging="360"/>
      </w:pPr>
    </w:lvl>
    <w:lvl w:ilvl="1">
      <w:start w:val="1"/>
      <w:numFmt w:val="decimal"/>
      <w:lvlText w:val="%1.%2."/>
      <w:lvlJc w:val="left"/>
      <w:pPr>
        <w:ind w:left="432" w:hanging="432"/>
      </w:pPr>
      <w:rPr>
        <w:rFonts w:ascii="News Gothic Cyr" w:hAnsi="News Gothic Cyr" w:cs="Times New Roman" w:hint="default"/>
        <w:b w:val="0"/>
        <w:bCs w:val="0"/>
        <w:i w:val="0"/>
        <w:iCs w:val="0"/>
        <w:caps w:val="0"/>
        <w:smallCaps w:val="0"/>
        <w:strike w:val="0"/>
        <w:dstrike w:val="0"/>
        <w:noProof w:val="0"/>
        <w:snapToGrid w:val="0"/>
        <w:vanish w:val="0"/>
        <w:color w:val="auto"/>
        <w:spacing w:val="0"/>
        <w:w w:val="0"/>
        <w:kern w:val="0"/>
        <w:position w:val="0"/>
        <w:sz w:val="20"/>
        <w:szCs w:val="2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8041F9"/>
    <w:multiLevelType w:val="hybridMultilevel"/>
    <w:tmpl w:val="3BB029B0"/>
    <w:lvl w:ilvl="0" w:tplc="906CEDEE">
      <w:start w:val="1"/>
      <w:numFmt w:val="decimal"/>
      <w:lvlText w:val="1.%1"/>
      <w:lvlJc w:val="left"/>
      <w:pPr>
        <w:ind w:left="1344" w:hanging="360"/>
      </w:pPr>
      <w:rPr>
        <w:rFonts w:ascii="News Gothic Cyr" w:hAnsi="News Gothic Cyr" w:hint="default"/>
        <w:b/>
        <w:i w:val="0"/>
        <w:caps w:val="0"/>
        <w:strike w:val="0"/>
        <w:dstrike w:val="0"/>
        <w:vanish w:val="0"/>
        <w:color w:val="000000" w:themeColor="text1"/>
        <w:u w:val="none"/>
        <w:vertAlign w:val="baseline"/>
      </w:rPr>
    </w:lvl>
    <w:lvl w:ilvl="1" w:tplc="04090019" w:tentative="1">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abstractNum w:abstractNumId="4" w15:restartNumberingAfterBreak="0">
    <w:nsid w:val="10D4410A"/>
    <w:multiLevelType w:val="hybridMultilevel"/>
    <w:tmpl w:val="68DACBE6"/>
    <w:lvl w:ilvl="0" w:tplc="CFF46E06">
      <w:start w:val="39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1866D76"/>
    <w:multiLevelType w:val="hybridMultilevel"/>
    <w:tmpl w:val="0994D870"/>
    <w:lvl w:ilvl="0" w:tplc="4884516C">
      <w:start w:val="669"/>
      <w:numFmt w:val="decimal"/>
      <w:lvlText w:val="%1"/>
      <w:lvlJc w:val="left"/>
      <w:pPr>
        <w:ind w:left="720" w:hanging="360"/>
      </w:pPr>
      <w:rPr>
        <w:rFonts w:ascii="News Gothic Cyr" w:hAnsi="News Gothic Cyr"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9EC31F2"/>
    <w:multiLevelType w:val="hybridMultilevel"/>
    <w:tmpl w:val="EA2E973C"/>
    <w:lvl w:ilvl="0" w:tplc="1902B1DC">
      <w:start w:val="12"/>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7" w15:restartNumberingAfterBreak="0">
    <w:nsid w:val="20077729"/>
    <w:multiLevelType w:val="hybridMultilevel"/>
    <w:tmpl w:val="47EA5162"/>
    <w:lvl w:ilvl="0" w:tplc="000AED04">
      <w:start w:val="54"/>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15:restartNumberingAfterBreak="0">
    <w:nsid w:val="28CB357E"/>
    <w:multiLevelType w:val="multilevel"/>
    <w:tmpl w:val="B2F63CBC"/>
    <w:lvl w:ilvl="0">
      <w:start w:val="1"/>
      <w:numFmt w:val="decimal"/>
      <w:lvlText w:val="%1."/>
      <w:lvlJc w:val="left"/>
      <w:pPr>
        <w:ind w:left="360" w:hanging="360"/>
      </w:pPr>
    </w:lvl>
    <w:lvl w:ilvl="1">
      <w:start w:val="1"/>
      <w:numFmt w:val="decimal"/>
      <w:lvlText w:val="%2."/>
      <w:lvlJc w:val="left"/>
      <w:pPr>
        <w:ind w:left="432" w:hanging="432"/>
      </w:pPr>
      <w:rPr>
        <w:rFonts w:ascii="News Gothic Cyr" w:hAnsi="News Gothic Cyr" w:hint="default"/>
        <w:b/>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C2085C"/>
    <w:multiLevelType w:val="hybridMultilevel"/>
    <w:tmpl w:val="18A85C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46E0FFC"/>
    <w:multiLevelType w:val="multilevel"/>
    <w:tmpl w:val="D7DA730E"/>
    <w:lvl w:ilvl="0">
      <w:start w:val="1"/>
      <w:numFmt w:val="decimal"/>
      <w:lvlText w:val="%1."/>
      <w:lvlJc w:val="left"/>
      <w:pPr>
        <w:ind w:left="984" w:hanging="360"/>
      </w:pPr>
    </w:lvl>
    <w:lvl w:ilvl="1">
      <w:start w:val="1"/>
      <w:numFmt w:val="decimal"/>
      <w:lvlText w:val="1.%2"/>
      <w:lvlJc w:val="left"/>
      <w:pPr>
        <w:ind w:left="1056" w:hanging="432"/>
      </w:pPr>
      <w:rPr>
        <w:rFonts w:ascii="News Gothic Cyr" w:hAnsi="News Gothic Cyr" w:hint="default"/>
        <w:b/>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1848" w:hanging="504"/>
      </w:pPr>
    </w:lvl>
    <w:lvl w:ilvl="3">
      <w:start w:val="1"/>
      <w:numFmt w:val="decimal"/>
      <w:lvlText w:val="%1.%2.%3.%4."/>
      <w:lvlJc w:val="left"/>
      <w:pPr>
        <w:ind w:left="2352" w:hanging="648"/>
      </w:pPr>
    </w:lvl>
    <w:lvl w:ilvl="4">
      <w:start w:val="1"/>
      <w:numFmt w:val="decimal"/>
      <w:lvlText w:val="%1.%2.%3.%4.%5."/>
      <w:lvlJc w:val="left"/>
      <w:pPr>
        <w:ind w:left="2856" w:hanging="792"/>
      </w:pPr>
    </w:lvl>
    <w:lvl w:ilvl="5">
      <w:start w:val="1"/>
      <w:numFmt w:val="decimal"/>
      <w:lvlText w:val="%1.%2.%3.%4.%5.%6."/>
      <w:lvlJc w:val="left"/>
      <w:pPr>
        <w:ind w:left="3360" w:hanging="936"/>
      </w:pPr>
    </w:lvl>
    <w:lvl w:ilvl="6">
      <w:start w:val="1"/>
      <w:numFmt w:val="decimal"/>
      <w:lvlText w:val="%1.%2.%3.%4.%5.%6.%7."/>
      <w:lvlJc w:val="left"/>
      <w:pPr>
        <w:ind w:left="3864" w:hanging="1080"/>
      </w:pPr>
    </w:lvl>
    <w:lvl w:ilvl="7">
      <w:start w:val="1"/>
      <w:numFmt w:val="decimal"/>
      <w:lvlText w:val="%1.%2.%3.%4.%5.%6.%7.%8."/>
      <w:lvlJc w:val="left"/>
      <w:pPr>
        <w:ind w:left="4368" w:hanging="1224"/>
      </w:pPr>
    </w:lvl>
    <w:lvl w:ilvl="8">
      <w:start w:val="1"/>
      <w:numFmt w:val="decimal"/>
      <w:lvlText w:val="%1.%2.%3.%4.%5.%6.%7.%8.%9."/>
      <w:lvlJc w:val="left"/>
      <w:pPr>
        <w:ind w:left="4944" w:hanging="1440"/>
      </w:pPr>
    </w:lvl>
  </w:abstractNum>
  <w:abstractNum w:abstractNumId="11" w15:restartNumberingAfterBreak="0">
    <w:nsid w:val="3B7D59F8"/>
    <w:multiLevelType w:val="multilevel"/>
    <w:tmpl w:val="1054DBFE"/>
    <w:lvl w:ilvl="0">
      <w:start w:val="1"/>
      <w:numFmt w:val="decimal"/>
      <w:pStyle w:val="Mainnumbers"/>
      <w:lvlText w:val="%1."/>
      <w:lvlJc w:val="left"/>
      <w:pPr>
        <w:ind w:left="502" w:hanging="360"/>
      </w:pPr>
    </w:lvl>
    <w:lvl w:ilvl="1">
      <w:start w:val="1"/>
      <w:numFmt w:val="decimal"/>
      <w:pStyle w:val="SubNumbers"/>
      <w:lvlText w:val="%1.%2."/>
      <w:lvlJc w:val="left"/>
      <w:pPr>
        <w:ind w:left="7662" w:hanging="432"/>
      </w:pPr>
      <w:rPr>
        <w:b/>
        <w:color w:val="auto"/>
      </w:rPr>
    </w:lvl>
    <w:lvl w:ilvl="2">
      <w:start w:val="1"/>
      <w:numFmt w:val="decimal"/>
      <w:pStyle w:val="SubSubNumber"/>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884785"/>
    <w:multiLevelType w:val="hybridMultilevel"/>
    <w:tmpl w:val="3760CCDA"/>
    <w:lvl w:ilvl="0" w:tplc="A28416C0">
      <w:start w:val="76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2FC00D2"/>
    <w:multiLevelType w:val="hybridMultilevel"/>
    <w:tmpl w:val="937EEE7C"/>
    <w:lvl w:ilvl="0" w:tplc="EC507178">
      <w:start w:val="218"/>
      <w:numFmt w:val="bullet"/>
      <w:lvlText w:val="-"/>
      <w:lvlJc w:val="left"/>
      <w:pPr>
        <w:ind w:left="720" w:hanging="360"/>
      </w:pPr>
      <w:rPr>
        <w:rFonts w:ascii="News Gothic Cyr" w:eastAsia="Times New Roman" w:hAnsi="News Gothic Cyr" w:cs="News Gothic Cyr"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66A1407"/>
    <w:multiLevelType w:val="hybridMultilevel"/>
    <w:tmpl w:val="17824F5E"/>
    <w:lvl w:ilvl="0" w:tplc="6186EE72">
      <w:start w:val="93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7AB397D"/>
    <w:multiLevelType w:val="hybridMultilevel"/>
    <w:tmpl w:val="9AA665B4"/>
    <w:lvl w:ilvl="0" w:tplc="6FFC7D2C">
      <w:numFmt w:val="bullet"/>
      <w:lvlText w:val="-"/>
      <w:lvlJc w:val="left"/>
      <w:pPr>
        <w:ind w:left="720" w:hanging="360"/>
      </w:pPr>
      <w:rPr>
        <w:rFonts w:ascii="Times New Roman" w:eastAsiaTheme="minorHAns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15:restartNumberingAfterBreak="0">
    <w:nsid w:val="4B401DB8"/>
    <w:multiLevelType w:val="hybridMultilevel"/>
    <w:tmpl w:val="7E9002F6"/>
    <w:lvl w:ilvl="0" w:tplc="E300304A">
      <w:start w:val="1"/>
      <w:numFmt w:val="bullet"/>
      <w:pStyle w:val="ListParagraph"/>
      <w:lvlText w:val=""/>
      <w:lvlJc w:val="left"/>
      <w:pPr>
        <w:ind w:left="1157" w:hanging="360"/>
      </w:pPr>
      <w:rPr>
        <w:rFonts w:ascii="Symbol" w:hAnsi="Symbol" w:hint="default"/>
      </w:rPr>
    </w:lvl>
    <w:lvl w:ilvl="1" w:tplc="04020003" w:tentative="1">
      <w:start w:val="1"/>
      <w:numFmt w:val="bullet"/>
      <w:lvlText w:val="o"/>
      <w:lvlJc w:val="left"/>
      <w:pPr>
        <w:ind w:left="1877" w:hanging="360"/>
      </w:pPr>
      <w:rPr>
        <w:rFonts w:ascii="Courier New" w:hAnsi="Courier New" w:cs="Courier New" w:hint="default"/>
      </w:rPr>
    </w:lvl>
    <w:lvl w:ilvl="2" w:tplc="04020005" w:tentative="1">
      <w:start w:val="1"/>
      <w:numFmt w:val="bullet"/>
      <w:lvlText w:val=""/>
      <w:lvlJc w:val="left"/>
      <w:pPr>
        <w:ind w:left="2597" w:hanging="360"/>
      </w:pPr>
      <w:rPr>
        <w:rFonts w:ascii="Wingdings" w:hAnsi="Wingdings" w:hint="default"/>
      </w:rPr>
    </w:lvl>
    <w:lvl w:ilvl="3" w:tplc="04020001" w:tentative="1">
      <w:start w:val="1"/>
      <w:numFmt w:val="bullet"/>
      <w:lvlText w:val=""/>
      <w:lvlJc w:val="left"/>
      <w:pPr>
        <w:ind w:left="3317" w:hanging="360"/>
      </w:pPr>
      <w:rPr>
        <w:rFonts w:ascii="Symbol" w:hAnsi="Symbol" w:hint="default"/>
      </w:rPr>
    </w:lvl>
    <w:lvl w:ilvl="4" w:tplc="04020003" w:tentative="1">
      <w:start w:val="1"/>
      <w:numFmt w:val="bullet"/>
      <w:lvlText w:val="o"/>
      <w:lvlJc w:val="left"/>
      <w:pPr>
        <w:ind w:left="4037" w:hanging="360"/>
      </w:pPr>
      <w:rPr>
        <w:rFonts w:ascii="Courier New" w:hAnsi="Courier New" w:cs="Courier New" w:hint="default"/>
      </w:rPr>
    </w:lvl>
    <w:lvl w:ilvl="5" w:tplc="04020005" w:tentative="1">
      <w:start w:val="1"/>
      <w:numFmt w:val="bullet"/>
      <w:lvlText w:val=""/>
      <w:lvlJc w:val="left"/>
      <w:pPr>
        <w:ind w:left="4757" w:hanging="360"/>
      </w:pPr>
      <w:rPr>
        <w:rFonts w:ascii="Wingdings" w:hAnsi="Wingdings" w:hint="default"/>
      </w:rPr>
    </w:lvl>
    <w:lvl w:ilvl="6" w:tplc="04020001" w:tentative="1">
      <w:start w:val="1"/>
      <w:numFmt w:val="bullet"/>
      <w:lvlText w:val=""/>
      <w:lvlJc w:val="left"/>
      <w:pPr>
        <w:ind w:left="5477" w:hanging="360"/>
      </w:pPr>
      <w:rPr>
        <w:rFonts w:ascii="Symbol" w:hAnsi="Symbol" w:hint="default"/>
      </w:rPr>
    </w:lvl>
    <w:lvl w:ilvl="7" w:tplc="04020003" w:tentative="1">
      <w:start w:val="1"/>
      <w:numFmt w:val="bullet"/>
      <w:lvlText w:val="o"/>
      <w:lvlJc w:val="left"/>
      <w:pPr>
        <w:ind w:left="6197" w:hanging="360"/>
      </w:pPr>
      <w:rPr>
        <w:rFonts w:ascii="Courier New" w:hAnsi="Courier New" w:cs="Courier New" w:hint="default"/>
      </w:rPr>
    </w:lvl>
    <w:lvl w:ilvl="8" w:tplc="04020005" w:tentative="1">
      <w:start w:val="1"/>
      <w:numFmt w:val="bullet"/>
      <w:lvlText w:val=""/>
      <w:lvlJc w:val="left"/>
      <w:pPr>
        <w:ind w:left="6917" w:hanging="360"/>
      </w:pPr>
      <w:rPr>
        <w:rFonts w:ascii="Wingdings" w:hAnsi="Wingdings" w:hint="default"/>
      </w:rPr>
    </w:lvl>
  </w:abstractNum>
  <w:abstractNum w:abstractNumId="17" w15:restartNumberingAfterBreak="0">
    <w:nsid w:val="51B2560F"/>
    <w:multiLevelType w:val="hybridMultilevel"/>
    <w:tmpl w:val="CD14F5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9346381"/>
    <w:multiLevelType w:val="hybridMultilevel"/>
    <w:tmpl w:val="4C2A41DA"/>
    <w:lvl w:ilvl="0" w:tplc="916687C6">
      <w:start w:val="4"/>
      <w:numFmt w:val="decimal"/>
      <w:lvlText w:val="%1"/>
      <w:lvlJc w:val="left"/>
      <w:pPr>
        <w:ind w:left="1879" w:hanging="360"/>
      </w:pPr>
      <w:rPr>
        <w:rFonts w:hint="default"/>
      </w:rPr>
    </w:lvl>
    <w:lvl w:ilvl="1" w:tplc="04020019" w:tentative="1">
      <w:start w:val="1"/>
      <w:numFmt w:val="lowerLetter"/>
      <w:lvlText w:val="%2."/>
      <w:lvlJc w:val="left"/>
      <w:pPr>
        <w:ind w:left="2599" w:hanging="360"/>
      </w:pPr>
    </w:lvl>
    <w:lvl w:ilvl="2" w:tplc="0402001B" w:tentative="1">
      <w:start w:val="1"/>
      <w:numFmt w:val="lowerRoman"/>
      <w:lvlText w:val="%3."/>
      <w:lvlJc w:val="right"/>
      <w:pPr>
        <w:ind w:left="3319" w:hanging="180"/>
      </w:pPr>
    </w:lvl>
    <w:lvl w:ilvl="3" w:tplc="0402000F" w:tentative="1">
      <w:start w:val="1"/>
      <w:numFmt w:val="decimal"/>
      <w:lvlText w:val="%4."/>
      <w:lvlJc w:val="left"/>
      <w:pPr>
        <w:ind w:left="4039" w:hanging="360"/>
      </w:pPr>
    </w:lvl>
    <w:lvl w:ilvl="4" w:tplc="04020019" w:tentative="1">
      <w:start w:val="1"/>
      <w:numFmt w:val="lowerLetter"/>
      <w:lvlText w:val="%5."/>
      <w:lvlJc w:val="left"/>
      <w:pPr>
        <w:ind w:left="4759" w:hanging="360"/>
      </w:pPr>
    </w:lvl>
    <w:lvl w:ilvl="5" w:tplc="0402001B" w:tentative="1">
      <w:start w:val="1"/>
      <w:numFmt w:val="lowerRoman"/>
      <w:lvlText w:val="%6."/>
      <w:lvlJc w:val="right"/>
      <w:pPr>
        <w:ind w:left="5479" w:hanging="180"/>
      </w:pPr>
    </w:lvl>
    <w:lvl w:ilvl="6" w:tplc="0402000F" w:tentative="1">
      <w:start w:val="1"/>
      <w:numFmt w:val="decimal"/>
      <w:lvlText w:val="%7."/>
      <w:lvlJc w:val="left"/>
      <w:pPr>
        <w:ind w:left="6199" w:hanging="360"/>
      </w:pPr>
    </w:lvl>
    <w:lvl w:ilvl="7" w:tplc="04020019" w:tentative="1">
      <w:start w:val="1"/>
      <w:numFmt w:val="lowerLetter"/>
      <w:lvlText w:val="%8."/>
      <w:lvlJc w:val="left"/>
      <w:pPr>
        <w:ind w:left="6919" w:hanging="360"/>
      </w:pPr>
    </w:lvl>
    <w:lvl w:ilvl="8" w:tplc="0402001B" w:tentative="1">
      <w:start w:val="1"/>
      <w:numFmt w:val="lowerRoman"/>
      <w:lvlText w:val="%9."/>
      <w:lvlJc w:val="right"/>
      <w:pPr>
        <w:ind w:left="7639" w:hanging="180"/>
      </w:pPr>
    </w:lvl>
  </w:abstractNum>
  <w:abstractNum w:abstractNumId="19" w15:restartNumberingAfterBreak="0">
    <w:nsid w:val="5BD41B38"/>
    <w:multiLevelType w:val="hybridMultilevel"/>
    <w:tmpl w:val="FD206AAE"/>
    <w:lvl w:ilvl="0" w:tplc="2A46047A">
      <w:start w:val="4"/>
      <w:numFmt w:val="decimal"/>
      <w:lvlText w:val="%1"/>
      <w:lvlJc w:val="left"/>
      <w:pPr>
        <w:ind w:left="1879" w:hanging="360"/>
      </w:pPr>
      <w:rPr>
        <w:rFonts w:hint="default"/>
        <w:b/>
        <w:color w:val="000000" w:themeColor="text1"/>
      </w:rPr>
    </w:lvl>
    <w:lvl w:ilvl="1" w:tplc="04020019" w:tentative="1">
      <w:start w:val="1"/>
      <w:numFmt w:val="lowerLetter"/>
      <w:lvlText w:val="%2."/>
      <w:lvlJc w:val="left"/>
      <w:pPr>
        <w:ind w:left="2599" w:hanging="360"/>
      </w:pPr>
    </w:lvl>
    <w:lvl w:ilvl="2" w:tplc="0402001B" w:tentative="1">
      <w:start w:val="1"/>
      <w:numFmt w:val="lowerRoman"/>
      <w:lvlText w:val="%3."/>
      <w:lvlJc w:val="right"/>
      <w:pPr>
        <w:ind w:left="3319" w:hanging="180"/>
      </w:pPr>
    </w:lvl>
    <w:lvl w:ilvl="3" w:tplc="0402000F" w:tentative="1">
      <w:start w:val="1"/>
      <w:numFmt w:val="decimal"/>
      <w:lvlText w:val="%4."/>
      <w:lvlJc w:val="left"/>
      <w:pPr>
        <w:ind w:left="4039" w:hanging="360"/>
      </w:pPr>
    </w:lvl>
    <w:lvl w:ilvl="4" w:tplc="04020019" w:tentative="1">
      <w:start w:val="1"/>
      <w:numFmt w:val="lowerLetter"/>
      <w:lvlText w:val="%5."/>
      <w:lvlJc w:val="left"/>
      <w:pPr>
        <w:ind w:left="4759" w:hanging="360"/>
      </w:pPr>
    </w:lvl>
    <w:lvl w:ilvl="5" w:tplc="0402001B" w:tentative="1">
      <w:start w:val="1"/>
      <w:numFmt w:val="lowerRoman"/>
      <w:lvlText w:val="%6."/>
      <w:lvlJc w:val="right"/>
      <w:pPr>
        <w:ind w:left="5479" w:hanging="180"/>
      </w:pPr>
    </w:lvl>
    <w:lvl w:ilvl="6" w:tplc="0402000F" w:tentative="1">
      <w:start w:val="1"/>
      <w:numFmt w:val="decimal"/>
      <w:lvlText w:val="%7."/>
      <w:lvlJc w:val="left"/>
      <w:pPr>
        <w:ind w:left="6199" w:hanging="360"/>
      </w:pPr>
    </w:lvl>
    <w:lvl w:ilvl="7" w:tplc="04020019" w:tentative="1">
      <w:start w:val="1"/>
      <w:numFmt w:val="lowerLetter"/>
      <w:lvlText w:val="%8."/>
      <w:lvlJc w:val="left"/>
      <w:pPr>
        <w:ind w:left="6919" w:hanging="360"/>
      </w:pPr>
    </w:lvl>
    <w:lvl w:ilvl="8" w:tplc="0402001B" w:tentative="1">
      <w:start w:val="1"/>
      <w:numFmt w:val="lowerRoman"/>
      <w:lvlText w:val="%9."/>
      <w:lvlJc w:val="right"/>
      <w:pPr>
        <w:ind w:left="7639" w:hanging="180"/>
      </w:pPr>
    </w:lvl>
  </w:abstractNum>
  <w:abstractNum w:abstractNumId="20" w15:restartNumberingAfterBreak="0">
    <w:nsid w:val="5DC35B6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347590A"/>
    <w:multiLevelType w:val="hybridMultilevel"/>
    <w:tmpl w:val="1DDABC4C"/>
    <w:lvl w:ilvl="0" w:tplc="078E3DB8">
      <w:start w:val="14"/>
      <w:numFmt w:val="decimal"/>
      <w:lvlText w:val="%1"/>
      <w:lvlJc w:val="left"/>
      <w:pPr>
        <w:ind w:left="720" w:hanging="360"/>
      </w:pPr>
      <w:rPr>
        <w:rFonts w:ascii="News Gothic Cyr" w:hAnsi="News Gothic Cyr"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46D6C80"/>
    <w:multiLevelType w:val="hybridMultilevel"/>
    <w:tmpl w:val="45A8B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48F10C4"/>
    <w:multiLevelType w:val="hybridMultilevel"/>
    <w:tmpl w:val="0E8A3F8E"/>
    <w:lvl w:ilvl="0" w:tplc="883A8FE0">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A283FE1"/>
    <w:multiLevelType w:val="hybridMultilevel"/>
    <w:tmpl w:val="D774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7240F8"/>
    <w:multiLevelType w:val="hybridMultilevel"/>
    <w:tmpl w:val="50A069C2"/>
    <w:lvl w:ilvl="0" w:tplc="46A6A48C">
      <w:start w:val="1"/>
      <w:numFmt w:val="decimal"/>
      <w:lvlText w:val="1.%1"/>
      <w:lvlJc w:val="left"/>
      <w:pPr>
        <w:ind w:left="1004" w:hanging="360"/>
      </w:pPr>
      <w:rPr>
        <w:rFonts w:ascii="News Gothic Cyr" w:hAnsi="News Gothic Cyr" w:hint="default"/>
        <w:b/>
        <w:i w:val="0"/>
        <w:caps w:val="0"/>
        <w:strike w:val="0"/>
        <w:dstrike w:val="0"/>
        <w:vanish w:val="0"/>
        <w:color w:val="000000" w:themeColor="text1"/>
        <w:u w:val="none"/>
        <w:vertAlign w:val="baseline"/>
      </w:rPr>
    </w:lvl>
    <w:lvl w:ilvl="1" w:tplc="04090019" w:tentative="1">
      <w:start w:val="1"/>
      <w:numFmt w:val="lowerLetter"/>
      <w:lvlText w:val="%2."/>
      <w:lvlJc w:val="left"/>
      <w:pPr>
        <w:ind w:left="1724" w:hanging="360"/>
      </w:pPr>
    </w:lvl>
    <w:lvl w:ilvl="2" w:tplc="0409001B">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7EDD2818"/>
    <w:multiLevelType w:val="multilevel"/>
    <w:tmpl w:val="A81848CC"/>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7F1408C5"/>
    <w:multiLevelType w:val="multilevel"/>
    <w:tmpl w:val="1F369AD4"/>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7"/>
  </w:num>
  <w:num w:numId="3">
    <w:abstractNumId w:val="17"/>
  </w:num>
  <w:num w:numId="4">
    <w:abstractNumId w:val="22"/>
  </w:num>
  <w:num w:numId="5">
    <w:abstractNumId w:val="9"/>
  </w:num>
  <w:num w:numId="6">
    <w:abstractNumId w:val="14"/>
  </w:num>
  <w:num w:numId="7">
    <w:abstractNumId w:val="2"/>
  </w:num>
  <w:num w:numId="8">
    <w:abstractNumId w:val="8"/>
  </w:num>
  <w:num w:numId="9">
    <w:abstractNumId w:val="20"/>
  </w:num>
  <w:num w:numId="10">
    <w:abstractNumId w:val="10"/>
  </w:num>
  <w:num w:numId="11">
    <w:abstractNumId w:val="3"/>
  </w:num>
  <w:num w:numId="12">
    <w:abstractNumId w:val="3"/>
    <w:lvlOverride w:ilvl="0">
      <w:startOverride w:val="1"/>
    </w:lvlOverride>
  </w:num>
  <w:num w:numId="13">
    <w:abstractNumId w:val="25"/>
  </w:num>
  <w:num w:numId="14">
    <w:abstractNumId w:val="11"/>
  </w:num>
  <w:num w:numId="15">
    <w:abstractNumId w:val="24"/>
  </w:num>
  <w:num w:numId="16">
    <w:abstractNumId w:val="18"/>
  </w:num>
  <w:num w:numId="17">
    <w:abstractNumId w:val="6"/>
  </w:num>
  <w:num w:numId="18">
    <w:abstractNumId w:val="19"/>
  </w:num>
  <w:num w:numId="19">
    <w:abstractNumId w:val="4"/>
  </w:num>
  <w:num w:numId="20">
    <w:abstractNumId w:val="23"/>
  </w:num>
  <w:num w:numId="21">
    <w:abstractNumId w:val="12"/>
  </w:num>
  <w:num w:numId="22">
    <w:abstractNumId w:val="7"/>
  </w:num>
  <w:num w:numId="23">
    <w:abstractNumId w:val="13"/>
  </w:num>
  <w:num w:numId="24">
    <w:abstractNumId w:val="26"/>
  </w:num>
  <w:num w:numId="25">
    <w:abstractNumId w:val="21"/>
  </w:num>
  <w:num w:numId="26">
    <w:abstractNumId w:val="5"/>
  </w:num>
  <w:num w:numId="27">
    <w:abstractNumId w:val="11"/>
    <w:lvlOverride w:ilvl="0">
      <w:startOverride w:val="32"/>
    </w:lvlOverride>
  </w:num>
  <w:num w:numId="28">
    <w:abstractNumId w:val="15"/>
  </w:num>
  <w:num w:numId="29">
    <w:abstractNumId w:val="0"/>
  </w:num>
  <w:num w:numId="30">
    <w:abstractNumId w:val="1"/>
  </w:num>
  <w:num w:numId="31">
    <w:abstractNumId w:val="11"/>
  </w:num>
  <w:num w:numId="32">
    <w:abstractNumId w:val="1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Y0AWJDE1MLIDZV0lEKTi0uzszPAykwrAUAIKZ+0iwAAAA="/>
  </w:docVars>
  <w:rsids>
    <w:rsidRoot w:val="0084445A"/>
    <w:rsid w:val="00007959"/>
    <w:rsid w:val="00036641"/>
    <w:rsid w:val="00084C32"/>
    <w:rsid w:val="000B211F"/>
    <w:rsid w:val="0010694E"/>
    <w:rsid w:val="00130F78"/>
    <w:rsid w:val="001371FF"/>
    <w:rsid w:val="00274E31"/>
    <w:rsid w:val="002E100C"/>
    <w:rsid w:val="00306C95"/>
    <w:rsid w:val="00353F6A"/>
    <w:rsid w:val="00365108"/>
    <w:rsid w:val="00374D3C"/>
    <w:rsid w:val="00396969"/>
    <w:rsid w:val="003C3D95"/>
    <w:rsid w:val="004244B1"/>
    <w:rsid w:val="004805BA"/>
    <w:rsid w:val="004A4593"/>
    <w:rsid w:val="005219C3"/>
    <w:rsid w:val="00537A14"/>
    <w:rsid w:val="005535E6"/>
    <w:rsid w:val="005B5648"/>
    <w:rsid w:val="005C3668"/>
    <w:rsid w:val="0061382B"/>
    <w:rsid w:val="0064091F"/>
    <w:rsid w:val="006661FC"/>
    <w:rsid w:val="006C6C09"/>
    <w:rsid w:val="006D3E70"/>
    <w:rsid w:val="0070419A"/>
    <w:rsid w:val="00721377"/>
    <w:rsid w:val="00741D80"/>
    <w:rsid w:val="00827A7E"/>
    <w:rsid w:val="00833465"/>
    <w:rsid w:val="0084445A"/>
    <w:rsid w:val="00905F38"/>
    <w:rsid w:val="00927B82"/>
    <w:rsid w:val="00930481"/>
    <w:rsid w:val="00935DF7"/>
    <w:rsid w:val="00A97D3D"/>
    <w:rsid w:val="00AA24CF"/>
    <w:rsid w:val="00AB28AF"/>
    <w:rsid w:val="00AB6E85"/>
    <w:rsid w:val="00AE6004"/>
    <w:rsid w:val="00AE7CF9"/>
    <w:rsid w:val="00AF1C5C"/>
    <w:rsid w:val="00AF7B9A"/>
    <w:rsid w:val="00B34F45"/>
    <w:rsid w:val="00BE0D94"/>
    <w:rsid w:val="00BE0DCD"/>
    <w:rsid w:val="00C4020C"/>
    <w:rsid w:val="00C92C03"/>
    <w:rsid w:val="00C964AD"/>
    <w:rsid w:val="00CA3848"/>
    <w:rsid w:val="00CC5D05"/>
    <w:rsid w:val="00D46960"/>
    <w:rsid w:val="00D549EB"/>
    <w:rsid w:val="00DA61F6"/>
    <w:rsid w:val="00E836AA"/>
    <w:rsid w:val="00EB4821"/>
    <w:rsid w:val="00EF667F"/>
    <w:rsid w:val="00EF758B"/>
    <w:rsid w:val="00F12DDD"/>
    <w:rsid w:val="00F4491C"/>
    <w:rsid w:val="00F55D38"/>
    <w:rsid w:val="00FA5E7A"/>
    <w:rsid w:val="00FC654F"/>
    <w:rsid w:val="00FD518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DE3F4"/>
  <w15:chartTrackingRefBased/>
  <w15:docId w15:val="{3DE923C2-4FD5-4CE3-9087-DC4BF38A1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autoRedefine/>
    <w:rsid w:val="0084445A"/>
    <w:pPr>
      <w:keepNext/>
      <w:widowControl w:val="0"/>
      <w:tabs>
        <w:tab w:val="left" w:pos="720"/>
      </w:tabs>
      <w:autoSpaceDE w:val="0"/>
      <w:autoSpaceDN w:val="0"/>
      <w:spacing w:before="240" w:after="120" w:afterAutospacing="1" w:line="288" w:lineRule="auto"/>
      <w:ind w:left="851"/>
      <w:jc w:val="both"/>
      <w:outlineLvl w:val="0"/>
    </w:pPr>
    <w:rPr>
      <w:rFonts w:eastAsia="Times New Roman" w:cstheme="minorHAnsi"/>
      <w:b/>
      <w:noProof/>
      <w:spacing w:val="-4"/>
      <w:lang w:val="ru-RU" w:bidi="bg-BG"/>
    </w:rPr>
  </w:style>
  <w:style w:type="paragraph" w:styleId="Heading2">
    <w:name w:val="heading 2"/>
    <w:basedOn w:val="Normal"/>
    <w:next w:val="Normal"/>
    <w:link w:val="Heading2Char"/>
    <w:autoRedefine/>
    <w:rsid w:val="0084445A"/>
    <w:pPr>
      <w:widowControl w:val="0"/>
      <w:autoSpaceDE w:val="0"/>
      <w:autoSpaceDN w:val="0"/>
      <w:spacing w:after="100" w:afterAutospacing="1" w:line="240" w:lineRule="auto"/>
      <w:jc w:val="both"/>
      <w:outlineLvl w:val="1"/>
    </w:pPr>
    <w:rPr>
      <w:rFonts w:eastAsia="Times New Roman" w:cstheme="minorHAnsi"/>
      <w:b/>
      <w:noProof/>
      <w:spacing w:val="-4"/>
      <w:lang w:val="ru-RU" w:bidi="bg-BG"/>
    </w:rPr>
  </w:style>
  <w:style w:type="paragraph" w:styleId="Heading3">
    <w:name w:val="heading 3"/>
    <w:basedOn w:val="Normal"/>
    <w:next w:val="Normal"/>
    <w:link w:val="Heading3Char"/>
    <w:rsid w:val="0084445A"/>
    <w:pPr>
      <w:keepNext/>
      <w:widowControl w:val="0"/>
      <w:autoSpaceDE w:val="0"/>
      <w:autoSpaceDN w:val="0"/>
      <w:spacing w:after="100" w:afterAutospacing="1" w:line="240" w:lineRule="auto"/>
      <w:jc w:val="both"/>
      <w:outlineLvl w:val="2"/>
    </w:pPr>
    <w:rPr>
      <w:rFonts w:eastAsia="Times New Roman" w:cstheme="minorHAnsi"/>
      <w:b/>
      <w:noProof/>
      <w:spacing w:val="-4"/>
      <w:lang w:val="ru-RU" w:bidi="bg-BG"/>
    </w:rPr>
  </w:style>
  <w:style w:type="paragraph" w:styleId="Heading4">
    <w:name w:val="heading 4"/>
    <w:basedOn w:val="Normal"/>
    <w:next w:val="Normal"/>
    <w:link w:val="Heading4Char"/>
    <w:rsid w:val="0084445A"/>
    <w:pPr>
      <w:keepNext/>
      <w:widowControl w:val="0"/>
      <w:autoSpaceDE w:val="0"/>
      <w:autoSpaceDN w:val="0"/>
      <w:spacing w:after="100" w:afterAutospacing="1" w:line="240" w:lineRule="auto"/>
      <w:jc w:val="right"/>
      <w:outlineLvl w:val="3"/>
    </w:pPr>
    <w:rPr>
      <w:rFonts w:eastAsia="Times New Roman" w:cstheme="minorHAnsi"/>
      <w:b/>
      <w:noProof/>
      <w:spacing w:val="-4"/>
      <w:lang w:val="ru-RU" w:bidi="bg-BG"/>
    </w:rPr>
  </w:style>
  <w:style w:type="paragraph" w:styleId="Heading5">
    <w:name w:val="heading 5"/>
    <w:basedOn w:val="Normal"/>
    <w:next w:val="Normal"/>
    <w:link w:val="Heading5Char"/>
    <w:rsid w:val="0084445A"/>
    <w:pPr>
      <w:keepNext/>
      <w:widowControl w:val="0"/>
      <w:autoSpaceDE w:val="0"/>
      <w:autoSpaceDN w:val="0"/>
      <w:spacing w:after="100" w:afterAutospacing="1" w:line="240" w:lineRule="auto"/>
      <w:jc w:val="center"/>
      <w:outlineLvl w:val="4"/>
    </w:pPr>
    <w:rPr>
      <w:rFonts w:eastAsia="Times New Roman" w:cstheme="minorHAnsi"/>
      <w:b/>
      <w:noProof/>
      <w:spacing w:val="-4"/>
      <w:u w:val="single"/>
      <w:lang w:val="ru-RU" w:bidi="bg-BG"/>
    </w:rPr>
  </w:style>
  <w:style w:type="paragraph" w:styleId="Heading6">
    <w:name w:val="heading 6"/>
    <w:basedOn w:val="Normal"/>
    <w:next w:val="Normal"/>
    <w:link w:val="Heading6Char"/>
    <w:rsid w:val="0084445A"/>
    <w:pPr>
      <w:keepNext/>
      <w:widowControl w:val="0"/>
      <w:autoSpaceDE w:val="0"/>
      <w:autoSpaceDN w:val="0"/>
      <w:spacing w:after="100" w:afterAutospacing="1" w:line="240" w:lineRule="auto"/>
      <w:ind w:firstLine="360"/>
      <w:jc w:val="both"/>
      <w:outlineLvl w:val="5"/>
    </w:pPr>
    <w:rPr>
      <w:rFonts w:eastAsia="Times New Roman" w:cstheme="minorHAnsi"/>
      <w:b/>
      <w:noProof/>
      <w:spacing w:val="-4"/>
      <w:lang w:val="ru-RU" w:bidi="bg-BG"/>
    </w:rPr>
  </w:style>
  <w:style w:type="paragraph" w:styleId="Heading7">
    <w:name w:val="heading 7"/>
    <w:basedOn w:val="Normal"/>
    <w:next w:val="Normal"/>
    <w:link w:val="Heading7Char"/>
    <w:rsid w:val="0084445A"/>
    <w:pPr>
      <w:keepNext/>
      <w:widowControl w:val="0"/>
      <w:autoSpaceDE w:val="0"/>
      <w:autoSpaceDN w:val="0"/>
      <w:spacing w:after="100" w:afterAutospacing="1" w:line="240" w:lineRule="auto"/>
      <w:jc w:val="both"/>
      <w:outlineLvl w:val="6"/>
    </w:pPr>
    <w:rPr>
      <w:rFonts w:eastAsia="Times New Roman" w:cstheme="minorHAnsi"/>
      <w:b/>
      <w:noProof/>
      <w:spacing w:val="-4"/>
      <w:lang w:val="ru-RU" w:bidi="bg-BG"/>
    </w:rPr>
  </w:style>
  <w:style w:type="paragraph" w:styleId="Heading8">
    <w:name w:val="heading 8"/>
    <w:basedOn w:val="Normal"/>
    <w:next w:val="Normal"/>
    <w:link w:val="Heading8Char"/>
    <w:rsid w:val="0084445A"/>
    <w:pPr>
      <w:keepNext/>
      <w:widowControl w:val="0"/>
      <w:autoSpaceDE w:val="0"/>
      <w:autoSpaceDN w:val="0"/>
      <w:spacing w:after="100" w:afterAutospacing="1" w:line="240" w:lineRule="auto"/>
      <w:jc w:val="both"/>
      <w:outlineLvl w:val="7"/>
    </w:pPr>
    <w:rPr>
      <w:rFonts w:eastAsia="Times New Roman" w:cstheme="minorHAnsi"/>
      <w:i/>
      <w:noProof/>
      <w:spacing w:val="-4"/>
      <w:lang w:val="ru-RU" w:bidi="bg-BG"/>
    </w:rPr>
  </w:style>
  <w:style w:type="paragraph" w:styleId="Heading9">
    <w:name w:val="heading 9"/>
    <w:basedOn w:val="Normal"/>
    <w:next w:val="Normal"/>
    <w:link w:val="Heading9Char"/>
    <w:rsid w:val="0084445A"/>
    <w:pPr>
      <w:keepNext/>
      <w:widowControl w:val="0"/>
      <w:autoSpaceDE w:val="0"/>
      <w:autoSpaceDN w:val="0"/>
      <w:spacing w:after="100" w:afterAutospacing="1" w:line="240" w:lineRule="auto"/>
      <w:ind w:firstLine="720"/>
      <w:jc w:val="both"/>
      <w:outlineLvl w:val="8"/>
    </w:pPr>
    <w:rPr>
      <w:rFonts w:eastAsia="Times New Roman" w:cstheme="minorHAnsi"/>
      <w:i/>
      <w:noProof/>
      <w:spacing w:val="-4"/>
      <w:lang w:val="ru-RU" w:bidi="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445A"/>
    <w:rPr>
      <w:rFonts w:eastAsia="Times New Roman" w:cstheme="minorHAnsi"/>
      <w:b/>
      <w:noProof/>
      <w:spacing w:val="-4"/>
      <w:lang w:val="ru-RU" w:bidi="bg-BG"/>
    </w:rPr>
  </w:style>
  <w:style w:type="character" w:customStyle="1" w:styleId="Heading2Char">
    <w:name w:val="Heading 2 Char"/>
    <w:basedOn w:val="DefaultParagraphFont"/>
    <w:link w:val="Heading2"/>
    <w:rsid w:val="0084445A"/>
    <w:rPr>
      <w:rFonts w:eastAsia="Times New Roman" w:cstheme="minorHAnsi"/>
      <w:b/>
      <w:noProof/>
      <w:spacing w:val="-4"/>
      <w:lang w:val="ru-RU" w:bidi="bg-BG"/>
    </w:rPr>
  </w:style>
  <w:style w:type="character" w:customStyle="1" w:styleId="Heading3Char">
    <w:name w:val="Heading 3 Char"/>
    <w:basedOn w:val="DefaultParagraphFont"/>
    <w:link w:val="Heading3"/>
    <w:rsid w:val="0084445A"/>
    <w:rPr>
      <w:rFonts w:eastAsia="Times New Roman" w:cstheme="minorHAnsi"/>
      <w:b/>
      <w:noProof/>
      <w:spacing w:val="-4"/>
      <w:lang w:val="ru-RU" w:bidi="bg-BG"/>
    </w:rPr>
  </w:style>
  <w:style w:type="character" w:customStyle="1" w:styleId="Heading4Char">
    <w:name w:val="Heading 4 Char"/>
    <w:basedOn w:val="DefaultParagraphFont"/>
    <w:link w:val="Heading4"/>
    <w:rsid w:val="0084445A"/>
    <w:rPr>
      <w:rFonts w:eastAsia="Times New Roman" w:cstheme="minorHAnsi"/>
      <w:b/>
      <w:noProof/>
      <w:spacing w:val="-4"/>
      <w:lang w:val="ru-RU" w:bidi="bg-BG"/>
    </w:rPr>
  </w:style>
  <w:style w:type="character" w:customStyle="1" w:styleId="Heading5Char">
    <w:name w:val="Heading 5 Char"/>
    <w:basedOn w:val="DefaultParagraphFont"/>
    <w:link w:val="Heading5"/>
    <w:rsid w:val="0084445A"/>
    <w:rPr>
      <w:rFonts w:eastAsia="Times New Roman" w:cstheme="minorHAnsi"/>
      <w:b/>
      <w:noProof/>
      <w:spacing w:val="-4"/>
      <w:u w:val="single"/>
      <w:lang w:val="ru-RU" w:bidi="bg-BG"/>
    </w:rPr>
  </w:style>
  <w:style w:type="character" w:customStyle="1" w:styleId="Heading6Char">
    <w:name w:val="Heading 6 Char"/>
    <w:basedOn w:val="DefaultParagraphFont"/>
    <w:link w:val="Heading6"/>
    <w:rsid w:val="0084445A"/>
    <w:rPr>
      <w:rFonts w:eastAsia="Times New Roman" w:cstheme="minorHAnsi"/>
      <w:b/>
      <w:noProof/>
      <w:spacing w:val="-4"/>
      <w:lang w:val="ru-RU" w:bidi="bg-BG"/>
    </w:rPr>
  </w:style>
  <w:style w:type="character" w:customStyle="1" w:styleId="Heading7Char">
    <w:name w:val="Heading 7 Char"/>
    <w:basedOn w:val="DefaultParagraphFont"/>
    <w:link w:val="Heading7"/>
    <w:rsid w:val="0084445A"/>
    <w:rPr>
      <w:rFonts w:eastAsia="Times New Roman" w:cstheme="minorHAnsi"/>
      <w:b/>
      <w:noProof/>
      <w:spacing w:val="-4"/>
      <w:lang w:val="ru-RU" w:bidi="bg-BG"/>
    </w:rPr>
  </w:style>
  <w:style w:type="character" w:customStyle="1" w:styleId="Heading8Char">
    <w:name w:val="Heading 8 Char"/>
    <w:basedOn w:val="DefaultParagraphFont"/>
    <w:link w:val="Heading8"/>
    <w:rsid w:val="0084445A"/>
    <w:rPr>
      <w:rFonts w:eastAsia="Times New Roman" w:cstheme="minorHAnsi"/>
      <w:i/>
      <w:noProof/>
      <w:spacing w:val="-4"/>
      <w:lang w:val="ru-RU" w:bidi="bg-BG"/>
    </w:rPr>
  </w:style>
  <w:style w:type="character" w:customStyle="1" w:styleId="Heading9Char">
    <w:name w:val="Heading 9 Char"/>
    <w:basedOn w:val="DefaultParagraphFont"/>
    <w:link w:val="Heading9"/>
    <w:rsid w:val="0084445A"/>
    <w:rPr>
      <w:rFonts w:eastAsia="Times New Roman" w:cstheme="minorHAnsi"/>
      <w:i/>
      <w:noProof/>
      <w:spacing w:val="-4"/>
      <w:lang w:val="ru-RU" w:bidi="bg-BG"/>
    </w:rPr>
  </w:style>
  <w:style w:type="paragraph" w:styleId="TOC1">
    <w:name w:val="toc 1"/>
    <w:basedOn w:val="Normal"/>
    <w:next w:val="Normal"/>
    <w:autoRedefine/>
    <w:uiPriority w:val="39"/>
    <w:qFormat/>
    <w:rsid w:val="00F55D38"/>
    <w:pPr>
      <w:widowControl w:val="0"/>
      <w:tabs>
        <w:tab w:val="left" w:pos="709"/>
        <w:tab w:val="left" w:pos="8789"/>
        <w:tab w:val="left" w:leader="dot" w:pos="12616"/>
      </w:tabs>
      <w:autoSpaceDE w:val="0"/>
      <w:autoSpaceDN w:val="0"/>
      <w:spacing w:after="0" w:line="240" w:lineRule="auto"/>
      <w:ind w:right="567"/>
      <w:jc w:val="both"/>
    </w:pPr>
    <w:rPr>
      <w:rFonts w:ascii="Calibri" w:eastAsia="Times New Roman" w:hAnsi="Calibri" w:cstheme="minorHAnsi"/>
      <w:noProof/>
      <w:spacing w:val="-4"/>
      <w:lang w:val="ru-RU" w:bidi="bg-BG"/>
    </w:rPr>
  </w:style>
  <w:style w:type="paragraph" w:styleId="TOC2">
    <w:name w:val="toc 2"/>
    <w:basedOn w:val="Normal"/>
    <w:next w:val="Normal"/>
    <w:autoRedefine/>
    <w:uiPriority w:val="39"/>
    <w:qFormat/>
    <w:rsid w:val="0084445A"/>
    <w:pPr>
      <w:widowControl w:val="0"/>
      <w:tabs>
        <w:tab w:val="left" w:pos="851"/>
        <w:tab w:val="right" w:pos="9072"/>
      </w:tabs>
      <w:autoSpaceDE w:val="0"/>
      <w:autoSpaceDN w:val="0"/>
      <w:spacing w:after="100" w:afterAutospacing="1" w:line="240" w:lineRule="auto"/>
      <w:ind w:left="284"/>
      <w:jc w:val="both"/>
    </w:pPr>
    <w:rPr>
      <w:rFonts w:eastAsia="Times New Roman" w:cstheme="minorHAnsi"/>
      <w:b/>
      <w:noProof/>
      <w:spacing w:val="-4"/>
      <w:lang w:val="ru-RU" w:bidi="bg-BG"/>
    </w:rPr>
  </w:style>
  <w:style w:type="character" w:styleId="PageNumber">
    <w:name w:val="page number"/>
    <w:basedOn w:val="DefaultParagraphFont"/>
    <w:semiHidden/>
    <w:rsid w:val="0084445A"/>
  </w:style>
  <w:style w:type="character" w:customStyle="1" w:styleId="BalloonTextChar">
    <w:name w:val="Balloon Text Char"/>
    <w:basedOn w:val="DefaultParagraphFont"/>
    <w:link w:val="BalloonText"/>
    <w:semiHidden/>
    <w:rsid w:val="0084445A"/>
    <w:rPr>
      <w:rFonts w:ascii="Tahoma" w:eastAsia="Times New Roman" w:hAnsi="Tahoma" w:cs="Tahoma"/>
      <w:noProof/>
      <w:spacing w:val="-4"/>
      <w:sz w:val="16"/>
      <w:szCs w:val="16"/>
      <w:lang w:val="ru-RU" w:bidi="bg-BG"/>
    </w:rPr>
  </w:style>
  <w:style w:type="paragraph" w:styleId="BalloonText">
    <w:name w:val="Balloon Text"/>
    <w:basedOn w:val="Normal"/>
    <w:link w:val="BalloonTextChar"/>
    <w:semiHidden/>
    <w:rsid w:val="0084445A"/>
    <w:pPr>
      <w:widowControl w:val="0"/>
      <w:autoSpaceDE w:val="0"/>
      <w:autoSpaceDN w:val="0"/>
      <w:spacing w:after="100" w:afterAutospacing="1" w:line="240" w:lineRule="auto"/>
      <w:jc w:val="both"/>
    </w:pPr>
    <w:rPr>
      <w:rFonts w:ascii="Tahoma" w:eastAsia="Times New Roman" w:hAnsi="Tahoma" w:cs="Tahoma"/>
      <w:noProof/>
      <w:spacing w:val="-4"/>
      <w:sz w:val="16"/>
      <w:szCs w:val="16"/>
      <w:lang w:val="ru-RU" w:bidi="bg-BG"/>
    </w:rPr>
  </w:style>
  <w:style w:type="paragraph" w:customStyle="1" w:styleId="a">
    <w:name w:val="табл. текст"/>
    <w:basedOn w:val="Default"/>
    <w:qFormat/>
    <w:rsid w:val="0084445A"/>
    <w:pPr>
      <w:jc w:val="left"/>
    </w:pPr>
    <w:rPr>
      <w:sz w:val="20"/>
      <w:lang w:eastAsia="bg-BG"/>
    </w:rPr>
  </w:style>
  <w:style w:type="paragraph" w:customStyle="1" w:styleId="Default">
    <w:name w:val="Default"/>
    <w:link w:val="DefaultChar"/>
    <w:rsid w:val="0084445A"/>
    <w:pPr>
      <w:autoSpaceDE w:val="0"/>
      <w:autoSpaceDN w:val="0"/>
      <w:adjustRightInd w:val="0"/>
      <w:spacing w:after="0" w:line="240" w:lineRule="auto"/>
      <w:jc w:val="both"/>
    </w:pPr>
    <w:rPr>
      <w:rFonts w:ascii="News Gothic Cyr" w:eastAsia="Times New Roman" w:hAnsi="News Gothic Cyr" w:cs="News Gothic Cyr"/>
      <w:color w:val="000000"/>
      <w:sz w:val="24"/>
      <w:szCs w:val="24"/>
      <w:lang w:val="en-US"/>
    </w:rPr>
  </w:style>
  <w:style w:type="character" w:customStyle="1" w:styleId="DefaultChar">
    <w:name w:val="Default Char"/>
    <w:basedOn w:val="DefaultParagraphFont"/>
    <w:link w:val="Default"/>
    <w:rsid w:val="0084445A"/>
    <w:rPr>
      <w:rFonts w:ascii="News Gothic Cyr" w:eastAsia="Times New Roman" w:hAnsi="News Gothic Cyr" w:cs="News Gothic Cyr"/>
      <w:color w:val="000000"/>
      <w:sz w:val="24"/>
      <w:szCs w:val="24"/>
      <w:lang w:val="en-US"/>
    </w:rPr>
  </w:style>
  <w:style w:type="paragraph" w:customStyle="1" w:styleId="a0">
    <w:name w:val="табл. числа"/>
    <w:basedOn w:val="Default"/>
    <w:qFormat/>
    <w:rsid w:val="0084445A"/>
    <w:pPr>
      <w:jc w:val="right"/>
    </w:pPr>
    <w:rPr>
      <w:sz w:val="20"/>
      <w:lang w:eastAsia="bg-BG"/>
    </w:rPr>
  </w:style>
  <w:style w:type="paragraph" w:customStyle="1" w:styleId="a1">
    <w:name w:val="табл. антетка"/>
    <w:basedOn w:val="Default"/>
    <w:qFormat/>
    <w:rsid w:val="0084445A"/>
    <w:pPr>
      <w:jc w:val="center"/>
    </w:pPr>
    <w:rPr>
      <w:b/>
      <w:sz w:val="20"/>
      <w:lang w:eastAsia="bg-BG"/>
    </w:rPr>
  </w:style>
  <w:style w:type="paragraph" w:customStyle="1" w:styleId="NormalBoldItalic">
    <w:name w:val="Normal Bold Italic"/>
    <w:basedOn w:val="Normal"/>
    <w:rsid w:val="0084445A"/>
    <w:pPr>
      <w:widowControl w:val="0"/>
      <w:autoSpaceDE w:val="0"/>
      <w:autoSpaceDN w:val="0"/>
      <w:spacing w:after="100" w:afterAutospacing="1" w:line="240" w:lineRule="auto"/>
      <w:jc w:val="both"/>
    </w:pPr>
    <w:rPr>
      <w:rFonts w:eastAsia="Times New Roman" w:cstheme="minorHAnsi"/>
      <w:b/>
      <w:i/>
      <w:noProof/>
      <w:spacing w:val="-4"/>
      <w:lang w:val="ru-RU" w:bidi="bg-BG"/>
    </w:rPr>
  </w:style>
  <w:style w:type="character" w:styleId="Hyperlink">
    <w:name w:val="Hyperlink"/>
    <w:uiPriority w:val="99"/>
    <w:rsid w:val="0084445A"/>
    <w:rPr>
      <w:color w:val="0000FF"/>
      <w:u w:val="single"/>
    </w:rPr>
  </w:style>
  <w:style w:type="paragraph" w:styleId="Header">
    <w:name w:val="header"/>
    <w:aliases w:val="hd,even"/>
    <w:basedOn w:val="Normal"/>
    <w:link w:val="HeaderChar"/>
    <w:uiPriority w:val="99"/>
    <w:rsid w:val="0084445A"/>
    <w:pPr>
      <w:widowControl w:val="0"/>
      <w:tabs>
        <w:tab w:val="center" w:pos="4536"/>
        <w:tab w:val="right" w:pos="9072"/>
      </w:tabs>
      <w:autoSpaceDE w:val="0"/>
      <w:autoSpaceDN w:val="0"/>
      <w:spacing w:after="100" w:afterAutospacing="1" w:line="240" w:lineRule="auto"/>
      <w:jc w:val="both"/>
    </w:pPr>
    <w:rPr>
      <w:rFonts w:eastAsia="Times New Roman" w:cstheme="minorHAnsi"/>
      <w:noProof/>
      <w:spacing w:val="-4"/>
      <w:lang w:val="ru-RU" w:bidi="bg-BG"/>
    </w:rPr>
  </w:style>
  <w:style w:type="character" w:customStyle="1" w:styleId="HeaderChar">
    <w:name w:val="Header Char"/>
    <w:aliases w:val="hd Char,even Char"/>
    <w:basedOn w:val="DefaultParagraphFont"/>
    <w:link w:val="Header"/>
    <w:uiPriority w:val="99"/>
    <w:rsid w:val="0084445A"/>
    <w:rPr>
      <w:rFonts w:eastAsia="Times New Roman" w:cstheme="minorHAnsi"/>
      <w:noProof/>
      <w:spacing w:val="-4"/>
      <w:lang w:val="ru-RU" w:bidi="bg-BG"/>
    </w:rPr>
  </w:style>
  <w:style w:type="paragraph" w:styleId="Footer">
    <w:name w:val="footer"/>
    <w:basedOn w:val="Normal"/>
    <w:link w:val="FooterChar"/>
    <w:uiPriority w:val="99"/>
    <w:rsid w:val="0084445A"/>
    <w:pPr>
      <w:widowControl w:val="0"/>
      <w:tabs>
        <w:tab w:val="center" w:pos="4536"/>
        <w:tab w:val="right" w:pos="9072"/>
      </w:tabs>
      <w:autoSpaceDE w:val="0"/>
      <w:autoSpaceDN w:val="0"/>
      <w:spacing w:after="100" w:afterAutospacing="1" w:line="240" w:lineRule="auto"/>
      <w:jc w:val="both"/>
    </w:pPr>
    <w:rPr>
      <w:rFonts w:eastAsia="Times New Roman" w:cstheme="minorHAnsi"/>
      <w:noProof/>
      <w:spacing w:val="-4"/>
      <w:lang w:val="ru-RU" w:bidi="bg-BG"/>
    </w:rPr>
  </w:style>
  <w:style w:type="character" w:customStyle="1" w:styleId="FooterChar">
    <w:name w:val="Footer Char"/>
    <w:basedOn w:val="DefaultParagraphFont"/>
    <w:link w:val="Footer"/>
    <w:uiPriority w:val="99"/>
    <w:rsid w:val="0084445A"/>
    <w:rPr>
      <w:rFonts w:eastAsia="Times New Roman" w:cstheme="minorHAnsi"/>
      <w:noProof/>
      <w:spacing w:val="-4"/>
      <w:lang w:val="ru-RU" w:bidi="bg-BG"/>
    </w:rPr>
  </w:style>
  <w:style w:type="paragraph" w:styleId="BodyTextIndent">
    <w:name w:val="Body Text Indent"/>
    <w:basedOn w:val="Normal"/>
    <w:link w:val="BodyTextIndentChar"/>
    <w:semiHidden/>
    <w:rsid w:val="0084445A"/>
    <w:pPr>
      <w:widowControl w:val="0"/>
      <w:autoSpaceDE w:val="0"/>
      <w:autoSpaceDN w:val="0"/>
      <w:spacing w:after="100" w:afterAutospacing="1" w:line="240" w:lineRule="auto"/>
      <w:ind w:firstLine="360"/>
      <w:jc w:val="both"/>
    </w:pPr>
    <w:rPr>
      <w:rFonts w:eastAsia="Times New Roman" w:cstheme="minorHAnsi"/>
      <w:noProof/>
      <w:spacing w:val="-4"/>
      <w:lang w:val="ru-RU" w:bidi="bg-BG"/>
    </w:rPr>
  </w:style>
  <w:style w:type="character" w:customStyle="1" w:styleId="BodyTextIndentChar">
    <w:name w:val="Body Text Indent Char"/>
    <w:basedOn w:val="DefaultParagraphFont"/>
    <w:link w:val="BodyTextIndent"/>
    <w:semiHidden/>
    <w:rsid w:val="0084445A"/>
    <w:rPr>
      <w:rFonts w:eastAsia="Times New Roman" w:cstheme="minorHAnsi"/>
      <w:noProof/>
      <w:spacing w:val="-4"/>
      <w:lang w:val="ru-RU" w:bidi="bg-BG"/>
    </w:rPr>
  </w:style>
  <w:style w:type="paragraph" w:styleId="ListParagraph">
    <w:name w:val="List Paragraph"/>
    <w:aliases w:val="List1"/>
    <w:basedOn w:val="List"/>
    <w:link w:val="ListParagraphChar"/>
    <w:uiPriority w:val="34"/>
    <w:qFormat/>
    <w:rsid w:val="0084445A"/>
    <w:pPr>
      <w:numPr>
        <w:numId w:val="1"/>
      </w:numPr>
    </w:pPr>
  </w:style>
  <w:style w:type="paragraph" w:styleId="List">
    <w:name w:val="List"/>
    <w:basedOn w:val="Normal"/>
    <w:uiPriority w:val="99"/>
    <w:semiHidden/>
    <w:unhideWhenUsed/>
    <w:rsid w:val="0084445A"/>
    <w:pPr>
      <w:widowControl w:val="0"/>
      <w:autoSpaceDE w:val="0"/>
      <w:autoSpaceDN w:val="0"/>
      <w:spacing w:after="100" w:afterAutospacing="1" w:line="240" w:lineRule="auto"/>
      <w:ind w:left="283" w:hanging="283"/>
      <w:contextualSpacing/>
      <w:jc w:val="both"/>
    </w:pPr>
    <w:rPr>
      <w:rFonts w:eastAsia="Times New Roman" w:cstheme="minorHAnsi"/>
      <w:noProof/>
      <w:spacing w:val="-4"/>
      <w:lang w:val="ru-RU" w:bidi="bg-BG"/>
    </w:rPr>
  </w:style>
  <w:style w:type="character" w:customStyle="1" w:styleId="ListParagraphChar">
    <w:name w:val="List Paragraph Char"/>
    <w:aliases w:val="List1 Char"/>
    <w:link w:val="ListParagraph"/>
    <w:uiPriority w:val="34"/>
    <w:locked/>
    <w:rsid w:val="0084445A"/>
    <w:rPr>
      <w:rFonts w:eastAsia="Times New Roman" w:cstheme="minorHAnsi"/>
      <w:noProof/>
      <w:spacing w:val="-4"/>
      <w:lang w:val="ru-RU" w:bidi="bg-BG"/>
    </w:rPr>
  </w:style>
  <w:style w:type="paragraph" w:customStyle="1" w:styleId="SubNumbers">
    <w:name w:val="SubNumbers"/>
    <w:basedOn w:val="Mainnumbers"/>
    <w:link w:val="SubNumbersChar"/>
    <w:qFormat/>
    <w:rsid w:val="00721377"/>
    <w:pPr>
      <w:numPr>
        <w:ilvl w:val="1"/>
      </w:numPr>
      <w:ind w:left="1276" w:hanging="715"/>
    </w:pPr>
  </w:style>
  <w:style w:type="paragraph" w:customStyle="1" w:styleId="Mainnumbers">
    <w:name w:val="Main numbers"/>
    <w:basedOn w:val="Normal"/>
    <w:link w:val="MainnumbersChar"/>
    <w:qFormat/>
    <w:rsid w:val="00833465"/>
    <w:pPr>
      <w:widowControl w:val="0"/>
      <w:numPr>
        <w:numId w:val="14"/>
      </w:numPr>
      <w:autoSpaceDE w:val="0"/>
      <w:autoSpaceDN w:val="0"/>
      <w:spacing w:before="120" w:after="120" w:afterAutospacing="1" w:line="240" w:lineRule="auto"/>
      <w:ind w:left="709" w:hanging="709"/>
      <w:jc w:val="both"/>
      <w:outlineLvl w:val="0"/>
    </w:pPr>
    <w:rPr>
      <w:rFonts w:eastAsia="Times New Roman" w:cstheme="minorHAnsi"/>
      <w:b/>
      <w:noProof/>
      <w:spacing w:val="-4"/>
      <w:szCs w:val="24"/>
      <w:lang w:val="ru-RU" w:bidi="bg-BG"/>
    </w:rPr>
  </w:style>
  <w:style w:type="character" w:customStyle="1" w:styleId="MainnumbersChar">
    <w:name w:val="Main numbers Char"/>
    <w:basedOn w:val="DefaultParagraphFont"/>
    <w:link w:val="Mainnumbers"/>
    <w:rsid w:val="00833465"/>
    <w:rPr>
      <w:rFonts w:eastAsia="Times New Roman" w:cstheme="minorHAnsi"/>
      <w:b/>
      <w:noProof/>
      <w:spacing w:val="-4"/>
      <w:szCs w:val="24"/>
      <w:lang w:val="ru-RU" w:bidi="bg-BG"/>
    </w:rPr>
  </w:style>
  <w:style w:type="character" w:customStyle="1" w:styleId="SubNumbersChar">
    <w:name w:val="SubNumbers Char"/>
    <w:basedOn w:val="MainnumbersChar"/>
    <w:link w:val="SubNumbers"/>
    <w:rsid w:val="00721377"/>
    <w:rPr>
      <w:rFonts w:eastAsia="Times New Roman" w:cstheme="minorHAnsi"/>
      <w:b/>
      <w:noProof/>
      <w:spacing w:val="-4"/>
      <w:szCs w:val="24"/>
      <w:lang w:val="ru-RU" w:bidi="bg-BG"/>
    </w:rPr>
  </w:style>
  <w:style w:type="paragraph" w:customStyle="1" w:styleId="SubSubNumber">
    <w:name w:val="SubSubNumber"/>
    <w:basedOn w:val="SubNumbers"/>
    <w:link w:val="SubSubNumberChar"/>
    <w:qFormat/>
    <w:rsid w:val="0084445A"/>
    <w:pPr>
      <w:numPr>
        <w:ilvl w:val="2"/>
      </w:numPr>
      <w:tabs>
        <w:tab w:val="left" w:pos="1701"/>
      </w:tabs>
      <w:ind w:left="1225" w:hanging="505"/>
    </w:pPr>
    <w:rPr>
      <w:bCs/>
    </w:rPr>
  </w:style>
  <w:style w:type="character" w:customStyle="1" w:styleId="SubSubNumberChar">
    <w:name w:val="SubSubNumber Char"/>
    <w:basedOn w:val="DefaultParagraphFont"/>
    <w:link w:val="SubSubNumber"/>
    <w:rsid w:val="0084445A"/>
    <w:rPr>
      <w:rFonts w:ascii="Calibri" w:eastAsia="Times New Roman" w:hAnsi="Calibri" w:cs="Calibri"/>
      <w:b/>
      <w:bCs/>
      <w:noProof/>
      <w:spacing w:val="-4"/>
      <w:szCs w:val="24"/>
      <w:lang w:val="ru-RU" w:bidi="bg-BG"/>
    </w:rPr>
  </w:style>
  <w:style w:type="paragraph" w:styleId="BodyText">
    <w:name w:val="Body Text"/>
    <w:basedOn w:val="Normal"/>
    <w:link w:val="BodyTextChar"/>
    <w:unhideWhenUsed/>
    <w:rsid w:val="0084445A"/>
    <w:pPr>
      <w:widowControl w:val="0"/>
      <w:autoSpaceDE w:val="0"/>
      <w:autoSpaceDN w:val="0"/>
      <w:spacing w:after="120" w:afterAutospacing="1" w:line="240" w:lineRule="auto"/>
      <w:jc w:val="both"/>
    </w:pPr>
    <w:rPr>
      <w:rFonts w:eastAsia="Times New Roman" w:cstheme="minorHAnsi"/>
      <w:noProof/>
      <w:spacing w:val="-4"/>
      <w:lang w:val="ru-RU" w:bidi="bg-BG"/>
    </w:rPr>
  </w:style>
  <w:style w:type="character" w:customStyle="1" w:styleId="BodyTextChar">
    <w:name w:val="Body Text Char"/>
    <w:basedOn w:val="DefaultParagraphFont"/>
    <w:link w:val="BodyText"/>
    <w:rsid w:val="0084445A"/>
    <w:rPr>
      <w:rFonts w:eastAsia="Times New Roman" w:cstheme="minorHAnsi"/>
      <w:noProof/>
      <w:spacing w:val="-4"/>
      <w:lang w:val="ru-RU" w:bidi="bg-BG"/>
    </w:rPr>
  </w:style>
  <w:style w:type="paragraph" w:styleId="BodyText2">
    <w:name w:val="Body Text 2"/>
    <w:basedOn w:val="Normal"/>
    <w:link w:val="BodyText2Char"/>
    <w:uiPriority w:val="99"/>
    <w:unhideWhenUsed/>
    <w:rsid w:val="0084445A"/>
    <w:pPr>
      <w:widowControl w:val="0"/>
      <w:autoSpaceDE w:val="0"/>
      <w:autoSpaceDN w:val="0"/>
      <w:spacing w:after="120" w:afterAutospacing="1" w:line="480" w:lineRule="auto"/>
      <w:jc w:val="both"/>
    </w:pPr>
    <w:rPr>
      <w:rFonts w:eastAsia="Times New Roman" w:cstheme="minorHAnsi"/>
      <w:noProof/>
      <w:spacing w:val="-4"/>
      <w:lang w:val="ru-RU" w:bidi="bg-BG"/>
    </w:rPr>
  </w:style>
  <w:style w:type="character" w:customStyle="1" w:styleId="BodyText2Char">
    <w:name w:val="Body Text 2 Char"/>
    <w:basedOn w:val="DefaultParagraphFont"/>
    <w:link w:val="BodyText2"/>
    <w:uiPriority w:val="99"/>
    <w:rsid w:val="0084445A"/>
    <w:rPr>
      <w:rFonts w:eastAsia="Times New Roman" w:cstheme="minorHAnsi"/>
      <w:noProof/>
      <w:spacing w:val="-4"/>
      <w:lang w:val="ru-RU" w:bidi="bg-BG"/>
    </w:rPr>
  </w:style>
  <w:style w:type="paragraph" w:styleId="BodyText3">
    <w:name w:val="Body Text 3"/>
    <w:basedOn w:val="Normal"/>
    <w:link w:val="BodyText3Char"/>
    <w:uiPriority w:val="99"/>
    <w:unhideWhenUsed/>
    <w:rsid w:val="0084445A"/>
    <w:pPr>
      <w:widowControl w:val="0"/>
      <w:autoSpaceDE w:val="0"/>
      <w:autoSpaceDN w:val="0"/>
      <w:spacing w:after="120" w:afterAutospacing="1" w:line="240" w:lineRule="auto"/>
      <w:jc w:val="both"/>
    </w:pPr>
    <w:rPr>
      <w:rFonts w:eastAsia="Times New Roman" w:cstheme="minorHAnsi"/>
      <w:noProof/>
      <w:spacing w:val="-4"/>
      <w:sz w:val="16"/>
      <w:szCs w:val="16"/>
      <w:lang w:val="ru-RU" w:bidi="bg-BG"/>
    </w:rPr>
  </w:style>
  <w:style w:type="character" w:customStyle="1" w:styleId="BodyText3Char">
    <w:name w:val="Body Text 3 Char"/>
    <w:basedOn w:val="DefaultParagraphFont"/>
    <w:link w:val="BodyText3"/>
    <w:uiPriority w:val="99"/>
    <w:rsid w:val="0084445A"/>
    <w:rPr>
      <w:rFonts w:eastAsia="Times New Roman" w:cstheme="minorHAnsi"/>
      <w:noProof/>
      <w:spacing w:val="-4"/>
      <w:sz w:val="16"/>
      <w:szCs w:val="16"/>
      <w:lang w:val="ru-RU" w:bidi="bg-BG"/>
    </w:rPr>
  </w:style>
  <w:style w:type="paragraph" w:styleId="BodyTextIndent2">
    <w:name w:val="Body Text Indent 2"/>
    <w:basedOn w:val="Normal"/>
    <w:link w:val="BodyTextIndent2Char"/>
    <w:unhideWhenUsed/>
    <w:rsid w:val="0084445A"/>
    <w:pPr>
      <w:widowControl w:val="0"/>
      <w:autoSpaceDE w:val="0"/>
      <w:autoSpaceDN w:val="0"/>
      <w:spacing w:after="120" w:afterAutospacing="1" w:line="480" w:lineRule="auto"/>
      <w:ind w:left="283"/>
      <w:jc w:val="both"/>
    </w:pPr>
    <w:rPr>
      <w:rFonts w:eastAsia="Times New Roman" w:cstheme="minorHAnsi"/>
      <w:noProof/>
      <w:spacing w:val="-4"/>
      <w:lang w:val="ru-RU" w:bidi="bg-BG"/>
    </w:rPr>
  </w:style>
  <w:style w:type="character" w:customStyle="1" w:styleId="BodyTextIndent2Char">
    <w:name w:val="Body Text Indent 2 Char"/>
    <w:basedOn w:val="DefaultParagraphFont"/>
    <w:link w:val="BodyTextIndent2"/>
    <w:rsid w:val="0084445A"/>
    <w:rPr>
      <w:rFonts w:eastAsia="Times New Roman" w:cstheme="minorHAnsi"/>
      <w:noProof/>
      <w:spacing w:val="-4"/>
      <w:lang w:val="ru-RU" w:bidi="bg-BG"/>
    </w:rPr>
  </w:style>
  <w:style w:type="paragraph" w:styleId="TOC3">
    <w:name w:val="toc 3"/>
    <w:basedOn w:val="Normal"/>
    <w:next w:val="Normal"/>
    <w:autoRedefine/>
    <w:uiPriority w:val="39"/>
    <w:unhideWhenUsed/>
    <w:qFormat/>
    <w:rsid w:val="0084445A"/>
    <w:pPr>
      <w:widowControl w:val="0"/>
      <w:tabs>
        <w:tab w:val="left" w:pos="-6804"/>
        <w:tab w:val="right" w:leader="dot" w:pos="9072"/>
      </w:tabs>
      <w:autoSpaceDE w:val="0"/>
      <w:autoSpaceDN w:val="0"/>
      <w:spacing w:after="100" w:afterAutospacing="1" w:line="240" w:lineRule="auto"/>
      <w:ind w:left="284"/>
      <w:jc w:val="both"/>
    </w:pPr>
    <w:rPr>
      <w:rFonts w:eastAsia="Times New Roman" w:cstheme="minorHAnsi"/>
      <w:noProof/>
      <w:spacing w:val="-4"/>
      <w:lang w:val="ru-RU" w:bidi="bg-BG"/>
    </w:rPr>
  </w:style>
  <w:style w:type="paragraph" w:customStyle="1" w:styleId="a2">
    <w:name w:val="Заглавие страница"/>
    <w:basedOn w:val="Default"/>
    <w:autoRedefine/>
    <w:qFormat/>
    <w:rsid w:val="00721377"/>
    <w:pPr>
      <w:ind w:left="-284" w:right="-285"/>
    </w:pPr>
    <w:rPr>
      <w:noProof/>
      <w:sz w:val="16"/>
      <w:szCs w:val="16"/>
      <w:lang w:val="ru-RU"/>
    </w:rPr>
  </w:style>
  <w:style w:type="paragraph" w:customStyle="1" w:styleId="a3">
    <w:name w:val="Удебелен"/>
    <w:basedOn w:val="Default"/>
    <w:link w:val="Char"/>
    <w:autoRedefine/>
    <w:qFormat/>
    <w:rsid w:val="0084445A"/>
    <w:rPr>
      <w:b/>
      <w:sz w:val="20"/>
    </w:rPr>
  </w:style>
  <w:style w:type="character" w:customStyle="1" w:styleId="Char">
    <w:name w:val="Удебелен Char"/>
    <w:basedOn w:val="DefaultChar"/>
    <w:link w:val="a3"/>
    <w:rsid w:val="0084445A"/>
    <w:rPr>
      <w:rFonts w:ascii="News Gothic Cyr" w:eastAsia="Times New Roman" w:hAnsi="News Gothic Cyr" w:cs="News Gothic Cyr"/>
      <w:b/>
      <w:color w:val="000000"/>
      <w:sz w:val="20"/>
      <w:szCs w:val="24"/>
      <w:lang w:val="en-US"/>
    </w:rPr>
  </w:style>
  <w:style w:type="paragraph" w:customStyle="1" w:styleId="a4">
    <w:name w:val="Стандарти"/>
    <w:basedOn w:val="Default"/>
    <w:autoRedefine/>
    <w:qFormat/>
    <w:rsid w:val="0084445A"/>
    <w:pPr>
      <w:ind w:firstLine="624"/>
    </w:pPr>
    <w:rPr>
      <w:sz w:val="20"/>
      <w:szCs w:val="20"/>
      <w:lang w:eastAsia="bg-BG"/>
    </w:rPr>
  </w:style>
  <w:style w:type="paragraph" w:customStyle="1" w:styleId="Style1">
    <w:name w:val="Style1"/>
    <w:basedOn w:val="Normal"/>
    <w:next w:val="a4"/>
    <w:autoRedefine/>
    <w:qFormat/>
    <w:rsid w:val="0084445A"/>
    <w:pPr>
      <w:widowControl w:val="0"/>
      <w:autoSpaceDE w:val="0"/>
      <w:autoSpaceDN w:val="0"/>
      <w:spacing w:after="100" w:afterAutospacing="1" w:line="240" w:lineRule="auto"/>
      <w:jc w:val="both"/>
    </w:pPr>
    <w:rPr>
      <w:rFonts w:eastAsia="Times New Roman" w:cstheme="minorHAnsi"/>
      <w:i/>
      <w:noProof/>
      <w:spacing w:val="-4"/>
      <w:lang w:val="ru-RU" w:bidi="bg-BG"/>
    </w:rPr>
  </w:style>
  <w:style w:type="paragraph" w:styleId="CommentText">
    <w:name w:val="annotation text"/>
    <w:basedOn w:val="Normal"/>
    <w:link w:val="CommentTextChar"/>
    <w:uiPriority w:val="99"/>
    <w:unhideWhenUsed/>
    <w:rsid w:val="0084445A"/>
    <w:pPr>
      <w:widowControl w:val="0"/>
      <w:autoSpaceDE w:val="0"/>
      <w:autoSpaceDN w:val="0"/>
      <w:spacing w:after="100" w:afterAutospacing="1" w:line="240" w:lineRule="auto"/>
      <w:jc w:val="both"/>
    </w:pPr>
    <w:rPr>
      <w:rFonts w:eastAsia="Times New Roman" w:cstheme="minorHAnsi"/>
      <w:noProof/>
      <w:spacing w:val="-4"/>
      <w:lang w:val="ru-RU" w:bidi="bg-BG"/>
    </w:rPr>
  </w:style>
  <w:style w:type="character" w:customStyle="1" w:styleId="CommentTextChar">
    <w:name w:val="Comment Text Char"/>
    <w:basedOn w:val="DefaultParagraphFont"/>
    <w:link w:val="CommentText"/>
    <w:uiPriority w:val="99"/>
    <w:rsid w:val="0084445A"/>
    <w:rPr>
      <w:rFonts w:eastAsia="Times New Roman" w:cstheme="minorHAnsi"/>
      <w:noProof/>
      <w:spacing w:val="-4"/>
      <w:lang w:val="ru-RU" w:bidi="bg-BG"/>
    </w:rPr>
  </w:style>
  <w:style w:type="character" w:customStyle="1" w:styleId="CommentSubjectChar">
    <w:name w:val="Comment Subject Char"/>
    <w:basedOn w:val="CommentTextChar"/>
    <w:link w:val="CommentSubject"/>
    <w:semiHidden/>
    <w:rsid w:val="0084445A"/>
    <w:rPr>
      <w:rFonts w:eastAsia="Times New Roman" w:cstheme="minorHAnsi"/>
      <w:b/>
      <w:noProof/>
      <w:spacing w:val="-4"/>
      <w:lang w:val="ru-RU" w:bidi="bg-BG"/>
    </w:rPr>
  </w:style>
  <w:style w:type="paragraph" w:styleId="CommentSubject">
    <w:name w:val="annotation subject"/>
    <w:basedOn w:val="CommentText"/>
    <w:next w:val="CommentText"/>
    <w:link w:val="CommentSubjectChar"/>
    <w:semiHidden/>
    <w:unhideWhenUsed/>
    <w:rsid w:val="0084445A"/>
    <w:rPr>
      <w:b/>
    </w:rPr>
  </w:style>
  <w:style w:type="paragraph" w:styleId="Revision">
    <w:name w:val="Revision"/>
    <w:hidden/>
    <w:uiPriority w:val="99"/>
    <w:semiHidden/>
    <w:rsid w:val="0084445A"/>
    <w:pPr>
      <w:spacing w:after="0" w:line="240" w:lineRule="auto"/>
    </w:pPr>
    <w:rPr>
      <w:rFonts w:ascii="News Gothic Cyr" w:eastAsia="Times New Roman" w:hAnsi="News Gothic Cyr" w:cs="News Gothic Cyr"/>
      <w:color w:val="000000"/>
      <w:sz w:val="20"/>
      <w:szCs w:val="20"/>
      <w:lang w:eastAsia="bg-BG"/>
    </w:rPr>
  </w:style>
  <w:style w:type="paragraph" w:customStyle="1" w:styleId="Tabletext">
    <w:name w:val="Tabletext"/>
    <w:basedOn w:val="Normal"/>
    <w:rsid w:val="0084445A"/>
    <w:pPr>
      <w:widowControl w:val="0"/>
      <w:autoSpaceDE w:val="0"/>
      <w:autoSpaceDN w:val="0"/>
      <w:spacing w:after="100" w:afterAutospacing="1" w:line="240" w:lineRule="auto"/>
      <w:jc w:val="both"/>
    </w:pPr>
    <w:rPr>
      <w:rFonts w:ascii="Times New Roman" w:eastAsia="Times New Roman" w:hAnsi="Times New Roman" w:cstheme="minorHAnsi"/>
      <w:noProof/>
      <w:spacing w:val="-4"/>
      <w:lang w:val="en-GB" w:bidi="bg-BG"/>
    </w:rPr>
  </w:style>
  <w:style w:type="paragraph" w:customStyle="1" w:styleId="BoldHeading">
    <w:name w:val="BoldHeading"/>
    <w:basedOn w:val="a3"/>
    <w:link w:val="BoldHeadingChar"/>
    <w:autoRedefine/>
    <w:qFormat/>
    <w:rsid w:val="0084445A"/>
    <w:pPr>
      <w:spacing w:before="120" w:line="276" w:lineRule="auto"/>
    </w:pPr>
    <w:rPr>
      <w:szCs w:val="20"/>
    </w:rPr>
  </w:style>
  <w:style w:type="character" w:customStyle="1" w:styleId="BoldHeadingChar">
    <w:name w:val="BoldHeading Char"/>
    <w:basedOn w:val="Char"/>
    <w:link w:val="BoldHeading"/>
    <w:rsid w:val="0084445A"/>
    <w:rPr>
      <w:rFonts w:ascii="News Gothic Cyr" w:eastAsia="Times New Roman" w:hAnsi="News Gothic Cyr" w:cs="News Gothic Cyr"/>
      <w:b/>
      <w:color w:val="000000"/>
      <w:sz w:val="20"/>
      <w:szCs w:val="20"/>
      <w:lang w:val="en-US"/>
    </w:rPr>
  </w:style>
  <w:style w:type="paragraph" w:customStyle="1" w:styleId="TableParagraph">
    <w:name w:val="Table Paragraph"/>
    <w:basedOn w:val="Normal"/>
    <w:uiPriority w:val="1"/>
    <w:qFormat/>
    <w:rsid w:val="0084445A"/>
    <w:pPr>
      <w:widowControl w:val="0"/>
      <w:autoSpaceDE w:val="0"/>
      <w:autoSpaceDN w:val="0"/>
      <w:spacing w:after="100" w:afterAutospacing="1" w:line="240" w:lineRule="auto"/>
    </w:pPr>
    <w:rPr>
      <w:rFonts w:ascii="EYInterstate Light" w:eastAsia="EYInterstate Light" w:hAnsi="EYInterstate Light" w:cs="EYInterstate Light"/>
      <w:noProof/>
      <w:spacing w:val="-4"/>
      <w:lang w:val="en-US" w:bidi="en-US"/>
    </w:rPr>
  </w:style>
  <w:style w:type="table" w:customStyle="1" w:styleId="TableGridLight1">
    <w:name w:val="Table Grid Light1"/>
    <w:basedOn w:val="TableNormal"/>
    <w:uiPriority w:val="40"/>
    <w:rsid w:val="0084445A"/>
    <w:pPr>
      <w:spacing w:after="0" w:line="240" w:lineRule="auto"/>
    </w:pPr>
    <w:rPr>
      <w:rFonts w:ascii="Times New Roman" w:eastAsia="Times New Roman" w:hAnsi="Times New Roman" w:cs="Times New Roman"/>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
    <w:name w:val="Table Grid"/>
    <w:basedOn w:val="TableNormal"/>
    <w:rsid w:val="0084445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105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C73E5-F216-4424-B845-7FB97AB12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30</Pages>
  <Words>11694</Words>
  <Characters>66661</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Volen Dimitrov</dc:creator>
  <cp:keywords/>
  <dc:description/>
  <cp:lastModifiedBy>Иво Станков</cp:lastModifiedBy>
  <cp:revision>10</cp:revision>
  <dcterms:created xsi:type="dcterms:W3CDTF">2019-01-28T11:42:00Z</dcterms:created>
  <dcterms:modified xsi:type="dcterms:W3CDTF">2019-01-28T15:15:00Z</dcterms:modified>
</cp:coreProperties>
</file>