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drawings/drawing1.xml" ContentType="application/vnd.openxmlformats-officedocument.drawingml.chartshapes+xml"/>
  <Override PartName="/word/charts/chart7.xml" ContentType="application/vnd.openxmlformats-officedocument.drawingml.chart+xml"/>
  <Override PartName="/word/drawings/drawing2.xml" ContentType="application/vnd.openxmlformats-officedocument.drawingml.chartshapes+xml"/>
  <Override PartName="/word/charts/chart8.xml" ContentType="application/vnd.openxmlformats-officedocument.drawingml.chart+xml"/>
  <Override PartName="/word/drawings/drawing3.xml" ContentType="application/vnd.openxmlformats-officedocument.drawingml.chartshapes+xml"/>
  <Override PartName="/word/charts/chart9.xml" ContentType="application/vnd.openxmlformats-officedocument.drawingml.chart+xml"/>
  <Override PartName="/word/drawings/drawing4.xml" ContentType="application/vnd.openxmlformats-officedocument.drawingml.chartshapes+xml"/>
  <Override PartName="/word/charts/chart10.xml" ContentType="application/vnd.openxmlformats-officedocument.drawingml.chart+xml"/>
  <Override PartName="/word/drawings/drawing5.xml" ContentType="application/vnd.openxmlformats-officedocument.drawingml.chartshapes+xml"/>
  <Override PartName="/word/charts/chart11.xml" ContentType="application/vnd.openxmlformats-officedocument.drawingml.chart+xml"/>
  <Override PartName="/word/charts/chart12.xml" ContentType="application/vnd.openxmlformats-officedocument.drawingml.chart+xml"/>
  <Override PartName="/word/drawings/drawing6.xml" ContentType="application/vnd.openxmlformats-officedocument.drawingml.chartshapes+xml"/>
  <Override PartName="/word/charts/chart13.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C1E73" w:rsidRPr="00AC6A82" w:rsidRDefault="00375E84" w:rsidP="001A50AB">
      <w:pPr>
        <w:rPr>
          <w:rFonts w:ascii="Calibri" w:hAnsi="Calibri" w:cs="Calibri"/>
        </w:rPr>
      </w:pPr>
      <w:bookmarkStart w:id="0" w:name="_GoBack"/>
      <w:bookmarkEnd w:id="0"/>
      <w:r>
        <w:rPr>
          <w:rFonts w:ascii="Calibri" w:hAnsi="Calibri" w:cs="Calibri"/>
          <w:noProof/>
        </w:rPr>
        <mc:AlternateContent>
          <mc:Choice Requires="wps">
            <w:drawing>
              <wp:anchor distT="0" distB="0" distL="114300" distR="114300" simplePos="0" relativeHeight="251658240" behindDoc="0" locked="0" layoutInCell="1" allowOverlap="1">
                <wp:simplePos x="0" y="0"/>
                <wp:positionH relativeFrom="column">
                  <wp:posOffset>-180340</wp:posOffset>
                </wp:positionH>
                <wp:positionV relativeFrom="paragraph">
                  <wp:posOffset>5430520</wp:posOffset>
                </wp:positionV>
                <wp:extent cx="4870450" cy="1714500"/>
                <wp:effectExtent l="0" t="0" r="0" b="0"/>
                <wp:wrapNone/>
                <wp:docPr id="2"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0450" cy="171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61F3F" w:rsidRDefault="00E61F3F" w:rsidP="00C4001C">
                            <w:pPr>
                              <w:jc w:val="center"/>
                              <w:rPr>
                                <w:color w:val="FFFFFF" w:themeColor="background1"/>
                                <w:sz w:val="44"/>
                                <w:szCs w:val="44"/>
                              </w:rPr>
                            </w:pPr>
                            <w:r w:rsidRPr="00C40DE4">
                              <w:rPr>
                                <w:color w:val="FFFFFF" w:themeColor="background1"/>
                                <w:sz w:val="44"/>
                                <w:szCs w:val="44"/>
                              </w:rPr>
                              <w:t>Междинен доклад за дейнос</w:t>
                            </w:r>
                            <w:r>
                              <w:rPr>
                                <w:color w:val="FFFFFF" w:themeColor="background1"/>
                                <w:sz w:val="44"/>
                                <w:szCs w:val="44"/>
                              </w:rPr>
                              <w:t xml:space="preserve">тта на Българска фондова борса </w:t>
                            </w:r>
                            <w:r w:rsidRPr="00C40DE4">
                              <w:rPr>
                                <w:color w:val="FFFFFF" w:themeColor="background1"/>
                                <w:sz w:val="44"/>
                                <w:szCs w:val="44"/>
                              </w:rPr>
                              <w:t>АД</w:t>
                            </w:r>
                          </w:p>
                          <w:p w:rsidR="00E61F3F" w:rsidRPr="00C40DE4" w:rsidRDefault="00E61F3F" w:rsidP="00C4001C">
                            <w:pPr>
                              <w:jc w:val="center"/>
                              <w:rPr>
                                <w:color w:val="FFFFFF" w:themeColor="background1"/>
                                <w:sz w:val="44"/>
                                <w:szCs w:val="44"/>
                              </w:rPr>
                            </w:pPr>
                            <w:r>
                              <w:rPr>
                                <w:color w:val="FFFFFF" w:themeColor="background1"/>
                                <w:sz w:val="44"/>
                                <w:szCs w:val="44"/>
                              </w:rPr>
                              <w:t>през първото</w:t>
                            </w:r>
                            <w:r>
                              <w:rPr>
                                <w:color w:val="FFFFFF" w:themeColor="background1"/>
                                <w:sz w:val="44"/>
                                <w:szCs w:val="44"/>
                                <w:lang w:val="en-US"/>
                              </w:rPr>
                              <w:t xml:space="preserve"> </w:t>
                            </w:r>
                            <w:r>
                              <w:rPr>
                                <w:color w:val="FFFFFF" w:themeColor="background1"/>
                                <w:sz w:val="44"/>
                                <w:szCs w:val="44"/>
                              </w:rPr>
                              <w:t>три</w:t>
                            </w:r>
                            <w:r w:rsidRPr="00C40DE4">
                              <w:rPr>
                                <w:color w:val="FFFFFF" w:themeColor="background1"/>
                                <w:sz w:val="44"/>
                                <w:szCs w:val="44"/>
                              </w:rPr>
                              <w:t>месечие на 201</w:t>
                            </w:r>
                            <w:r>
                              <w:rPr>
                                <w:color w:val="FFFFFF" w:themeColor="background1"/>
                                <w:sz w:val="44"/>
                                <w:szCs w:val="44"/>
                              </w:rPr>
                              <w:t>9</w:t>
                            </w:r>
                            <w:r w:rsidRPr="00C40DE4">
                              <w:rPr>
                                <w:color w:val="FFFFFF" w:themeColor="background1"/>
                                <w:sz w:val="44"/>
                                <w:szCs w:val="44"/>
                              </w:rPr>
                              <w:t xml:space="preserve"> г.</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 o:spid="_x0000_s1026" type="#_x0000_t202" style="position:absolute;left:0;text-align:left;margin-left:-14.2pt;margin-top:427.6pt;width:383.5pt;height:1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EAItgIAALsFAAAOAAAAZHJzL2Uyb0RvYy54bWysVNtunDAQfa/Uf7D8TrjUuwsobJQsS1Up&#10;vUhJP8ALZrEKNrW9C2nVf+/Y7C3JS9WWB2R7xmfOzBzP9c3YtWjPlOZSZDi8CjBiopQVF9sMf30s&#10;vBgjbaioaCsFy/AT0/hm+fbN9dCnLJKNbCumEIAInQ59hhtj+tT3ddmwjuor2TMBxlqqjhrYqq1f&#10;KToAetf6URDM/UGqqleyZFrDaT4Z8dLh1zUrzee61sygNsPAzbi/cv+N/fvLa5puFe0bXh5o0L9g&#10;0VEuIOgJKqeGop3ir6A6XiqpZW2uStn5sq55yVwOkE0YvMjmoaE9c7lAcXR/KpP+f7Dlp/0XhXiV&#10;4QgjQTto0SMbDbqTIwrf2fIMvU7B66EHPzPCObTZpar7e1l+00jIVUPFlt0qJYeG0Qrohfamf3F1&#10;wtEWZDN8lBXEoTsjHdBYq87WDqqBAB3a9HRqjeVSwiGJFwGZgakEW7gIYe2a59P0eL1X2rxnskN2&#10;kWEFvXfwdH+vjaVD06OLjSZkwdvW9b8Vzw7AcTqB4HDV2iwN186fSZCs43VMPBLN1x4J8ty7LVbE&#10;mxfhYpa/y1erPPxl44YkbXhVMWHDHKUVkj9r3UHkkyhO4tKy5ZWFs5S02m5WrUJ7CtIu3OeKDpaz&#10;m/+chisC5PIipTAiwV2UeMU8XnikIDMvWQSxF4TJXTIPSELy4nlK91ywf08JDRlOZtFsUtOZ9Ivc&#10;Ave9zo2mHTcwPFreZTg+OdHUanAtKtdaQ3k7rS9KYemfSwHtPjbaKdaKdJKrGTcjoFgZb2T1BNpV&#10;EpQFKoSJB4tGqh8YDTA9Mqy/76hiGLUfBOg/CQmx48ZtyGwRwUZdWjaXFipKgMqwwWharsw0ona9&#10;4tsGIk0vTshbeDM1d2o+szq8NJgQLqnDNLMj6HLvvM4zd/kbAAD//wMAUEsDBBQABgAIAAAAIQAz&#10;ozQo4AAAAAwBAAAPAAAAZHJzL2Rvd25yZXYueG1sTI9NT8MwDIbvSPsPkSdx25KVdZTSdEIgrkOM&#10;D4lb1nhtReNUTbaWf493gqPtR6+ft9hOrhNnHELrScNqqUAgVd62VGt4f3teZCBCNGRN5wk1/GCA&#10;bTm7Kkxu/UiveN7HWnAIhdxoaGLscylD1aAzYel7JL4d/eBM5HGopR3MyOGuk4lSG+lMS/yhMT0+&#10;Nlh9709Ow8fu+PW5Vi/1k0v70U9KkruTWl/Pp4d7EBGn+AfDRZ/VoWSngz+RDaLTsEiyNaMasjRN&#10;QDBxe5NtQBwYXSW8kmUh/5cofwEAAP//AwBQSwECLQAUAAYACAAAACEAtoM4kv4AAADhAQAAEwAA&#10;AAAAAAAAAAAAAAAAAAAAW0NvbnRlbnRfVHlwZXNdLnhtbFBLAQItABQABgAIAAAAIQA4/SH/1gAA&#10;AJQBAAALAAAAAAAAAAAAAAAAAC8BAABfcmVscy8ucmVsc1BLAQItABQABgAIAAAAIQArXEAItgIA&#10;ALsFAAAOAAAAAAAAAAAAAAAAAC4CAABkcnMvZTJvRG9jLnhtbFBLAQItABQABgAIAAAAIQAzozQo&#10;4AAAAAwBAAAPAAAAAAAAAAAAAAAAABAFAABkcnMvZG93bnJldi54bWxQSwUGAAAAAAQABADzAAAA&#10;HQYAAAAA&#10;" filled="f" stroked="f">
                <v:textbox>
                  <w:txbxContent>
                    <w:p w:rsidR="00E61F3F" w:rsidRDefault="00E61F3F" w:rsidP="00C4001C">
                      <w:pPr>
                        <w:jc w:val="center"/>
                        <w:rPr>
                          <w:color w:val="FFFFFF" w:themeColor="background1"/>
                          <w:sz w:val="44"/>
                          <w:szCs w:val="44"/>
                        </w:rPr>
                      </w:pPr>
                      <w:r w:rsidRPr="00C40DE4">
                        <w:rPr>
                          <w:color w:val="FFFFFF" w:themeColor="background1"/>
                          <w:sz w:val="44"/>
                          <w:szCs w:val="44"/>
                        </w:rPr>
                        <w:t>Междинен доклад за дейнос</w:t>
                      </w:r>
                      <w:r>
                        <w:rPr>
                          <w:color w:val="FFFFFF" w:themeColor="background1"/>
                          <w:sz w:val="44"/>
                          <w:szCs w:val="44"/>
                        </w:rPr>
                        <w:t xml:space="preserve">тта на Българска фондова борса </w:t>
                      </w:r>
                      <w:r w:rsidRPr="00C40DE4">
                        <w:rPr>
                          <w:color w:val="FFFFFF" w:themeColor="background1"/>
                          <w:sz w:val="44"/>
                          <w:szCs w:val="44"/>
                        </w:rPr>
                        <w:t>АД</w:t>
                      </w:r>
                    </w:p>
                    <w:p w:rsidR="00E61F3F" w:rsidRPr="00C40DE4" w:rsidRDefault="00E61F3F" w:rsidP="00C4001C">
                      <w:pPr>
                        <w:jc w:val="center"/>
                        <w:rPr>
                          <w:color w:val="FFFFFF" w:themeColor="background1"/>
                          <w:sz w:val="44"/>
                          <w:szCs w:val="44"/>
                        </w:rPr>
                      </w:pPr>
                      <w:r>
                        <w:rPr>
                          <w:color w:val="FFFFFF" w:themeColor="background1"/>
                          <w:sz w:val="44"/>
                          <w:szCs w:val="44"/>
                        </w:rPr>
                        <w:t>през първото</w:t>
                      </w:r>
                      <w:r>
                        <w:rPr>
                          <w:color w:val="FFFFFF" w:themeColor="background1"/>
                          <w:sz w:val="44"/>
                          <w:szCs w:val="44"/>
                          <w:lang w:val="en-US"/>
                        </w:rPr>
                        <w:t xml:space="preserve"> </w:t>
                      </w:r>
                      <w:r>
                        <w:rPr>
                          <w:color w:val="FFFFFF" w:themeColor="background1"/>
                          <w:sz w:val="44"/>
                          <w:szCs w:val="44"/>
                        </w:rPr>
                        <w:t>три</w:t>
                      </w:r>
                      <w:r w:rsidRPr="00C40DE4">
                        <w:rPr>
                          <w:color w:val="FFFFFF" w:themeColor="background1"/>
                          <w:sz w:val="44"/>
                          <w:szCs w:val="44"/>
                        </w:rPr>
                        <w:t>месечие на 201</w:t>
                      </w:r>
                      <w:r>
                        <w:rPr>
                          <w:color w:val="FFFFFF" w:themeColor="background1"/>
                          <w:sz w:val="44"/>
                          <w:szCs w:val="44"/>
                        </w:rPr>
                        <w:t>9</w:t>
                      </w:r>
                      <w:r w:rsidRPr="00C40DE4">
                        <w:rPr>
                          <w:color w:val="FFFFFF" w:themeColor="background1"/>
                          <w:sz w:val="44"/>
                          <w:szCs w:val="44"/>
                        </w:rPr>
                        <w:t xml:space="preserve"> г.</w:t>
                      </w:r>
                    </w:p>
                  </w:txbxContent>
                </v:textbox>
              </v:shape>
            </w:pict>
          </mc:Fallback>
        </mc:AlternateContent>
      </w:r>
      <w:r w:rsidR="00624D97" w:rsidRPr="00AC6A82">
        <w:rPr>
          <w:rFonts w:ascii="Calibri" w:hAnsi="Calibri" w:cs="Calibri"/>
          <w:noProof/>
        </w:rPr>
        <w:drawing>
          <wp:anchor distT="0" distB="0" distL="114300" distR="114300" simplePos="0" relativeHeight="251654656" behindDoc="1" locked="0" layoutInCell="1" allowOverlap="0">
            <wp:simplePos x="0" y="0"/>
            <wp:positionH relativeFrom="column">
              <wp:posOffset>-876935</wp:posOffset>
            </wp:positionH>
            <wp:positionV relativeFrom="paragraph">
              <wp:posOffset>1674495</wp:posOffset>
            </wp:positionV>
            <wp:extent cx="7658100" cy="6005830"/>
            <wp:effectExtent l="0" t="0" r="0" b="0"/>
            <wp:wrapSquare wrapText="bothSides"/>
            <wp:docPr id="3" name="Picture 2" descr="C:\Worker\Work\bfb\package\office\powerpoint\tit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Worker\Work\bfb\package\office\powerpoint\title.png"/>
                    <pic:cNvPicPr>
                      <a:picLocks noChangeAspect="1" noChangeArrowheads="1"/>
                    </pic:cNvPicPr>
                  </pic:nvPicPr>
                  <pic:blipFill>
                    <a:blip r:embed="rId9" cstate="print"/>
                    <a:srcRect/>
                    <a:stretch>
                      <a:fillRect/>
                    </a:stretch>
                  </pic:blipFill>
                  <pic:spPr bwMode="auto">
                    <a:xfrm>
                      <a:off x="0" y="0"/>
                      <a:ext cx="7658100" cy="6005830"/>
                    </a:xfrm>
                    <a:prstGeom prst="rect">
                      <a:avLst/>
                    </a:prstGeom>
                    <a:noFill/>
                    <a:ln w="9525">
                      <a:noFill/>
                      <a:miter lim="800000"/>
                      <a:headEnd/>
                      <a:tailEnd/>
                    </a:ln>
                  </pic:spPr>
                </pic:pic>
              </a:graphicData>
            </a:graphic>
          </wp:anchor>
        </w:drawing>
      </w:r>
      <w:r w:rsidR="00B30EB6" w:rsidRPr="00AC6A82">
        <w:rPr>
          <w:rFonts w:ascii="Calibri" w:hAnsi="Calibri" w:cs="Calibri"/>
        </w:rPr>
        <w:br w:type="page"/>
      </w:r>
    </w:p>
    <w:tbl>
      <w:tblPr>
        <w:tblW w:w="9873" w:type="dxa"/>
        <w:jc w:val="center"/>
        <w:tblCellMar>
          <w:left w:w="70" w:type="dxa"/>
          <w:right w:w="70" w:type="dxa"/>
        </w:tblCellMar>
        <w:tblLook w:val="04A0" w:firstRow="1" w:lastRow="0" w:firstColumn="1" w:lastColumn="0" w:noHBand="0" w:noVBand="1"/>
      </w:tblPr>
      <w:tblGrid>
        <w:gridCol w:w="5860"/>
        <w:gridCol w:w="1758"/>
        <w:gridCol w:w="2255"/>
      </w:tblGrid>
      <w:tr w:rsidR="00E61F3F" w:rsidRPr="00E61F3F" w:rsidTr="00E61F3F">
        <w:trPr>
          <w:trHeight w:val="170"/>
          <w:jc w:val="center"/>
        </w:trPr>
        <w:tc>
          <w:tcPr>
            <w:tcW w:w="5860" w:type="dxa"/>
            <w:tcBorders>
              <w:top w:val="nil"/>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Cs w:val="22"/>
              </w:rPr>
            </w:pPr>
            <w:r w:rsidRPr="00E61F3F">
              <w:rPr>
                <w:rFonts w:ascii="Calibri" w:hAnsi="Calibri"/>
                <w:b/>
                <w:bCs/>
                <w:szCs w:val="22"/>
              </w:rPr>
              <w:lastRenderedPageBreak/>
              <w:t>БЪЛГАРСКА ФОНДОВА БОРСА АД</w:t>
            </w:r>
          </w:p>
        </w:tc>
        <w:tc>
          <w:tcPr>
            <w:tcW w:w="1758" w:type="dxa"/>
            <w:tcBorders>
              <w:top w:val="nil"/>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center"/>
              <w:rPr>
                <w:rFonts w:ascii="Calibri" w:hAnsi="Calibri"/>
                <w:szCs w:val="22"/>
              </w:rPr>
            </w:pPr>
            <w:r w:rsidRPr="00E61F3F">
              <w:rPr>
                <w:rFonts w:ascii="Calibri" w:hAnsi="Calibri"/>
                <w:szCs w:val="22"/>
              </w:rPr>
              <w:t> </w:t>
            </w:r>
          </w:p>
        </w:tc>
        <w:tc>
          <w:tcPr>
            <w:tcW w:w="2255" w:type="dxa"/>
            <w:tcBorders>
              <w:top w:val="nil"/>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center"/>
              <w:rPr>
                <w:rFonts w:ascii="Calibri" w:hAnsi="Calibri"/>
                <w:szCs w:val="22"/>
              </w:rPr>
            </w:pPr>
            <w:r w:rsidRPr="00E61F3F">
              <w:rPr>
                <w:rFonts w:ascii="Calibri" w:hAnsi="Calibri"/>
                <w:szCs w:val="22"/>
              </w:rPr>
              <w:t>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Cs w:val="22"/>
              </w:rPr>
            </w:pPr>
            <w:r w:rsidRPr="00E61F3F">
              <w:rPr>
                <w:rFonts w:ascii="Calibri" w:hAnsi="Calibri"/>
                <w:b/>
                <w:bCs/>
                <w:szCs w:val="22"/>
              </w:rPr>
              <w:t>ИНДИВИДУАЛЕН ОТЧЕТ ЗА ФИНАНСОВОТО СЪСТОЯНИЕ</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center"/>
              <w:rPr>
                <w:rFonts w:ascii="Calibri" w:hAnsi="Calibri"/>
                <w:szCs w:val="22"/>
              </w:rPr>
            </w:pP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center"/>
              <w:rPr>
                <w:rFonts w:ascii="Calibri" w:hAnsi="Calibri"/>
                <w:szCs w:val="22"/>
              </w:rPr>
            </w:pP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left"/>
              <w:rPr>
                <w:rFonts w:ascii="Calibri" w:hAnsi="Calibri"/>
                <w:b/>
                <w:bCs/>
                <w:szCs w:val="22"/>
              </w:rPr>
            </w:pPr>
            <w:r w:rsidRPr="00E61F3F">
              <w:rPr>
                <w:rFonts w:ascii="Calibri" w:hAnsi="Calibri"/>
                <w:b/>
                <w:bCs/>
                <w:szCs w:val="22"/>
              </w:rPr>
              <w:t>към 31 март 2019 година</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center"/>
              <w:rPr>
                <w:rFonts w:ascii="Calibri" w:hAnsi="Calibri"/>
                <w:szCs w:val="22"/>
              </w:rPr>
            </w:pP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center"/>
              <w:rPr>
                <w:rFonts w:ascii="Calibri" w:hAnsi="Calibri"/>
                <w:szCs w:val="22"/>
              </w:rPr>
            </w:pP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center"/>
              <w:rPr>
                <w:rFonts w:ascii="Calibri" w:hAnsi="Calibri"/>
                <w:szCs w:val="22"/>
              </w:rPr>
            </w:pPr>
          </w:p>
        </w:tc>
        <w:tc>
          <w:tcPr>
            <w:tcW w:w="1758"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center"/>
              <w:rPr>
                <w:rFonts w:ascii="Calibri" w:hAnsi="Calibri"/>
                <w:b/>
                <w:bCs/>
                <w:szCs w:val="22"/>
              </w:rPr>
            </w:pPr>
            <w:r w:rsidRPr="00E61F3F">
              <w:rPr>
                <w:rFonts w:ascii="Calibri" w:hAnsi="Calibri"/>
                <w:b/>
                <w:bCs/>
                <w:szCs w:val="22"/>
              </w:rPr>
              <w:t>31 март 2019 г.</w:t>
            </w:r>
          </w:p>
        </w:tc>
        <w:tc>
          <w:tcPr>
            <w:tcW w:w="225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center"/>
              <w:rPr>
                <w:rFonts w:ascii="Calibri" w:hAnsi="Calibri"/>
                <w:b/>
                <w:bCs/>
                <w:szCs w:val="22"/>
              </w:rPr>
            </w:pPr>
            <w:r w:rsidRPr="00E61F3F">
              <w:rPr>
                <w:rFonts w:ascii="Calibri" w:hAnsi="Calibri"/>
                <w:b/>
                <w:bCs/>
                <w:szCs w:val="22"/>
              </w:rPr>
              <w:t>31 декември 2018 г.</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center"/>
              <w:rPr>
                <w:rFonts w:ascii="Calibri" w:hAnsi="Calibri"/>
                <w:b/>
                <w:bCs/>
                <w:color w:val="000000"/>
                <w:szCs w:val="22"/>
              </w:rPr>
            </w:pPr>
            <w:r w:rsidRPr="00E61F3F">
              <w:rPr>
                <w:rFonts w:ascii="Calibri" w:hAnsi="Calibri"/>
                <w:b/>
                <w:bCs/>
                <w:color w:val="000000"/>
                <w:szCs w:val="22"/>
              </w:rPr>
              <w:t>BGN'000</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center"/>
              <w:rPr>
                <w:rFonts w:ascii="Calibri" w:hAnsi="Calibri"/>
                <w:b/>
                <w:bCs/>
                <w:color w:val="000000"/>
                <w:szCs w:val="22"/>
              </w:rPr>
            </w:pPr>
            <w:r w:rsidRPr="00E61F3F">
              <w:rPr>
                <w:rFonts w:ascii="Calibri" w:hAnsi="Calibri"/>
                <w:b/>
                <w:bCs/>
                <w:color w:val="000000"/>
                <w:szCs w:val="22"/>
              </w:rPr>
              <w:t>BGN'000</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Cs w:val="22"/>
              </w:rPr>
            </w:pPr>
            <w:r w:rsidRPr="00E61F3F">
              <w:rPr>
                <w:rFonts w:ascii="Calibri" w:hAnsi="Calibri"/>
                <w:b/>
                <w:bCs/>
                <w:szCs w:val="22"/>
              </w:rPr>
              <w:t>АКТИВ</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center"/>
              <w:rPr>
                <w:rFonts w:ascii="Calibri" w:hAnsi="Calibri"/>
                <w:szCs w:val="22"/>
              </w:rPr>
            </w:pP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Cs w:val="22"/>
              </w:rPr>
            </w:pPr>
            <w:r w:rsidRPr="00E61F3F">
              <w:rPr>
                <w:rFonts w:ascii="Calibri" w:hAnsi="Calibri"/>
                <w:b/>
                <w:bCs/>
                <w:szCs w:val="22"/>
              </w:rPr>
              <w:t>Нетекущи активи</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Имоти, машини и оборудване</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1 264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1 280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Нематериални активи</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17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18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Инвестиции в дъщерни дружества</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5 284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5 284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 xml:space="preserve">Инвестиции в съвместни дружества </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53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53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color w:val="000000"/>
                <w:szCs w:val="22"/>
              </w:rPr>
            </w:pPr>
            <w:r w:rsidRPr="00E61F3F">
              <w:rPr>
                <w:rFonts w:ascii="Calibri" w:hAnsi="Calibri"/>
                <w:color w:val="000000"/>
                <w:szCs w:val="22"/>
              </w:rPr>
              <w:t>Финансови активи оценявани по амортизирана стойност</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color w:val="000000"/>
                <w:szCs w:val="22"/>
              </w:rPr>
            </w:pPr>
            <w:r w:rsidRPr="00E61F3F">
              <w:rPr>
                <w:rFonts w:ascii="Calibri" w:hAnsi="Calibri"/>
                <w:color w:val="000000"/>
                <w:szCs w:val="22"/>
              </w:rPr>
              <w:t>Финансови активи оценявани по справедлива стойност</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2 269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2 296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Активи по отсрочени данъци</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63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63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1758" w:type="dxa"/>
            <w:tcBorders>
              <w:top w:val="single" w:sz="4" w:space="0" w:color="auto"/>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8 950 </w:t>
            </w:r>
          </w:p>
        </w:tc>
        <w:tc>
          <w:tcPr>
            <w:tcW w:w="2255" w:type="dxa"/>
            <w:tcBorders>
              <w:top w:val="single" w:sz="4" w:space="0" w:color="auto"/>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8 994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Cs w:val="22"/>
              </w:rPr>
            </w:pP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Cs w:val="22"/>
              </w:rPr>
            </w:pPr>
            <w:r w:rsidRPr="00E61F3F">
              <w:rPr>
                <w:rFonts w:ascii="Calibri" w:hAnsi="Calibri"/>
                <w:b/>
                <w:bCs/>
                <w:szCs w:val="22"/>
              </w:rPr>
              <w:t>Текущи активи</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Търговски вземания</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279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155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Други вземания и предплатени разходи</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728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650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Парични средства и парични еквиваленти</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1 597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2 025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1758" w:type="dxa"/>
            <w:tcBorders>
              <w:top w:val="single" w:sz="4" w:space="0" w:color="auto"/>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2 604 </w:t>
            </w:r>
          </w:p>
        </w:tc>
        <w:tc>
          <w:tcPr>
            <w:tcW w:w="2255" w:type="dxa"/>
            <w:tcBorders>
              <w:top w:val="single" w:sz="4" w:space="0" w:color="auto"/>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2 830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Cs w:val="22"/>
              </w:rPr>
            </w:pP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Cs w:val="22"/>
              </w:rPr>
            </w:pPr>
            <w:r w:rsidRPr="00E61F3F">
              <w:rPr>
                <w:rFonts w:ascii="Calibri" w:hAnsi="Calibri"/>
                <w:b/>
                <w:bCs/>
                <w:szCs w:val="22"/>
              </w:rPr>
              <w:t>ОБЩО АКТИВИ</w:t>
            </w:r>
          </w:p>
        </w:tc>
        <w:tc>
          <w:tcPr>
            <w:tcW w:w="1758" w:type="dxa"/>
            <w:tcBorders>
              <w:top w:val="single" w:sz="4" w:space="0" w:color="auto"/>
              <w:left w:val="nil"/>
              <w:bottom w:val="double" w:sz="6"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11 554 </w:t>
            </w:r>
          </w:p>
        </w:tc>
        <w:tc>
          <w:tcPr>
            <w:tcW w:w="2255" w:type="dxa"/>
            <w:tcBorders>
              <w:top w:val="single" w:sz="4" w:space="0" w:color="auto"/>
              <w:left w:val="nil"/>
              <w:bottom w:val="double" w:sz="6"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11 824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Cs w:val="22"/>
              </w:rPr>
            </w:pPr>
            <w:r w:rsidRPr="00E61F3F">
              <w:rPr>
                <w:rFonts w:ascii="Calibri" w:hAnsi="Calibri"/>
                <w:b/>
                <w:bCs/>
                <w:szCs w:val="22"/>
              </w:rPr>
              <w:t>СОБСТВЕН КАПИТАЛ И ПАСИВИ</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Cs w:val="22"/>
              </w:rPr>
            </w:pPr>
            <w:r w:rsidRPr="00E61F3F">
              <w:rPr>
                <w:rFonts w:ascii="Calibri" w:hAnsi="Calibri"/>
                <w:b/>
                <w:bCs/>
                <w:szCs w:val="22"/>
              </w:rPr>
              <w:t>СОБСТВЕН КАПИТАЛ</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Основен акционерен капитал</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6 583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6 583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Резерви</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3 567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3 567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Натрупани печалби/(загуби)</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271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379 </w:t>
            </w:r>
          </w:p>
        </w:tc>
      </w:tr>
      <w:tr w:rsidR="00E61F3F" w:rsidRPr="00E61F3F" w:rsidTr="00E61F3F">
        <w:trPr>
          <w:trHeight w:val="170"/>
          <w:jc w:val="center"/>
        </w:trPr>
        <w:tc>
          <w:tcPr>
            <w:tcW w:w="5860" w:type="dxa"/>
            <w:tcBorders>
              <w:top w:val="nil"/>
              <w:left w:val="nil"/>
              <w:bottom w:val="nil"/>
              <w:right w:val="nil"/>
            </w:tcBorders>
            <w:shd w:val="clear" w:color="auto" w:fill="auto"/>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1758" w:type="dxa"/>
            <w:tcBorders>
              <w:top w:val="single" w:sz="4" w:space="0" w:color="auto"/>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10 421 </w:t>
            </w:r>
          </w:p>
        </w:tc>
        <w:tc>
          <w:tcPr>
            <w:tcW w:w="2255" w:type="dxa"/>
            <w:tcBorders>
              <w:top w:val="single" w:sz="4" w:space="0" w:color="auto"/>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10 529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Cs w:val="22"/>
              </w:rPr>
            </w:pPr>
            <w:r w:rsidRPr="00E61F3F">
              <w:rPr>
                <w:rFonts w:ascii="Calibri" w:hAnsi="Calibri"/>
                <w:b/>
                <w:bCs/>
                <w:szCs w:val="22"/>
              </w:rPr>
              <w:t>ПАСИВИ</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Cs w:val="22"/>
              </w:rPr>
            </w:pPr>
            <w:r w:rsidRPr="00E61F3F">
              <w:rPr>
                <w:rFonts w:ascii="Calibri" w:hAnsi="Calibri"/>
                <w:b/>
                <w:bCs/>
                <w:szCs w:val="22"/>
              </w:rPr>
              <w:t>Нетекущи задължения</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Задължения към доставчици и други кредитори</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Дългосрочни задължения към персонала при пенсиониране</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94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94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Пасиви по отсрочени данъци</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1758" w:type="dxa"/>
            <w:tcBorders>
              <w:top w:val="single" w:sz="4" w:space="0" w:color="auto"/>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94 </w:t>
            </w:r>
          </w:p>
        </w:tc>
        <w:tc>
          <w:tcPr>
            <w:tcW w:w="2255" w:type="dxa"/>
            <w:tcBorders>
              <w:top w:val="single" w:sz="4" w:space="0" w:color="auto"/>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94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Cs w:val="22"/>
              </w:rPr>
            </w:pPr>
            <w:r w:rsidRPr="00E61F3F">
              <w:rPr>
                <w:rFonts w:ascii="Calibri" w:hAnsi="Calibri"/>
                <w:b/>
                <w:bCs/>
                <w:szCs w:val="22"/>
              </w:rPr>
              <w:t>Текущи задължения</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Задължения към доставчици и други кредитори</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924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1 076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Задължения за данъци</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23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33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Задължения към персонала и социалното осигуряване</w:t>
            </w: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92 </w:t>
            </w: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92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1758" w:type="dxa"/>
            <w:tcBorders>
              <w:top w:val="single" w:sz="4" w:space="0" w:color="auto"/>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color w:val="000000"/>
                <w:szCs w:val="22"/>
              </w:rPr>
            </w:pPr>
            <w:r w:rsidRPr="00E61F3F">
              <w:rPr>
                <w:rFonts w:ascii="Calibri" w:hAnsi="Calibri"/>
                <w:b/>
                <w:bCs/>
                <w:color w:val="000000"/>
                <w:szCs w:val="22"/>
              </w:rPr>
              <w:t xml:space="preserve"> 1 039 </w:t>
            </w:r>
          </w:p>
        </w:tc>
        <w:tc>
          <w:tcPr>
            <w:tcW w:w="2255" w:type="dxa"/>
            <w:tcBorders>
              <w:top w:val="single" w:sz="4" w:space="0" w:color="auto"/>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color w:val="000000"/>
                <w:szCs w:val="22"/>
              </w:rPr>
            </w:pPr>
            <w:r w:rsidRPr="00E61F3F">
              <w:rPr>
                <w:rFonts w:ascii="Calibri" w:hAnsi="Calibri"/>
                <w:b/>
                <w:bCs/>
                <w:color w:val="000000"/>
                <w:szCs w:val="22"/>
              </w:rPr>
              <w:t xml:space="preserve"> 1 201 </w:t>
            </w: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color w:val="000000"/>
                <w:szCs w:val="22"/>
              </w:rPr>
            </w:pPr>
          </w:p>
        </w:tc>
        <w:tc>
          <w:tcPr>
            <w:tcW w:w="1758"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c>
          <w:tcPr>
            <w:tcW w:w="225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586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Cs w:val="22"/>
              </w:rPr>
            </w:pPr>
            <w:r w:rsidRPr="00E61F3F">
              <w:rPr>
                <w:rFonts w:ascii="Calibri" w:hAnsi="Calibri"/>
                <w:b/>
                <w:bCs/>
                <w:szCs w:val="22"/>
              </w:rPr>
              <w:t xml:space="preserve">ОБЩО СОБСТВЕН КАПИТАЛ И ПАСИВИ </w:t>
            </w:r>
          </w:p>
        </w:tc>
        <w:tc>
          <w:tcPr>
            <w:tcW w:w="1758" w:type="dxa"/>
            <w:tcBorders>
              <w:top w:val="single" w:sz="4" w:space="0" w:color="auto"/>
              <w:left w:val="nil"/>
              <w:bottom w:val="double" w:sz="6"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11 554 </w:t>
            </w:r>
          </w:p>
        </w:tc>
        <w:tc>
          <w:tcPr>
            <w:tcW w:w="2255" w:type="dxa"/>
            <w:tcBorders>
              <w:top w:val="single" w:sz="4" w:space="0" w:color="auto"/>
              <w:left w:val="nil"/>
              <w:bottom w:val="double" w:sz="6"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11 824 </w:t>
            </w:r>
          </w:p>
        </w:tc>
      </w:tr>
    </w:tbl>
    <w:p w:rsidR="008602EF" w:rsidRPr="00AC6A82" w:rsidRDefault="008602EF" w:rsidP="001A50AB">
      <w:pPr>
        <w:rPr>
          <w:rFonts w:ascii="Calibri" w:hAnsi="Calibri" w:cs="Calibri"/>
        </w:rPr>
      </w:pPr>
    </w:p>
    <w:p w:rsidR="005C7298" w:rsidRPr="00AC6A82" w:rsidRDefault="005C7298" w:rsidP="001A50AB">
      <w:pPr>
        <w:rPr>
          <w:rFonts w:ascii="Calibri" w:hAnsi="Calibri" w:cs="Calibri"/>
        </w:rPr>
      </w:pPr>
      <w:r w:rsidRPr="00AC6A82">
        <w:rPr>
          <w:rFonts w:ascii="Calibri" w:hAnsi="Calibri" w:cs="Calibri"/>
        </w:rPr>
        <w:br w:type="page"/>
      </w:r>
    </w:p>
    <w:tbl>
      <w:tblPr>
        <w:tblW w:w="9948" w:type="dxa"/>
        <w:jc w:val="center"/>
        <w:tblCellMar>
          <w:left w:w="70" w:type="dxa"/>
          <w:right w:w="70" w:type="dxa"/>
        </w:tblCellMar>
        <w:tblLook w:val="04A0" w:firstRow="1" w:lastRow="0" w:firstColumn="1" w:lastColumn="0" w:noHBand="0" w:noVBand="1"/>
      </w:tblPr>
      <w:tblGrid>
        <w:gridCol w:w="7047"/>
        <w:gridCol w:w="1370"/>
        <w:gridCol w:w="1385"/>
        <w:gridCol w:w="146"/>
      </w:tblGrid>
      <w:tr w:rsidR="00E61F3F" w:rsidRPr="00E61F3F" w:rsidTr="00B333F3">
        <w:trPr>
          <w:trHeight w:val="170"/>
          <w:jc w:val="center"/>
        </w:trPr>
        <w:tc>
          <w:tcPr>
            <w:tcW w:w="7047" w:type="dxa"/>
            <w:tcBorders>
              <w:top w:val="nil"/>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color w:val="000000"/>
                <w:szCs w:val="22"/>
              </w:rPr>
            </w:pPr>
            <w:r w:rsidRPr="00E61F3F">
              <w:rPr>
                <w:rFonts w:ascii="Calibri" w:hAnsi="Calibri"/>
                <w:b/>
                <w:bCs/>
                <w:color w:val="000000"/>
                <w:szCs w:val="22"/>
              </w:rPr>
              <w:lastRenderedPageBreak/>
              <w:t>БЪЛГАРСКА ФОНДОВА БОРСА АД</w:t>
            </w:r>
          </w:p>
        </w:tc>
        <w:tc>
          <w:tcPr>
            <w:tcW w:w="1370" w:type="dxa"/>
            <w:tcBorders>
              <w:top w:val="nil"/>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center"/>
              <w:rPr>
                <w:rFonts w:ascii="Calibri" w:hAnsi="Calibri"/>
                <w:szCs w:val="22"/>
              </w:rPr>
            </w:pPr>
          </w:p>
        </w:tc>
        <w:tc>
          <w:tcPr>
            <w:tcW w:w="1385" w:type="dxa"/>
            <w:tcBorders>
              <w:top w:val="nil"/>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center"/>
              <w:rPr>
                <w:rFonts w:ascii="Calibri" w:hAnsi="Calibri"/>
                <w:szCs w:val="22"/>
              </w:rPr>
            </w:pPr>
          </w:p>
        </w:tc>
        <w:tc>
          <w:tcPr>
            <w:tcW w:w="146" w:type="dxa"/>
            <w:tcBorders>
              <w:top w:val="nil"/>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p>
        </w:tc>
      </w:tr>
      <w:tr w:rsidR="00E61F3F" w:rsidRPr="00E61F3F" w:rsidTr="00B333F3">
        <w:trPr>
          <w:trHeight w:val="170"/>
          <w:jc w:val="center"/>
        </w:trPr>
        <w:tc>
          <w:tcPr>
            <w:tcW w:w="7047" w:type="dxa"/>
            <w:tcBorders>
              <w:top w:val="single" w:sz="4" w:space="0" w:color="auto"/>
              <w:left w:val="nil"/>
              <w:bottom w:val="nil"/>
              <w:right w:val="nil"/>
            </w:tcBorders>
            <w:shd w:val="clear" w:color="auto" w:fill="auto"/>
            <w:noWrap/>
            <w:tcMar>
              <w:left w:w="28" w:type="dxa"/>
              <w:right w:w="28" w:type="dxa"/>
            </w:tcMar>
            <w:vAlign w:val="center"/>
          </w:tcPr>
          <w:p w:rsidR="00E61F3F" w:rsidRPr="00E61F3F" w:rsidRDefault="00E61F3F" w:rsidP="00E61F3F">
            <w:pPr>
              <w:widowControl/>
              <w:spacing w:line="240" w:lineRule="auto"/>
              <w:jc w:val="left"/>
              <w:rPr>
                <w:rFonts w:ascii="Calibri" w:hAnsi="Calibri"/>
                <w:b/>
                <w:bCs/>
                <w:color w:val="000000"/>
                <w:szCs w:val="22"/>
              </w:rPr>
            </w:pPr>
            <w:r w:rsidRPr="00E61F3F">
              <w:rPr>
                <w:rFonts w:ascii="Calibri" w:hAnsi="Calibri"/>
                <w:b/>
                <w:bCs/>
                <w:color w:val="000000"/>
                <w:szCs w:val="22"/>
              </w:rPr>
              <w:t>ИНДИВИДУАЛЕН ОТЧЕТ ЗА ВСЕОБХВАТНИЯ ДОХОД</w:t>
            </w:r>
          </w:p>
        </w:tc>
        <w:tc>
          <w:tcPr>
            <w:tcW w:w="1370" w:type="dxa"/>
            <w:tcBorders>
              <w:top w:val="single" w:sz="4" w:space="0" w:color="auto"/>
              <w:left w:val="nil"/>
              <w:bottom w:val="nil"/>
              <w:right w:val="nil"/>
            </w:tcBorders>
            <w:shd w:val="clear" w:color="auto" w:fill="auto"/>
            <w:noWrap/>
            <w:tcMar>
              <w:left w:w="28" w:type="dxa"/>
              <w:right w:w="28" w:type="dxa"/>
            </w:tcMar>
            <w:vAlign w:val="center"/>
          </w:tcPr>
          <w:p w:rsidR="00E61F3F" w:rsidRPr="00E61F3F" w:rsidRDefault="00E61F3F" w:rsidP="00E61F3F">
            <w:pPr>
              <w:widowControl/>
              <w:spacing w:line="240" w:lineRule="auto"/>
              <w:jc w:val="center"/>
              <w:rPr>
                <w:rFonts w:ascii="Calibri" w:hAnsi="Calibri"/>
                <w:szCs w:val="22"/>
              </w:rPr>
            </w:pPr>
          </w:p>
        </w:tc>
        <w:tc>
          <w:tcPr>
            <w:tcW w:w="1385" w:type="dxa"/>
            <w:tcBorders>
              <w:top w:val="single" w:sz="4" w:space="0" w:color="auto"/>
              <w:left w:val="nil"/>
              <w:bottom w:val="nil"/>
              <w:right w:val="nil"/>
            </w:tcBorders>
            <w:shd w:val="clear" w:color="auto" w:fill="auto"/>
            <w:noWrap/>
            <w:tcMar>
              <w:left w:w="28" w:type="dxa"/>
              <w:right w:w="28" w:type="dxa"/>
            </w:tcMar>
            <w:vAlign w:val="center"/>
          </w:tcPr>
          <w:p w:rsidR="00E61F3F" w:rsidRPr="00E61F3F" w:rsidRDefault="00E61F3F" w:rsidP="00E61F3F">
            <w:pPr>
              <w:widowControl/>
              <w:spacing w:line="240" w:lineRule="auto"/>
              <w:jc w:val="center"/>
              <w:rPr>
                <w:rFonts w:ascii="Calibri" w:hAnsi="Calibri"/>
                <w:szCs w:val="22"/>
              </w:rPr>
            </w:pPr>
          </w:p>
        </w:tc>
        <w:tc>
          <w:tcPr>
            <w:tcW w:w="146" w:type="dxa"/>
            <w:tcBorders>
              <w:top w:val="single" w:sz="4" w:space="0" w:color="auto"/>
              <w:left w:val="nil"/>
              <w:bottom w:val="nil"/>
              <w:right w:val="nil"/>
            </w:tcBorders>
            <w:shd w:val="clear" w:color="auto" w:fill="auto"/>
            <w:noWrap/>
            <w:tcMar>
              <w:left w:w="28" w:type="dxa"/>
              <w:right w:w="28" w:type="dxa"/>
            </w:tcMar>
            <w:vAlign w:val="center"/>
          </w:tcPr>
          <w:p w:rsidR="00E61F3F" w:rsidRPr="00E61F3F" w:rsidRDefault="00E61F3F" w:rsidP="00E61F3F">
            <w:pPr>
              <w:widowControl/>
              <w:spacing w:line="240" w:lineRule="auto"/>
              <w:jc w:val="lef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color w:val="000000"/>
                <w:szCs w:val="22"/>
              </w:rPr>
            </w:pPr>
            <w:r w:rsidRPr="00E61F3F">
              <w:rPr>
                <w:rFonts w:ascii="Calibri" w:hAnsi="Calibri"/>
                <w:b/>
                <w:bCs/>
                <w:color w:val="000000"/>
                <w:szCs w:val="22"/>
              </w:rPr>
              <w:t>за периода, завършващ на 31 март 2019 година</w:t>
            </w:r>
          </w:p>
        </w:tc>
        <w:tc>
          <w:tcPr>
            <w:tcW w:w="137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center"/>
              <w:rPr>
                <w:rFonts w:ascii="Calibri" w:hAnsi="Calibri"/>
                <w:szCs w:val="22"/>
              </w:rPr>
            </w:pPr>
          </w:p>
        </w:tc>
        <w:tc>
          <w:tcPr>
            <w:tcW w:w="138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center"/>
              <w:rPr>
                <w:rFonts w:ascii="Calibri" w:hAnsi="Calibri"/>
                <w:szCs w:val="22"/>
              </w:rPr>
            </w:pPr>
          </w:p>
        </w:tc>
        <w:tc>
          <w:tcPr>
            <w:tcW w:w="146"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center"/>
              <w:rPr>
                <w:rFonts w:ascii="Calibri" w:hAnsi="Calibri"/>
                <w:szCs w:val="22"/>
              </w:rPr>
            </w:pP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center"/>
              <w:rPr>
                <w:rFonts w:ascii="Calibri" w:hAnsi="Calibri"/>
                <w:szCs w:val="22"/>
              </w:rPr>
            </w:pP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lef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p>
        </w:tc>
        <w:tc>
          <w:tcPr>
            <w:tcW w:w="1370"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center"/>
              <w:rPr>
                <w:rFonts w:ascii="Calibri" w:hAnsi="Calibri"/>
                <w:b/>
                <w:bCs/>
                <w:szCs w:val="22"/>
              </w:rPr>
            </w:pPr>
            <w:r w:rsidRPr="00E61F3F">
              <w:rPr>
                <w:rFonts w:ascii="Calibri" w:hAnsi="Calibri"/>
                <w:b/>
                <w:bCs/>
                <w:szCs w:val="22"/>
              </w:rPr>
              <w:t>31.03.2019 г.</w:t>
            </w:r>
          </w:p>
        </w:tc>
        <w:tc>
          <w:tcPr>
            <w:tcW w:w="138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center"/>
              <w:rPr>
                <w:rFonts w:ascii="Calibri" w:hAnsi="Calibri"/>
                <w:b/>
                <w:bCs/>
                <w:szCs w:val="22"/>
              </w:rPr>
            </w:pPr>
            <w:r w:rsidRPr="00E61F3F">
              <w:rPr>
                <w:rFonts w:ascii="Calibri" w:hAnsi="Calibri"/>
                <w:b/>
                <w:bCs/>
                <w:szCs w:val="22"/>
              </w:rPr>
              <w:t>31.03.2018 г.</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tcPr>
          <w:p w:rsidR="00E61F3F" w:rsidRPr="00E61F3F" w:rsidRDefault="00E61F3F" w:rsidP="00E61F3F">
            <w:pPr>
              <w:widowControl/>
              <w:spacing w:line="240" w:lineRule="auto"/>
              <w:jc w:val="left"/>
              <w:rPr>
                <w:rFonts w:ascii="Calibri" w:hAnsi="Calibri"/>
                <w:szCs w:val="22"/>
              </w:rPr>
            </w:pPr>
          </w:p>
        </w:tc>
        <w:tc>
          <w:tcPr>
            <w:tcW w:w="1370" w:type="dxa"/>
            <w:tcBorders>
              <w:top w:val="nil"/>
              <w:left w:val="nil"/>
              <w:bottom w:val="nil"/>
              <w:right w:val="nil"/>
            </w:tcBorders>
            <w:shd w:val="clear" w:color="auto" w:fill="auto"/>
            <w:noWrap/>
            <w:tcMar>
              <w:left w:w="28" w:type="dxa"/>
              <w:right w:w="28" w:type="dxa"/>
            </w:tcMar>
            <w:vAlign w:val="center"/>
          </w:tcPr>
          <w:p w:rsidR="00E61F3F" w:rsidRPr="00E61F3F" w:rsidRDefault="00E61F3F" w:rsidP="00E61F3F">
            <w:pPr>
              <w:widowControl/>
              <w:spacing w:line="240" w:lineRule="auto"/>
              <w:jc w:val="center"/>
              <w:rPr>
                <w:rFonts w:ascii="Calibri" w:hAnsi="Calibri"/>
                <w:b/>
                <w:bCs/>
                <w:color w:val="000000"/>
                <w:szCs w:val="22"/>
              </w:rPr>
            </w:pPr>
            <w:r w:rsidRPr="00E61F3F">
              <w:rPr>
                <w:rFonts w:ascii="Calibri" w:hAnsi="Calibri"/>
                <w:b/>
                <w:bCs/>
                <w:color w:val="000000"/>
                <w:szCs w:val="22"/>
              </w:rPr>
              <w:t>BGN'000</w:t>
            </w:r>
          </w:p>
        </w:tc>
        <w:tc>
          <w:tcPr>
            <w:tcW w:w="1385" w:type="dxa"/>
            <w:tcBorders>
              <w:top w:val="nil"/>
              <w:left w:val="nil"/>
              <w:bottom w:val="nil"/>
              <w:right w:val="nil"/>
            </w:tcBorders>
            <w:shd w:val="clear" w:color="auto" w:fill="auto"/>
            <w:noWrap/>
            <w:tcMar>
              <w:left w:w="28" w:type="dxa"/>
              <w:right w:w="28" w:type="dxa"/>
            </w:tcMar>
            <w:vAlign w:val="center"/>
          </w:tcPr>
          <w:p w:rsidR="00E61F3F" w:rsidRPr="00E61F3F" w:rsidRDefault="00E61F3F" w:rsidP="00E61F3F">
            <w:pPr>
              <w:widowControl/>
              <w:spacing w:line="240" w:lineRule="auto"/>
              <w:jc w:val="center"/>
              <w:rPr>
                <w:rFonts w:ascii="Calibri" w:hAnsi="Calibri"/>
                <w:b/>
                <w:bCs/>
                <w:color w:val="000000"/>
                <w:szCs w:val="22"/>
              </w:rPr>
            </w:pPr>
            <w:r w:rsidRPr="00E61F3F">
              <w:rPr>
                <w:rFonts w:ascii="Calibri" w:hAnsi="Calibri"/>
                <w:b/>
                <w:bCs/>
                <w:color w:val="000000"/>
                <w:szCs w:val="22"/>
              </w:rPr>
              <w:t>BGN'000</w:t>
            </w:r>
          </w:p>
        </w:tc>
        <w:tc>
          <w:tcPr>
            <w:tcW w:w="146" w:type="dxa"/>
            <w:tcBorders>
              <w:top w:val="nil"/>
              <w:left w:val="nil"/>
              <w:bottom w:val="nil"/>
              <w:right w:val="nil"/>
            </w:tcBorders>
            <w:shd w:val="clear" w:color="auto" w:fill="auto"/>
            <w:noWrap/>
            <w:tcMar>
              <w:left w:w="28" w:type="dxa"/>
              <w:right w:w="28" w:type="dxa"/>
            </w:tcMar>
            <w:vAlign w:val="bottom"/>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Приходи от договори с клиенти</w:t>
            </w: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444 </w:t>
            </w: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433 </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Други доходи от дейността</w:t>
            </w: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11 </w:t>
            </w: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9 </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Разходи за материали и консумативи</w:t>
            </w: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(8)</w:t>
            </w: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(4)</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Разходи за външни услуги</w:t>
            </w: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(221)</w:t>
            </w: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(205)</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Разходи за амортизации</w:t>
            </w: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(18)</w:t>
            </w: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(21)</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Разходи за персонала</w:t>
            </w: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(300)</w:t>
            </w: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(285)</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Други разходи за дейността</w:t>
            </w:r>
          </w:p>
        </w:tc>
        <w:tc>
          <w:tcPr>
            <w:tcW w:w="1370" w:type="dxa"/>
            <w:tcBorders>
              <w:top w:val="nil"/>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(25)</w:t>
            </w:r>
          </w:p>
        </w:tc>
        <w:tc>
          <w:tcPr>
            <w:tcW w:w="1385" w:type="dxa"/>
            <w:tcBorders>
              <w:top w:val="nil"/>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(16)</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Cs w:val="22"/>
              </w:rPr>
            </w:pPr>
            <w:r w:rsidRPr="00E61F3F">
              <w:rPr>
                <w:rFonts w:ascii="Calibri" w:hAnsi="Calibri"/>
                <w:b/>
                <w:bCs/>
                <w:szCs w:val="22"/>
              </w:rPr>
              <w:t>Печалба/(Загуба) от оперативна дейност</w:t>
            </w: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(117)</w:t>
            </w: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(89)</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left"/>
              <w:rPr>
                <w:rFonts w:ascii="Calibri" w:hAnsi="Calibri"/>
                <w:szCs w:val="22"/>
              </w:rPr>
            </w:pP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lef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Финансови приходи</w:t>
            </w: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15 </w:t>
            </w: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607 </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Финансови разходи</w:t>
            </w:r>
          </w:p>
        </w:tc>
        <w:tc>
          <w:tcPr>
            <w:tcW w:w="1370" w:type="dxa"/>
            <w:tcBorders>
              <w:top w:val="nil"/>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(6)</w:t>
            </w:r>
          </w:p>
        </w:tc>
        <w:tc>
          <w:tcPr>
            <w:tcW w:w="1385" w:type="dxa"/>
            <w:tcBorders>
              <w:top w:val="nil"/>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 </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tcMar>
              <w:left w:w="28" w:type="dxa"/>
              <w:right w:w="28" w:type="dxa"/>
            </w:tcMar>
            <w:vAlign w:val="center"/>
            <w:hideMark/>
          </w:tcPr>
          <w:p w:rsidR="00E61F3F" w:rsidRPr="00E61F3F" w:rsidRDefault="00E61F3F" w:rsidP="00E61F3F">
            <w:pPr>
              <w:widowControl/>
              <w:spacing w:line="240" w:lineRule="auto"/>
              <w:jc w:val="left"/>
              <w:rPr>
                <w:rFonts w:ascii="Calibri" w:hAnsi="Calibri"/>
                <w:b/>
                <w:bCs/>
                <w:color w:val="000000"/>
                <w:szCs w:val="22"/>
              </w:rPr>
            </w:pPr>
            <w:r w:rsidRPr="00E61F3F">
              <w:rPr>
                <w:rFonts w:ascii="Calibri" w:hAnsi="Calibri"/>
                <w:b/>
                <w:bCs/>
                <w:color w:val="000000"/>
                <w:szCs w:val="22"/>
              </w:rPr>
              <w:t>Финансови приходи/(разходи), нетно</w:t>
            </w: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9 </w:t>
            </w: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607 </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385" w:type="dxa"/>
            <w:tcBorders>
              <w:top w:val="nil"/>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tcMar>
              <w:left w:w="28" w:type="dxa"/>
              <w:right w:w="28" w:type="dxa"/>
            </w:tcMar>
            <w:vAlign w:val="center"/>
            <w:hideMark/>
          </w:tcPr>
          <w:p w:rsidR="00E61F3F" w:rsidRPr="00E61F3F" w:rsidRDefault="00E61F3F" w:rsidP="00E61F3F">
            <w:pPr>
              <w:widowControl/>
              <w:spacing w:line="240" w:lineRule="auto"/>
              <w:jc w:val="left"/>
              <w:rPr>
                <w:rFonts w:ascii="Calibri" w:hAnsi="Calibri"/>
                <w:b/>
                <w:bCs/>
                <w:color w:val="000000"/>
                <w:szCs w:val="22"/>
              </w:rPr>
            </w:pPr>
            <w:r w:rsidRPr="00E61F3F">
              <w:rPr>
                <w:rFonts w:ascii="Calibri" w:hAnsi="Calibri"/>
                <w:b/>
                <w:bCs/>
                <w:color w:val="000000"/>
                <w:szCs w:val="22"/>
              </w:rPr>
              <w:t>Печалба преди данък върху печалбата</w:t>
            </w:r>
          </w:p>
        </w:tc>
        <w:tc>
          <w:tcPr>
            <w:tcW w:w="1370" w:type="dxa"/>
            <w:tcBorders>
              <w:top w:val="single" w:sz="4" w:space="0" w:color="auto"/>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(108)</w:t>
            </w:r>
          </w:p>
        </w:tc>
        <w:tc>
          <w:tcPr>
            <w:tcW w:w="1385" w:type="dxa"/>
            <w:tcBorders>
              <w:top w:val="nil"/>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518 </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tcMar>
              <w:left w:w="28" w:type="dxa"/>
              <w:right w:w="28" w:type="dxa"/>
            </w:tcMar>
            <w:vAlign w:val="center"/>
            <w:hideMark/>
          </w:tcPr>
          <w:p w:rsidR="00E61F3F" w:rsidRPr="00E61F3F" w:rsidRDefault="00E61F3F" w:rsidP="00E61F3F">
            <w:pPr>
              <w:widowControl/>
              <w:spacing w:line="240" w:lineRule="auto"/>
              <w:jc w:val="left"/>
              <w:rPr>
                <w:rFonts w:ascii="Calibri" w:hAnsi="Calibri"/>
                <w:color w:val="000000"/>
                <w:szCs w:val="22"/>
              </w:rPr>
            </w:pPr>
            <w:r w:rsidRPr="00E61F3F">
              <w:rPr>
                <w:rFonts w:ascii="Calibri" w:hAnsi="Calibri"/>
                <w:color w:val="000000"/>
                <w:szCs w:val="22"/>
              </w:rPr>
              <w:t>Разход за/икономия от данък върху печалбата</w:t>
            </w: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 </w:t>
            </w: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 </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Cs w:val="22"/>
              </w:rPr>
            </w:pPr>
            <w:r w:rsidRPr="00E61F3F">
              <w:rPr>
                <w:rFonts w:ascii="Calibri" w:hAnsi="Calibri"/>
                <w:b/>
                <w:bCs/>
                <w:szCs w:val="22"/>
              </w:rPr>
              <w:t>НЕТНА ПЕЧАЛБА ЗА ГОДИНАТА</w:t>
            </w:r>
          </w:p>
        </w:tc>
        <w:tc>
          <w:tcPr>
            <w:tcW w:w="1370" w:type="dxa"/>
            <w:tcBorders>
              <w:top w:val="single" w:sz="4" w:space="0" w:color="auto"/>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(108)</w:t>
            </w:r>
          </w:p>
        </w:tc>
        <w:tc>
          <w:tcPr>
            <w:tcW w:w="1385" w:type="dxa"/>
            <w:tcBorders>
              <w:top w:val="single" w:sz="4" w:space="0" w:color="auto"/>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518 </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color w:val="000000"/>
                <w:szCs w:val="22"/>
              </w:rPr>
            </w:pPr>
            <w:r w:rsidRPr="00E61F3F">
              <w:rPr>
                <w:rFonts w:ascii="Calibri" w:hAnsi="Calibri"/>
                <w:b/>
                <w:bCs/>
                <w:color w:val="000000"/>
                <w:szCs w:val="22"/>
              </w:rPr>
              <w:t>Други компоненти на всеобхватния доход:</w:t>
            </w: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tcMar>
              <w:left w:w="28" w:type="dxa"/>
              <w:right w:w="28" w:type="dxa"/>
            </w:tcMar>
            <w:vAlign w:val="center"/>
            <w:hideMark/>
          </w:tcPr>
          <w:p w:rsidR="00E61F3F" w:rsidRPr="00E61F3F" w:rsidRDefault="00E61F3F" w:rsidP="00E61F3F">
            <w:pPr>
              <w:widowControl/>
              <w:spacing w:line="240" w:lineRule="auto"/>
              <w:jc w:val="left"/>
              <w:rPr>
                <w:rFonts w:ascii="Calibri" w:hAnsi="Calibri"/>
                <w:b/>
                <w:bCs/>
                <w:i/>
                <w:iCs/>
                <w:color w:val="000000"/>
                <w:szCs w:val="22"/>
              </w:rPr>
            </w:pPr>
            <w:r w:rsidRPr="00E61F3F">
              <w:rPr>
                <w:rFonts w:ascii="Calibri" w:hAnsi="Calibri"/>
                <w:b/>
                <w:bCs/>
                <w:i/>
                <w:iCs/>
                <w:color w:val="000000"/>
                <w:szCs w:val="22"/>
              </w:rPr>
              <w:t>Компоненти, които няма да бъдат рекласифицирани в печалбата или загубата:</w:t>
            </w: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color w:val="000000"/>
                <w:szCs w:val="22"/>
              </w:rPr>
            </w:pPr>
            <w:r w:rsidRPr="00E61F3F">
              <w:rPr>
                <w:rFonts w:ascii="Calibri" w:hAnsi="Calibri"/>
                <w:color w:val="000000"/>
                <w:szCs w:val="22"/>
              </w:rPr>
              <w:t>Последващи оценки на пенсионни планове с дефинирани доходи</w:t>
            </w:r>
          </w:p>
        </w:tc>
        <w:tc>
          <w:tcPr>
            <w:tcW w:w="1370" w:type="dxa"/>
            <w:tcBorders>
              <w:top w:val="nil"/>
              <w:left w:val="nil"/>
              <w:bottom w:val="nil"/>
              <w:right w:val="nil"/>
            </w:tcBorders>
            <w:shd w:val="clear" w:color="auto" w:fill="auto"/>
            <w:noWrap/>
            <w:tcMar>
              <w:left w:w="28" w:type="dxa"/>
              <w:right w:w="28" w:type="dxa"/>
            </w:tcMa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 </w:t>
            </w:r>
          </w:p>
        </w:tc>
        <w:tc>
          <w:tcPr>
            <w:tcW w:w="1385" w:type="dxa"/>
            <w:tcBorders>
              <w:top w:val="nil"/>
              <w:left w:val="nil"/>
              <w:bottom w:val="nil"/>
              <w:right w:val="nil"/>
            </w:tcBorders>
            <w:shd w:val="clear" w:color="auto" w:fill="auto"/>
            <w:noWrap/>
            <w:tcMar>
              <w:left w:w="28" w:type="dxa"/>
              <w:right w:w="28" w:type="dxa"/>
            </w:tcMa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 </w:t>
            </w:r>
          </w:p>
        </w:tc>
        <w:tc>
          <w:tcPr>
            <w:tcW w:w="146" w:type="dxa"/>
            <w:tcBorders>
              <w:top w:val="nil"/>
              <w:left w:val="nil"/>
              <w:bottom w:val="nil"/>
              <w:right w:val="nil"/>
            </w:tcBorders>
            <w:shd w:val="clear" w:color="auto" w:fill="auto"/>
            <w:noWrap/>
            <w:tcMar>
              <w:left w:w="28" w:type="dxa"/>
              <w:right w:w="28" w:type="dxa"/>
            </w:tcMar>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Нетна промяна в справедливата стойност на финансови активи оценявани по справедлива стойност</w:t>
            </w:r>
          </w:p>
        </w:tc>
        <w:tc>
          <w:tcPr>
            <w:tcW w:w="1370" w:type="dxa"/>
            <w:tcBorders>
              <w:top w:val="nil"/>
              <w:left w:val="nil"/>
              <w:bottom w:val="nil"/>
              <w:right w:val="nil"/>
            </w:tcBorders>
            <w:shd w:val="clear" w:color="auto" w:fill="auto"/>
            <w:noWrap/>
            <w:tcMar>
              <w:left w:w="28" w:type="dxa"/>
              <w:right w:w="28" w:type="dxa"/>
            </w:tcMa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 </w:t>
            </w:r>
          </w:p>
        </w:tc>
        <w:tc>
          <w:tcPr>
            <w:tcW w:w="1385" w:type="dxa"/>
            <w:tcBorders>
              <w:top w:val="nil"/>
              <w:left w:val="nil"/>
              <w:bottom w:val="nil"/>
              <w:right w:val="nil"/>
            </w:tcBorders>
            <w:shd w:val="clear" w:color="auto" w:fill="auto"/>
            <w:noWrap/>
            <w:tcMar>
              <w:left w:w="28" w:type="dxa"/>
              <w:right w:w="28" w:type="dxa"/>
            </w:tcMar>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 </w:t>
            </w:r>
          </w:p>
        </w:tc>
        <w:tc>
          <w:tcPr>
            <w:tcW w:w="146" w:type="dxa"/>
            <w:tcBorders>
              <w:top w:val="nil"/>
              <w:left w:val="nil"/>
              <w:bottom w:val="nil"/>
              <w:right w:val="nil"/>
            </w:tcBorders>
            <w:shd w:val="clear" w:color="auto" w:fill="auto"/>
            <w:noWrap/>
            <w:tcMar>
              <w:left w:w="28" w:type="dxa"/>
              <w:right w:w="28" w:type="dxa"/>
            </w:tcMar>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p>
        </w:tc>
        <w:tc>
          <w:tcPr>
            <w:tcW w:w="1370" w:type="dxa"/>
            <w:tcBorders>
              <w:top w:val="single" w:sz="4" w:space="0" w:color="auto"/>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 </w:t>
            </w:r>
          </w:p>
        </w:tc>
        <w:tc>
          <w:tcPr>
            <w:tcW w:w="1385" w:type="dxa"/>
            <w:tcBorders>
              <w:top w:val="single" w:sz="4" w:space="0" w:color="auto"/>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Cs w:val="22"/>
              </w:rPr>
            </w:pPr>
            <w:r w:rsidRPr="00E61F3F">
              <w:rPr>
                <w:rFonts w:ascii="Calibri" w:hAnsi="Calibri"/>
                <w:b/>
                <w:bCs/>
                <w:szCs w:val="22"/>
              </w:rPr>
              <w:t xml:space="preserve"> - </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tcMar>
              <w:left w:w="28" w:type="dxa"/>
              <w:right w:w="28" w:type="dxa"/>
            </w:tcMar>
            <w:vAlign w:val="center"/>
            <w:hideMark/>
          </w:tcPr>
          <w:p w:rsidR="00E61F3F" w:rsidRPr="00E61F3F" w:rsidRDefault="00E61F3F" w:rsidP="00E61F3F">
            <w:pPr>
              <w:widowControl/>
              <w:spacing w:line="240" w:lineRule="auto"/>
              <w:jc w:val="left"/>
              <w:rPr>
                <w:rFonts w:ascii="Calibri" w:hAnsi="Calibri"/>
                <w:b/>
                <w:bCs/>
                <w:i/>
                <w:iCs/>
                <w:color w:val="000000"/>
                <w:szCs w:val="22"/>
              </w:rPr>
            </w:pPr>
            <w:r w:rsidRPr="00E61F3F">
              <w:rPr>
                <w:rFonts w:ascii="Calibri" w:hAnsi="Calibri"/>
                <w:b/>
                <w:bCs/>
                <w:i/>
                <w:iCs/>
                <w:color w:val="000000"/>
                <w:szCs w:val="22"/>
              </w:rPr>
              <w:t>Компоненти, които могат да бъдат рекласифицирани в печалбата или загубата:</w:t>
            </w: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Нетна промяна в справедливата стойност на финансови активи оценявани по справедлива стойност</w:t>
            </w: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 </w:t>
            </w: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(25)</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lef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r w:rsidRPr="00E61F3F">
              <w:rPr>
                <w:rFonts w:ascii="Calibri" w:hAnsi="Calibri"/>
                <w:szCs w:val="22"/>
              </w:rPr>
              <w:t>Данък върху доходите, свързан с компонентите на другия всеобхватен доход, които могат да бъдат рекласифицирани</w:t>
            </w:r>
          </w:p>
        </w:tc>
        <w:tc>
          <w:tcPr>
            <w:tcW w:w="1370" w:type="dxa"/>
            <w:tcBorders>
              <w:top w:val="nil"/>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 </w:t>
            </w:r>
          </w:p>
        </w:tc>
        <w:tc>
          <w:tcPr>
            <w:tcW w:w="1385" w:type="dxa"/>
            <w:tcBorders>
              <w:top w:val="nil"/>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r w:rsidRPr="00E61F3F">
              <w:rPr>
                <w:rFonts w:ascii="Calibri" w:hAnsi="Calibri"/>
                <w:szCs w:val="22"/>
              </w:rPr>
              <w:t xml:space="preserve"> 3 </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lef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tcMar>
              <w:left w:w="28" w:type="dxa"/>
              <w:right w:w="28" w:type="dxa"/>
            </w:tcMar>
            <w:vAlign w:val="bottom"/>
            <w:hideMark/>
          </w:tcPr>
          <w:p w:rsidR="00E61F3F" w:rsidRPr="00E61F3F" w:rsidRDefault="00E61F3F" w:rsidP="00E61F3F">
            <w:pPr>
              <w:widowControl/>
              <w:spacing w:line="240" w:lineRule="auto"/>
              <w:jc w:val="left"/>
              <w:rPr>
                <w:rFonts w:ascii="Calibri" w:hAnsi="Calibri"/>
                <w:szCs w:val="22"/>
              </w:rPr>
            </w:pPr>
          </w:p>
        </w:tc>
        <w:tc>
          <w:tcPr>
            <w:tcW w:w="1370" w:type="dxa"/>
            <w:tcBorders>
              <w:top w:val="nil"/>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color w:val="000000"/>
                <w:szCs w:val="22"/>
              </w:rPr>
            </w:pPr>
            <w:r w:rsidRPr="00E61F3F">
              <w:rPr>
                <w:rFonts w:ascii="Calibri" w:hAnsi="Calibri"/>
                <w:b/>
                <w:bCs/>
                <w:color w:val="000000"/>
                <w:szCs w:val="22"/>
              </w:rPr>
              <w:t xml:space="preserve"> - </w:t>
            </w:r>
          </w:p>
        </w:tc>
        <w:tc>
          <w:tcPr>
            <w:tcW w:w="1385" w:type="dxa"/>
            <w:tcBorders>
              <w:top w:val="nil"/>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color w:val="000000"/>
                <w:szCs w:val="22"/>
              </w:rPr>
            </w:pPr>
            <w:r w:rsidRPr="00E61F3F">
              <w:rPr>
                <w:rFonts w:ascii="Calibri" w:hAnsi="Calibri"/>
                <w:b/>
                <w:bCs/>
                <w:color w:val="000000"/>
                <w:szCs w:val="22"/>
              </w:rPr>
              <w:t xml:space="preserve"> (22)</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left"/>
              <w:rPr>
                <w:rFonts w:ascii="Calibri" w:hAnsi="Calibri"/>
                <w:b/>
                <w:bCs/>
                <w:color w:val="000000"/>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tcMar>
              <w:left w:w="28" w:type="dxa"/>
              <w:right w:w="28" w:type="dxa"/>
            </w:tcMar>
            <w:vAlign w:val="bottom"/>
            <w:hideMark/>
          </w:tcPr>
          <w:p w:rsidR="00E61F3F" w:rsidRPr="00E61F3F" w:rsidRDefault="00E61F3F" w:rsidP="00E61F3F">
            <w:pPr>
              <w:widowControl/>
              <w:spacing w:line="240" w:lineRule="auto"/>
              <w:jc w:val="left"/>
              <w:rPr>
                <w:rFonts w:ascii="Calibri" w:hAnsi="Calibri"/>
                <w:szCs w:val="22"/>
              </w:rPr>
            </w:pPr>
          </w:p>
        </w:tc>
        <w:tc>
          <w:tcPr>
            <w:tcW w:w="1370" w:type="dxa"/>
            <w:tcBorders>
              <w:top w:val="nil"/>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color w:val="000000"/>
                <w:szCs w:val="22"/>
              </w:rPr>
            </w:pPr>
            <w:r w:rsidRPr="00E61F3F">
              <w:rPr>
                <w:rFonts w:ascii="Calibri" w:hAnsi="Calibri"/>
                <w:color w:val="000000"/>
                <w:szCs w:val="22"/>
              </w:rPr>
              <w:t> </w:t>
            </w:r>
          </w:p>
        </w:tc>
        <w:tc>
          <w:tcPr>
            <w:tcW w:w="1385" w:type="dxa"/>
            <w:tcBorders>
              <w:top w:val="nil"/>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color w:val="000000"/>
                <w:szCs w:val="22"/>
              </w:rPr>
            </w:pPr>
            <w:r w:rsidRPr="00E61F3F">
              <w:rPr>
                <w:rFonts w:ascii="Calibri" w:hAnsi="Calibri"/>
                <w:color w:val="000000"/>
                <w:szCs w:val="22"/>
              </w:rPr>
              <w:t> </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left"/>
              <w:rPr>
                <w:rFonts w:ascii="Calibri" w:hAnsi="Calibri"/>
                <w:color w:val="000000"/>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tcMar>
              <w:left w:w="28" w:type="dxa"/>
              <w:right w:w="28" w:type="dxa"/>
            </w:tcMar>
            <w:vAlign w:val="bottom"/>
            <w:hideMark/>
          </w:tcPr>
          <w:p w:rsidR="00E61F3F" w:rsidRPr="00E61F3F" w:rsidRDefault="00E61F3F" w:rsidP="00E61F3F">
            <w:pPr>
              <w:widowControl/>
              <w:spacing w:line="240" w:lineRule="auto"/>
              <w:jc w:val="left"/>
              <w:rPr>
                <w:rFonts w:ascii="Calibri" w:hAnsi="Calibri"/>
                <w:b/>
                <w:bCs/>
                <w:color w:val="000000"/>
                <w:szCs w:val="22"/>
              </w:rPr>
            </w:pPr>
            <w:r w:rsidRPr="00E61F3F">
              <w:rPr>
                <w:rFonts w:ascii="Calibri" w:hAnsi="Calibri"/>
                <w:b/>
                <w:bCs/>
                <w:color w:val="000000"/>
                <w:szCs w:val="22"/>
              </w:rPr>
              <w:t>Друг всеобхватен доход за годината, нетно от данъци</w:t>
            </w:r>
          </w:p>
        </w:tc>
        <w:tc>
          <w:tcPr>
            <w:tcW w:w="1370" w:type="dxa"/>
            <w:tcBorders>
              <w:top w:val="nil"/>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color w:val="000000"/>
                <w:szCs w:val="22"/>
              </w:rPr>
            </w:pPr>
            <w:r w:rsidRPr="00E61F3F">
              <w:rPr>
                <w:rFonts w:ascii="Calibri" w:hAnsi="Calibri"/>
                <w:b/>
                <w:bCs/>
                <w:color w:val="000000"/>
                <w:szCs w:val="22"/>
              </w:rPr>
              <w:t xml:space="preserve"> - </w:t>
            </w:r>
          </w:p>
        </w:tc>
        <w:tc>
          <w:tcPr>
            <w:tcW w:w="1385" w:type="dxa"/>
            <w:tcBorders>
              <w:top w:val="nil"/>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color w:val="000000"/>
                <w:szCs w:val="22"/>
              </w:rPr>
            </w:pPr>
            <w:r w:rsidRPr="00E61F3F">
              <w:rPr>
                <w:rFonts w:ascii="Calibri" w:hAnsi="Calibri"/>
                <w:b/>
                <w:bCs/>
                <w:color w:val="000000"/>
                <w:szCs w:val="22"/>
              </w:rPr>
              <w:t xml:space="preserve"> (22)</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left"/>
              <w:rPr>
                <w:rFonts w:ascii="Calibri" w:hAnsi="Calibri"/>
                <w:b/>
                <w:bCs/>
                <w:color w:val="000000"/>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tcMar>
              <w:left w:w="28" w:type="dxa"/>
              <w:right w:w="28" w:type="dxa"/>
            </w:tcMar>
            <w:vAlign w:val="bottom"/>
            <w:hideMark/>
          </w:tcPr>
          <w:p w:rsidR="00E61F3F" w:rsidRPr="00E61F3F" w:rsidRDefault="00E61F3F" w:rsidP="00E61F3F">
            <w:pPr>
              <w:widowControl/>
              <w:spacing w:line="240" w:lineRule="auto"/>
              <w:jc w:val="left"/>
              <w:rPr>
                <w:rFonts w:ascii="Calibri" w:hAnsi="Calibri"/>
                <w:szCs w:val="22"/>
              </w:rPr>
            </w:pP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lef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tcMar>
              <w:left w:w="28" w:type="dxa"/>
              <w:right w:w="28" w:type="dxa"/>
            </w:tcMar>
            <w:vAlign w:val="bottom"/>
            <w:hideMark/>
          </w:tcPr>
          <w:p w:rsidR="00E61F3F" w:rsidRPr="00E61F3F" w:rsidRDefault="00E61F3F" w:rsidP="00E61F3F">
            <w:pPr>
              <w:widowControl/>
              <w:spacing w:line="240" w:lineRule="auto"/>
              <w:jc w:val="left"/>
              <w:rPr>
                <w:rFonts w:ascii="Calibri" w:hAnsi="Calibri"/>
                <w:b/>
                <w:bCs/>
                <w:color w:val="000000"/>
                <w:szCs w:val="22"/>
              </w:rPr>
            </w:pPr>
            <w:r w:rsidRPr="00E61F3F">
              <w:rPr>
                <w:rFonts w:ascii="Calibri" w:hAnsi="Calibri"/>
                <w:b/>
                <w:bCs/>
                <w:color w:val="000000"/>
                <w:szCs w:val="22"/>
              </w:rPr>
              <w:t>ОБЩО ВСЕОБХВАТЕН ДОХОД ЗА ГОДИНАТА</w:t>
            </w:r>
          </w:p>
        </w:tc>
        <w:tc>
          <w:tcPr>
            <w:tcW w:w="1370" w:type="dxa"/>
            <w:tcBorders>
              <w:top w:val="nil"/>
              <w:left w:val="nil"/>
              <w:bottom w:val="double" w:sz="6"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color w:val="000000"/>
                <w:szCs w:val="22"/>
              </w:rPr>
            </w:pPr>
            <w:r w:rsidRPr="00E61F3F">
              <w:rPr>
                <w:rFonts w:ascii="Calibri" w:hAnsi="Calibri"/>
                <w:b/>
                <w:bCs/>
                <w:color w:val="000000"/>
                <w:szCs w:val="22"/>
              </w:rPr>
              <w:t xml:space="preserve"> (108)</w:t>
            </w:r>
          </w:p>
        </w:tc>
        <w:tc>
          <w:tcPr>
            <w:tcW w:w="1385" w:type="dxa"/>
            <w:tcBorders>
              <w:top w:val="nil"/>
              <w:left w:val="nil"/>
              <w:bottom w:val="double" w:sz="6"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color w:val="000000"/>
                <w:szCs w:val="22"/>
              </w:rPr>
            </w:pPr>
            <w:r w:rsidRPr="00E61F3F">
              <w:rPr>
                <w:rFonts w:ascii="Calibri" w:hAnsi="Calibri"/>
                <w:b/>
                <w:bCs/>
                <w:color w:val="000000"/>
                <w:szCs w:val="22"/>
              </w:rPr>
              <w:t xml:space="preserve"> 496 </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color w:val="000000"/>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Cs w:val="22"/>
              </w:rPr>
            </w:pP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Cs w:val="22"/>
              </w:rPr>
            </w:pP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left"/>
              <w:rPr>
                <w:rFonts w:ascii="Calibri" w:hAnsi="Calibri"/>
                <w:szCs w:val="22"/>
              </w:rPr>
            </w:pPr>
          </w:p>
        </w:tc>
      </w:tr>
      <w:tr w:rsidR="00E61F3F" w:rsidRPr="00E61F3F" w:rsidTr="00E61F3F">
        <w:trPr>
          <w:trHeight w:val="170"/>
          <w:jc w:val="center"/>
        </w:trPr>
        <w:tc>
          <w:tcPr>
            <w:tcW w:w="7047" w:type="dxa"/>
            <w:tcBorders>
              <w:top w:val="nil"/>
              <w:left w:val="nil"/>
              <w:bottom w:val="nil"/>
              <w:right w:val="nil"/>
            </w:tcBorders>
            <w:shd w:val="clear" w:color="auto" w:fill="auto"/>
            <w:tcMar>
              <w:left w:w="28" w:type="dxa"/>
              <w:right w:w="28" w:type="dxa"/>
            </w:tcMar>
            <w:vAlign w:val="bottom"/>
            <w:hideMark/>
          </w:tcPr>
          <w:p w:rsidR="00E61F3F" w:rsidRPr="00E61F3F" w:rsidRDefault="00E61F3F" w:rsidP="00E61F3F">
            <w:pPr>
              <w:widowControl/>
              <w:spacing w:line="240" w:lineRule="auto"/>
              <w:jc w:val="left"/>
              <w:rPr>
                <w:rFonts w:ascii="Calibri" w:hAnsi="Calibri"/>
                <w:color w:val="000000"/>
                <w:szCs w:val="22"/>
                <w:lang w:val="en-US"/>
              </w:rPr>
            </w:pPr>
            <w:r w:rsidRPr="00E61F3F">
              <w:rPr>
                <w:rFonts w:ascii="Calibri" w:hAnsi="Calibri"/>
                <w:color w:val="000000"/>
                <w:szCs w:val="22"/>
              </w:rPr>
              <w:t xml:space="preserve">Доход на акция </w:t>
            </w:r>
            <w:r>
              <w:rPr>
                <w:rFonts w:ascii="Calibri" w:hAnsi="Calibri"/>
                <w:color w:val="000000"/>
                <w:szCs w:val="22"/>
                <w:lang w:val="en-US"/>
              </w:rPr>
              <w:t>(BGN)</w:t>
            </w:r>
          </w:p>
        </w:tc>
        <w:tc>
          <w:tcPr>
            <w:tcW w:w="1370"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color w:val="000000"/>
                <w:szCs w:val="22"/>
              </w:rPr>
            </w:pPr>
            <w:r w:rsidRPr="00E61F3F">
              <w:rPr>
                <w:rFonts w:ascii="Calibri" w:hAnsi="Calibri"/>
                <w:color w:val="000000"/>
                <w:szCs w:val="22"/>
              </w:rPr>
              <w:t xml:space="preserve"> (0.02)</w:t>
            </w:r>
          </w:p>
        </w:tc>
        <w:tc>
          <w:tcPr>
            <w:tcW w:w="138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color w:val="000000"/>
                <w:szCs w:val="22"/>
              </w:rPr>
            </w:pPr>
            <w:r w:rsidRPr="00E61F3F">
              <w:rPr>
                <w:rFonts w:ascii="Calibri" w:hAnsi="Calibri"/>
                <w:color w:val="000000"/>
                <w:szCs w:val="22"/>
              </w:rPr>
              <w:t xml:space="preserve"> 0.08 </w:t>
            </w:r>
          </w:p>
        </w:tc>
        <w:tc>
          <w:tcPr>
            <w:tcW w:w="146"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color w:val="000000"/>
                <w:szCs w:val="22"/>
              </w:rPr>
            </w:pPr>
          </w:p>
        </w:tc>
      </w:tr>
    </w:tbl>
    <w:p w:rsidR="00DE7514" w:rsidRPr="00AC6A82" w:rsidRDefault="00DE7514" w:rsidP="001A50AB">
      <w:pPr>
        <w:rPr>
          <w:rFonts w:ascii="Calibri" w:hAnsi="Calibri" w:cs="Calibri"/>
        </w:rPr>
      </w:pPr>
    </w:p>
    <w:p w:rsidR="00A164F7" w:rsidRPr="00AC6A82" w:rsidRDefault="00A164F7" w:rsidP="001A50AB">
      <w:pPr>
        <w:rPr>
          <w:rFonts w:ascii="Calibri" w:hAnsi="Calibri" w:cs="Calibri"/>
        </w:rPr>
      </w:pPr>
      <w:r w:rsidRPr="00AC6A82">
        <w:rPr>
          <w:rFonts w:ascii="Calibri" w:hAnsi="Calibri" w:cs="Calibri"/>
        </w:rPr>
        <w:br w:type="page"/>
      </w:r>
    </w:p>
    <w:tbl>
      <w:tblPr>
        <w:tblW w:w="10593" w:type="dxa"/>
        <w:jc w:val="center"/>
        <w:tblCellMar>
          <w:left w:w="70" w:type="dxa"/>
          <w:right w:w="70" w:type="dxa"/>
        </w:tblCellMar>
        <w:tblLook w:val="04A0" w:firstRow="1" w:lastRow="0" w:firstColumn="1" w:lastColumn="0" w:noHBand="0" w:noVBand="1"/>
      </w:tblPr>
      <w:tblGrid>
        <w:gridCol w:w="7689"/>
        <w:gridCol w:w="1435"/>
        <w:gridCol w:w="1469"/>
      </w:tblGrid>
      <w:tr w:rsidR="00E61F3F" w:rsidRPr="00E61F3F" w:rsidTr="00E61F3F">
        <w:trPr>
          <w:trHeight w:val="170"/>
          <w:jc w:val="center"/>
        </w:trPr>
        <w:tc>
          <w:tcPr>
            <w:tcW w:w="7689" w:type="dxa"/>
            <w:tcBorders>
              <w:top w:val="nil"/>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 w:val="20"/>
                <w:szCs w:val="20"/>
              </w:rPr>
            </w:pPr>
            <w:r w:rsidRPr="00E61F3F">
              <w:rPr>
                <w:rFonts w:ascii="Calibri" w:hAnsi="Calibri"/>
                <w:b/>
                <w:bCs/>
                <w:sz w:val="20"/>
                <w:szCs w:val="20"/>
              </w:rPr>
              <w:t>БЪЛГАРСКА ФОНДОВА БОРСА АД</w:t>
            </w:r>
          </w:p>
        </w:tc>
        <w:tc>
          <w:tcPr>
            <w:tcW w:w="1435" w:type="dxa"/>
            <w:tcBorders>
              <w:top w:val="nil"/>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 w:val="20"/>
                <w:szCs w:val="20"/>
              </w:rPr>
            </w:pPr>
          </w:p>
        </w:tc>
        <w:tc>
          <w:tcPr>
            <w:tcW w:w="1469" w:type="dxa"/>
            <w:tcBorders>
              <w:top w:val="nil"/>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 w:val="20"/>
                <w:szCs w:val="20"/>
              </w:rPr>
            </w:pPr>
          </w:p>
        </w:tc>
      </w:tr>
      <w:tr w:rsidR="00E61F3F" w:rsidRPr="00E61F3F" w:rsidTr="00E61F3F">
        <w:trPr>
          <w:trHeight w:val="170"/>
          <w:jc w:val="center"/>
        </w:trPr>
        <w:tc>
          <w:tcPr>
            <w:tcW w:w="7689"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 w:val="20"/>
                <w:szCs w:val="20"/>
              </w:rPr>
            </w:pPr>
            <w:r w:rsidRPr="00E61F3F">
              <w:rPr>
                <w:rFonts w:ascii="Calibri" w:hAnsi="Calibri"/>
                <w:b/>
                <w:bCs/>
                <w:sz w:val="20"/>
                <w:szCs w:val="20"/>
              </w:rPr>
              <w:t xml:space="preserve">ИНДИВИДУАЛЕН ОТЧЕТ ЗА ПАРИЧНИТЕ ПОТОЦИ </w:t>
            </w:r>
          </w:p>
        </w:tc>
        <w:tc>
          <w:tcPr>
            <w:tcW w:w="143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 w:val="20"/>
                <w:szCs w:val="20"/>
              </w:rPr>
            </w:pPr>
          </w:p>
        </w:tc>
        <w:tc>
          <w:tcPr>
            <w:tcW w:w="1469"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 w:val="20"/>
                <w:szCs w:val="20"/>
              </w:rPr>
            </w:pPr>
          </w:p>
        </w:tc>
      </w:tr>
      <w:tr w:rsidR="00E61F3F" w:rsidRPr="00E61F3F" w:rsidTr="00E61F3F">
        <w:trPr>
          <w:trHeight w:val="170"/>
          <w:jc w:val="center"/>
        </w:trPr>
        <w:tc>
          <w:tcPr>
            <w:tcW w:w="7689"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color w:val="000000"/>
                <w:sz w:val="20"/>
                <w:szCs w:val="20"/>
              </w:rPr>
            </w:pPr>
            <w:r w:rsidRPr="00E61F3F">
              <w:rPr>
                <w:rFonts w:ascii="Calibri" w:hAnsi="Calibri"/>
                <w:b/>
                <w:bCs/>
                <w:color w:val="000000"/>
                <w:sz w:val="20"/>
                <w:szCs w:val="20"/>
              </w:rPr>
              <w:t>за периода, завършващ на 31 март 2019 година</w:t>
            </w:r>
          </w:p>
        </w:tc>
        <w:tc>
          <w:tcPr>
            <w:tcW w:w="143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 w:val="20"/>
                <w:szCs w:val="20"/>
              </w:rPr>
            </w:pPr>
          </w:p>
        </w:tc>
        <w:tc>
          <w:tcPr>
            <w:tcW w:w="1469"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 w:val="20"/>
                <w:szCs w:val="20"/>
              </w:rPr>
            </w:pPr>
          </w:p>
        </w:tc>
      </w:tr>
      <w:tr w:rsidR="00E61F3F" w:rsidRPr="00E61F3F" w:rsidTr="00E61F3F">
        <w:trPr>
          <w:trHeight w:val="170"/>
          <w:jc w:val="center"/>
        </w:trPr>
        <w:tc>
          <w:tcPr>
            <w:tcW w:w="7689"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 w:val="20"/>
                <w:szCs w:val="20"/>
              </w:rPr>
            </w:pPr>
          </w:p>
        </w:tc>
        <w:tc>
          <w:tcPr>
            <w:tcW w:w="143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 w:val="20"/>
                <w:szCs w:val="20"/>
              </w:rPr>
            </w:pPr>
          </w:p>
        </w:tc>
        <w:tc>
          <w:tcPr>
            <w:tcW w:w="1469"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sz w:val="20"/>
                <w:szCs w:val="20"/>
              </w:rPr>
            </w:pPr>
          </w:p>
        </w:tc>
      </w:tr>
      <w:tr w:rsidR="00E61F3F" w:rsidRPr="00E61F3F" w:rsidTr="00E61F3F">
        <w:trPr>
          <w:trHeight w:val="170"/>
          <w:jc w:val="center"/>
        </w:trPr>
        <w:tc>
          <w:tcPr>
            <w:tcW w:w="7689"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 w:val="20"/>
                <w:szCs w:val="20"/>
              </w:rPr>
            </w:pP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center"/>
              <w:rPr>
                <w:rFonts w:ascii="Calibri" w:hAnsi="Calibri"/>
                <w:b/>
                <w:bCs/>
                <w:sz w:val="20"/>
                <w:szCs w:val="20"/>
              </w:rPr>
            </w:pPr>
            <w:r w:rsidRPr="00E61F3F">
              <w:rPr>
                <w:rFonts w:ascii="Calibri" w:hAnsi="Calibri"/>
                <w:b/>
                <w:bCs/>
                <w:sz w:val="20"/>
                <w:szCs w:val="20"/>
              </w:rPr>
              <w:t>31 март 2019 г.</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center"/>
              <w:rPr>
                <w:rFonts w:ascii="Calibri" w:hAnsi="Calibri"/>
                <w:b/>
                <w:bCs/>
                <w:sz w:val="20"/>
                <w:szCs w:val="20"/>
              </w:rPr>
            </w:pPr>
            <w:r w:rsidRPr="00E61F3F">
              <w:rPr>
                <w:rFonts w:ascii="Calibri" w:hAnsi="Calibri"/>
                <w:b/>
                <w:bCs/>
                <w:sz w:val="20"/>
                <w:szCs w:val="20"/>
              </w:rPr>
              <w:t>31 март 2018 г.</w:t>
            </w:r>
          </w:p>
        </w:tc>
      </w:tr>
      <w:tr w:rsidR="00E61F3F" w:rsidRPr="00E61F3F" w:rsidTr="00E61F3F">
        <w:trPr>
          <w:trHeight w:val="170"/>
          <w:jc w:val="center"/>
        </w:trPr>
        <w:tc>
          <w:tcPr>
            <w:tcW w:w="7689"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 w:val="20"/>
                <w:szCs w:val="20"/>
              </w:rPr>
            </w:pPr>
          </w:p>
        </w:tc>
        <w:tc>
          <w:tcPr>
            <w:tcW w:w="1435"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center"/>
              <w:rPr>
                <w:rFonts w:ascii="Calibri" w:hAnsi="Calibri"/>
                <w:b/>
                <w:bCs/>
                <w:color w:val="000000"/>
                <w:sz w:val="20"/>
                <w:szCs w:val="20"/>
              </w:rPr>
            </w:pPr>
            <w:r w:rsidRPr="00E61F3F">
              <w:rPr>
                <w:rFonts w:ascii="Calibri" w:hAnsi="Calibri"/>
                <w:b/>
                <w:bCs/>
                <w:color w:val="000000"/>
                <w:sz w:val="20"/>
                <w:szCs w:val="20"/>
              </w:rPr>
              <w:t>BGN'000</w:t>
            </w:r>
          </w:p>
        </w:tc>
        <w:tc>
          <w:tcPr>
            <w:tcW w:w="1469"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center"/>
              <w:rPr>
                <w:rFonts w:ascii="Calibri" w:hAnsi="Calibri"/>
                <w:b/>
                <w:bCs/>
                <w:color w:val="000000"/>
                <w:sz w:val="20"/>
                <w:szCs w:val="20"/>
              </w:rPr>
            </w:pPr>
            <w:r w:rsidRPr="00E61F3F">
              <w:rPr>
                <w:rFonts w:ascii="Calibri" w:hAnsi="Calibri"/>
                <w:b/>
                <w:bCs/>
                <w:color w:val="000000"/>
                <w:sz w:val="20"/>
                <w:szCs w:val="20"/>
              </w:rPr>
              <w:t>BGN'000</w:t>
            </w:r>
          </w:p>
        </w:tc>
      </w:tr>
      <w:tr w:rsidR="00E61F3F" w:rsidRPr="00E61F3F" w:rsidTr="00E61F3F">
        <w:trPr>
          <w:trHeight w:val="170"/>
          <w:jc w:val="center"/>
        </w:trPr>
        <w:tc>
          <w:tcPr>
            <w:tcW w:w="7689" w:type="dxa"/>
            <w:tcBorders>
              <w:top w:val="nil"/>
              <w:left w:val="nil"/>
              <w:bottom w:val="nil"/>
              <w:right w:val="nil"/>
            </w:tcBorders>
            <w:shd w:val="clear" w:color="auto" w:fill="auto"/>
            <w:noWrap/>
            <w:tcMar>
              <w:left w:w="28" w:type="dxa"/>
              <w:right w:w="28" w:type="dxa"/>
            </w:tcMar>
            <w:hideMark/>
          </w:tcPr>
          <w:p w:rsidR="00E61F3F" w:rsidRPr="00E61F3F" w:rsidRDefault="00E61F3F" w:rsidP="00E61F3F">
            <w:pPr>
              <w:widowControl/>
              <w:spacing w:line="240" w:lineRule="auto"/>
              <w:jc w:val="left"/>
              <w:rPr>
                <w:rFonts w:ascii="Calibri" w:hAnsi="Calibri"/>
                <w:b/>
                <w:bCs/>
                <w:color w:val="000000"/>
                <w:sz w:val="20"/>
                <w:szCs w:val="20"/>
              </w:rPr>
            </w:pPr>
            <w:r w:rsidRPr="00E61F3F">
              <w:rPr>
                <w:rFonts w:ascii="Calibri" w:hAnsi="Calibri"/>
                <w:b/>
                <w:bCs/>
                <w:color w:val="000000"/>
                <w:sz w:val="20"/>
                <w:szCs w:val="20"/>
              </w:rPr>
              <w:t>Парични потоци от оперативна дейност</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sz w:val="20"/>
                <w:szCs w:val="20"/>
              </w:rPr>
            </w:pPr>
            <w:r w:rsidRPr="00E61F3F">
              <w:rPr>
                <w:rFonts w:ascii="Calibri" w:hAnsi="Calibri"/>
                <w:sz w:val="20"/>
                <w:szCs w:val="20"/>
              </w:rPr>
              <w:t>Постъпления от клиенти</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1 009 </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1 262 </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sz w:val="20"/>
                <w:szCs w:val="20"/>
              </w:rPr>
            </w:pPr>
            <w:r w:rsidRPr="00E61F3F">
              <w:rPr>
                <w:rFonts w:ascii="Calibri" w:hAnsi="Calibri"/>
                <w:sz w:val="20"/>
                <w:szCs w:val="20"/>
              </w:rPr>
              <w:t>Плащания на доставчици</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(644)</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(683)</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color w:val="000000"/>
                <w:sz w:val="20"/>
                <w:szCs w:val="20"/>
              </w:rPr>
            </w:pPr>
            <w:r w:rsidRPr="00E61F3F">
              <w:rPr>
                <w:rFonts w:ascii="Calibri" w:hAnsi="Calibri"/>
                <w:color w:val="000000"/>
                <w:sz w:val="20"/>
                <w:szCs w:val="20"/>
              </w:rPr>
              <w:t>Плащания на персонала и за социалното осигуряване</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(300)</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(294)</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color w:val="000000"/>
                <w:sz w:val="20"/>
                <w:szCs w:val="20"/>
              </w:rPr>
            </w:pPr>
            <w:r w:rsidRPr="00E61F3F">
              <w:rPr>
                <w:rFonts w:ascii="Calibri" w:hAnsi="Calibri"/>
                <w:color w:val="000000"/>
                <w:sz w:val="20"/>
                <w:szCs w:val="20"/>
              </w:rPr>
              <w:t>Възстановен/(платен) данък върху печалбата, нетно</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color w:val="000000"/>
                <w:sz w:val="20"/>
                <w:szCs w:val="20"/>
              </w:rPr>
            </w:pPr>
            <w:r w:rsidRPr="00E61F3F">
              <w:rPr>
                <w:rFonts w:ascii="Calibri" w:hAnsi="Calibri"/>
                <w:color w:val="000000"/>
                <w:sz w:val="20"/>
                <w:szCs w:val="20"/>
              </w:rPr>
              <w:t>Платени данъци (без данъци върху печалбата)</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(126)</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(155)</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color w:val="000000"/>
                <w:sz w:val="20"/>
                <w:szCs w:val="20"/>
              </w:rPr>
            </w:pPr>
            <w:r w:rsidRPr="00E61F3F">
              <w:rPr>
                <w:rFonts w:ascii="Calibri" w:hAnsi="Calibri"/>
                <w:color w:val="000000"/>
                <w:sz w:val="20"/>
                <w:szCs w:val="20"/>
              </w:rPr>
              <w:t>Постъпления от вземане по цесия</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color w:val="000000"/>
                <w:sz w:val="20"/>
                <w:szCs w:val="20"/>
              </w:rPr>
            </w:pPr>
            <w:r w:rsidRPr="00E61F3F">
              <w:rPr>
                <w:rFonts w:ascii="Calibri" w:hAnsi="Calibri"/>
                <w:color w:val="000000"/>
                <w:sz w:val="20"/>
                <w:szCs w:val="20"/>
              </w:rPr>
              <w:t>Постъпления от лихви по вземане по цесия</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color w:val="000000"/>
                <w:sz w:val="20"/>
                <w:szCs w:val="20"/>
              </w:rPr>
            </w:pPr>
            <w:r w:rsidRPr="00E61F3F">
              <w:rPr>
                <w:rFonts w:ascii="Calibri" w:hAnsi="Calibri"/>
                <w:color w:val="000000"/>
                <w:sz w:val="20"/>
                <w:szCs w:val="20"/>
              </w:rPr>
              <w:t>Други постъпления /(плащания), нетно</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9 </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(3)</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b/>
                <w:bCs/>
                <w:color w:val="000000"/>
                <w:sz w:val="20"/>
                <w:szCs w:val="20"/>
              </w:rPr>
            </w:pPr>
            <w:r w:rsidRPr="00E61F3F">
              <w:rPr>
                <w:rFonts w:ascii="Calibri" w:hAnsi="Calibri"/>
                <w:b/>
                <w:bCs/>
                <w:color w:val="000000"/>
                <w:sz w:val="20"/>
                <w:szCs w:val="20"/>
              </w:rPr>
              <w:t>Нетни парични потоци използвани в оперативна дейност</w:t>
            </w:r>
          </w:p>
        </w:tc>
        <w:tc>
          <w:tcPr>
            <w:tcW w:w="1435" w:type="dxa"/>
            <w:tcBorders>
              <w:top w:val="single" w:sz="4" w:space="0" w:color="auto"/>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 w:val="20"/>
                <w:szCs w:val="20"/>
              </w:rPr>
            </w:pPr>
            <w:r w:rsidRPr="00E61F3F">
              <w:rPr>
                <w:rFonts w:ascii="Calibri" w:hAnsi="Calibri"/>
                <w:b/>
                <w:bCs/>
                <w:sz w:val="20"/>
                <w:szCs w:val="20"/>
              </w:rPr>
              <w:t xml:space="preserve"> (52)</w:t>
            </w:r>
          </w:p>
        </w:tc>
        <w:tc>
          <w:tcPr>
            <w:tcW w:w="1469" w:type="dxa"/>
            <w:tcBorders>
              <w:top w:val="single" w:sz="4" w:space="0" w:color="auto"/>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 w:val="20"/>
                <w:szCs w:val="20"/>
              </w:rPr>
            </w:pPr>
            <w:r w:rsidRPr="00E61F3F">
              <w:rPr>
                <w:rFonts w:ascii="Calibri" w:hAnsi="Calibri"/>
                <w:b/>
                <w:bCs/>
                <w:sz w:val="20"/>
                <w:szCs w:val="20"/>
              </w:rPr>
              <w:t xml:space="preserve"> 127 </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right"/>
              <w:rPr>
                <w:rFonts w:ascii="Calibri" w:hAnsi="Calibri"/>
                <w:b/>
                <w:bCs/>
                <w:sz w:val="20"/>
                <w:szCs w:val="20"/>
              </w:rPr>
            </w:pP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b/>
                <w:bCs/>
                <w:color w:val="000000"/>
                <w:sz w:val="20"/>
                <w:szCs w:val="20"/>
              </w:rPr>
            </w:pPr>
            <w:r w:rsidRPr="00E61F3F">
              <w:rPr>
                <w:rFonts w:ascii="Calibri" w:hAnsi="Calibri"/>
                <w:b/>
                <w:bCs/>
                <w:color w:val="000000"/>
                <w:sz w:val="20"/>
                <w:szCs w:val="20"/>
              </w:rPr>
              <w:t>Парични потоци от инвестиционна дейност</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color w:val="000000"/>
                <w:sz w:val="20"/>
                <w:szCs w:val="20"/>
              </w:rPr>
            </w:pPr>
            <w:r w:rsidRPr="00E61F3F">
              <w:rPr>
                <w:rFonts w:ascii="Calibri" w:hAnsi="Calibri"/>
                <w:color w:val="000000"/>
                <w:sz w:val="20"/>
                <w:szCs w:val="20"/>
              </w:rPr>
              <w:t>Покупки на машини и оборудване</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(2)</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(25)</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color w:val="000000"/>
                <w:sz w:val="20"/>
                <w:szCs w:val="20"/>
              </w:rPr>
            </w:pPr>
            <w:r w:rsidRPr="00E61F3F">
              <w:rPr>
                <w:rFonts w:ascii="Calibri" w:hAnsi="Calibri"/>
                <w:color w:val="000000"/>
                <w:sz w:val="20"/>
                <w:szCs w:val="20"/>
              </w:rPr>
              <w:t>Постъпления от продажби на имоти, машини и оборудване</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color w:val="000000"/>
                <w:sz w:val="20"/>
                <w:szCs w:val="20"/>
              </w:rPr>
            </w:pPr>
            <w:r w:rsidRPr="00E61F3F">
              <w:rPr>
                <w:rFonts w:ascii="Calibri" w:hAnsi="Calibri"/>
                <w:color w:val="000000"/>
                <w:sz w:val="20"/>
                <w:szCs w:val="20"/>
              </w:rPr>
              <w:t>Покупки на нематериални активи</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color w:val="000000"/>
                <w:sz w:val="20"/>
                <w:szCs w:val="20"/>
              </w:rPr>
            </w:pPr>
            <w:r w:rsidRPr="00E61F3F">
              <w:rPr>
                <w:rFonts w:ascii="Calibri" w:hAnsi="Calibri"/>
                <w:color w:val="000000"/>
                <w:sz w:val="20"/>
                <w:szCs w:val="20"/>
              </w:rPr>
              <w:t>Покупки на инвестиции в дъщерни предприятия</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(416)</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(3 952)</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color w:val="000000"/>
                <w:sz w:val="20"/>
                <w:szCs w:val="20"/>
              </w:rPr>
            </w:pPr>
            <w:r w:rsidRPr="00E61F3F">
              <w:rPr>
                <w:rFonts w:ascii="Calibri" w:hAnsi="Calibri"/>
                <w:color w:val="000000"/>
                <w:sz w:val="20"/>
                <w:szCs w:val="20"/>
              </w:rPr>
              <w:t>Покупки на инвестиции във финансови активи оценявани по амортизирана стойност</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4 611 </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color w:val="000000"/>
                <w:sz w:val="20"/>
                <w:szCs w:val="20"/>
              </w:rPr>
            </w:pPr>
            <w:r w:rsidRPr="00E61F3F">
              <w:rPr>
                <w:rFonts w:ascii="Calibri" w:hAnsi="Calibri"/>
                <w:color w:val="000000"/>
                <w:sz w:val="20"/>
                <w:szCs w:val="20"/>
              </w:rPr>
              <w:t>Падеж на инвестиции във финансови активи оценявани по амортизирана стойност</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color w:val="000000"/>
                <w:sz w:val="20"/>
                <w:szCs w:val="20"/>
              </w:rPr>
            </w:pPr>
            <w:r w:rsidRPr="00E61F3F">
              <w:rPr>
                <w:rFonts w:ascii="Calibri" w:hAnsi="Calibri"/>
                <w:color w:val="000000"/>
                <w:sz w:val="20"/>
                <w:szCs w:val="20"/>
              </w:rPr>
              <w:t>Постъпления от продажба / лихва от инвестиции във финансови активи оценявани по амортизирана стойност</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sz w:val="20"/>
                <w:szCs w:val="20"/>
              </w:rPr>
            </w:pPr>
            <w:r w:rsidRPr="00E61F3F">
              <w:rPr>
                <w:rFonts w:ascii="Calibri" w:hAnsi="Calibri"/>
                <w:sz w:val="20"/>
                <w:szCs w:val="20"/>
              </w:rPr>
              <w:t>Постъпления от лихви и дивиденти, свързани с инвестиции във финансови активи оценявани по справедлива стойност</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42 </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44 </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color w:val="000000"/>
                <w:sz w:val="20"/>
                <w:szCs w:val="20"/>
              </w:rPr>
            </w:pPr>
            <w:r w:rsidRPr="00E61F3F">
              <w:rPr>
                <w:rFonts w:ascii="Calibri" w:hAnsi="Calibri"/>
                <w:color w:val="000000"/>
                <w:sz w:val="20"/>
                <w:szCs w:val="20"/>
              </w:rPr>
              <w:t>Постъпления от/падеж на предоставени депозити в банки и репо сделки с инвестиционна цел</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color w:val="FF0000"/>
                <w:sz w:val="20"/>
                <w:szCs w:val="20"/>
              </w:rPr>
            </w:pPr>
            <w:r w:rsidRPr="00E61F3F">
              <w:rPr>
                <w:rFonts w:ascii="Calibri" w:hAnsi="Calibri"/>
                <w:color w:val="FF0000"/>
                <w:sz w:val="20"/>
                <w:szCs w:val="20"/>
              </w:rPr>
              <w:t xml:space="preserve"> - </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color w:val="000000"/>
                <w:sz w:val="20"/>
                <w:szCs w:val="20"/>
              </w:rPr>
            </w:pPr>
            <w:r w:rsidRPr="00E61F3F">
              <w:rPr>
                <w:rFonts w:ascii="Calibri" w:hAnsi="Calibri"/>
                <w:color w:val="000000"/>
                <w:sz w:val="20"/>
                <w:szCs w:val="20"/>
              </w:rPr>
              <w:t xml:space="preserve">Плащания по предоставени депозити в банки с инвестиционна цел </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color w:val="000000"/>
                <w:sz w:val="20"/>
                <w:szCs w:val="20"/>
              </w:rPr>
            </w:pPr>
            <w:r w:rsidRPr="00E61F3F">
              <w:rPr>
                <w:rFonts w:ascii="Calibri" w:hAnsi="Calibri"/>
                <w:color w:val="000000"/>
                <w:sz w:val="20"/>
                <w:szCs w:val="20"/>
              </w:rPr>
              <w:t>Постъпления от дивиденти</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color w:val="000000"/>
                <w:sz w:val="20"/>
                <w:szCs w:val="20"/>
              </w:rPr>
            </w:pPr>
            <w:r w:rsidRPr="00E61F3F">
              <w:rPr>
                <w:rFonts w:ascii="Calibri" w:hAnsi="Calibri"/>
                <w:color w:val="000000"/>
                <w:sz w:val="20"/>
                <w:szCs w:val="20"/>
              </w:rPr>
              <w:t>Получени лихви от предоставени депозити и репо сделки с инвестиционна цел</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b/>
                <w:bCs/>
                <w:color w:val="000000"/>
                <w:sz w:val="20"/>
                <w:szCs w:val="20"/>
              </w:rPr>
            </w:pPr>
            <w:r w:rsidRPr="00E61F3F">
              <w:rPr>
                <w:rFonts w:ascii="Calibri" w:hAnsi="Calibri"/>
                <w:b/>
                <w:bCs/>
                <w:color w:val="000000"/>
                <w:sz w:val="20"/>
                <w:szCs w:val="20"/>
              </w:rPr>
              <w:t>Нетни парични потоци от инвестиционната дейност</w:t>
            </w:r>
          </w:p>
        </w:tc>
        <w:tc>
          <w:tcPr>
            <w:tcW w:w="1435" w:type="dxa"/>
            <w:tcBorders>
              <w:top w:val="single" w:sz="4" w:space="0" w:color="auto"/>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 w:val="20"/>
                <w:szCs w:val="20"/>
              </w:rPr>
            </w:pPr>
            <w:r w:rsidRPr="00E61F3F">
              <w:rPr>
                <w:rFonts w:ascii="Calibri" w:hAnsi="Calibri"/>
                <w:b/>
                <w:bCs/>
                <w:sz w:val="20"/>
                <w:szCs w:val="20"/>
              </w:rPr>
              <w:t xml:space="preserve"> (376)</w:t>
            </w:r>
          </w:p>
        </w:tc>
        <w:tc>
          <w:tcPr>
            <w:tcW w:w="1469" w:type="dxa"/>
            <w:tcBorders>
              <w:top w:val="single" w:sz="4" w:space="0" w:color="auto"/>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 w:val="20"/>
                <w:szCs w:val="20"/>
              </w:rPr>
            </w:pPr>
            <w:r w:rsidRPr="00E61F3F">
              <w:rPr>
                <w:rFonts w:ascii="Calibri" w:hAnsi="Calibri"/>
                <w:b/>
                <w:bCs/>
                <w:sz w:val="20"/>
                <w:szCs w:val="20"/>
              </w:rPr>
              <w:t xml:space="preserve"> 678 </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right"/>
              <w:rPr>
                <w:rFonts w:ascii="Calibri" w:hAnsi="Calibri"/>
                <w:b/>
                <w:bCs/>
                <w:sz w:val="20"/>
                <w:szCs w:val="20"/>
              </w:rPr>
            </w:pP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p>
        </w:tc>
      </w:tr>
      <w:tr w:rsidR="00E61F3F" w:rsidRPr="00E61F3F" w:rsidTr="00E61F3F">
        <w:trPr>
          <w:trHeight w:val="170"/>
          <w:jc w:val="center"/>
        </w:trPr>
        <w:tc>
          <w:tcPr>
            <w:tcW w:w="7689" w:type="dxa"/>
            <w:tcBorders>
              <w:top w:val="nil"/>
              <w:left w:val="nil"/>
              <w:bottom w:val="nil"/>
              <w:right w:val="nil"/>
            </w:tcBorders>
            <w:shd w:val="clear" w:color="auto" w:fill="auto"/>
            <w:noWrap/>
            <w:tcMar>
              <w:left w:w="28" w:type="dxa"/>
              <w:right w:w="28" w:type="dxa"/>
            </w:tcMar>
            <w:hideMark/>
          </w:tcPr>
          <w:p w:rsidR="00E61F3F" w:rsidRPr="00E61F3F" w:rsidRDefault="00E61F3F" w:rsidP="00E61F3F">
            <w:pPr>
              <w:widowControl/>
              <w:spacing w:line="240" w:lineRule="auto"/>
              <w:jc w:val="left"/>
              <w:rPr>
                <w:rFonts w:ascii="Calibri" w:hAnsi="Calibri"/>
                <w:b/>
                <w:bCs/>
                <w:color w:val="000000"/>
                <w:sz w:val="20"/>
                <w:szCs w:val="20"/>
              </w:rPr>
            </w:pPr>
            <w:r w:rsidRPr="00E61F3F">
              <w:rPr>
                <w:rFonts w:ascii="Calibri" w:hAnsi="Calibri"/>
                <w:b/>
                <w:bCs/>
                <w:color w:val="000000"/>
                <w:sz w:val="20"/>
                <w:szCs w:val="20"/>
              </w:rPr>
              <w:t>Парични потоци от финансова дейност</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p>
        </w:tc>
      </w:tr>
      <w:tr w:rsidR="00E61F3F" w:rsidRPr="00E61F3F" w:rsidTr="00E61F3F">
        <w:trPr>
          <w:trHeight w:val="170"/>
          <w:jc w:val="center"/>
        </w:trPr>
        <w:tc>
          <w:tcPr>
            <w:tcW w:w="768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left"/>
              <w:rPr>
                <w:rFonts w:ascii="Calibri" w:hAnsi="Calibri"/>
                <w:sz w:val="20"/>
                <w:szCs w:val="20"/>
              </w:rPr>
            </w:pPr>
            <w:r w:rsidRPr="00E61F3F">
              <w:rPr>
                <w:rFonts w:ascii="Calibri" w:hAnsi="Calibri"/>
                <w:sz w:val="20"/>
                <w:szCs w:val="20"/>
              </w:rPr>
              <w:t>Плащания на дивиденти</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 </w:t>
            </w: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b/>
                <w:bCs/>
                <w:color w:val="000000"/>
                <w:sz w:val="20"/>
                <w:szCs w:val="20"/>
              </w:rPr>
            </w:pPr>
            <w:r w:rsidRPr="00E61F3F">
              <w:rPr>
                <w:rFonts w:ascii="Calibri" w:hAnsi="Calibri"/>
                <w:b/>
                <w:bCs/>
                <w:color w:val="000000"/>
                <w:sz w:val="20"/>
                <w:szCs w:val="20"/>
              </w:rPr>
              <w:t>Нетни парични потоци използвани във финансовата дейност</w:t>
            </w:r>
          </w:p>
        </w:tc>
        <w:tc>
          <w:tcPr>
            <w:tcW w:w="1435" w:type="dxa"/>
            <w:tcBorders>
              <w:top w:val="single" w:sz="4" w:space="0" w:color="auto"/>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 w:val="20"/>
                <w:szCs w:val="20"/>
              </w:rPr>
            </w:pPr>
            <w:r w:rsidRPr="00E61F3F">
              <w:rPr>
                <w:rFonts w:ascii="Calibri" w:hAnsi="Calibri"/>
                <w:b/>
                <w:bCs/>
                <w:sz w:val="20"/>
                <w:szCs w:val="20"/>
              </w:rPr>
              <w:t xml:space="preserve"> - </w:t>
            </w:r>
          </w:p>
        </w:tc>
        <w:tc>
          <w:tcPr>
            <w:tcW w:w="1469" w:type="dxa"/>
            <w:tcBorders>
              <w:top w:val="single" w:sz="4" w:space="0" w:color="auto"/>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 w:val="20"/>
                <w:szCs w:val="20"/>
              </w:rPr>
            </w:pPr>
            <w:r w:rsidRPr="00E61F3F">
              <w:rPr>
                <w:rFonts w:ascii="Calibri" w:hAnsi="Calibri"/>
                <w:b/>
                <w:bCs/>
                <w:sz w:val="20"/>
                <w:szCs w:val="20"/>
              </w:rPr>
              <w:t xml:space="preserve"> - </w:t>
            </w:r>
          </w:p>
        </w:tc>
      </w:tr>
      <w:tr w:rsidR="00E61F3F" w:rsidRPr="00E61F3F" w:rsidTr="00E61F3F">
        <w:trPr>
          <w:trHeight w:val="170"/>
          <w:jc w:val="center"/>
        </w:trPr>
        <w:tc>
          <w:tcPr>
            <w:tcW w:w="768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 w:val="20"/>
                <w:szCs w:val="20"/>
              </w:rPr>
            </w:pP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p>
        </w:tc>
      </w:tr>
      <w:tr w:rsidR="00E61F3F" w:rsidRPr="00E61F3F" w:rsidTr="00E61F3F">
        <w:trPr>
          <w:trHeight w:val="170"/>
          <w:jc w:val="center"/>
        </w:trPr>
        <w:tc>
          <w:tcPr>
            <w:tcW w:w="7689"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left"/>
              <w:rPr>
                <w:rFonts w:ascii="Calibri" w:hAnsi="Calibri"/>
                <w:b/>
                <w:bCs/>
                <w:sz w:val="20"/>
                <w:szCs w:val="20"/>
              </w:rPr>
            </w:pPr>
            <w:r w:rsidRPr="00E61F3F">
              <w:rPr>
                <w:rFonts w:ascii="Calibri" w:hAnsi="Calibri"/>
                <w:b/>
                <w:bCs/>
                <w:sz w:val="20"/>
                <w:szCs w:val="20"/>
              </w:rPr>
              <w:t>Нетно увеличение на паричните средства и паричните еквиваленти</w:t>
            </w:r>
          </w:p>
        </w:tc>
        <w:tc>
          <w:tcPr>
            <w:tcW w:w="1435" w:type="dxa"/>
            <w:tcBorders>
              <w:top w:val="nil"/>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 w:val="20"/>
                <w:szCs w:val="20"/>
              </w:rPr>
            </w:pPr>
            <w:r w:rsidRPr="00E61F3F">
              <w:rPr>
                <w:rFonts w:ascii="Calibri" w:hAnsi="Calibri"/>
                <w:b/>
                <w:bCs/>
                <w:sz w:val="20"/>
                <w:szCs w:val="20"/>
              </w:rPr>
              <w:t xml:space="preserve"> (428)</w:t>
            </w:r>
          </w:p>
        </w:tc>
        <w:tc>
          <w:tcPr>
            <w:tcW w:w="1469" w:type="dxa"/>
            <w:tcBorders>
              <w:top w:val="nil"/>
              <w:left w:val="nil"/>
              <w:bottom w:val="single" w:sz="4"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 w:val="20"/>
                <w:szCs w:val="20"/>
              </w:rPr>
            </w:pPr>
            <w:r w:rsidRPr="00E61F3F">
              <w:rPr>
                <w:rFonts w:ascii="Calibri" w:hAnsi="Calibri"/>
                <w:b/>
                <w:bCs/>
                <w:sz w:val="20"/>
                <w:szCs w:val="20"/>
              </w:rPr>
              <w:t xml:space="preserve"> 805 </w:t>
            </w:r>
          </w:p>
        </w:tc>
      </w:tr>
      <w:tr w:rsidR="00E61F3F" w:rsidRPr="00E61F3F" w:rsidTr="00E61F3F">
        <w:trPr>
          <w:trHeight w:val="170"/>
          <w:jc w:val="center"/>
        </w:trPr>
        <w:tc>
          <w:tcPr>
            <w:tcW w:w="768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 w:val="20"/>
                <w:szCs w:val="20"/>
              </w:rPr>
            </w:pP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p>
        </w:tc>
      </w:tr>
      <w:tr w:rsidR="00E61F3F" w:rsidRPr="00E61F3F" w:rsidTr="00E61F3F">
        <w:trPr>
          <w:trHeight w:val="170"/>
          <w:jc w:val="center"/>
        </w:trPr>
        <w:tc>
          <w:tcPr>
            <w:tcW w:w="768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left"/>
              <w:rPr>
                <w:rFonts w:ascii="Calibri" w:hAnsi="Calibri"/>
                <w:sz w:val="20"/>
                <w:szCs w:val="20"/>
              </w:rPr>
            </w:pPr>
            <w:r w:rsidRPr="00E61F3F">
              <w:rPr>
                <w:rFonts w:ascii="Calibri" w:hAnsi="Calibri"/>
                <w:sz w:val="20"/>
                <w:szCs w:val="20"/>
              </w:rPr>
              <w:t>Парични средства и парични еквиваленти на 1 януари</w:t>
            </w: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2 025 </w:t>
            </w: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r w:rsidRPr="00E61F3F">
              <w:rPr>
                <w:rFonts w:ascii="Calibri" w:hAnsi="Calibri"/>
                <w:sz w:val="20"/>
                <w:szCs w:val="20"/>
              </w:rPr>
              <w:t xml:space="preserve"> 1 511 </w:t>
            </w:r>
          </w:p>
        </w:tc>
      </w:tr>
      <w:tr w:rsidR="00E61F3F" w:rsidRPr="00E61F3F" w:rsidTr="00E61F3F">
        <w:trPr>
          <w:trHeight w:val="170"/>
          <w:jc w:val="center"/>
        </w:trPr>
        <w:tc>
          <w:tcPr>
            <w:tcW w:w="768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p>
        </w:tc>
        <w:tc>
          <w:tcPr>
            <w:tcW w:w="1435"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p>
        </w:tc>
        <w:tc>
          <w:tcPr>
            <w:tcW w:w="146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sz w:val="20"/>
                <w:szCs w:val="20"/>
              </w:rPr>
            </w:pPr>
          </w:p>
        </w:tc>
      </w:tr>
      <w:tr w:rsidR="00E61F3F" w:rsidRPr="00E61F3F" w:rsidTr="00E61F3F">
        <w:trPr>
          <w:trHeight w:val="170"/>
          <w:jc w:val="center"/>
        </w:trPr>
        <w:tc>
          <w:tcPr>
            <w:tcW w:w="7689"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left"/>
              <w:rPr>
                <w:rFonts w:ascii="Calibri" w:hAnsi="Calibri"/>
                <w:b/>
                <w:bCs/>
                <w:sz w:val="20"/>
                <w:szCs w:val="20"/>
              </w:rPr>
            </w:pPr>
            <w:r w:rsidRPr="00E61F3F">
              <w:rPr>
                <w:rFonts w:ascii="Calibri" w:hAnsi="Calibri"/>
                <w:b/>
                <w:bCs/>
                <w:sz w:val="20"/>
                <w:szCs w:val="20"/>
              </w:rPr>
              <w:t>Парични средства и парични еквиваленти на 31 декември</w:t>
            </w:r>
          </w:p>
        </w:tc>
        <w:tc>
          <w:tcPr>
            <w:tcW w:w="1435"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 w:val="20"/>
                <w:szCs w:val="20"/>
              </w:rPr>
            </w:pPr>
            <w:r w:rsidRPr="00E61F3F">
              <w:rPr>
                <w:rFonts w:ascii="Calibri" w:hAnsi="Calibri"/>
                <w:b/>
                <w:bCs/>
                <w:sz w:val="20"/>
                <w:szCs w:val="20"/>
              </w:rPr>
              <w:t xml:space="preserve"> 1 597 </w:t>
            </w:r>
          </w:p>
        </w:tc>
        <w:tc>
          <w:tcPr>
            <w:tcW w:w="1469"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right"/>
              <w:rPr>
                <w:rFonts w:ascii="Calibri" w:hAnsi="Calibri"/>
                <w:b/>
                <w:bCs/>
                <w:sz w:val="20"/>
                <w:szCs w:val="20"/>
              </w:rPr>
            </w:pPr>
            <w:r w:rsidRPr="00E61F3F">
              <w:rPr>
                <w:rFonts w:ascii="Calibri" w:hAnsi="Calibri"/>
                <w:b/>
                <w:bCs/>
                <w:sz w:val="20"/>
                <w:szCs w:val="20"/>
              </w:rPr>
              <w:t xml:space="preserve"> 2 316 </w:t>
            </w:r>
          </w:p>
        </w:tc>
      </w:tr>
    </w:tbl>
    <w:p w:rsidR="00BC124D" w:rsidRPr="00AC6A82" w:rsidRDefault="00BC124D" w:rsidP="001A50AB">
      <w:pPr>
        <w:rPr>
          <w:rFonts w:ascii="Calibri" w:hAnsi="Calibri" w:cs="Calibri"/>
        </w:rPr>
      </w:pPr>
    </w:p>
    <w:p w:rsidR="00BC124D" w:rsidRPr="00AC6A82" w:rsidRDefault="00BC124D" w:rsidP="001A50AB">
      <w:pPr>
        <w:rPr>
          <w:rFonts w:ascii="Calibri" w:hAnsi="Calibri" w:cs="Calibri"/>
        </w:rPr>
      </w:pPr>
      <w:r w:rsidRPr="00AC6A82">
        <w:rPr>
          <w:rFonts w:ascii="Calibri" w:hAnsi="Calibri" w:cs="Calibri"/>
        </w:rPr>
        <w:br w:type="page"/>
      </w:r>
    </w:p>
    <w:tbl>
      <w:tblPr>
        <w:tblW w:w="10064" w:type="dxa"/>
        <w:jc w:val="center"/>
        <w:tblCellMar>
          <w:left w:w="70" w:type="dxa"/>
          <w:right w:w="70" w:type="dxa"/>
        </w:tblCellMar>
        <w:tblLook w:val="04A0" w:firstRow="1" w:lastRow="0" w:firstColumn="1" w:lastColumn="0" w:noHBand="0" w:noVBand="1"/>
      </w:tblPr>
      <w:tblGrid>
        <w:gridCol w:w="4654"/>
        <w:gridCol w:w="1008"/>
        <w:gridCol w:w="792"/>
        <w:gridCol w:w="1598"/>
        <w:gridCol w:w="1097"/>
        <w:gridCol w:w="915"/>
      </w:tblGrid>
      <w:tr w:rsidR="00E61F3F" w:rsidRPr="00E61F3F" w:rsidTr="00B87BE0">
        <w:trPr>
          <w:trHeight w:val="170"/>
          <w:jc w:val="center"/>
        </w:trPr>
        <w:tc>
          <w:tcPr>
            <w:tcW w:w="10061" w:type="dxa"/>
            <w:gridSpan w:val="6"/>
            <w:tcBorders>
              <w:top w:val="nil"/>
              <w:left w:val="nil"/>
              <w:bottom w:val="single" w:sz="4" w:space="0" w:color="auto"/>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rPr>
                <w:rFonts w:ascii="Calibri" w:hAnsi="Calibri"/>
                <w:b/>
                <w:bCs/>
                <w:sz w:val="20"/>
                <w:szCs w:val="20"/>
              </w:rPr>
            </w:pPr>
            <w:r w:rsidRPr="00E61F3F">
              <w:rPr>
                <w:rFonts w:ascii="Calibri" w:hAnsi="Calibri"/>
                <w:b/>
                <w:bCs/>
                <w:sz w:val="20"/>
                <w:szCs w:val="20"/>
              </w:rPr>
              <w:t>БЪЛГАРСКА ФОНДОВА БОРСА АД</w:t>
            </w:r>
          </w:p>
        </w:tc>
      </w:tr>
      <w:tr w:rsidR="00E61F3F" w:rsidRPr="00E61F3F" w:rsidTr="00B87BE0">
        <w:trPr>
          <w:trHeight w:val="170"/>
          <w:jc w:val="center"/>
        </w:trPr>
        <w:tc>
          <w:tcPr>
            <w:tcW w:w="10061" w:type="dxa"/>
            <w:gridSpan w:val="6"/>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rPr>
                <w:rFonts w:ascii="Calibri" w:hAnsi="Calibri"/>
                <w:sz w:val="20"/>
                <w:szCs w:val="20"/>
              </w:rPr>
            </w:pPr>
            <w:r w:rsidRPr="00E61F3F">
              <w:rPr>
                <w:rFonts w:ascii="Calibri" w:hAnsi="Calibri"/>
                <w:b/>
                <w:bCs/>
                <w:sz w:val="20"/>
                <w:szCs w:val="20"/>
              </w:rPr>
              <w:t xml:space="preserve">ИНДИВИДУАЛЕН ОТЧЕТ ЗА ПРОМЕНИТЕ В СОБСТВЕНИЯ КАПИТАЛ </w:t>
            </w:r>
          </w:p>
        </w:tc>
      </w:tr>
      <w:tr w:rsidR="00E61F3F" w:rsidRPr="00E61F3F" w:rsidTr="00B87BE0">
        <w:trPr>
          <w:trHeight w:val="170"/>
          <w:jc w:val="center"/>
        </w:trPr>
        <w:tc>
          <w:tcPr>
            <w:tcW w:w="10061" w:type="dxa"/>
            <w:gridSpan w:val="6"/>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rPr>
                <w:rFonts w:ascii="Calibri" w:hAnsi="Calibri"/>
                <w:sz w:val="20"/>
                <w:szCs w:val="20"/>
              </w:rPr>
            </w:pPr>
            <w:r w:rsidRPr="00E61F3F">
              <w:rPr>
                <w:rFonts w:ascii="Calibri" w:hAnsi="Calibri"/>
                <w:b/>
                <w:bCs/>
                <w:color w:val="000000"/>
                <w:sz w:val="20"/>
                <w:szCs w:val="20"/>
              </w:rPr>
              <w:t>за периода, завършващ на 31 март 2019 година</w:t>
            </w: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left"/>
              <w:rPr>
                <w:rFonts w:ascii="Calibri" w:hAnsi="Calibri"/>
                <w:sz w:val="18"/>
                <w:szCs w:val="18"/>
              </w:rPr>
            </w:pPr>
          </w:p>
        </w:tc>
        <w:tc>
          <w:tcPr>
            <w:tcW w:w="1008"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center"/>
              <w:rPr>
                <w:rFonts w:ascii="Calibri" w:hAnsi="Calibri"/>
                <w:b/>
                <w:bCs/>
                <w:sz w:val="18"/>
                <w:szCs w:val="18"/>
              </w:rPr>
            </w:pPr>
            <w:r w:rsidRPr="00E61F3F">
              <w:rPr>
                <w:rFonts w:ascii="Calibri" w:hAnsi="Calibri"/>
                <w:b/>
                <w:bCs/>
                <w:sz w:val="18"/>
                <w:szCs w:val="18"/>
              </w:rPr>
              <w:t xml:space="preserve">Основен акционерен капитал </w:t>
            </w:r>
          </w:p>
        </w:tc>
        <w:tc>
          <w:tcPr>
            <w:tcW w:w="792"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center"/>
              <w:rPr>
                <w:rFonts w:ascii="Calibri" w:hAnsi="Calibri"/>
                <w:b/>
                <w:bCs/>
                <w:sz w:val="18"/>
                <w:szCs w:val="18"/>
              </w:rPr>
            </w:pPr>
            <w:r w:rsidRPr="00E61F3F">
              <w:rPr>
                <w:rFonts w:ascii="Calibri" w:hAnsi="Calibri"/>
                <w:b/>
                <w:bCs/>
                <w:sz w:val="18"/>
                <w:szCs w:val="18"/>
              </w:rPr>
              <w:t xml:space="preserve">Други резерви </w:t>
            </w:r>
          </w:p>
        </w:tc>
        <w:tc>
          <w:tcPr>
            <w:tcW w:w="1598"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center"/>
              <w:rPr>
                <w:rFonts w:ascii="Calibri" w:hAnsi="Calibri"/>
                <w:b/>
                <w:bCs/>
                <w:sz w:val="18"/>
                <w:szCs w:val="18"/>
              </w:rPr>
            </w:pPr>
            <w:r w:rsidRPr="00E61F3F">
              <w:rPr>
                <w:rFonts w:ascii="Calibri" w:hAnsi="Calibri"/>
                <w:b/>
                <w:bCs/>
                <w:sz w:val="18"/>
                <w:szCs w:val="18"/>
              </w:rPr>
              <w:t>Резерв по финансови активи на разположение за продажба</w:t>
            </w:r>
          </w:p>
        </w:tc>
        <w:tc>
          <w:tcPr>
            <w:tcW w:w="1097"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center"/>
              <w:rPr>
                <w:rFonts w:ascii="Calibri" w:hAnsi="Calibri"/>
                <w:b/>
                <w:bCs/>
                <w:sz w:val="18"/>
                <w:szCs w:val="18"/>
              </w:rPr>
            </w:pPr>
            <w:r w:rsidRPr="00E61F3F">
              <w:rPr>
                <w:rFonts w:ascii="Calibri" w:hAnsi="Calibri"/>
                <w:b/>
                <w:bCs/>
                <w:sz w:val="18"/>
                <w:szCs w:val="18"/>
              </w:rPr>
              <w:t>Натрупани печалби и загуби</w:t>
            </w:r>
          </w:p>
        </w:tc>
        <w:tc>
          <w:tcPr>
            <w:tcW w:w="915"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center"/>
              <w:rPr>
                <w:rFonts w:ascii="Calibri" w:hAnsi="Calibri"/>
                <w:b/>
                <w:bCs/>
                <w:sz w:val="18"/>
                <w:szCs w:val="18"/>
              </w:rPr>
            </w:pPr>
            <w:r w:rsidRPr="00E61F3F">
              <w:rPr>
                <w:rFonts w:ascii="Calibri" w:hAnsi="Calibri"/>
                <w:b/>
                <w:bCs/>
                <w:sz w:val="18"/>
                <w:szCs w:val="18"/>
              </w:rPr>
              <w:t>Общо собствен капитал</w:t>
            </w: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center"/>
              <w:rPr>
                <w:rFonts w:ascii="Calibri" w:hAnsi="Calibri"/>
                <w:b/>
                <w:bCs/>
                <w:sz w:val="18"/>
                <w:szCs w:val="18"/>
              </w:rPr>
            </w:pPr>
          </w:p>
        </w:tc>
        <w:tc>
          <w:tcPr>
            <w:tcW w:w="1008"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center"/>
              <w:rPr>
                <w:rFonts w:ascii="Calibri" w:hAnsi="Calibri"/>
                <w:b/>
                <w:bCs/>
                <w:sz w:val="18"/>
                <w:szCs w:val="18"/>
              </w:rPr>
            </w:pPr>
            <w:r w:rsidRPr="00E61F3F">
              <w:rPr>
                <w:rFonts w:ascii="Calibri" w:hAnsi="Calibri"/>
                <w:b/>
                <w:bCs/>
                <w:sz w:val="18"/>
                <w:szCs w:val="18"/>
              </w:rPr>
              <w:t xml:space="preserve"> BGN'000</w:t>
            </w:r>
          </w:p>
        </w:tc>
        <w:tc>
          <w:tcPr>
            <w:tcW w:w="792"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center"/>
              <w:rPr>
                <w:rFonts w:ascii="Calibri" w:hAnsi="Calibri"/>
                <w:b/>
                <w:bCs/>
                <w:sz w:val="18"/>
                <w:szCs w:val="18"/>
              </w:rPr>
            </w:pPr>
            <w:r w:rsidRPr="00E61F3F">
              <w:rPr>
                <w:rFonts w:ascii="Calibri" w:hAnsi="Calibri"/>
                <w:b/>
                <w:bCs/>
                <w:sz w:val="18"/>
                <w:szCs w:val="18"/>
              </w:rPr>
              <w:t xml:space="preserve"> BGN'000</w:t>
            </w:r>
          </w:p>
        </w:tc>
        <w:tc>
          <w:tcPr>
            <w:tcW w:w="1598"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center"/>
              <w:rPr>
                <w:rFonts w:ascii="Calibri" w:hAnsi="Calibri"/>
                <w:b/>
                <w:bCs/>
                <w:sz w:val="18"/>
                <w:szCs w:val="18"/>
              </w:rPr>
            </w:pPr>
            <w:r w:rsidRPr="00E61F3F">
              <w:rPr>
                <w:rFonts w:ascii="Calibri" w:hAnsi="Calibri"/>
                <w:b/>
                <w:bCs/>
                <w:sz w:val="18"/>
                <w:szCs w:val="18"/>
              </w:rPr>
              <w:t xml:space="preserve"> BGN'000</w:t>
            </w:r>
          </w:p>
        </w:tc>
        <w:tc>
          <w:tcPr>
            <w:tcW w:w="1097"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center"/>
              <w:rPr>
                <w:rFonts w:ascii="Calibri" w:hAnsi="Calibri"/>
                <w:b/>
                <w:bCs/>
                <w:sz w:val="18"/>
                <w:szCs w:val="18"/>
              </w:rPr>
            </w:pPr>
            <w:r w:rsidRPr="00E61F3F">
              <w:rPr>
                <w:rFonts w:ascii="Calibri" w:hAnsi="Calibri"/>
                <w:b/>
                <w:bCs/>
                <w:sz w:val="18"/>
                <w:szCs w:val="18"/>
              </w:rPr>
              <w:t xml:space="preserve"> BGN'000</w:t>
            </w:r>
          </w:p>
        </w:tc>
        <w:tc>
          <w:tcPr>
            <w:tcW w:w="915" w:type="dxa"/>
            <w:tcBorders>
              <w:top w:val="nil"/>
              <w:left w:val="nil"/>
              <w:bottom w:val="nil"/>
              <w:right w:val="nil"/>
            </w:tcBorders>
            <w:shd w:val="clear" w:color="auto" w:fill="auto"/>
            <w:tcMar>
              <w:left w:w="28" w:type="dxa"/>
              <w:right w:w="28" w:type="dxa"/>
            </w:tcMar>
            <w:hideMark/>
          </w:tcPr>
          <w:p w:rsidR="00E61F3F" w:rsidRPr="00E61F3F" w:rsidRDefault="00E61F3F" w:rsidP="00E61F3F">
            <w:pPr>
              <w:widowControl/>
              <w:spacing w:line="240" w:lineRule="auto"/>
              <w:jc w:val="center"/>
              <w:rPr>
                <w:rFonts w:ascii="Calibri" w:hAnsi="Calibri"/>
                <w:b/>
                <w:bCs/>
                <w:sz w:val="18"/>
                <w:szCs w:val="18"/>
              </w:rPr>
            </w:pPr>
            <w:r w:rsidRPr="00E61F3F">
              <w:rPr>
                <w:rFonts w:ascii="Calibri" w:hAnsi="Calibri"/>
                <w:b/>
                <w:bCs/>
                <w:sz w:val="18"/>
                <w:szCs w:val="18"/>
              </w:rPr>
              <w:t xml:space="preserve"> BGN'000</w:t>
            </w: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bottom"/>
            <w:hideMark/>
          </w:tcPr>
          <w:p w:rsidR="00E61F3F" w:rsidRPr="00E61F3F" w:rsidRDefault="00E61F3F" w:rsidP="00E61F3F">
            <w:pPr>
              <w:widowControl/>
              <w:spacing w:line="240" w:lineRule="auto"/>
              <w:jc w:val="center"/>
              <w:rPr>
                <w:rFonts w:ascii="Calibri" w:hAnsi="Calibri"/>
                <w:b/>
                <w:bCs/>
                <w:sz w:val="20"/>
                <w:szCs w:val="20"/>
              </w:rPr>
            </w:pPr>
          </w:p>
        </w:tc>
        <w:tc>
          <w:tcPr>
            <w:tcW w:w="100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792"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159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1097"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915"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 w:val="20"/>
                <w:szCs w:val="20"/>
              </w:rPr>
            </w:pPr>
            <w:r w:rsidRPr="00E61F3F">
              <w:rPr>
                <w:rFonts w:ascii="Calibri" w:hAnsi="Calibri"/>
                <w:b/>
                <w:bCs/>
                <w:sz w:val="20"/>
                <w:szCs w:val="20"/>
              </w:rPr>
              <w:t>Салдо на 1 януари 2018 година</w:t>
            </w:r>
          </w:p>
        </w:tc>
        <w:tc>
          <w:tcPr>
            <w:tcW w:w="1008" w:type="dxa"/>
            <w:tcBorders>
              <w:top w:val="single" w:sz="4" w:space="0" w:color="auto"/>
              <w:left w:val="nil"/>
              <w:bottom w:val="double" w:sz="6" w:space="0" w:color="auto"/>
              <w:right w:val="nil"/>
            </w:tcBorders>
            <w:shd w:val="clear" w:color="auto" w:fill="auto"/>
            <w:noWrap/>
            <w:tcMar>
              <w:left w:w="28" w:type="dxa"/>
              <w:right w:w="28" w:type="dxa"/>
            </w:tcMar>
            <w:vAlign w:val="center"/>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6 583 </w:t>
            </w:r>
          </w:p>
        </w:tc>
        <w:tc>
          <w:tcPr>
            <w:tcW w:w="792" w:type="dxa"/>
            <w:tcBorders>
              <w:top w:val="single" w:sz="4" w:space="0" w:color="auto"/>
              <w:left w:val="nil"/>
              <w:bottom w:val="double" w:sz="6" w:space="0" w:color="auto"/>
              <w:right w:val="nil"/>
            </w:tcBorders>
            <w:shd w:val="clear" w:color="auto" w:fill="auto"/>
            <w:noWrap/>
            <w:tcMar>
              <w:left w:w="28" w:type="dxa"/>
              <w:right w:w="28" w:type="dxa"/>
            </w:tcMar>
            <w:vAlign w:val="center"/>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3 042 </w:t>
            </w:r>
          </w:p>
        </w:tc>
        <w:tc>
          <w:tcPr>
            <w:tcW w:w="1598" w:type="dxa"/>
            <w:tcBorders>
              <w:top w:val="single" w:sz="4" w:space="0" w:color="auto"/>
              <w:left w:val="nil"/>
              <w:bottom w:val="double" w:sz="6" w:space="0" w:color="auto"/>
              <w:right w:val="nil"/>
            </w:tcBorders>
            <w:shd w:val="clear" w:color="auto" w:fill="auto"/>
            <w:noWrap/>
            <w:tcMar>
              <w:left w:w="28" w:type="dxa"/>
              <w:right w:w="28" w:type="dxa"/>
            </w:tcMar>
            <w:vAlign w:val="center"/>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463 </w:t>
            </w:r>
          </w:p>
        </w:tc>
        <w:tc>
          <w:tcPr>
            <w:tcW w:w="1097" w:type="dxa"/>
            <w:tcBorders>
              <w:top w:val="single" w:sz="4" w:space="0" w:color="auto"/>
              <w:left w:val="nil"/>
              <w:bottom w:val="double" w:sz="6" w:space="0" w:color="auto"/>
              <w:right w:val="nil"/>
            </w:tcBorders>
            <w:shd w:val="clear" w:color="auto" w:fill="auto"/>
            <w:noWrap/>
            <w:tcMar>
              <w:left w:w="28" w:type="dxa"/>
              <w:right w:w="28" w:type="dxa"/>
            </w:tcMar>
            <w:vAlign w:val="center"/>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169 </w:t>
            </w:r>
          </w:p>
        </w:tc>
        <w:tc>
          <w:tcPr>
            <w:tcW w:w="915" w:type="dxa"/>
            <w:tcBorders>
              <w:top w:val="single" w:sz="4" w:space="0" w:color="auto"/>
              <w:left w:val="nil"/>
              <w:bottom w:val="double" w:sz="6" w:space="0" w:color="auto"/>
              <w:right w:val="nil"/>
            </w:tcBorders>
            <w:shd w:val="clear" w:color="auto" w:fill="auto"/>
            <w:noWrap/>
            <w:tcMar>
              <w:left w:w="28" w:type="dxa"/>
              <w:right w:w="28" w:type="dxa"/>
            </w:tcMar>
            <w:vAlign w:val="center"/>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10 257 </w:t>
            </w: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 w:val="20"/>
                <w:szCs w:val="20"/>
              </w:rPr>
            </w:pPr>
          </w:p>
        </w:tc>
        <w:tc>
          <w:tcPr>
            <w:tcW w:w="100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792"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159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1097"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915"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i/>
                <w:iCs/>
                <w:sz w:val="20"/>
                <w:szCs w:val="20"/>
              </w:rPr>
            </w:pPr>
            <w:r w:rsidRPr="00E61F3F">
              <w:rPr>
                <w:rFonts w:ascii="Calibri" w:hAnsi="Calibri"/>
                <w:b/>
                <w:bCs/>
                <w:i/>
                <w:iCs/>
                <w:sz w:val="20"/>
                <w:szCs w:val="20"/>
              </w:rPr>
              <w:t>Промени в собствения капитал за 2018 година</w:t>
            </w:r>
          </w:p>
        </w:tc>
        <w:tc>
          <w:tcPr>
            <w:tcW w:w="100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792"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159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1097"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915"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 w:val="20"/>
                <w:szCs w:val="20"/>
              </w:rPr>
            </w:pPr>
          </w:p>
        </w:tc>
        <w:tc>
          <w:tcPr>
            <w:tcW w:w="100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792"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159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1097"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915"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 w:val="20"/>
                <w:szCs w:val="20"/>
              </w:rPr>
            </w:pPr>
            <w:r w:rsidRPr="00E61F3F">
              <w:rPr>
                <w:rFonts w:ascii="Calibri" w:hAnsi="Calibri"/>
                <w:sz w:val="20"/>
                <w:szCs w:val="20"/>
              </w:rPr>
              <w:t xml:space="preserve">Разпределение на печалбата за: </w:t>
            </w:r>
          </w:p>
        </w:tc>
        <w:tc>
          <w:tcPr>
            <w:tcW w:w="1008"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 </w:t>
            </w:r>
          </w:p>
        </w:tc>
        <w:tc>
          <w:tcPr>
            <w:tcW w:w="792"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103 </w:t>
            </w:r>
          </w:p>
        </w:tc>
        <w:tc>
          <w:tcPr>
            <w:tcW w:w="1598"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 </w:t>
            </w:r>
          </w:p>
        </w:tc>
        <w:tc>
          <w:tcPr>
            <w:tcW w:w="1097"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(206)</w:t>
            </w:r>
          </w:p>
        </w:tc>
        <w:tc>
          <w:tcPr>
            <w:tcW w:w="915"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(103)</w:t>
            </w: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i/>
                <w:iCs/>
                <w:sz w:val="20"/>
                <w:szCs w:val="20"/>
              </w:rPr>
            </w:pPr>
            <w:r w:rsidRPr="00E61F3F">
              <w:rPr>
                <w:rFonts w:ascii="Calibri" w:hAnsi="Calibri"/>
                <w:i/>
                <w:iCs/>
                <w:sz w:val="20"/>
                <w:szCs w:val="20"/>
              </w:rPr>
              <w:t xml:space="preserve"> * дивиденти</w:t>
            </w:r>
          </w:p>
        </w:tc>
        <w:tc>
          <w:tcPr>
            <w:tcW w:w="100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c>
          <w:tcPr>
            <w:tcW w:w="792"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c>
          <w:tcPr>
            <w:tcW w:w="159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c>
          <w:tcPr>
            <w:tcW w:w="1097"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(103)</w:t>
            </w:r>
          </w:p>
        </w:tc>
        <w:tc>
          <w:tcPr>
            <w:tcW w:w="915"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(103)</w:t>
            </w: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i/>
                <w:iCs/>
                <w:sz w:val="20"/>
                <w:szCs w:val="20"/>
              </w:rPr>
            </w:pPr>
            <w:r w:rsidRPr="00E61F3F">
              <w:rPr>
                <w:rFonts w:ascii="Calibri" w:hAnsi="Calibri"/>
                <w:i/>
                <w:iCs/>
                <w:sz w:val="20"/>
                <w:szCs w:val="20"/>
              </w:rPr>
              <w:t xml:space="preserve"> * покриване на загуба </w:t>
            </w:r>
          </w:p>
        </w:tc>
        <w:tc>
          <w:tcPr>
            <w:tcW w:w="100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c>
          <w:tcPr>
            <w:tcW w:w="792"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103 </w:t>
            </w:r>
          </w:p>
        </w:tc>
        <w:tc>
          <w:tcPr>
            <w:tcW w:w="159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c>
          <w:tcPr>
            <w:tcW w:w="1097"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(103)</w:t>
            </w:r>
          </w:p>
        </w:tc>
        <w:tc>
          <w:tcPr>
            <w:tcW w:w="915"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 </w:t>
            </w: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 w:val="20"/>
                <w:szCs w:val="20"/>
              </w:rPr>
            </w:pPr>
            <w:r w:rsidRPr="00E61F3F">
              <w:rPr>
                <w:rFonts w:ascii="Calibri" w:hAnsi="Calibri"/>
                <w:b/>
                <w:bCs/>
                <w:sz w:val="20"/>
                <w:szCs w:val="20"/>
              </w:rPr>
              <w:t xml:space="preserve">Общ всеобхватен доход за годината, в т.ч.: </w:t>
            </w:r>
          </w:p>
        </w:tc>
        <w:tc>
          <w:tcPr>
            <w:tcW w:w="1008"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 </w:t>
            </w:r>
          </w:p>
        </w:tc>
        <w:tc>
          <w:tcPr>
            <w:tcW w:w="792"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 </w:t>
            </w:r>
          </w:p>
        </w:tc>
        <w:tc>
          <w:tcPr>
            <w:tcW w:w="1598"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(41)</w:t>
            </w:r>
          </w:p>
        </w:tc>
        <w:tc>
          <w:tcPr>
            <w:tcW w:w="1097"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416 </w:t>
            </w:r>
          </w:p>
        </w:tc>
        <w:tc>
          <w:tcPr>
            <w:tcW w:w="915"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375 </w:t>
            </w: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i/>
                <w:iCs/>
                <w:sz w:val="20"/>
                <w:szCs w:val="20"/>
              </w:rPr>
            </w:pPr>
            <w:r w:rsidRPr="00E61F3F">
              <w:rPr>
                <w:rFonts w:ascii="Calibri" w:hAnsi="Calibri"/>
                <w:i/>
                <w:iCs/>
                <w:sz w:val="20"/>
                <w:szCs w:val="20"/>
              </w:rPr>
              <w:t>* нетна печалба за годината</w:t>
            </w:r>
          </w:p>
        </w:tc>
        <w:tc>
          <w:tcPr>
            <w:tcW w:w="100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 </w:t>
            </w:r>
          </w:p>
        </w:tc>
        <w:tc>
          <w:tcPr>
            <w:tcW w:w="792"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 </w:t>
            </w:r>
          </w:p>
        </w:tc>
        <w:tc>
          <w:tcPr>
            <w:tcW w:w="159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c>
          <w:tcPr>
            <w:tcW w:w="1097"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415 </w:t>
            </w:r>
          </w:p>
        </w:tc>
        <w:tc>
          <w:tcPr>
            <w:tcW w:w="915"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415 </w:t>
            </w: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i/>
                <w:iCs/>
                <w:sz w:val="20"/>
                <w:szCs w:val="20"/>
              </w:rPr>
            </w:pPr>
            <w:r w:rsidRPr="00E61F3F">
              <w:rPr>
                <w:rFonts w:ascii="Calibri" w:hAnsi="Calibri"/>
                <w:i/>
                <w:iCs/>
                <w:sz w:val="20"/>
                <w:szCs w:val="20"/>
              </w:rPr>
              <w:t>* други компоненти на всеобхватния доход, нетно от данъци</w:t>
            </w:r>
          </w:p>
        </w:tc>
        <w:tc>
          <w:tcPr>
            <w:tcW w:w="100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 </w:t>
            </w:r>
          </w:p>
        </w:tc>
        <w:tc>
          <w:tcPr>
            <w:tcW w:w="792"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 </w:t>
            </w:r>
          </w:p>
        </w:tc>
        <w:tc>
          <w:tcPr>
            <w:tcW w:w="159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(41)</w:t>
            </w:r>
          </w:p>
        </w:tc>
        <w:tc>
          <w:tcPr>
            <w:tcW w:w="1097"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1 </w:t>
            </w:r>
          </w:p>
        </w:tc>
        <w:tc>
          <w:tcPr>
            <w:tcW w:w="915"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(40)</w:t>
            </w: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i/>
                <w:iCs/>
                <w:sz w:val="20"/>
                <w:szCs w:val="20"/>
              </w:rPr>
            </w:pPr>
          </w:p>
        </w:tc>
        <w:tc>
          <w:tcPr>
            <w:tcW w:w="100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792"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159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1097"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915"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 w:val="20"/>
                <w:szCs w:val="20"/>
              </w:rPr>
            </w:pPr>
            <w:r w:rsidRPr="00E61F3F">
              <w:rPr>
                <w:rFonts w:ascii="Calibri" w:hAnsi="Calibri"/>
                <w:b/>
                <w:bCs/>
                <w:sz w:val="20"/>
                <w:szCs w:val="20"/>
              </w:rPr>
              <w:t>Салдо на 31 декември 2018 година</w:t>
            </w:r>
          </w:p>
        </w:tc>
        <w:tc>
          <w:tcPr>
            <w:tcW w:w="1008"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6 583 </w:t>
            </w:r>
          </w:p>
        </w:tc>
        <w:tc>
          <w:tcPr>
            <w:tcW w:w="792"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3 145 </w:t>
            </w:r>
          </w:p>
        </w:tc>
        <w:tc>
          <w:tcPr>
            <w:tcW w:w="1598"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422 </w:t>
            </w:r>
          </w:p>
        </w:tc>
        <w:tc>
          <w:tcPr>
            <w:tcW w:w="1097"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379 </w:t>
            </w:r>
          </w:p>
        </w:tc>
        <w:tc>
          <w:tcPr>
            <w:tcW w:w="915"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10 529 </w:t>
            </w: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b/>
                <w:bCs/>
                <w:sz w:val="20"/>
                <w:szCs w:val="20"/>
              </w:rPr>
            </w:pPr>
          </w:p>
        </w:tc>
        <w:tc>
          <w:tcPr>
            <w:tcW w:w="100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792"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159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1097"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915"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i/>
                <w:iCs/>
                <w:sz w:val="20"/>
                <w:szCs w:val="20"/>
              </w:rPr>
            </w:pPr>
            <w:r w:rsidRPr="00E61F3F">
              <w:rPr>
                <w:rFonts w:ascii="Calibri" w:hAnsi="Calibri"/>
                <w:b/>
                <w:bCs/>
                <w:i/>
                <w:iCs/>
                <w:sz w:val="20"/>
                <w:szCs w:val="20"/>
              </w:rPr>
              <w:t>Промени в собствения капитал за 2019 година</w:t>
            </w:r>
          </w:p>
        </w:tc>
        <w:tc>
          <w:tcPr>
            <w:tcW w:w="100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792"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159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1097"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915"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 w:val="20"/>
                <w:szCs w:val="20"/>
              </w:rPr>
            </w:pPr>
          </w:p>
        </w:tc>
        <w:tc>
          <w:tcPr>
            <w:tcW w:w="100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792"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159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1097"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915"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sz w:val="20"/>
                <w:szCs w:val="20"/>
              </w:rPr>
            </w:pPr>
            <w:r w:rsidRPr="00E61F3F">
              <w:rPr>
                <w:rFonts w:ascii="Calibri" w:hAnsi="Calibri"/>
                <w:sz w:val="20"/>
                <w:szCs w:val="20"/>
              </w:rPr>
              <w:t xml:space="preserve">Разпределение на печалбата за: </w:t>
            </w:r>
          </w:p>
        </w:tc>
        <w:tc>
          <w:tcPr>
            <w:tcW w:w="1008"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 </w:t>
            </w:r>
          </w:p>
        </w:tc>
        <w:tc>
          <w:tcPr>
            <w:tcW w:w="792"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 </w:t>
            </w:r>
          </w:p>
        </w:tc>
        <w:tc>
          <w:tcPr>
            <w:tcW w:w="1598"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 </w:t>
            </w:r>
          </w:p>
        </w:tc>
        <w:tc>
          <w:tcPr>
            <w:tcW w:w="1097"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 </w:t>
            </w:r>
          </w:p>
        </w:tc>
        <w:tc>
          <w:tcPr>
            <w:tcW w:w="915"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 </w:t>
            </w: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i/>
                <w:iCs/>
                <w:sz w:val="20"/>
                <w:szCs w:val="20"/>
              </w:rPr>
            </w:pPr>
            <w:r w:rsidRPr="00E61F3F">
              <w:rPr>
                <w:rFonts w:ascii="Calibri" w:hAnsi="Calibri"/>
                <w:i/>
                <w:iCs/>
                <w:sz w:val="20"/>
                <w:szCs w:val="20"/>
              </w:rPr>
              <w:t xml:space="preserve"> * дивиденти</w:t>
            </w:r>
          </w:p>
        </w:tc>
        <w:tc>
          <w:tcPr>
            <w:tcW w:w="100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c>
          <w:tcPr>
            <w:tcW w:w="792"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c>
          <w:tcPr>
            <w:tcW w:w="159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c>
          <w:tcPr>
            <w:tcW w:w="1097"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c>
          <w:tcPr>
            <w:tcW w:w="915"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 </w:t>
            </w: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i/>
                <w:iCs/>
                <w:sz w:val="20"/>
                <w:szCs w:val="20"/>
              </w:rPr>
            </w:pPr>
            <w:r w:rsidRPr="00E61F3F">
              <w:rPr>
                <w:rFonts w:ascii="Calibri" w:hAnsi="Calibri"/>
                <w:i/>
                <w:iCs/>
                <w:sz w:val="20"/>
                <w:szCs w:val="20"/>
              </w:rPr>
              <w:t xml:space="preserve"> * покриване на загуба </w:t>
            </w:r>
          </w:p>
        </w:tc>
        <w:tc>
          <w:tcPr>
            <w:tcW w:w="100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c>
          <w:tcPr>
            <w:tcW w:w="792"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c>
          <w:tcPr>
            <w:tcW w:w="159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c>
          <w:tcPr>
            <w:tcW w:w="1097"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c>
          <w:tcPr>
            <w:tcW w:w="915"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 w:val="20"/>
                <w:szCs w:val="20"/>
              </w:rPr>
            </w:pPr>
            <w:r w:rsidRPr="00E61F3F">
              <w:rPr>
                <w:rFonts w:ascii="Calibri" w:hAnsi="Calibri"/>
                <w:b/>
                <w:bCs/>
                <w:sz w:val="20"/>
                <w:szCs w:val="20"/>
              </w:rPr>
              <w:t xml:space="preserve">Общ всеобхватен доход за годината, в т.ч.: </w:t>
            </w:r>
          </w:p>
        </w:tc>
        <w:tc>
          <w:tcPr>
            <w:tcW w:w="1008"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 </w:t>
            </w:r>
          </w:p>
        </w:tc>
        <w:tc>
          <w:tcPr>
            <w:tcW w:w="792"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 </w:t>
            </w:r>
          </w:p>
        </w:tc>
        <w:tc>
          <w:tcPr>
            <w:tcW w:w="1598"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 </w:t>
            </w:r>
          </w:p>
        </w:tc>
        <w:tc>
          <w:tcPr>
            <w:tcW w:w="1097"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(108)</w:t>
            </w:r>
          </w:p>
        </w:tc>
        <w:tc>
          <w:tcPr>
            <w:tcW w:w="915" w:type="dxa"/>
            <w:tcBorders>
              <w:top w:val="nil"/>
              <w:left w:val="nil"/>
              <w:bottom w:val="single" w:sz="4"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(108)</w:t>
            </w: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i/>
                <w:iCs/>
                <w:sz w:val="20"/>
                <w:szCs w:val="20"/>
              </w:rPr>
            </w:pPr>
            <w:r w:rsidRPr="00E61F3F">
              <w:rPr>
                <w:rFonts w:ascii="Calibri" w:hAnsi="Calibri"/>
                <w:i/>
                <w:iCs/>
                <w:sz w:val="20"/>
                <w:szCs w:val="20"/>
              </w:rPr>
              <w:t>* нетна печалба за годината</w:t>
            </w:r>
          </w:p>
        </w:tc>
        <w:tc>
          <w:tcPr>
            <w:tcW w:w="100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 </w:t>
            </w:r>
          </w:p>
        </w:tc>
        <w:tc>
          <w:tcPr>
            <w:tcW w:w="792"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r w:rsidRPr="00B87BE0">
              <w:rPr>
                <w:rFonts w:ascii="Calibri" w:hAnsi="Calibri"/>
                <w:sz w:val="20"/>
                <w:szCs w:val="20"/>
              </w:rPr>
              <w:t xml:space="preserve"> - </w:t>
            </w:r>
          </w:p>
        </w:tc>
        <w:tc>
          <w:tcPr>
            <w:tcW w:w="159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c>
          <w:tcPr>
            <w:tcW w:w="1097"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(108)</w:t>
            </w:r>
          </w:p>
        </w:tc>
        <w:tc>
          <w:tcPr>
            <w:tcW w:w="915"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(108)</w:t>
            </w: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i/>
                <w:iCs/>
                <w:sz w:val="20"/>
                <w:szCs w:val="20"/>
              </w:rPr>
            </w:pPr>
            <w:r w:rsidRPr="00E61F3F">
              <w:rPr>
                <w:rFonts w:ascii="Calibri" w:hAnsi="Calibri"/>
                <w:i/>
                <w:iCs/>
                <w:sz w:val="20"/>
                <w:szCs w:val="20"/>
              </w:rPr>
              <w:t>* други компоненти на всеобхватния доход, нетно от данъци</w:t>
            </w:r>
          </w:p>
        </w:tc>
        <w:tc>
          <w:tcPr>
            <w:tcW w:w="100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c>
          <w:tcPr>
            <w:tcW w:w="792"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c>
          <w:tcPr>
            <w:tcW w:w="159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c>
          <w:tcPr>
            <w:tcW w:w="1097"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p>
        </w:tc>
        <w:tc>
          <w:tcPr>
            <w:tcW w:w="915"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i/>
                <w:iCs/>
                <w:sz w:val="20"/>
                <w:szCs w:val="20"/>
              </w:rPr>
            </w:pPr>
            <w:r w:rsidRPr="00B87BE0">
              <w:rPr>
                <w:rFonts w:ascii="Calibri" w:hAnsi="Calibri"/>
                <w:i/>
                <w:iCs/>
                <w:sz w:val="20"/>
                <w:szCs w:val="20"/>
              </w:rPr>
              <w:t xml:space="preserve"> - </w:t>
            </w: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right"/>
              <w:rPr>
                <w:rFonts w:ascii="Calibri" w:hAnsi="Calibri"/>
                <w:i/>
                <w:iCs/>
                <w:sz w:val="20"/>
                <w:szCs w:val="20"/>
              </w:rPr>
            </w:pPr>
          </w:p>
        </w:tc>
        <w:tc>
          <w:tcPr>
            <w:tcW w:w="100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792"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1598"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1097"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c>
          <w:tcPr>
            <w:tcW w:w="915" w:type="dxa"/>
            <w:tcBorders>
              <w:top w:val="nil"/>
              <w:left w:val="nil"/>
              <w:bottom w:val="nil"/>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sz w:val="20"/>
                <w:szCs w:val="20"/>
              </w:rPr>
            </w:pPr>
          </w:p>
        </w:tc>
      </w:tr>
      <w:tr w:rsidR="00E61F3F" w:rsidRPr="00E61F3F" w:rsidTr="00B87BE0">
        <w:trPr>
          <w:trHeight w:val="170"/>
          <w:jc w:val="center"/>
        </w:trPr>
        <w:tc>
          <w:tcPr>
            <w:tcW w:w="4654" w:type="dxa"/>
            <w:tcBorders>
              <w:top w:val="nil"/>
              <w:left w:val="nil"/>
              <w:bottom w:val="nil"/>
              <w:right w:val="nil"/>
            </w:tcBorders>
            <w:shd w:val="clear" w:color="auto" w:fill="auto"/>
            <w:noWrap/>
            <w:tcMar>
              <w:left w:w="28" w:type="dxa"/>
              <w:right w:w="28" w:type="dxa"/>
            </w:tcMar>
            <w:vAlign w:val="center"/>
            <w:hideMark/>
          </w:tcPr>
          <w:p w:rsidR="00E61F3F" w:rsidRPr="00E61F3F" w:rsidRDefault="00E61F3F" w:rsidP="00E61F3F">
            <w:pPr>
              <w:widowControl/>
              <w:spacing w:line="240" w:lineRule="auto"/>
              <w:jc w:val="left"/>
              <w:rPr>
                <w:rFonts w:ascii="Calibri" w:hAnsi="Calibri"/>
                <w:b/>
                <w:bCs/>
                <w:sz w:val="20"/>
                <w:szCs w:val="20"/>
              </w:rPr>
            </w:pPr>
            <w:r w:rsidRPr="00E61F3F">
              <w:rPr>
                <w:rFonts w:ascii="Calibri" w:hAnsi="Calibri"/>
                <w:b/>
                <w:bCs/>
                <w:sz w:val="20"/>
                <w:szCs w:val="20"/>
              </w:rPr>
              <w:t>Салдо на 31 март 2019 година</w:t>
            </w:r>
          </w:p>
        </w:tc>
        <w:tc>
          <w:tcPr>
            <w:tcW w:w="1008"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6 583 </w:t>
            </w:r>
          </w:p>
        </w:tc>
        <w:tc>
          <w:tcPr>
            <w:tcW w:w="792"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3 145 </w:t>
            </w:r>
          </w:p>
        </w:tc>
        <w:tc>
          <w:tcPr>
            <w:tcW w:w="1598"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422 </w:t>
            </w:r>
          </w:p>
        </w:tc>
        <w:tc>
          <w:tcPr>
            <w:tcW w:w="1097"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271 </w:t>
            </w:r>
          </w:p>
        </w:tc>
        <w:tc>
          <w:tcPr>
            <w:tcW w:w="915" w:type="dxa"/>
            <w:tcBorders>
              <w:top w:val="single" w:sz="4" w:space="0" w:color="auto"/>
              <w:left w:val="nil"/>
              <w:bottom w:val="double" w:sz="6" w:space="0" w:color="auto"/>
              <w:right w:val="nil"/>
            </w:tcBorders>
            <w:shd w:val="clear" w:color="auto" w:fill="auto"/>
            <w:noWrap/>
            <w:tcMar>
              <w:left w:w="28" w:type="dxa"/>
              <w:right w:w="28" w:type="dxa"/>
            </w:tcMar>
            <w:vAlign w:val="bottom"/>
            <w:hideMark/>
          </w:tcPr>
          <w:p w:rsidR="00E61F3F" w:rsidRPr="00B87BE0" w:rsidRDefault="00E61F3F" w:rsidP="00B87BE0">
            <w:pPr>
              <w:widowControl/>
              <w:spacing w:line="240" w:lineRule="auto"/>
              <w:jc w:val="right"/>
              <w:rPr>
                <w:rFonts w:ascii="Calibri" w:hAnsi="Calibri"/>
                <w:b/>
                <w:bCs/>
                <w:sz w:val="20"/>
                <w:szCs w:val="20"/>
              </w:rPr>
            </w:pPr>
            <w:r w:rsidRPr="00B87BE0">
              <w:rPr>
                <w:rFonts w:ascii="Calibri" w:hAnsi="Calibri"/>
                <w:b/>
                <w:bCs/>
                <w:sz w:val="20"/>
                <w:szCs w:val="20"/>
              </w:rPr>
              <w:t xml:space="preserve"> 10 421 </w:t>
            </w:r>
          </w:p>
        </w:tc>
      </w:tr>
    </w:tbl>
    <w:p w:rsidR="005C7298" w:rsidRPr="00AC6A82" w:rsidRDefault="005C7298" w:rsidP="001A50AB">
      <w:pPr>
        <w:rPr>
          <w:rFonts w:ascii="Calibri" w:hAnsi="Calibri" w:cs="Calibri"/>
        </w:rPr>
      </w:pPr>
    </w:p>
    <w:p w:rsidR="007C1E73" w:rsidRPr="00AC6A82" w:rsidRDefault="007C1E73" w:rsidP="001A50AB">
      <w:pPr>
        <w:rPr>
          <w:rStyle w:val="PageNumber"/>
          <w:rFonts w:ascii="Calibri" w:hAnsi="Calibri" w:cs="Calibri"/>
          <w:b/>
          <w:i/>
          <w:szCs w:val="22"/>
        </w:rPr>
      </w:pPr>
      <w:r w:rsidRPr="00AC6A82">
        <w:rPr>
          <w:rStyle w:val="PageNumber"/>
          <w:rFonts w:ascii="Calibri" w:hAnsi="Calibri" w:cs="Calibri"/>
          <w:b/>
          <w:szCs w:val="22"/>
        </w:rPr>
        <w:br w:type="page"/>
      </w:r>
    </w:p>
    <w:p w:rsidR="00745C7D" w:rsidRPr="00AC6A82" w:rsidRDefault="00745C7D" w:rsidP="001A50AB">
      <w:pPr>
        <w:spacing w:line="240" w:lineRule="auto"/>
        <w:rPr>
          <w:rFonts w:ascii="Calibri" w:hAnsi="Calibri" w:cs="Calibri"/>
        </w:rPr>
      </w:pPr>
      <w:r w:rsidRPr="00AC6A82">
        <w:rPr>
          <w:rFonts w:ascii="Calibri" w:hAnsi="Calibri" w:cs="Calibri"/>
        </w:rPr>
        <w:t>Съдържание</w:t>
      </w:r>
    </w:p>
    <w:p w:rsidR="00B87BE0" w:rsidRDefault="007465D5">
      <w:pPr>
        <w:pStyle w:val="TOC1"/>
        <w:rPr>
          <w:rFonts w:eastAsiaTheme="minorEastAsia" w:cstheme="minorBidi"/>
          <w:noProof/>
          <w:szCs w:val="22"/>
        </w:rPr>
      </w:pPr>
      <w:r w:rsidRPr="00AC6A82">
        <w:rPr>
          <w:rFonts w:ascii="Calibri" w:hAnsi="Calibri" w:cs="Calibri"/>
        </w:rPr>
        <w:fldChar w:fldCharType="begin"/>
      </w:r>
      <w:r w:rsidR="00C0372F" w:rsidRPr="00AC6A82">
        <w:rPr>
          <w:rFonts w:ascii="Calibri" w:hAnsi="Calibri" w:cs="Calibri"/>
        </w:rPr>
        <w:instrText xml:space="preserve"> TOC \o "1-3" \h \z \u </w:instrText>
      </w:r>
      <w:r w:rsidRPr="00AC6A82">
        <w:rPr>
          <w:rFonts w:ascii="Calibri" w:hAnsi="Calibri" w:cs="Calibri"/>
        </w:rPr>
        <w:fldChar w:fldCharType="separate"/>
      </w:r>
      <w:hyperlink w:anchor="_Toc7535413" w:history="1">
        <w:r w:rsidR="00B87BE0" w:rsidRPr="001D6768">
          <w:rPr>
            <w:rStyle w:val="Hyperlink"/>
            <w:rFonts w:ascii="Calibri" w:hAnsi="Calibri" w:cs="Calibri"/>
            <w:noProof/>
          </w:rPr>
          <w:t>1.</w:t>
        </w:r>
        <w:r w:rsidR="00B87BE0">
          <w:rPr>
            <w:rFonts w:eastAsiaTheme="minorEastAsia" w:cstheme="minorBidi"/>
            <w:noProof/>
            <w:szCs w:val="22"/>
          </w:rPr>
          <w:tab/>
        </w:r>
        <w:r w:rsidR="00B87BE0" w:rsidRPr="001D6768">
          <w:rPr>
            <w:rStyle w:val="Hyperlink"/>
            <w:rFonts w:ascii="Calibri" w:hAnsi="Calibri" w:cs="Calibri"/>
            <w:noProof/>
          </w:rPr>
          <w:t>Въведение</w:t>
        </w:r>
        <w:r w:rsidR="00B87BE0">
          <w:rPr>
            <w:noProof/>
            <w:webHidden/>
          </w:rPr>
          <w:tab/>
        </w:r>
        <w:r w:rsidR="00B87BE0">
          <w:rPr>
            <w:noProof/>
            <w:webHidden/>
          </w:rPr>
          <w:fldChar w:fldCharType="begin"/>
        </w:r>
        <w:r w:rsidR="00B87BE0">
          <w:rPr>
            <w:noProof/>
            <w:webHidden/>
          </w:rPr>
          <w:instrText xml:space="preserve"> PAGEREF _Toc7535413 \h </w:instrText>
        </w:r>
        <w:r w:rsidR="00B87BE0">
          <w:rPr>
            <w:noProof/>
            <w:webHidden/>
          </w:rPr>
        </w:r>
        <w:r w:rsidR="00B87BE0">
          <w:rPr>
            <w:noProof/>
            <w:webHidden/>
          </w:rPr>
          <w:fldChar w:fldCharType="separate"/>
        </w:r>
        <w:r w:rsidR="00B87BE0">
          <w:rPr>
            <w:noProof/>
            <w:webHidden/>
          </w:rPr>
          <w:t>7</w:t>
        </w:r>
        <w:r w:rsidR="00B87BE0">
          <w:rPr>
            <w:noProof/>
            <w:webHidden/>
          </w:rPr>
          <w:fldChar w:fldCharType="end"/>
        </w:r>
      </w:hyperlink>
    </w:p>
    <w:p w:rsidR="00B87BE0" w:rsidRDefault="00375E84">
      <w:pPr>
        <w:pStyle w:val="TOC1"/>
        <w:rPr>
          <w:rFonts w:eastAsiaTheme="minorEastAsia" w:cstheme="minorBidi"/>
          <w:noProof/>
          <w:szCs w:val="22"/>
        </w:rPr>
      </w:pPr>
      <w:hyperlink w:anchor="_Toc7535414" w:history="1">
        <w:r w:rsidR="00B87BE0" w:rsidRPr="001D6768">
          <w:rPr>
            <w:rStyle w:val="Hyperlink"/>
            <w:rFonts w:ascii="Calibri" w:hAnsi="Calibri" w:cs="Calibri"/>
            <w:noProof/>
          </w:rPr>
          <w:t>2.</w:t>
        </w:r>
        <w:r w:rsidR="00B87BE0">
          <w:rPr>
            <w:rFonts w:eastAsiaTheme="minorEastAsia" w:cstheme="minorBidi"/>
            <w:noProof/>
            <w:szCs w:val="22"/>
          </w:rPr>
          <w:tab/>
        </w:r>
        <w:r w:rsidR="00B87BE0" w:rsidRPr="001D6768">
          <w:rPr>
            <w:rStyle w:val="Hyperlink"/>
            <w:rFonts w:ascii="Calibri" w:hAnsi="Calibri" w:cs="Calibri"/>
            <w:noProof/>
          </w:rPr>
          <w:t>Данни за търговията на Българска фондова борса</w:t>
        </w:r>
        <w:r w:rsidR="00B87BE0">
          <w:rPr>
            <w:noProof/>
            <w:webHidden/>
          </w:rPr>
          <w:tab/>
        </w:r>
        <w:r w:rsidR="00B87BE0">
          <w:rPr>
            <w:noProof/>
            <w:webHidden/>
          </w:rPr>
          <w:fldChar w:fldCharType="begin"/>
        </w:r>
        <w:r w:rsidR="00B87BE0">
          <w:rPr>
            <w:noProof/>
            <w:webHidden/>
          </w:rPr>
          <w:instrText xml:space="preserve"> PAGEREF _Toc7535414 \h </w:instrText>
        </w:r>
        <w:r w:rsidR="00B87BE0">
          <w:rPr>
            <w:noProof/>
            <w:webHidden/>
          </w:rPr>
        </w:r>
        <w:r w:rsidR="00B87BE0">
          <w:rPr>
            <w:noProof/>
            <w:webHidden/>
          </w:rPr>
          <w:fldChar w:fldCharType="separate"/>
        </w:r>
        <w:r w:rsidR="00B87BE0">
          <w:rPr>
            <w:noProof/>
            <w:webHidden/>
          </w:rPr>
          <w:t>8</w:t>
        </w:r>
        <w:r w:rsidR="00B87BE0">
          <w:rPr>
            <w:noProof/>
            <w:webHidden/>
          </w:rPr>
          <w:fldChar w:fldCharType="end"/>
        </w:r>
      </w:hyperlink>
    </w:p>
    <w:p w:rsidR="00B87BE0" w:rsidRDefault="00375E84">
      <w:pPr>
        <w:pStyle w:val="TOC2"/>
        <w:rPr>
          <w:rFonts w:eastAsiaTheme="minorEastAsia" w:cstheme="minorBidi"/>
          <w:noProof/>
          <w:szCs w:val="22"/>
        </w:rPr>
      </w:pPr>
      <w:hyperlink w:anchor="_Toc7535415" w:history="1">
        <w:r w:rsidR="00B87BE0" w:rsidRPr="001D6768">
          <w:rPr>
            <w:rStyle w:val="Hyperlink"/>
            <w:noProof/>
          </w:rPr>
          <w:t>2.1.</w:t>
        </w:r>
        <w:r w:rsidR="00B87BE0">
          <w:rPr>
            <w:rFonts w:eastAsiaTheme="minorEastAsia" w:cstheme="minorBidi"/>
            <w:noProof/>
            <w:szCs w:val="22"/>
          </w:rPr>
          <w:tab/>
        </w:r>
        <w:r w:rsidR="00B87BE0" w:rsidRPr="001D6768">
          <w:rPr>
            <w:rStyle w:val="Hyperlink"/>
            <w:noProof/>
          </w:rPr>
          <w:t>Оборот, брой сделки</w:t>
        </w:r>
        <w:r w:rsidR="00B87BE0">
          <w:rPr>
            <w:noProof/>
            <w:webHidden/>
          </w:rPr>
          <w:tab/>
        </w:r>
        <w:r w:rsidR="00B87BE0">
          <w:rPr>
            <w:noProof/>
            <w:webHidden/>
          </w:rPr>
          <w:fldChar w:fldCharType="begin"/>
        </w:r>
        <w:r w:rsidR="00B87BE0">
          <w:rPr>
            <w:noProof/>
            <w:webHidden/>
          </w:rPr>
          <w:instrText xml:space="preserve"> PAGEREF _Toc7535415 \h </w:instrText>
        </w:r>
        <w:r w:rsidR="00B87BE0">
          <w:rPr>
            <w:noProof/>
            <w:webHidden/>
          </w:rPr>
        </w:r>
        <w:r w:rsidR="00B87BE0">
          <w:rPr>
            <w:noProof/>
            <w:webHidden/>
          </w:rPr>
          <w:fldChar w:fldCharType="separate"/>
        </w:r>
        <w:r w:rsidR="00B87BE0">
          <w:rPr>
            <w:noProof/>
            <w:webHidden/>
          </w:rPr>
          <w:t>8</w:t>
        </w:r>
        <w:r w:rsidR="00B87BE0">
          <w:rPr>
            <w:noProof/>
            <w:webHidden/>
          </w:rPr>
          <w:fldChar w:fldCharType="end"/>
        </w:r>
      </w:hyperlink>
    </w:p>
    <w:p w:rsidR="00B87BE0" w:rsidRDefault="00375E84">
      <w:pPr>
        <w:pStyle w:val="TOC2"/>
        <w:rPr>
          <w:rFonts w:eastAsiaTheme="minorEastAsia" w:cstheme="minorBidi"/>
          <w:noProof/>
          <w:szCs w:val="22"/>
        </w:rPr>
      </w:pPr>
      <w:hyperlink w:anchor="_Toc7535416" w:history="1">
        <w:r w:rsidR="00B87BE0" w:rsidRPr="001D6768">
          <w:rPr>
            <w:rStyle w:val="Hyperlink"/>
            <w:noProof/>
          </w:rPr>
          <w:t>2.1.1.</w:t>
        </w:r>
        <w:r w:rsidR="00B87BE0">
          <w:rPr>
            <w:rFonts w:eastAsiaTheme="minorEastAsia" w:cstheme="minorBidi"/>
            <w:noProof/>
            <w:szCs w:val="22"/>
          </w:rPr>
          <w:tab/>
        </w:r>
        <w:r w:rsidR="00B87BE0" w:rsidRPr="001D6768">
          <w:rPr>
            <w:rStyle w:val="Hyperlink"/>
            <w:noProof/>
          </w:rPr>
          <w:t>Оборот</w:t>
        </w:r>
        <w:r w:rsidR="00B87BE0">
          <w:rPr>
            <w:noProof/>
            <w:webHidden/>
          </w:rPr>
          <w:tab/>
        </w:r>
        <w:r w:rsidR="00B87BE0">
          <w:rPr>
            <w:noProof/>
            <w:webHidden/>
          </w:rPr>
          <w:fldChar w:fldCharType="begin"/>
        </w:r>
        <w:r w:rsidR="00B87BE0">
          <w:rPr>
            <w:noProof/>
            <w:webHidden/>
          </w:rPr>
          <w:instrText xml:space="preserve"> PAGEREF _Toc7535416 \h </w:instrText>
        </w:r>
        <w:r w:rsidR="00B87BE0">
          <w:rPr>
            <w:noProof/>
            <w:webHidden/>
          </w:rPr>
        </w:r>
        <w:r w:rsidR="00B87BE0">
          <w:rPr>
            <w:noProof/>
            <w:webHidden/>
          </w:rPr>
          <w:fldChar w:fldCharType="separate"/>
        </w:r>
        <w:r w:rsidR="00B87BE0">
          <w:rPr>
            <w:noProof/>
            <w:webHidden/>
          </w:rPr>
          <w:t>8</w:t>
        </w:r>
        <w:r w:rsidR="00B87BE0">
          <w:rPr>
            <w:noProof/>
            <w:webHidden/>
          </w:rPr>
          <w:fldChar w:fldCharType="end"/>
        </w:r>
      </w:hyperlink>
    </w:p>
    <w:p w:rsidR="00B87BE0" w:rsidRDefault="00375E84">
      <w:pPr>
        <w:pStyle w:val="TOC2"/>
        <w:rPr>
          <w:rFonts w:eastAsiaTheme="minorEastAsia" w:cstheme="minorBidi"/>
          <w:noProof/>
          <w:szCs w:val="22"/>
        </w:rPr>
      </w:pPr>
      <w:hyperlink w:anchor="_Toc7535417" w:history="1">
        <w:r w:rsidR="00B87BE0" w:rsidRPr="001D6768">
          <w:rPr>
            <w:rStyle w:val="Hyperlink"/>
            <w:noProof/>
          </w:rPr>
          <w:t>2.1.2.</w:t>
        </w:r>
        <w:r w:rsidR="00B87BE0">
          <w:rPr>
            <w:rFonts w:eastAsiaTheme="minorEastAsia" w:cstheme="minorBidi"/>
            <w:noProof/>
            <w:szCs w:val="22"/>
          </w:rPr>
          <w:tab/>
        </w:r>
        <w:r w:rsidR="00B87BE0" w:rsidRPr="001D6768">
          <w:rPr>
            <w:rStyle w:val="Hyperlink"/>
            <w:noProof/>
          </w:rPr>
          <w:t>Брой сделки</w:t>
        </w:r>
        <w:r w:rsidR="00B87BE0">
          <w:rPr>
            <w:noProof/>
            <w:webHidden/>
          </w:rPr>
          <w:tab/>
        </w:r>
        <w:r w:rsidR="00B87BE0">
          <w:rPr>
            <w:noProof/>
            <w:webHidden/>
          </w:rPr>
          <w:fldChar w:fldCharType="begin"/>
        </w:r>
        <w:r w:rsidR="00B87BE0">
          <w:rPr>
            <w:noProof/>
            <w:webHidden/>
          </w:rPr>
          <w:instrText xml:space="preserve"> PAGEREF _Toc7535417 \h </w:instrText>
        </w:r>
        <w:r w:rsidR="00B87BE0">
          <w:rPr>
            <w:noProof/>
            <w:webHidden/>
          </w:rPr>
        </w:r>
        <w:r w:rsidR="00B87BE0">
          <w:rPr>
            <w:noProof/>
            <w:webHidden/>
          </w:rPr>
          <w:fldChar w:fldCharType="separate"/>
        </w:r>
        <w:r w:rsidR="00B87BE0">
          <w:rPr>
            <w:noProof/>
            <w:webHidden/>
          </w:rPr>
          <w:t>8</w:t>
        </w:r>
        <w:r w:rsidR="00B87BE0">
          <w:rPr>
            <w:noProof/>
            <w:webHidden/>
          </w:rPr>
          <w:fldChar w:fldCharType="end"/>
        </w:r>
      </w:hyperlink>
    </w:p>
    <w:p w:rsidR="00B87BE0" w:rsidRDefault="00375E84">
      <w:pPr>
        <w:pStyle w:val="TOC2"/>
        <w:rPr>
          <w:rFonts w:eastAsiaTheme="minorEastAsia" w:cstheme="minorBidi"/>
          <w:noProof/>
          <w:szCs w:val="22"/>
        </w:rPr>
      </w:pPr>
      <w:hyperlink w:anchor="_Toc7535418" w:history="1">
        <w:r w:rsidR="00B87BE0" w:rsidRPr="001D6768">
          <w:rPr>
            <w:rStyle w:val="Hyperlink"/>
            <w:noProof/>
          </w:rPr>
          <w:t>2.2.</w:t>
        </w:r>
        <w:r w:rsidR="00B87BE0">
          <w:rPr>
            <w:rFonts w:eastAsiaTheme="minorEastAsia" w:cstheme="minorBidi"/>
            <w:noProof/>
            <w:szCs w:val="22"/>
          </w:rPr>
          <w:tab/>
        </w:r>
        <w:r w:rsidR="00B87BE0" w:rsidRPr="001D6768">
          <w:rPr>
            <w:rStyle w:val="Hyperlink"/>
            <w:noProof/>
          </w:rPr>
          <w:t>Отраслова структура на търговията</w:t>
        </w:r>
        <w:r w:rsidR="00B87BE0">
          <w:rPr>
            <w:noProof/>
            <w:webHidden/>
          </w:rPr>
          <w:tab/>
        </w:r>
        <w:r w:rsidR="00B87BE0">
          <w:rPr>
            <w:noProof/>
            <w:webHidden/>
          </w:rPr>
          <w:fldChar w:fldCharType="begin"/>
        </w:r>
        <w:r w:rsidR="00B87BE0">
          <w:rPr>
            <w:noProof/>
            <w:webHidden/>
          </w:rPr>
          <w:instrText xml:space="preserve"> PAGEREF _Toc7535418 \h </w:instrText>
        </w:r>
        <w:r w:rsidR="00B87BE0">
          <w:rPr>
            <w:noProof/>
            <w:webHidden/>
          </w:rPr>
        </w:r>
        <w:r w:rsidR="00B87BE0">
          <w:rPr>
            <w:noProof/>
            <w:webHidden/>
          </w:rPr>
          <w:fldChar w:fldCharType="separate"/>
        </w:r>
        <w:r w:rsidR="00B87BE0">
          <w:rPr>
            <w:noProof/>
            <w:webHidden/>
          </w:rPr>
          <w:t>11</w:t>
        </w:r>
        <w:r w:rsidR="00B87BE0">
          <w:rPr>
            <w:noProof/>
            <w:webHidden/>
          </w:rPr>
          <w:fldChar w:fldCharType="end"/>
        </w:r>
      </w:hyperlink>
    </w:p>
    <w:p w:rsidR="00B87BE0" w:rsidRDefault="00375E84">
      <w:pPr>
        <w:pStyle w:val="TOC1"/>
        <w:rPr>
          <w:rFonts w:eastAsiaTheme="minorEastAsia" w:cstheme="minorBidi"/>
          <w:noProof/>
          <w:szCs w:val="22"/>
        </w:rPr>
      </w:pPr>
      <w:hyperlink w:anchor="_Toc7535419" w:history="1">
        <w:r w:rsidR="00B87BE0" w:rsidRPr="001D6768">
          <w:rPr>
            <w:rStyle w:val="Hyperlink"/>
            <w:rFonts w:ascii="Calibri" w:hAnsi="Calibri" w:cs="Calibri"/>
            <w:noProof/>
          </w:rPr>
          <w:t>3.</w:t>
        </w:r>
        <w:r w:rsidR="00B87BE0">
          <w:rPr>
            <w:rFonts w:eastAsiaTheme="minorEastAsia" w:cstheme="minorBidi"/>
            <w:noProof/>
            <w:szCs w:val="22"/>
          </w:rPr>
          <w:tab/>
        </w:r>
        <w:r w:rsidR="00B87BE0" w:rsidRPr="001D6768">
          <w:rPr>
            <w:rStyle w:val="Hyperlink"/>
            <w:rFonts w:ascii="Calibri" w:hAnsi="Calibri" w:cs="Calibri"/>
            <w:noProof/>
          </w:rPr>
          <w:t>Регистрирани емисии финансови инструменти на Българска фондова борса</w:t>
        </w:r>
        <w:r w:rsidR="00B87BE0">
          <w:rPr>
            <w:noProof/>
            <w:webHidden/>
          </w:rPr>
          <w:tab/>
        </w:r>
        <w:r w:rsidR="00B87BE0">
          <w:rPr>
            <w:noProof/>
            <w:webHidden/>
          </w:rPr>
          <w:fldChar w:fldCharType="begin"/>
        </w:r>
        <w:r w:rsidR="00B87BE0">
          <w:rPr>
            <w:noProof/>
            <w:webHidden/>
          </w:rPr>
          <w:instrText xml:space="preserve"> PAGEREF _Toc7535419 \h </w:instrText>
        </w:r>
        <w:r w:rsidR="00B87BE0">
          <w:rPr>
            <w:noProof/>
            <w:webHidden/>
          </w:rPr>
        </w:r>
        <w:r w:rsidR="00B87BE0">
          <w:rPr>
            <w:noProof/>
            <w:webHidden/>
          </w:rPr>
          <w:fldChar w:fldCharType="separate"/>
        </w:r>
        <w:r w:rsidR="00B87BE0">
          <w:rPr>
            <w:noProof/>
            <w:webHidden/>
          </w:rPr>
          <w:t>12</w:t>
        </w:r>
        <w:r w:rsidR="00B87BE0">
          <w:rPr>
            <w:noProof/>
            <w:webHidden/>
          </w:rPr>
          <w:fldChar w:fldCharType="end"/>
        </w:r>
      </w:hyperlink>
    </w:p>
    <w:p w:rsidR="00B87BE0" w:rsidRDefault="00375E84">
      <w:pPr>
        <w:pStyle w:val="TOC1"/>
        <w:rPr>
          <w:rFonts w:eastAsiaTheme="minorEastAsia" w:cstheme="minorBidi"/>
          <w:noProof/>
          <w:szCs w:val="22"/>
        </w:rPr>
      </w:pPr>
      <w:hyperlink w:anchor="_Toc7535420" w:history="1">
        <w:r w:rsidR="00B87BE0" w:rsidRPr="001D6768">
          <w:rPr>
            <w:rStyle w:val="Hyperlink"/>
            <w:rFonts w:ascii="Calibri" w:hAnsi="Calibri" w:cs="Calibri"/>
            <w:noProof/>
          </w:rPr>
          <w:t>4.</w:t>
        </w:r>
        <w:r w:rsidR="00B87BE0">
          <w:rPr>
            <w:rFonts w:eastAsiaTheme="minorEastAsia" w:cstheme="minorBidi"/>
            <w:noProof/>
            <w:szCs w:val="22"/>
          </w:rPr>
          <w:tab/>
        </w:r>
        <w:r w:rsidR="00B87BE0" w:rsidRPr="001D6768">
          <w:rPr>
            <w:rStyle w:val="Hyperlink"/>
            <w:rFonts w:ascii="Calibri" w:hAnsi="Calibri" w:cs="Calibri"/>
            <w:noProof/>
          </w:rPr>
          <w:t>Нови емитенти, отписани емисии и увеличения на капитал</w:t>
        </w:r>
        <w:r w:rsidR="00B87BE0">
          <w:rPr>
            <w:noProof/>
            <w:webHidden/>
          </w:rPr>
          <w:tab/>
        </w:r>
        <w:r w:rsidR="00B87BE0">
          <w:rPr>
            <w:noProof/>
            <w:webHidden/>
          </w:rPr>
          <w:fldChar w:fldCharType="begin"/>
        </w:r>
        <w:r w:rsidR="00B87BE0">
          <w:rPr>
            <w:noProof/>
            <w:webHidden/>
          </w:rPr>
          <w:instrText xml:space="preserve"> PAGEREF _Toc7535420 \h </w:instrText>
        </w:r>
        <w:r w:rsidR="00B87BE0">
          <w:rPr>
            <w:noProof/>
            <w:webHidden/>
          </w:rPr>
        </w:r>
        <w:r w:rsidR="00B87BE0">
          <w:rPr>
            <w:noProof/>
            <w:webHidden/>
          </w:rPr>
          <w:fldChar w:fldCharType="separate"/>
        </w:r>
        <w:r w:rsidR="00B87BE0">
          <w:rPr>
            <w:noProof/>
            <w:webHidden/>
          </w:rPr>
          <w:t>13</w:t>
        </w:r>
        <w:r w:rsidR="00B87BE0">
          <w:rPr>
            <w:noProof/>
            <w:webHidden/>
          </w:rPr>
          <w:fldChar w:fldCharType="end"/>
        </w:r>
      </w:hyperlink>
    </w:p>
    <w:p w:rsidR="00B87BE0" w:rsidRDefault="00375E84">
      <w:pPr>
        <w:pStyle w:val="TOC1"/>
        <w:rPr>
          <w:rFonts w:eastAsiaTheme="minorEastAsia" w:cstheme="minorBidi"/>
          <w:noProof/>
          <w:szCs w:val="22"/>
        </w:rPr>
      </w:pPr>
      <w:hyperlink w:anchor="_Toc7535421" w:history="1">
        <w:r w:rsidR="00B87BE0" w:rsidRPr="001D6768">
          <w:rPr>
            <w:rStyle w:val="Hyperlink"/>
            <w:rFonts w:ascii="Calibri" w:hAnsi="Calibri" w:cs="Calibri"/>
            <w:noProof/>
          </w:rPr>
          <w:t>5.</w:t>
        </w:r>
        <w:r w:rsidR="00B87BE0">
          <w:rPr>
            <w:rFonts w:eastAsiaTheme="minorEastAsia" w:cstheme="minorBidi"/>
            <w:noProof/>
            <w:szCs w:val="22"/>
          </w:rPr>
          <w:tab/>
        </w:r>
        <w:r w:rsidR="00B87BE0" w:rsidRPr="001D6768">
          <w:rPr>
            <w:rStyle w:val="Hyperlink"/>
            <w:rFonts w:ascii="Calibri" w:hAnsi="Calibri" w:cs="Calibri"/>
            <w:noProof/>
          </w:rPr>
          <w:t>Пазарна капитализация на Борсата</w:t>
        </w:r>
        <w:r w:rsidR="00B87BE0">
          <w:rPr>
            <w:noProof/>
            <w:webHidden/>
          </w:rPr>
          <w:tab/>
        </w:r>
        <w:r w:rsidR="00B87BE0">
          <w:rPr>
            <w:noProof/>
            <w:webHidden/>
          </w:rPr>
          <w:fldChar w:fldCharType="begin"/>
        </w:r>
        <w:r w:rsidR="00B87BE0">
          <w:rPr>
            <w:noProof/>
            <w:webHidden/>
          </w:rPr>
          <w:instrText xml:space="preserve"> PAGEREF _Toc7535421 \h </w:instrText>
        </w:r>
        <w:r w:rsidR="00B87BE0">
          <w:rPr>
            <w:noProof/>
            <w:webHidden/>
          </w:rPr>
        </w:r>
        <w:r w:rsidR="00B87BE0">
          <w:rPr>
            <w:noProof/>
            <w:webHidden/>
          </w:rPr>
          <w:fldChar w:fldCharType="separate"/>
        </w:r>
        <w:r w:rsidR="00B87BE0">
          <w:rPr>
            <w:noProof/>
            <w:webHidden/>
          </w:rPr>
          <w:t>13</w:t>
        </w:r>
        <w:r w:rsidR="00B87BE0">
          <w:rPr>
            <w:noProof/>
            <w:webHidden/>
          </w:rPr>
          <w:fldChar w:fldCharType="end"/>
        </w:r>
      </w:hyperlink>
    </w:p>
    <w:p w:rsidR="00B87BE0" w:rsidRDefault="00375E84">
      <w:pPr>
        <w:pStyle w:val="TOC1"/>
        <w:rPr>
          <w:rFonts w:eastAsiaTheme="minorEastAsia" w:cstheme="minorBidi"/>
          <w:noProof/>
          <w:szCs w:val="22"/>
        </w:rPr>
      </w:pPr>
      <w:hyperlink w:anchor="_Toc7535422" w:history="1">
        <w:r w:rsidR="00B87BE0" w:rsidRPr="001D6768">
          <w:rPr>
            <w:rStyle w:val="Hyperlink"/>
            <w:rFonts w:ascii="Calibri" w:hAnsi="Calibri" w:cs="Calibri"/>
            <w:noProof/>
          </w:rPr>
          <w:t>6.</w:t>
        </w:r>
        <w:r w:rsidR="00B87BE0">
          <w:rPr>
            <w:rFonts w:eastAsiaTheme="minorEastAsia" w:cstheme="minorBidi"/>
            <w:noProof/>
            <w:szCs w:val="22"/>
          </w:rPr>
          <w:tab/>
        </w:r>
        <w:r w:rsidR="00B87BE0" w:rsidRPr="001D6768">
          <w:rPr>
            <w:rStyle w:val="Hyperlink"/>
            <w:rFonts w:ascii="Calibri" w:hAnsi="Calibri" w:cs="Calibri"/>
            <w:noProof/>
          </w:rPr>
          <w:t>Индекси на Българска фондова борса</w:t>
        </w:r>
        <w:r w:rsidR="00B87BE0">
          <w:rPr>
            <w:noProof/>
            <w:webHidden/>
          </w:rPr>
          <w:tab/>
        </w:r>
        <w:r w:rsidR="00B87BE0">
          <w:rPr>
            <w:noProof/>
            <w:webHidden/>
          </w:rPr>
          <w:fldChar w:fldCharType="begin"/>
        </w:r>
        <w:r w:rsidR="00B87BE0">
          <w:rPr>
            <w:noProof/>
            <w:webHidden/>
          </w:rPr>
          <w:instrText xml:space="preserve"> PAGEREF _Toc7535422 \h </w:instrText>
        </w:r>
        <w:r w:rsidR="00B87BE0">
          <w:rPr>
            <w:noProof/>
            <w:webHidden/>
          </w:rPr>
        </w:r>
        <w:r w:rsidR="00B87BE0">
          <w:rPr>
            <w:noProof/>
            <w:webHidden/>
          </w:rPr>
          <w:fldChar w:fldCharType="separate"/>
        </w:r>
        <w:r w:rsidR="00B87BE0">
          <w:rPr>
            <w:noProof/>
            <w:webHidden/>
          </w:rPr>
          <w:t>14</w:t>
        </w:r>
        <w:r w:rsidR="00B87BE0">
          <w:rPr>
            <w:noProof/>
            <w:webHidden/>
          </w:rPr>
          <w:fldChar w:fldCharType="end"/>
        </w:r>
      </w:hyperlink>
    </w:p>
    <w:p w:rsidR="00B87BE0" w:rsidRDefault="00375E84">
      <w:pPr>
        <w:pStyle w:val="TOC1"/>
        <w:rPr>
          <w:rFonts w:eastAsiaTheme="minorEastAsia" w:cstheme="minorBidi"/>
          <w:noProof/>
          <w:szCs w:val="22"/>
        </w:rPr>
      </w:pPr>
      <w:hyperlink w:anchor="_Toc7535423" w:history="1">
        <w:r w:rsidR="00B87BE0" w:rsidRPr="001D6768">
          <w:rPr>
            <w:rStyle w:val="Hyperlink"/>
            <w:rFonts w:ascii="Calibri" w:hAnsi="Calibri" w:cs="Calibri"/>
            <w:noProof/>
          </w:rPr>
          <w:t>7.</w:t>
        </w:r>
        <w:r w:rsidR="00B87BE0">
          <w:rPr>
            <w:rFonts w:eastAsiaTheme="minorEastAsia" w:cstheme="minorBidi"/>
            <w:noProof/>
            <w:szCs w:val="22"/>
          </w:rPr>
          <w:tab/>
        </w:r>
        <w:r w:rsidR="00B87BE0" w:rsidRPr="001D6768">
          <w:rPr>
            <w:rStyle w:val="Hyperlink"/>
            <w:rFonts w:ascii="Calibri" w:hAnsi="Calibri" w:cs="Calibri"/>
            <w:noProof/>
          </w:rPr>
          <w:t>Приватизация през Борсата</w:t>
        </w:r>
        <w:r w:rsidR="00B87BE0">
          <w:rPr>
            <w:noProof/>
            <w:webHidden/>
          </w:rPr>
          <w:tab/>
        </w:r>
        <w:r w:rsidR="00B87BE0">
          <w:rPr>
            <w:noProof/>
            <w:webHidden/>
          </w:rPr>
          <w:fldChar w:fldCharType="begin"/>
        </w:r>
        <w:r w:rsidR="00B87BE0">
          <w:rPr>
            <w:noProof/>
            <w:webHidden/>
          </w:rPr>
          <w:instrText xml:space="preserve"> PAGEREF _Toc7535423 \h </w:instrText>
        </w:r>
        <w:r w:rsidR="00B87BE0">
          <w:rPr>
            <w:noProof/>
            <w:webHidden/>
          </w:rPr>
        </w:r>
        <w:r w:rsidR="00B87BE0">
          <w:rPr>
            <w:noProof/>
            <w:webHidden/>
          </w:rPr>
          <w:fldChar w:fldCharType="separate"/>
        </w:r>
        <w:r w:rsidR="00B87BE0">
          <w:rPr>
            <w:noProof/>
            <w:webHidden/>
          </w:rPr>
          <w:t>15</w:t>
        </w:r>
        <w:r w:rsidR="00B87BE0">
          <w:rPr>
            <w:noProof/>
            <w:webHidden/>
          </w:rPr>
          <w:fldChar w:fldCharType="end"/>
        </w:r>
      </w:hyperlink>
    </w:p>
    <w:p w:rsidR="00B87BE0" w:rsidRDefault="00375E84">
      <w:pPr>
        <w:pStyle w:val="TOC1"/>
        <w:rPr>
          <w:rFonts w:eastAsiaTheme="minorEastAsia" w:cstheme="minorBidi"/>
          <w:noProof/>
          <w:szCs w:val="22"/>
        </w:rPr>
      </w:pPr>
      <w:hyperlink w:anchor="_Toc7535424" w:history="1">
        <w:r w:rsidR="00B87BE0" w:rsidRPr="001D6768">
          <w:rPr>
            <w:rStyle w:val="Hyperlink"/>
            <w:rFonts w:ascii="Calibri" w:hAnsi="Calibri" w:cs="Calibri"/>
            <w:noProof/>
          </w:rPr>
          <w:t>8.</w:t>
        </w:r>
        <w:r w:rsidR="00B87BE0">
          <w:rPr>
            <w:rFonts w:eastAsiaTheme="minorEastAsia" w:cstheme="minorBidi"/>
            <w:noProof/>
            <w:szCs w:val="22"/>
          </w:rPr>
          <w:tab/>
        </w:r>
        <w:r w:rsidR="00B87BE0" w:rsidRPr="001D6768">
          <w:rPr>
            <w:rStyle w:val="Hyperlink"/>
            <w:rFonts w:ascii="Calibri" w:hAnsi="Calibri" w:cs="Calibri"/>
            <w:noProof/>
          </w:rPr>
          <w:t>Основни дейности и събития през отчетното тримесечие на 2019 г.</w:t>
        </w:r>
        <w:r w:rsidR="00B87BE0">
          <w:rPr>
            <w:noProof/>
            <w:webHidden/>
          </w:rPr>
          <w:tab/>
        </w:r>
        <w:r w:rsidR="00B87BE0">
          <w:rPr>
            <w:noProof/>
            <w:webHidden/>
          </w:rPr>
          <w:fldChar w:fldCharType="begin"/>
        </w:r>
        <w:r w:rsidR="00B87BE0">
          <w:rPr>
            <w:noProof/>
            <w:webHidden/>
          </w:rPr>
          <w:instrText xml:space="preserve"> PAGEREF _Toc7535424 \h </w:instrText>
        </w:r>
        <w:r w:rsidR="00B87BE0">
          <w:rPr>
            <w:noProof/>
            <w:webHidden/>
          </w:rPr>
        </w:r>
        <w:r w:rsidR="00B87BE0">
          <w:rPr>
            <w:noProof/>
            <w:webHidden/>
          </w:rPr>
          <w:fldChar w:fldCharType="separate"/>
        </w:r>
        <w:r w:rsidR="00B87BE0">
          <w:rPr>
            <w:noProof/>
            <w:webHidden/>
          </w:rPr>
          <w:t>15</w:t>
        </w:r>
        <w:r w:rsidR="00B87BE0">
          <w:rPr>
            <w:noProof/>
            <w:webHidden/>
          </w:rPr>
          <w:fldChar w:fldCharType="end"/>
        </w:r>
      </w:hyperlink>
    </w:p>
    <w:p w:rsidR="00B87BE0" w:rsidRDefault="00375E84">
      <w:pPr>
        <w:pStyle w:val="TOC2"/>
        <w:rPr>
          <w:rFonts w:eastAsiaTheme="minorEastAsia" w:cstheme="minorBidi"/>
          <w:noProof/>
          <w:szCs w:val="22"/>
        </w:rPr>
      </w:pPr>
      <w:hyperlink w:anchor="_Toc7535425" w:history="1">
        <w:r w:rsidR="00B87BE0" w:rsidRPr="001D6768">
          <w:rPr>
            <w:rStyle w:val="Hyperlink"/>
            <w:noProof/>
          </w:rPr>
          <w:t>8.1.</w:t>
        </w:r>
        <w:r w:rsidR="00B87BE0">
          <w:rPr>
            <w:rFonts w:eastAsiaTheme="minorEastAsia" w:cstheme="minorBidi"/>
            <w:noProof/>
            <w:szCs w:val="22"/>
          </w:rPr>
          <w:tab/>
        </w:r>
        <w:r w:rsidR="00B87BE0" w:rsidRPr="001D6768">
          <w:rPr>
            <w:rStyle w:val="Hyperlink"/>
            <w:noProof/>
          </w:rPr>
          <w:t>БФБ отличи посредниците с най-добри резултати през 2018 година</w:t>
        </w:r>
        <w:r w:rsidR="00B87BE0">
          <w:rPr>
            <w:noProof/>
            <w:webHidden/>
          </w:rPr>
          <w:tab/>
        </w:r>
        <w:r w:rsidR="00B87BE0">
          <w:rPr>
            <w:noProof/>
            <w:webHidden/>
          </w:rPr>
          <w:fldChar w:fldCharType="begin"/>
        </w:r>
        <w:r w:rsidR="00B87BE0">
          <w:rPr>
            <w:noProof/>
            <w:webHidden/>
          </w:rPr>
          <w:instrText xml:space="preserve"> PAGEREF _Toc7535425 \h </w:instrText>
        </w:r>
        <w:r w:rsidR="00B87BE0">
          <w:rPr>
            <w:noProof/>
            <w:webHidden/>
          </w:rPr>
        </w:r>
        <w:r w:rsidR="00B87BE0">
          <w:rPr>
            <w:noProof/>
            <w:webHidden/>
          </w:rPr>
          <w:fldChar w:fldCharType="separate"/>
        </w:r>
        <w:r w:rsidR="00B87BE0">
          <w:rPr>
            <w:noProof/>
            <w:webHidden/>
          </w:rPr>
          <w:t>15</w:t>
        </w:r>
        <w:r w:rsidR="00B87BE0">
          <w:rPr>
            <w:noProof/>
            <w:webHidden/>
          </w:rPr>
          <w:fldChar w:fldCharType="end"/>
        </w:r>
      </w:hyperlink>
    </w:p>
    <w:p w:rsidR="00B87BE0" w:rsidRDefault="00375E84">
      <w:pPr>
        <w:pStyle w:val="TOC2"/>
        <w:rPr>
          <w:rFonts w:eastAsiaTheme="minorEastAsia" w:cstheme="minorBidi"/>
          <w:noProof/>
          <w:szCs w:val="22"/>
        </w:rPr>
      </w:pPr>
      <w:hyperlink w:anchor="_Toc7535426" w:history="1">
        <w:r w:rsidR="00B87BE0" w:rsidRPr="001D6768">
          <w:rPr>
            <w:rStyle w:val="Hyperlink"/>
            <w:noProof/>
          </w:rPr>
          <w:t>8.2.</w:t>
        </w:r>
        <w:r w:rsidR="00B87BE0">
          <w:rPr>
            <w:rFonts w:eastAsiaTheme="minorEastAsia" w:cstheme="minorBidi"/>
            <w:noProof/>
            <w:szCs w:val="22"/>
          </w:rPr>
          <w:tab/>
        </w:r>
        <w:r w:rsidR="00B87BE0" w:rsidRPr="001D6768">
          <w:rPr>
            <w:rStyle w:val="Hyperlink"/>
            <w:noProof/>
          </w:rPr>
          <w:t>Българска фондова борса обяви новите си стипендианти</w:t>
        </w:r>
        <w:r w:rsidR="00B87BE0">
          <w:rPr>
            <w:noProof/>
            <w:webHidden/>
          </w:rPr>
          <w:tab/>
        </w:r>
        <w:r w:rsidR="00B87BE0">
          <w:rPr>
            <w:noProof/>
            <w:webHidden/>
          </w:rPr>
          <w:fldChar w:fldCharType="begin"/>
        </w:r>
        <w:r w:rsidR="00B87BE0">
          <w:rPr>
            <w:noProof/>
            <w:webHidden/>
          </w:rPr>
          <w:instrText xml:space="preserve"> PAGEREF _Toc7535426 \h </w:instrText>
        </w:r>
        <w:r w:rsidR="00B87BE0">
          <w:rPr>
            <w:noProof/>
            <w:webHidden/>
          </w:rPr>
        </w:r>
        <w:r w:rsidR="00B87BE0">
          <w:rPr>
            <w:noProof/>
            <w:webHidden/>
          </w:rPr>
          <w:fldChar w:fldCharType="separate"/>
        </w:r>
        <w:r w:rsidR="00B87BE0">
          <w:rPr>
            <w:noProof/>
            <w:webHidden/>
          </w:rPr>
          <w:t>16</w:t>
        </w:r>
        <w:r w:rsidR="00B87BE0">
          <w:rPr>
            <w:noProof/>
            <w:webHidden/>
          </w:rPr>
          <w:fldChar w:fldCharType="end"/>
        </w:r>
      </w:hyperlink>
    </w:p>
    <w:p w:rsidR="00B87BE0" w:rsidRDefault="00375E84">
      <w:pPr>
        <w:pStyle w:val="TOC2"/>
        <w:rPr>
          <w:rFonts w:eastAsiaTheme="minorEastAsia" w:cstheme="minorBidi"/>
          <w:noProof/>
          <w:szCs w:val="22"/>
        </w:rPr>
      </w:pPr>
      <w:hyperlink w:anchor="_Toc7535427" w:history="1">
        <w:r w:rsidR="00B87BE0" w:rsidRPr="001D6768">
          <w:rPr>
            <w:rStyle w:val="Hyperlink"/>
            <w:noProof/>
          </w:rPr>
          <w:t>8.3.</w:t>
        </w:r>
        <w:r w:rsidR="00B87BE0">
          <w:rPr>
            <w:rFonts w:eastAsiaTheme="minorEastAsia" w:cstheme="minorBidi"/>
            <w:noProof/>
            <w:szCs w:val="22"/>
          </w:rPr>
          <w:tab/>
        </w:r>
        <w:r w:rsidR="00B87BE0" w:rsidRPr="001D6768">
          <w:rPr>
            <w:rStyle w:val="Hyperlink"/>
            <w:noProof/>
          </w:rPr>
          <w:t>БФБ изрази пълната си подкрепа за публикуваната от МФ концепция за личните сметки</w:t>
        </w:r>
        <w:r w:rsidR="00B87BE0">
          <w:rPr>
            <w:noProof/>
            <w:webHidden/>
          </w:rPr>
          <w:tab/>
        </w:r>
        <w:r w:rsidR="00B87BE0">
          <w:rPr>
            <w:noProof/>
            <w:webHidden/>
          </w:rPr>
          <w:fldChar w:fldCharType="begin"/>
        </w:r>
        <w:r w:rsidR="00B87BE0">
          <w:rPr>
            <w:noProof/>
            <w:webHidden/>
          </w:rPr>
          <w:instrText xml:space="preserve"> PAGEREF _Toc7535427 \h </w:instrText>
        </w:r>
        <w:r w:rsidR="00B87BE0">
          <w:rPr>
            <w:noProof/>
            <w:webHidden/>
          </w:rPr>
        </w:r>
        <w:r w:rsidR="00B87BE0">
          <w:rPr>
            <w:noProof/>
            <w:webHidden/>
          </w:rPr>
          <w:fldChar w:fldCharType="separate"/>
        </w:r>
        <w:r w:rsidR="00B87BE0">
          <w:rPr>
            <w:noProof/>
            <w:webHidden/>
          </w:rPr>
          <w:t>16</w:t>
        </w:r>
        <w:r w:rsidR="00B87BE0">
          <w:rPr>
            <w:noProof/>
            <w:webHidden/>
          </w:rPr>
          <w:fldChar w:fldCharType="end"/>
        </w:r>
      </w:hyperlink>
    </w:p>
    <w:p w:rsidR="00B87BE0" w:rsidRDefault="00375E84">
      <w:pPr>
        <w:pStyle w:val="TOC2"/>
        <w:rPr>
          <w:rFonts w:eastAsiaTheme="minorEastAsia" w:cstheme="minorBidi"/>
          <w:noProof/>
          <w:szCs w:val="22"/>
        </w:rPr>
      </w:pPr>
      <w:hyperlink w:anchor="_Toc7535428" w:history="1">
        <w:r w:rsidR="00B87BE0" w:rsidRPr="001D6768">
          <w:rPr>
            <w:rStyle w:val="Hyperlink"/>
            <w:noProof/>
          </w:rPr>
          <w:t>8.4.</w:t>
        </w:r>
        <w:r w:rsidR="00B87BE0">
          <w:rPr>
            <w:rFonts w:eastAsiaTheme="minorEastAsia" w:cstheme="minorBidi"/>
            <w:noProof/>
            <w:szCs w:val="22"/>
          </w:rPr>
          <w:tab/>
        </w:r>
        <w:r w:rsidR="00B87BE0" w:rsidRPr="001D6768">
          <w:rPr>
            <w:rStyle w:val="Hyperlink"/>
            <w:noProof/>
          </w:rPr>
          <w:t>БФБ преустановява поддръжката на системата COBOS от 24</w:t>
        </w:r>
        <w:r w:rsidR="00B87BE0" w:rsidRPr="001D6768">
          <w:rPr>
            <w:rStyle w:val="Hyperlink"/>
            <w:noProof/>
            <w:lang w:val="en-US"/>
          </w:rPr>
          <w:t>.</w:t>
        </w:r>
        <w:r w:rsidR="00B87BE0" w:rsidRPr="001D6768">
          <w:rPr>
            <w:rStyle w:val="Hyperlink"/>
            <w:noProof/>
          </w:rPr>
          <w:t>06</w:t>
        </w:r>
        <w:r w:rsidR="00B87BE0" w:rsidRPr="001D6768">
          <w:rPr>
            <w:rStyle w:val="Hyperlink"/>
            <w:noProof/>
            <w:lang w:val="en-US"/>
          </w:rPr>
          <w:t>.</w:t>
        </w:r>
        <w:r w:rsidR="00B87BE0" w:rsidRPr="001D6768">
          <w:rPr>
            <w:rStyle w:val="Hyperlink"/>
            <w:noProof/>
          </w:rPr>
          <w:t>2019</w:t>
        </w:r>
        <w:r w:rsidR="00B87BE0">
          <w:rPr>
            <w:noProof/>
            <w:webHidden/>
          </w:rPr>
          <w:tab/>
        </w:r>
        <w:r w:rsidR="00B87BE0">
          <w:rPr>
            <w:noProof/>
            <w:webHidden/>
          </w:rPr>
          <w:fldChar w:fldCharType="begin"/>
        </w:r>
        <w:r w:rsidR="00B87BE0">
          <w:rPr>
            <w:noProof/>
            <w:webHidden/>
          </w:rPr>
          <w:instrText xml:space="preserve"> PAGEREF _Toc7535428 \h </w:instrText>
        </w:r>
        <w:r w:rsidR="00B87BE0">
          <w:rPr>
            <w:noProof/>
            <w:webHidden/>
          </w:rPr>
        </w:r>
        <w:r w:rsidR="00B87BE0">
          <w:rPr>
            <w:noProof/>
            <w:webHidden/>
          </w:rPr>
          <w:fldChar w:fldCharType="separate"/>
        </w:r>
        <w:r w:rsidR="00B87BE0">
          <w:rPr>
            <w:noProof/>
            <w:webHidden/>
          </w:rPr>
          <w:t>17</w:t>
        </w:r>
        <w:r w:rsidR="00B87BE0">
          <w:rPr>
            <w:noProof/>
            <w:webHidden/>
          </w:rPr>
          <w:fldChar w:fldCharType="end"/>
        </w:r>
      </w:hyperlink>
    </w:p>
    <w:p w:rsidR="00B87BE0" w:rsidRDefault="00375E84">
      <w:pPr>
        <w:pStyle w:val="TOC2"/>
        <w:rPr>
          <w:rFonts w:eastAsiaTheme="minorEastAsia" w:cstheme="minorBidi"/>
          <w:noProof/>
          <w:szCs w:val="22"/>
        </w:rPr>
      </w:pPr>
      <w:hyperlink w:anchor="_Toc7535429" w:history="1">
        <w:r w:rsidR="00B87BE0" w:rsidRPr="001D6768">
          <w:rPr>
            <w:rStyle w:val="Hyperlink"/>
            <w:noProof/>
          </w:rPr>
          <w:t>8.5.</w:t>
        </w:r>
        <w:r w:rsidR="00B87BE0">
          <w:rPr>
            <w:rFonts w:eastAsiaTheme="minorEastAsia" w:cstheme="minorBidi"/>
            <w:noProof/>
            <w:szCs w:val="22"/>
          </w:rPr>
          <w:tab/>
        </w:r>
        <w:r w:rsidR="00B87BE0" w:rsidRPr="001D6768">
          <w:rPr>
            <w:rStyle w:val="Hyperlink"/>
            <w:noProof/>
          </w:rPr>
          <w:t>Над 50 малки и средни фирми участваха в първия по рода си семинар организиран от БФБ, ИАНМСП и БАЛИП</w:t>
        </w:r>
        <w:r w:rsidR="00B87BE0">
          <w:rPr>
            <w:noProof/>
            <w:webHidden/>
          </w:rPr>
          <w:tab/>
        </w:r>
        <w:r w:rsidR="00B87BE0">
          <w:rPr>
            <w:noProof/>
            <w:webHidden/>
          </w:rPr>
          <w:fldChar w:fldCharType="begin"/>
        </w:r>
        <w:r w:rsidR="00B87BE0">
          <w:rPr>
            <w:noProof/>
            <w:webHidden/>
          </w:rPr>
          <w:instrText xml:space="preserve"> PAGEREF _Toc7535429 \h </w:instrText>
        </w:r>
        <w:r w:rsidR="00B87BE0">
          <w:rPr>
            <w:noProof/>
            <w:webHidden/>
          </w:rPr>
        </w:r>
        <w:r w:rsidR="00B87BE0">
          <w:rPr>
            <w:noProof/>
            <w:webHidden/>
          </w:rPr>
          <w:fldChar w:fldCharType="separate"/>
        </w:r>
        <w:r w:rsidR="00B87BE0">
          <w:rPr>
            <w:noProof/>
            <w:webHidden/>
          </w:rPr>
          <w:t>17</w:t>
        </w:r>
        <w:r w:rsidR="00B87BE0">
          <w:rPr>
            <w:noProof/>
            <w:webHidden/>
          </w:rPr>
          <w:fldChar w:fldCharType="end"/>
        </w:r>
      </w:hyperlink>
    </w:p>
    <w:p w:rsidR="00B87BE0" w:rsidRDefault="00375E84">
      <w:pPr>
        <w:pStyle w:val="TOC2"/>
        <w:rPr>
          <w:rFonts w:eastAsiaTheme="minorEastAsia" w:cstheme="minorBidi"/>
          <w:noProof/>
          <w:szCs w:val="22"/>
        </w:rPr>
      </w:pPr>
      <w:hyperlink w:anchor="_Toc7535430" w:history="1">
        <w:r w:rsidR="00B87BE0" w:rsidRPr="001D6768">
          <w:rPr>
            <w:rStyle w:val="Hyperlink"/>
            <w:noProof/>
          </w:rPr>
          <w:t>8.6.</w:t>
        </w:r>
        <w:r w:rsidR="00B87BE0">
          <w:rPr>
            <w:rFonts w:eastAsiaTheme="minorEastAsia" w:cstheme="minorBidi"/>
            <w:noProof/>
            <w:szCs w:val="22"/>
          </w:rPr>
          <w:tab/>
        </w:r>
        <w:r w:rsidR="00B87BE0" w:rsidRPr="001D6768">
          <w:rPr>
            <w:rStyle w:val="Hyperlink"/>
            <w:noProof/>
          </w:rPr>
          <w:t>Българска фондова борса одобри първата компания - съветник за Пазара за растеж на МСП</w:t>
        </w:r>
        <w:r w:rsidR="00B87BE0">
          <w:rPr>
            <w:noProof/>
            <w:webHidden/>
          </w:rPr>
          <w:tab/>
        </w:r>
        <w:r w:rsidR="00B87BE0">
          <w:rPr>
            <w:noProof/>
            <w:webHidden/>
          </w:rPr>
          <w:fldChar w:fldCharType="begin"/>
        </w:r>
        <w:r w:rsidR="00B87BE0">
          <w:rPr>
            <w:noProof/>
            <w:webHidden/>
          </w:rPr>
          <w:instrText xml:space="preserve"> PAGEREF _Toc7535430 \h </w:instrText>
        </w:r>
        <w:r w:rsidR="00B87BE0">
          <w:rPr>
            <w:noProof/>
            <w:webHidden/>
          </w:rPr>
        </w:r>
        <w:r w:rsidR="00B87BE0">
          <w:rPr>
            <w:noProof/>
            <w:webHidden/>
          </w:rPr>
          <w:fldChar w:fldCharType="separate"/>
        </w:r>
        <w:r w:rsidR="00B87BE0">
          <w:rPr>
            <w:noProof/>
            <w:webHidden/>
          </w:rPr>
          <w:t>18</w:t>
        </w:r>
        <w:r w:rsidR="00B87BE0">
          <w:rPr>
            <w:noProof/>
            <w:webHidden/>
          </w:rPr>
          <w:fldChar w:fldCharType="end"/>
        </w:r>
      </w:hyperlink>
    </w:p>
    <w:p w:rsidR="00B87BE0" w:rsidRDefault="00375E84">
      <w:pPr>
        <w:pStyle w:val="TOC2"/>
        <w:rPr>
          <w:rFonts w:eastAsiaTheme="minorEastAsia" w:cstheme="minorBidi"/>
          <w:noProof/>
          <w:szCs w:val="22"/>
        </w:rPr>
      </w:pPr>
      <w:hyperlink w:anchor="_Toc7535431" w:history="1">
        <w:r w:rsidR="00B87BE0" w:rsidRPr="001D6768">
          <w:rPr>
            <w:rStyle w:val="Hyperlink"/>
            <w:noProof/>
          </w:rPr>
          <w:t>8.7.</w:t>
        </w:r>
        <w:r w:rsidR="00B87BE0">
          <w:rPr>
            <w:rFonts w:eastAsiaTheme="minorEastAsia" w:cstheme="minorBidi"/>
            <w:noProof/>
            <w:szCs w:val="22"/>
          </w:rPr>
          <w:tab/>
        </w:r>
        <w:r w:rsidR="00B87BE0" w:rsidRPr="001D6768">
          <w:rPr>
            <w:rStyle w:val="Hyperlink"/>
            <w:noProof/>
          </w:rPr>
          <w:t>БФБ и ELITE подписаха Меморандум за създаване на гъвкава екосистема от проспериращи МСП в България</w:t>
        </w:r>
        <w:r w:rsidR="00B87BE0">
          <w:rPr>
            <w:noProof/>
            <w:webHidden/>
          </w:rPr>
          <w:tab/>
        </w:r>
        <w:r w:rsidR="00B87BE0">
          <w:rPr>
            <w:noProof/>
            <w:webHidden/>
          </w:rPr>
          <w:fldChar w:fldCharType="begin"/>
        </w:r>
        <w:r w:rsidR="00B87BE0">
          <w:rPr>
            <w:noProof/>
            <w:webHidden/>
          </w:rPr>
          <w:instrText xml:space="preserve"> PAGEREF _Toc7535431 \h </w:instrText>
        </w:r>
        <w:r w:rsidR="00B87BE0">
          <w:rPr>
            <w:noProof/>
            <w:webHidden/>
          </w:rPr>
        </w:r>
        <w:r w:rsidR="00B87BE0">
          <w:rPr>
            <w:noProof/>
            <w:webHidden/>
          </w:rPr>
          <w:fldChar w:fldCharType="separate"/>
        </w:r>
        <w:r w:rsidR="00B87BE0">
          <w:rPr>
            <w:noProof/>
            <w:webHidden/>
          </w:rPr>
          <w:t>18</w:t>
        </w:r>
        <w:r w:rsidR="00B87BE0">
          <w:rPr>
            <w:noProof/>
            <w:webHidden/>
          </w:rPr>
          <w:fldChar w:fldCharType="end"/>
        </w:r>
      </w:hyperlink>
    </w:p>
    <w:p w:rsidR="00B87BE0" w:rsidRDefault="00375E84">
      <w:pPr>
        <w:pStyle w:val="TOC2"/>
        <w:rPr>
          <w:rFonts w:eastAsiaTheme="minorEastAsia" w:cstheme="minorBidi"/>
          <w:noProof/>
          <w:szCs w:val="22"/>
        </w:rPr>
      </w:pPr>
      <w:hyperlink w:anchor="_Toc7535432" w:history="1">
        <w:r w:rsidR="00B87BE0" w:rsidRPr="001D6768">
          <w:rPr>
            <w:rStyle w:val="Hyperlink"/>
            <w:noProof/>
          </w:rPr>
          <w:t>8.8.</w:t>
        </w:r>
        <w:r w:rsidR="00B87BE0">
          <w:rPr>
            <w:rFonts w:eastAsiaTheme="minorEastAsia" w:cstheme="minorBidi"/>
            <w:noProof/>
            <w:szCs w:val="22"/>
          </w:rPr>
          <w:tab/>
        </w:r>
        <w:r w:rsidR="00B87BE0" w:rsidRPr="001D6768">
          <w:rPr>
            <w:rStyle w:val="Hyperlink"/>
            <w:noProof/>
          </w:rPr>
          <w:t>Ученици дадоха официален старт на търговията на БФБ като част от инициативата Global Money Week</w:t>
        </w:r>
        <w:r w:rsidR="00B87BE0">
          <w:rPr>
            <w:noProof/>
            <w:webHidden/>
          </w:rPr>
          <w:tab/>
        </w:r>
        <w:r w:rsidR="00B87BE0">
          <w:rPr>
            <w:noProof/>
            <w:webHidden/>
          </w:rPr>
          <w:fldChar w:fldCharType="begin"/>
        </w:r>
        <w:r w:rsidR="00B87BE0">
          <w:rPr>
            <w:noProof/>
            <w:webHidden/>
          </w:rPr>
          <w:instrText xml:space="preserve"> PAGEREF _Toc7535432 \h </w:instrText>
        </w:r>
        <w:r w:rsidR="00B87BE0">
          <w:rPr>
            <w:noProof/>
            <w:webHidden/>
          </w:rPr>
        </w:r>
        <w:r w:rsidR="00B87BE0">
          <w:rPr>
            <w:noProof/>
            <w:webHidden/>
          </w:rPr>
          <w:fldChar w:fldCharType="separate"/>
        </w:r>
        <w:r w:rsidR="00B87BE0">
          <w:rPr>
            <w:noProof/>
            <w:webHidden/>
          </w:rPr>
          <w:t>19</w:t>
        </w:r>
        <w:r w:rsidR="00B87BE0">
          <w:rPr>
            <w:noProof/>
            <w:webHidden/>
          </w:rPr>
          <w:fldChar w:fldCharType="end"/>
        </w:r>
      </w:hyperlink>
    </w:p>
    <w:p w:rsidR="00B87BE0" w:rsidRDefault="00375E84">
      <w:pPr>
        <w:pStyle w:val="TOC2"/>
        <w:rPr>
          <w:rFonts w:eastAsiaTheme="minorEastAsia" w:cstheme="minorBidi"/>
          <w:noProof/>
          <w:szCs w:val="22"/>
        </w:rPr>
      </w:pPr>
      <w:hyperlink w:anchor="_Toc7535433" w:history="1">
        <w:r w:rsidR="00B87BE0" w:rsidRPr="001D6768">
          <w:rPr>
            <w:rStyle w:val="Hyperlink"/>
            <w:noProof/>
          </w:rPr>
          <w:t>8.9.</w:t>
        </w:r>
        <w:r w:rsidR="00B87BE0">
          <w:rPr>
            <w:rFonts w:eastAsiaTheme="minorEastAsia" w:cstheme="minorBidi"/>
            <w:noProof/>
            <w:szCs w:val="22"/>
          </w:rPr>
          <w:tab/>
        </w:r>
        <w:r w:rsidR="00B87BE0" w:rsidRPr="001D6768">
          <w:rPr>
            <w:rStyle w:val="Hyperlink"/>
            <w:noProof/>
          </w:rPr>
          <w:t>Промяна в индексите, изчислявани от БФБ</w:t>
        </w:r>
        <w:r w:rsidR="00B87BE0">
          <w:rPr>
            <w:noProof/>
            <w:webHidden/>
          </w:rPr>
          <w:tab/>
        </w:r>
        <w:r w:rsidR="00B87BE0">
          <w:rPr>
            <w:noProof/>
            <w:webHidden/>
          </w:rPr>
          <w:fldChar w:fldCharType="begin"/>
        </w:r>
        <w:r w:rsidR="00B87BE0">
          <w:rPr>
            <w:noProof/>
            <w:webHidden/>
          </w:rPr>
          <w:instrText xml:space="preserve"> PAGEREF _Toc7535433 \h </w:instrText>
        </w:r>
        <w:r w:rsidR="00B87BE0">
          <w:rPr>
            <w:noProof/>
            <w:webHidden/>
          </w:rPr>
        </w:r>
        <w:r w:rsidR="00B87BE0">
          <w:rPr>
            <w:noProof/>
            <w:webHidden/>
          </w:rPr>
          <w:fldChar w:fldCharType="separate"/>
        </w:r>
        <w:r w:rsidR="00B87BE0">
          <w:rPr>
            <w:noProof/>
            <w:webHidden/>
          </w:rPr>
          <w:t>19</w:t>
        </w:r>
        <w:r w:rsidR="00B87BE0">
          <w:rPr>
            <w:noProof/>
            <w:webHidden/>
          </w:rPr>
          <w:fldChar w:fldCharType="end"/>
        </w:r>
      </w:hyperlink>
    </w:p>
    <w:p w:rsidR="00B87BE0" w:rsidRDefault="00375E84">
      <w:pPr>
        <w:pStyle w:val="TOC2"/>
        <w:rPr>
          <w:rFonts w:eastAsiaTheme="minorEastAsia" w:cstheme="minorBidi"/>
          <w:noProof/>
          <w:szCs w:val="22"/>
        </w:rPr>
      </w:pPr>
      <w:hyperlink w:anchor="_Toc7535434" w:history="1">
        <w:r w:rsidR="00B87BE0" w:rsidRPr="001D6768">
          <w:rPr>
            <w:rStyle w:val="Hyperlink"/>
            <w:noProof/>
          </w:rPr>
          <w:t>8.10.</w:t>
        </w:r>
        <w:r w:rsidR="00B87BE0">
          <w:rPr>
            <w:rFonts w:eastAsiaTheme="minorEastAsia" w:cstheme="minorBidi"/>
            <w:noProof/>
            <w:szCs w:val="22"/>
          </w:rPr>
          <w:tab/>
        </w:r>
        <w:r w:rsidR="00B87BE0" w:rsidRPr="001D6768">
          <w:rPr>
            <w:rStyle w:val="Hyperlink"/>
            <w:noProof/>
          </w:rPr>
          <w:t>Търговия със собствени акции на Борсата</w:t>
        </w:r>
        <w:r w:rsidR="00B87BE0">
          <w:rPr>
            <w:noProof/>
            <w:webHidden/>
          </w:rPr>
          <w:tab/>
        </w:r>
        <w:r w:rsidR="00B87BE0">
          <w:rPr>
            <w:noProof/>
            <w:webHidden/>
          </w:rPr>
          <w:fldChar w:fldCharType="begin"/>
        </w:r>
        <w:r w:rsidR="00B87BE0">
          <w:rPr>
            <w:noProof/>
            <w:webHidden/>
          </w:rPr>
          <w:instrText xml:space="preserve"> PAGEREF _Toc7535434 \h </w:instrText>
        </w:r>
        <w:r w:rsidR="00B87BE0">
          <w:rPr>
            <w:noProof/>
            <w:webHidden/>
          </w:rPr>
        </w:r>
        <w:r w:rsidR="00B87BE0">
          <w:rPr>
            <w:noProof/>
            <w:webHidden/>
          </w:rPr>
          <w:fldChar w:fldCharType="separate"/>
        </w:r>
        <w:r w:rsidR="00B87BE0">
          <w:rPr>
            <w:noProof/>
            <w:webHidden/>
          </w:rPr>
          <w:t>21</w:t>
        </w:r>
        <w:r w:rsidR="00B87BE0">
          <w:rPr>
            <w:noProof/>
            <w:webHidden/>
          </w:rPr>
          <w:fldChar w:fldCharType="end"/>
        </w:r>
      </w:hyperlink>
    </w:p>
    <w:p w:rsidR="00B87BE0" w:rsidRDefault="00375E84">
      <w:pPr>
        <w:pStyle w:val="TOC2"/>
        <w:rPr>
          <w:rFonts w:eastAsiaTheme="minorEastAsia" w:cstheme="minorBidi"/>
          <w:noProof/>
          <w:szCs w:val="22"/>
        </w:rPr>
      </w:pPr>
      <w:hyperlink w:anchor="_Toc7535435" w:history="1">
        <w:r w:rsidR="00B87BE0" w:rsidRPr="001D6768">
          <w:rPr>
            <w:rStyle w:val="Hyperlink"/>
            <w:noProof/>
          </w:rPr>
          <w:t>8.11.</w:t>
        </w:r>
        <w:r w:rsidR="00B87BE0">
          <w:rPr>
            <w:rFonts w:eastAsiaTheme="minorEastAsia" w:cstheme="minorBidi"/>
            <w:noProof/>
            <w:szCs w:val="22"/>
          </w:rPr>
          <w:tab/>
        </w:r>
        <w:r w:rsidR="00B87BE0" w:rsidRPr="001D6768">
          <w:rPr>
            <w:rStyle w:val="Hyperlink"/>
            <w:noProof/>
          </w:rPr>
          <w:t>Индекс CGIX</w:t>
        </w:r>
        <w:r w:rsidR="00B87BE0">
          <w:rPr>
            <w:noProof/>
            <w:webHidden/>
          </w:rPr>
          <w:tab/>
        </w:r>
        <w:r w:rsidR="00B87BE0">
          <w:rPr>
            <w:noProof/>
            <w:webHidden/>
          </w:rPr>
          <w:fldChar w:fldCharType="begin"/>
        </w:r>
        <w:r w:rsidR="00B87BE0">
          <w:rPr>
            <w:noProof/>
            <w:webHidden/>
          </w:rPr>
          <w:instrText xml:space="preserve"> PAGEREF _Toc7535435 \h </w:instrText>
        </w:r>
        <w:r w:rsidR="00B87BE0">
          <w:rPr>
            <w:noProof/>
            <w:webHidden/>
          </w:rPr>
        </w:r>
        <w:r w:rsidR="00B87BE0">
          <w:rPr>
            <w:noProof/>
            <w:webHidden/>
          </w:rPr>
          <w:fldChar w:fldCharType="separate"/>
        </w:r>
        <w:r w:rsidR="00B87BE0">
          <w:rPr>
            <w:noProof/>
            <w:webHidden/>
          </w:rPr>
          <w:t>22</w:t>
        </w:r>
        <w:r w:rsidR="00B87BE0">
          <w:rPr>
            <w:noProof/>
            <w:webHidden/>
          </w:rPr>
          <w:fldChar w:fldCharType="end"/>
        </w:r>
      </w:hyperlink>
    </w:p>
    <w:p w:rsidR="00B87BE0" w:rsidRDefault="00375E84">
      <w:pPr>
        <w:pStyle w:val="TOC2"/>
        <w:rPr>
          <w:rFonts w:eastAsiaTheme="minorEastAsia" w:cstheme="minorBidi"/>
          <w:noProof/>
          <w:szCs w:val="22"/>
        </w:rPr>
      </w:pPr>
      <w:hyperlink w:anchor="_Toc7535436" w:history="1">
        <w:r w:rsidR="00B87BE0" w:rsidRPr="001D6768">
          <w:rPr>
            <w:rStyle w:val="Hyperlink"/>
            <w:noProof/>
          </w:rPr>
          <w:t>8.12.</w:t>
        </w:r>
        <w:r w:rsidR="00B87BE0">
          <w:rPr>
            <w:rFonts w:eastAsiaTheme="minorEastAsia" w:cstheme="minorBidi"/>
            <w:noProof/>
            <w:szCs w:val="22"/>
          </w:rPr>
          <w:tab/>
        </w:r>
        <w:r w:rsidR="00B87BE0" w:rsidRPr="001D6768">
          <w:rPr>
            <w:rStyle w:val="Hyperlink"/>
            <w:noProof/>
          </w:rPr>
          <w:t>Корпоративно управление</w:t>
        </w:r>
        <w:r w:rsidR="00B87BE0">
          <w:rPr>
            <w:noProof/>
            <w:webHidden/>
          </w:rPr>
          <w:tab/>
        </w:r>
        <w:r w:rsidR="00B87BE0">
          <w:rPr>
            <w:noProof/>
            <w:webHidden/>
          </w:rPr>
          <w:fldChar w:fldCharType="begin"/>
        </w:r>
        <w:r w:rsidR="00B87BE0">
          <w:rPr>
            <w:noProof/>
            <w:webHidden/>
          </w:rPr>
          <w:instrText xml:space="preserve"> PAGEREF _Toc7535436 \h </w:instrText>
        </w:r>
        <w:r w:rsidR="00B87BE0">
          <w:rPr>
            <w:noProof/>
            <w:webHidden/>
          </w:rPr>
        </w:r>
        <w:r w:rsidR="00B87BE0">
          <w:rPr>
            <w:noProof/>
            <w:webHidden/>
          </w:rPr>
          <w:fldChar w:fldCharType="separate"/>
        </w:r>
        <w:r w:rsidR="00B87BE0">
          <w:rPr>
            <w:noProof/>
            <w:webHidden/>
          </w:rPr>
          <w:t>22</w:t>
        </w:r>
        <w:r w:rsidR="00B87BE0">
          <w:rPr>
            <w:noProof/>
            <w:webHidden/>
          </w:rPr>
          <w:fldChar w:fldCharType="end"/>
        </w:r>
      </w:hyperlink>
    </w:p>
    <w:p w:rsidR="00B87BE0" w:rsidRDefault="00375E84">
      <w:pPr>
        <w:pStyle w:val="TOC1"/>
        <w:rPr>
          <w:rFonts w:eastAsiaTheme="minorEastAsia" w:cstheme="minorBidi"/>
          <w:noProof/>
          <w:szCs w:val="22"/>
        </w:rPr>
      </w:pPr>
      <w:hyperlink w:anchor="_Toc7535437" w:history="1">
        <w:r w:rsidR="00B87BE0" w:rsidRPr="001D6768">
          <w:rPr>
            <w:rStyle w:val="Hyperlink"/>
            <w:rFonts w:ascii="Calibri" w:hAnsi="Calibri" w:cs="Calibri"/>
            <w:noProof/>
          </w:rPr>
          <w:t>9.</w:t>
        </w:r>
        <w:r w:rsidR="00B87BE0">
          <w:rPr>
            <w:rFonts w:eastAsiaTheme="minorEastAsia" w:cstheme="minorBidi"/>
            <w:noProof/>
            <w:szCs w:val="22"/>
          </w:rPr>
          <w:tab/>
        </w:r>
        <w:r w:rsidR="00B87BE0" w:rsidRPr="001D6768">
          <w:rPr>
            <w:rStyle w:val="Hyperlink"/>
            <w:rFonts w:ascii="Calibri" w:hAnsi="Calibri" w:cs="Calibri"/>
            <w:noProof/>
          </w:rPr>
          <w:t>Информационни технологии</w:t>
        </w:r>
        <w:r w:rsidR="00B87BE0">
          <w:rPr>
            <w:noProof/>
            <w:webHidden/>
          </w:rPr>
          <w:tab/>
        </w:r>
        <w:r w:rsidR="00B87BE0">
          <w:rPr>
            <w:noProof/>
            <w:webHidden/>
          </w:rPr>
          <w:fldChar w:fldCharType="begin"/>
        </w:r>
        <w:r w:rsidR="00B87BE0">
          <w:rPr>
            <w:noProof/>
            <w:webHidden/>
          </w:rPr>
          <w:instrText xml:space="preserve"> PAGEREF _Toc7535437 \h </w:instrText>
        </w:r>
        <w:r w:rsidR="00B87BE0">
          <w:rPr>
            <w:noProof/>
            <w:webHidden/>
          </w:rPr>
        </w:r>
        <w:r w:rsidR="00B87BE0">
          <w:rPr>
            <w:noProof/>
            <w:webHidden/>
          </w:rPr>
          <w:fldChar w:fldCharType="separate"/>
        </w:r>
        <w:r w:rsidR="00B87BE0">
          <w:rPr>
            <w:noProof/>
            <w:webHidden/>
          </w:rPr>
          <w:t>23</w:t>
        </w:r>
        <w:r w:rsidR="00B87BE0">
          <w:rPr>
            <w:noProof/>
            <w:webHidden/>
          </w:rPr>
          <w:fldChar w:fldCharType="end"/>
        </w:r>
      </w:hyperlink>
    </w:p>
    <w:p w:rsidR="00B87BE0" w:rsidRDefault="00375E84">
      <w:pPr>
        <w:pStyle w:val="TOC2"/>
        <w:rPr>
          <w:rFonts w:eastAsiaTheme="minorEastAsia" w:cstheme="minorBidi"/>
          <w:noProof/>
          <w:szCs w:val="22"/>
        </w:rPr>
      </w:pPr>
      <w:hyperlink w:anchor="_Toc7535438" w:history="1">
        <w:r w:rsidR="00B87BE0" w:rsidRPr="001D6768">
          <w:rPr>
            <w:rStyle w:val="Hyperlink"/>
            <w:noProof/>
          </w:rPr>
          <w:t>9.1.</w:t>
        </w:r>
        <w:r w:rsidR="00B87BE0">
          <w:rPr>
            <w:rFonts w:eastAsiaTheme="minorEastAsia" w:cstheme="minorBidi"/>
            <w:noProof/>
            <w:szCs w:val="22"/>
          </w:rPr>
          <w:tab/>
        </w:r>
        <w:r w:rsidR="00B87BE0" w:rsidRPr="001D6768">
          <w:rPr>
            <w:rStyle w:val="Hyperlink"/>
            <w:noProof/>
          </w:rPr>
          <w:t>Информационни продукти</w:t>
        </w:r>
        <w:r w:rsidR="00B87BE0">
          <w:rPr>
            <w:noProof/>
            <w:webHidden/>
          </w:rPr>
          <w:tab/>
        </w:r>
        <w:r w:rsidR="00B87BE0">
          <w:rPr>
            <w:noProof/>
            <w:webHidden/>
          </w:rPr>
          <w:fldChar w:fldCharType="begin"/>
        </w:r>
        <w:r w:rsidR="00B87BE0">
          <w:rPr>
            <w:noProof/>
            <w:webHidden/>
          </w:rPr>
          <w:instrText xml:space="preserve"> PAGEREF _Toc7535438 \h </w:instrText>
        </w:r>
        <w:r w:rsidR="00B87BE0">
          <w:rPr>
            <w:noProof/>
            <w:webHidden/>
          </w:rPr>
        </w:r>
        <w:r w:rsidR="00B87BE0">
          <w:rPr>
            <w:noProof/>
            <w:webHidden/>
          </w:rPr>
          <w:fldChar w:fldCharType="separate"/>
        </w:r>
        <w:r w:rsidR="00B87BE0">
          <w:rPr>
            <w:noProof/>
            <w:webHidden/>
          </w:rPr>
          <w:t>23</w:t>
        </w:r>
        <w:r w:rsidR="00B87BE0">
          <w:rPr>
            <w:noProof/>
            <w:webHidden/>
          </w:rPr>
          <w:fldChar w:fldCharType="end"/>
        </w:r>
      </w:hyperlink>
    </w:p>
    <w:p w:rsidR="00B87BE0" w:rsidRDefault="00375E84">
      <w:pPr>
        <w:pStyle w:val="TOC2"/>
        <w:rPr>
          <w:rFonts w:eastAsiaTheme="minorEastAsia" w:cstheme="minorBidi"/>
          <w:noProof/>
          <w:szCs w:val="22"/>
        </w:rPr>
      </w:pPr>
      <w:hyperlink w:anchor="_Toc7535439" w:history="1">
        <w:r w:rsidR="00B87BE0" w:rsidRPr="001D6768">
          <w:rPr>
            <w:rStyle w:val="Hyperlink"/>
            <w:noProof/>
          </w:rPr>
          <w:t>9.2.</w:t>
        </w:r>
        <w:r w:rsidR="00B87BE0">
          <w:rPr>
            <w:rFonts w:eastAsiaTheme="minorEastAsia" w:cstheme="minorBidi"/>
            <w:noProof/>
            <w:szCs w:val="22"/>
          </w:rPr>
          <w:tab/>
        </w:r>
        <w:r w:rsidR="00B87BE0" w:rsidRPr="001D6768">
          <w:rPr>
            <w:rStyle w:val="Hyperlink"/>
            <w:noProof/>
          </w:rPr>
          <w:t>COBOS</w:t>
        </w:r>
        <w:r w:rsidR="00B87BE0">
          <w:rPr>
            <w:noProof/>
            <w:webHidden/>
          </w:rPr>
          <w:tab/>
        </w:r>
        <w:r w:rsidR="00B87BE0">
          <w:rPr>
            <w:noProof/>
            <w:webHidden/>
          </w:rPr>
          <w:fldChar w:fldCharType="begin"/>
        </w:r>
        <w:r w:rsidR="00B87BE0">
          <w:rPr>
            <w:noProof/>
            <w:webHidden/>
          </w:rPr>
          <w:instrText xml:space="preserve"> PAGEREF _Toc7535439 \h </w:instrText>
        </w:r>
        <w:r w:rsidR="00B87BE0">
          <w:rPr>
            <w:noProof/>
            <w:webHidden/>
          </w:rPr>
        </w:r>
        <w:r w:rsidR="00B87BE0">
          <w:rPr>
            <w:noProof/>
            <w:webHidden/>
          </w:rPr>
          <w:fldChar w:fldCharType="separate"/>
        </w:r>
        <w:r w:rsidR="00B87BE0">
          <w:rPr>
            <w:noProof/>
            <w:webHidden/>
          </w:rPr>
          <w:t>23</w:t>
        </w:r>
        <w:r w:rsidR="00B87BE0">
          <w:rPr>
            <w:noProof/>
            <w:webHidden/>
          </w:rPr>
          <w:fldChar w:fldCharType="end"/>
        </w:r>
      </w:hyperlink>
    </w:p>
    <w:p w:rsidR="00B87BE0" w:rsidRDefault="00375E84">
      <w:pPr>
        <w:pStyle w:val="TOC1"/>
        <w:rPr>
          <w:rFonts w:eastAsiaTheme="minorEastAsia" w:cstheme="minorBidi"/>
          <w:noProof/>
          <w:szCs w:val="22"/>
        </w:rPr>
      </w:pPr>
      <w:hyperlink w:anchor="_Toc7535440" w:history="1">
        <w:r w:rsidR="00B87BE0" w:rsidRPr="001D6768">
          <w:rPr>
            <w:rStyle w:val="Hyperlink"/>
            <w:rFonts w:ascii="Calibri" w:hAnsi="Calibri" w:cs="Calibri"/>
            <w:noProof/>
          </w:rPr>
          <w:t>10.</w:t>
        </w:r>
        <w:r w:rsidR="00B87BE0">
          <w:rPr>
            <w:rFonts w:eastAsiaTheme="minorEastAsia" w:cstheme="minorBidi"/>
            <w:noProof/>
            <w:szCs w:val="22"/>
          </w:rPr>
          <w:tab/>
        </w:r>
        <w:r w:rsidR="00B87BE0" w:rsidRPr="001D6768">
          <w:rPr>
            <w:rStyle w:val="Hyperlink"/>
            <w:rFonts w:ascii="Calibri" w:hAnsi="Calibri" w:cs="Calibri"/>
            <w:noProof/>
          </w:rPr>
          <w:t>Международна дейност</w:t>
        </w:r>
        <w:r w:rsidR="00B87BE0">
          <w:rPr>
            <w:noProof/>
            <w:webHidden/>
          </w:rPr>
          <w:tab/>
        </w:r>
        <w:r w:rsidR="00B87BE0">
          <w:rPr>
            <w:noProof/>
            <w:webHidden/>
          </w:rPr>
          <w:fldChar w:fldCharType="begin"/>
        </w:r>
        <w:r w:rsidR="00B87BE0">
          <w:rPr>
            <w:noProof/>
            <w:webHidden/>
          </w:rPr>
          <w:instrText xml:space="preserve"> PAGEREF _Toc7535440 \h </w:instrText>
        </w:r>
        <w:r w:rsidR="00B87BE0">
          <w:rPr>
            <w:noProof/>
            <w:webHidden/>
          </w:rPr>
        </w:r>
        <w:r w:rsidR="00B87BE0">
          <w:rPr>
            <w:noProof/>
            <w:webHidden/>
          </w:rPr>
          <w:fldChar w:fldCharType="separate"/>
        </w:r>
        <w:r w:rsidR="00B87BE0">
          <w:rPr>
            <w:noProof/>
            <w:webHidden/>
          </w:rPr>
          <w:t>23</w:t>
        </w:r>
        <w:r w:rsidR="00B87BE0">
          <w:rPr>
            <w:noProof/>
            <w:webHidden/>
          </w:rPr>
          <w:fldChar w:fldCharType="end"/>
        </w:r>
      </w:hyperlink>
    </w:p>
    <w:p w:rsidR="00B87BE0" w:rsidRDefault="00375E84">
      <w:pPr>
        <w:pStyle w:val="TOC1"/>
        <w:rPr>
          <w:rFonts w:eastAsiaTheme="minorEastAsia" w:cstheme="minorBidi"/>
          <w:noProof/>
          <w:szCs w:val="22"/>
        </w:rPr>
      </w:pPr>
      <w:hyperlink w:anchor="_Toc7535441" w:history="1">
        <w:r w:rsidR="00B87BE0" w:rsidRPr="001D6768">
          <w:rPr>
            <w:rStyle w:val="Hyperlink"/>
            <w:rFonts w:ascii="Calibri" w:hAnsi="Calibri" w:cs="Calibri"/>
            <w:noProof/>
          </w:rPr>
          <w:t>11.</w:t>
        </w:r>
        <w:r w:rsidR="00B87BE0">
          <w:rPr>
            <w:rFonts w:eastAsiaTheme="minorEastAsia" w:cstheme="minorBidi"/>
            <w:noProof/>
            <w:szCs w:val="22"/>
          </w:rPr>
          <w:tab/>
        </w:r>
        <w:r w:rsidR="00B87BE0" w:rsidRPr="001D6768">
          <w:rPr>
            <w:rStyle w:val="Hyperlink"/>
            <w:rFonts w:ascii="Calibri" w:hAnsi="Calibri" w:cs="Calibri"/>
            <w:noProof/>
          </w:rPr>
          <w:t>Основни рискове и несигурности, пред които е изправена „Българска фондова борса“ АД</w:t>
        </w:r>
        <w:r w:rsidR="00B87BE0">
          <w:rPr>
            <w:noProof/>
            <w:webHidden/>
          </w:rPr>
          <w:tab/>
        </w:r>
        <w:r w:rsidR="00B87BE0">
          <w:rPr>
            <w:noProof/>
            <w:webHidden/>
          </w:rPr>
          <w:fldChar w:fldCharType="begin"/>
        </w:r>
        <w:r w:rsidR="00B87BE0">
          <w:rPr>
            <w:noProof/>
            <w:webHidden/>
          </w:rPr>
          <w:instrText xml:space="preserve"> PAGEREF _Toc7535441 \h </w:instrText>
        </w:r>
        <w:r w:rsidR="00B87BE0">
          <w:rPr>
            <w:noProof/>
            <w:webHidden/>
          </w:rPr>
        </w:r>
        <w:r w:rsidR="00B87BE0">
          <w:rPr>
            <w:noProof/>
            <w:webHidden/>
          </w:rPr>
          <w:fldChar w:fldCharType="separate"/>
        </w:r>
        <w:r w:rsidR="00B87BE0">
          <w:rPr>
            <w:noProof/>
            <w:webHidden/>
          </w:rPr>
          <w:t>23</w:t>
        </w:r>
        <w:r w:rsidR="00B87BE0">
          <w:rPr>
            <w:noProof/>
            <w:webHidden/>
          </w:rPr>
          <w:fldChar w:fldCharType="end"/>
        </w:r>
      </w:hyperlink>
    </w:p>
    <w:p w:rsidR="00B87BE0" w:rsidRDefault="00375E84">
      <w:pPr>
        <w:pStyle w:val="TOC1"/>
        <w:rPr>
          <w:rFonts w:eastAsiaTheme="minorEastAsia" w:cstheme="minorBidi"/>
          <w:noProof/>
          <w:szCs w:val="22"/>
        </w:rPr>
      </w:pPr>
      <w:hyperlink w:anchor="_Toc7535442" w:history="1">
        <w:r w:rsidR="00B87BE0" w:rsidRPr="001D6768">
          <w:rPr>
            <w:rStyle w:val="Hyperlink"/>
            <w:rFonts w:ascii="Calibri" w:hAnsi="Calibri" w:cs="Calibri"/>
            <w:noProof/>
          </w:rPr>
          <w:t>12.</w:t>
        </w:r>
        <w:r w:rsidR="00B87BE0">
          <w:rPr>
            <w:rFonts w:eastAsiaTheme="minorEastAsia" w:cstheme="minorBidi"/>
            <w:noProof/>
            <w:szCs w:val="22"/>
          </w:rPr>
          <w:tab/>
        </w:r>
        <w:r w:rsidR="00B87BE0" w:rsidRPr="001D6768">
          <w:rPr>
            <w:rStyle w:val="Hyperlink"/>
            <w:rFonts w:ascii="Calibri" w:hAnsi="Calibri" w:cs="Calibri"/>
            <w:noProof/>
          </w:rPr>
          <w:t>Акционерна структура на Българска фондова борса</w:t>
        </w:r>
        <w:r w:rsidR="00B87BE0">
          <w:rPr>
            <w:noProof/>
            <w:webHidden/>
          </w:rPr>
          <w:tab/>
        </w:r>
        <w:r w:rsidR="00B87BE0">
          <w:rPr>
            <w:noProof/>
            <w:webHidden/>
          </w:rPr>
          <w:fldChar w:fldCharType="begin"/>
        </w:r>
        <w:r w:rsidR="00B87BE0">
          <w:rPr>
            <w:noProof/>
            <w:webHidden/>
          </w:rPr>
          <w:instrText xml:space="preserve"> PAGEREF _Toc7535442 \h </w:instrText>
        </w:r>
        <w:r w:rsidR="00B87BE0">
          <w:rPr>
            <w:noProof/>
            <w:webHidden/>
          </w:rPr>
        </w:r>
        <w:r w:rsidR="00B87BE0">
          <w:rPr>
            <w:noProof/>
            <w:webHidden/>
          </w:rPr>
          <w:fldChar w:fldCharType="separate"/>
        </w:r>
        <w:r w:rsidR="00B87BE0">
          <w:rPr>
            <w:noProof/>
            <w:webHidden/>
          </w:rPr>
          <w:t>26</w:t>
        </w:r>
        <w:r w:rsidR="00B87BE0">
          <w:rPr>
            <w:noProof/>
            <w:webHidden/>
          </w:rPr>
          <w:fldChar w:fldCharType="end"/>
        </w:r>
      </w:hyperlink>
    </w:p>
    <w:p w:rsidR="00B87BE0" w:rsidRDefault="00375E84">
      <w:pPr>
        <w:pStyle w:val="TOC1"/>
        <w:rPr>
          <w:rFonts w:eastAsiaTheme="minorEastAsia" w:cstheme="minorBidi"/>
          <w:noProof/>
          <w:szCs w:val="22"/>
        </w:rPr>
      </w:pPr>
      <w:hyperlink w:anchor="_Toc7535443" w:history="1">
        <w:r w:rsidR="00B87BE0" w:rsidRPr="001D6768">
          <w:rPr>
            <w:rStyle w:val="Hyperlink"/>
            <w:rFonts w:ascii="Calibri" w:hAnsi="Calibri" w:cs="Calibri"/>
            <w:noProof/>
          </w:rPr>
          <w:t>13.</w:t>
        </w:r>
        <w:r w:rsidR="00B87BE0">
          <w:rPr>
            <w:rFonts w:eastAsiaTheme="minorEastAsia" w:cstheme="minorBidi"/>
            <w:noProof/>
            <w:szCs w:val="22"/>
          </w:rPr>
          <w:tab/>
        </w:r>
        <w:r w:rsidR="00B87BE0" w:rsidRPr="001D6768">
          <w:rPr>
            <w:rStyle w:val="Hyperlink"/>
            <w:rFonts w:ascii="Calibri" w:hAnsi="Calibri" w:cs="Calibri"/>
            <w:noProof/>
          </w:rPr>
          <w:t>Членове на Българска фондова борса</w:t>
        </w:r>
        <w:r w:rsidR="00B87BE0">
          <w:rPr>
            <w:noProof/>
            <w:webHidden/>
          </w:rPr>
          <w:tab/>
        </w:r>
        <w:r w:rsidR="00B87BE0">
          <w:rPr>
            <w:noProof/>
            <w:webHidden/>
          </w:rPr>
          <w:fldChar w:fldCharType="begin"/>
        </w:r>
        <w:r w:rsidR="00B87BE0">
          <w:rPr>
            <w:noProof/>
            <w:webHidden/>
          </w:rPr>
          <w:instrText xml:space="preserve"> PAGEREF _Toc7535443 \h </w:instrText>
        </w:r>
        <w:r w:rsidR="00B87BE0">
          <w:rPr>
            <w:noProof/>
            <w:webHidden/>
          </w:rPr>
        </w:r>
        <w:r w:rsidR="00B87BE0">
          <w:rPr>
            <w:noProof/>
            <w:webHidden/>
          </w:rPr>
          <w:fldChar w:fldCharType="separate"/>
        </w:r>
        <w:r w:rsidR="00B87BE0">
          <w:rPr>
            <w:noProof/>
            <w:webHidden/>
          </w:rPr>
          <w:t>27</w:t>
        </w:r>
        <w:r w:rsidR="00B87BE0">
          <w:rPr>
            <w:noProof/>
            <w:webHidden/>
          </w:rPr>
          <w:fldChar w:fldCharType="end"/>
        </w:r>
      </w:hyperlink>
    </w:p>
    <w:p w:rsidR="00B87BE0" w:rsidRDefault="00375E84">
      <w:pPr>
        <w:pStyle w:val="TOC1"/>
        <w:rPr>
          <w:rFonts w:eastAsiaTheme="minorEastAsia" w:cstheme="minorBidi"/>
          <w:noProof/>
          <w:szCs w:val="22"/>
        </w:rPr>
      </w:pPr>
      <w:hyperlink w:anchor="_Toc7535444" w:history="1">
        <w:r w:rsidR="00B87BE0" w:rsidRPr="001D6768">
          <w:rPr>
            <w:rStyle w:val="Hyperlink"/>
            <w:rFonts w:ascii="Calibri" w:hAnsi="Calibri" w:cs="Calibri"/>
            <w:noProof/>
          </w:rPr>
          <w:t>14.</w:t>
        </w:r>
        <w:r w:rsidR="00B87BE0">
          <w:rPr>
            <w:rFonts w:eastAsiaTheme="minorEastAsia" w:cstheme="minorBidi"/>
            <w:noProof/>
            <w:szCs w:val="22"/>
          </w:rPr>
          <w:tab/>
        </w:r>
        <w:r w:rsidR="00B87BE0" w:rsidRPr="001D6768">
          <w:rPr>
            <w:rStyle w:val="Hyperlink"/>
            <w:rFonts w:ascii="Calibri" w:hAnsi="Calibri" w:cs="Calibri"/>
            <w:noProof/>
          </w:rPr>
          <w:t>Финансово състояние на Българска фондова борса</w:t>
        </w:r>
        <w:r w:rsidR="00B87BE0">
          <w:rPr>
            <w:noProof/>
            <w:webHidden/>
          </w:rPr>
          <w:tab/>
        </w:r>
        <w:r w:rsidR="00B87BE0">
          <w:rPr>
            <w:noProof/>
            <w:webHidden/>
          </w:rPr>
          <w:fldChar w:fldCharType="begin"/>
        </w:r>
        <w:r w:rsidR="00B87BE0">
          <w:rPr>
            <w:noProof/>
            <w:webHidden/>
          </w:rPr>
          <w:instrText xml:space="preserve"> PAGEREF _Toc7535444 \h </w:instrText>
        </w:r>
        <w:r w:rsidR="00B87BE0">
          <w:rPr>
            <w:noProof/>
            <w:webHidden/>
          </w:rPr>
        </w:r>
        <w:r w:rsidR="00B87BE0">
          <w:rPr>
            <w:noProof/>
            <w:webHidden/>
          </w:rPr>
          <w:fldChar w:fldCharType="separate"/>
        </w:r>
        <w:r w:rsidR="00B87BE0">
          <w:rPr>
            <w:noProof/>
            <w:webHidden/>
          </w:rPr>
          <w:t>28</w:t>
        </w:r>
        <w:r w:rsidR="00B87BE0">
          <w:rPr>
            <w:noProof/>
            <w:webHidden/>
          </w:rPr>
          <w:fldChar w:fldCharType="end"/>
        </w:r>
      </w:hyperlink>
    </w:p>
    <w:p w:rsidR="00B87BE0" w:rsidRDefault="00375E84">
      <w:pPr>
        <w:pStyle w:val="TOC2"/>
        <w:rPr>
          <w:rFonts w:eastAsiaTheme="minorEastAsia" w:cstheme="minorBidi"/>
          <w:noProof/>
          <w:szCs w:val="22"/>
        </w:rPr>
      </w:pPr>
      <w:hyperlink w:anchor="_Toc7535445" w:history="1">
        <w:r w:rsidR="00B87BE0" w:rsidRPr="001D6768">
          <w:rPr>
            <w:rStyle w:val="Hyperlink"/>
            <w:noProof/>
          </w:rPr>
          <w:t>14.1.</w:t>
        </w:r>
        <w:r w:rsidR="00B87BE0">
          <w:rPr>
            <w:rFonts w:eastAsiaTheme="minorEastAsia" w:cstheme="minorBidi"/>
            <w:noProof/>
            <w:szCs w:val="22"/>
          </w:rPr>
          <w:tab/>
        </w:r>
        <w:r w:rsidR="00B87BE0" w:rsidRPr="001D6768">
          <w:rPr>
            <w:rStyle w:val="Hyperlink"/>
            <w:noProof/>
          </w:rPr>
          <w:t>Активи/пасиви</w:t>
        </w:r>
        <w:r w:rsidR="00B87BE0">
          <w:rPr>
            <w:noProof/>
            <w:webHidden/>
          </w:rPr>
          <w:tab/>
        </w:r>
        <w:r w:rsidR="00B87BE0">
          <w:rPr>
            <w:noProof/>
            <w:webHidden/>
          </w:rPr>
          <w:fldChar w:fldCharType="begin"/>
        </w:r>
        <w:r w:rsidR="00B87BE0">
          <w:rPr>
            <w:noProof/>
            <w:webHidden/>
          </w:rPr>
          <w:instrText xml:space="preserve"> PAGEREF _Toc7535445 \h </w:instrText>
        </w:r>
        <w:r w:rsidR="00B87BE0">
          <w:rPr>
            <w:noProof/>
            <w:webHidden/>
          </w:rPr>
        </w:r>
        <w:r w:rsidR="00B87BE0">
          <w:rPr>
            <w:noProof/>
            <w:webHidden/>
          </w:rPr>
          <w:fldChar w:fldCharType="separate"/>
        </w:r>
        <w:r w:rsidR="00B87BE0">
          <w:rPr>
            <w:noProof/>
            <w:webHidden/>
          </w:rPr>
          <w:t>28</w:t>
        </w:r>
        <w:r w:rsidR="00B87BE0">
          <w:rPr>
            <w:noProof/>
            <w:webHidden/>
          </w:rPr>
          <w:fldChar w:fldCharType="end"/>
        </w:r>
      </w:hyperlink>
    </w:p>
    <w:p w:rsidR="00B87BE0" w:rsidRDefault="00375E84">
      <w:pPr>
        <w:pStyle w:val="TOC2"/>
        <w:rPr>
          <w:rFonts w:eastAsiaTheme="minorEastAsia" w:cstheme="minorBidi"/>
          <w:noProof/>
          <w:szCs w:val="22"/>
        </w:rPr>
      </w:pPr>
      <w:hyperlink w:anchor="_Toc7535446" w:history="1">
        <w:r w:rsidR="00B87BE0" w:rsidRPr="001D6768">
          <w:rPr>
            <w:rStyle w:val="Hyperlink"/>
            <w:noProof/>
          </w:rPr>
          <w:t>14.2.</w:t>
        </w:r>
        <w:r w:rsidR="00B87BE0">
          <w:rPr>
            <w:rFonts w:eastAsiaTheme="minorEastAsia" w:cstheme="minorBidi"/>
            <w:noProof/>
            <w:szCs w:val="22"/>
          </w:rPr>
          <w:tab/>
        </w:r>
        <w:r w:rsidR="00B87BE0" w:rsidRPr="001D6768">
          <w:rPr>
            <w:rStyle w:val="Hyperlink"/>
            <w:noProof/>
          </w:rPr>
          <w:t>Приходи/разходи</w:t>
        </w:r>
        <w:r w:rsidR="00B87BE0">
          <w:rPr>
            <w:noProof/>
            <w:webHidden/>
          </w:rPr>
          <w:tab/>
        </w:r>
        <w:r w:rsidR="00B87BE0">
          <w:rPr>
            <w:noProof/>
            <w:webHidden/>
          </w:rPr>
          <w:fldChar w:fldCharType="begin"/>
        </w:r>
        <w:r w:rsidR="00B87BE0">
          <w:rPr>
            <w:noProof/>
            <w:webHidden/>
          </w:rPr>
          <w:instrText xml:space="preserve"> PAGEREF _Toc7535446 \h </w:instrText>
        </w:r>
        <w:r w:rsidR="00B87BE0">
          <w:rPr>
            <w:noProof/>
            <w:webHidden/>
          </w:rPr>
        </w:r>
        <w:r w:rsidR="00B87BE0">
          <w:rPr>
            <w:noProof/>
            <w:webHidden/>
          </w:rPr>
          <w:fldChar w:fldCharType="separate"/>
        </w:r>
        <w:r w:rsidR="00B87BE0">
          <w:rPr>
            <w:noProof/>
            <w:webHidden/>
          </w:rPr>
          <w:t>28</w:t>
        </w:r>
        <w:r w:rsidR="00B87BE0">
          <w:rPr>
            <w:noProof/>
            <w:webHidden/>
          </w:rPr>
          <w:fldChar w:fldCharType="end"/>
        </w:r>
      </w:hyperlink>
    </w:p>
    <w:p w:rsidR="00B87BE0" w:rsidRDefault="00375E84">
      <w:pPr>
        <w:pStyle w:val="TOC2"/>
        <w:rPr>
          <w:rFonts w:eastAsiaTheme="minorEastAsia" w:cstheme="minorBidi"/>
          <w:noProof/>
          <w:szCs w:val="22"/>
        </w:rPr>
      </w:pPr>
      <w:hyperlink w:anchor="_Toc7535447" w:history="1">
        <w:r w:rsidR="00B87BE0" w:rsidRPr="001D6768">
          <w:rPr>
            <w:rStyle w:val="Hyperlink"/>
            <w:noProof/>
          </w:rPr>
          <w:t>14.3.</w:t>
        </w:r>
        <w:r w:rsidR="00B87BE0">
          <w:rPr>
            <w:rFonts w:eastAsiaTheme="minorEastAsia" w:cstheme="minorBidi"/>
            <w:noProof/>
            <w:szCs w:val="22"/>
          </w:rPr>
          <w:tab/>
        </w:r>
        <w:r w:rsidR="00B87BE0" w:rsidRPr="001D6768">
          <w:rPr>
            <w:rStyle w:val="Hyperlink"/>
            <w:noProof/>
          </w:rPr>
          <w:t>Финансов резултат</w:t>
        </w:r>
        <w:r w:rsidR="00B87BE0">
          <w:rPr>
            <w:noProof/>
            <w:webHidden/>
          </w:rPr>
          <w:tab/>
        </w:r>
        <w:r w:rsidR="00B87BE0">
          <w:rPr>
            <w:noProof/>
            <w:webHidden/>
          </w:rPr>
          <w:fldChar w:fldCharType="begin"/>
        </w:r>
        <w:r w:rsidR="00B87BE0">
          <w:rPr>
            <w:noProof/>
            <w:webHidden/>
          </w:rPr>
          <w:instrText xml:space="preserve"> PAGEREF _Toc7535447 \h </w:instrText>
        </w:r>
        <w:r w:rsidR="00B87BE0">
          <w:rPr>
            <w:noProof/>
            <w:webHidden/>
          </w:rPr>
        </w:r>
        <w:r w:rsidR="00B87BE0">
          <w:rPr>
            <w:noProof/>
            <w:webHidden/>
          </w:rPr>
          <w:fldChar w:fldCharType="separate"/>
        </w:r>
        <w:r w:rsidR="00B87BE0">
          <w:rPr>
            <w:noProof/>
            <w:webHidden/>
          </w:rPr>
          <w:t>28</w:t>
        </w:r>
        <w:r w:rsidR="00B87BE0">
          <w:rPr>
            <w:noProof/>
            <w:webHidden/>
          </w:rPr>
          <w:fldChar w:fldCharType="end"/>
        </w:r>
      </w:hyperlink>
    </w:p>
    <w:p w:rsidR="00B87BE0" w:rsidRDefault="00375E84">
      <w:pPr>
        <w:pStyle w:val="TOC2"/>
        <w:rPr>
          <w:rFonts w:eastAsiaTheme="minorEastAsia" w:cstheme="minorBidi"/>
          <w:noProof/>
          <w:szCs w:val="22"/>
        </w:rPr>
      </w:pPr>
      <w:hyperlink w:anchor="_Toc7535448" w:history="1">
        <w:r w:rsidR="00B87BE0" w:rsidRPr="001D6768">
          <w:rPr>
            <w:rStyle w:val="Hyperlink"/>
            <w:noProof/>
          </w:rPr>
          <w:t>14.4.</w:t>
        </w:r>
        <w:r w:rsidR="00B87BE0">
          <w:rPr>
            <w:rFonts w:eastAsiaTheme="minorEastAsia" w:cstheme="minorBidi"/>
            <w:noProof/>
            <w:szCs w:val="22"/>
          </w:rPr>
          <w:tab/>
        </w:r>
        <w:r w:rsidR="00B87BE0" w:rsidRPr="001D6768">
          <w:rPr>
            <w:rStyle w:val="Hyperlink"/>
            <w:noProof/>
          </w:rPr>
          <w:t>Сделки със свързани лица</w:t>
        </w:r>
        <w:r w:rsidR="00B87BE0">
          <w:rPr>
            <w:noProof/>
            <w:webHidden/>
          </w:rPr>
          <w:tab/>
        </w:r>
        <w:r w:rsidR="00B87BE0">
          <w:rPr>
            <w:noProof/>
            <w:webHidden/>
          </w:rPr>
          <w:fldChar w:fldCharType="begin"/>
        </w:r>
        <w:r w:rsidR="00B87BE0">
          <w:rPr>
            <w:noProof/>
            <w:webHidden/>
          </w:rPr>
          <w:instrText xml:space="preserve"> PAGEREF _Toc7535448 \h </w:instrText>
        </w:r>
        <w:r w:rsidR="00B87BE0">
          <w:rPr>
            <w:noProof/>
            <w:webHidden/>
          </w:rPr>
        </w:r>
        <w:r w:rsidR="00B87BE0">
          <w:rPr>
            <w:noProof/>
            <w:webHidden/>
          </w:rPr>
          <w:fldChar w:fldCharType="separate"/>
        </w:r>
        <w:r w:rsidR="00B87BE0">
          <w:rPr>
            <w:noProof/>
            <w:webHidden/>
          </w:rPr>
          <w:t>29</w:t>
        </w:r>
        <w:r w:rsidR="00B87BE0">
          <w:rPr>
            <w:noProof/>
            <w:webHidden/>
          </w:rPr>
          <w:fldChar w:fldCharType="end"/>
        </w:r>
      </w:hyperlink>
    </w:p>
    <w:p w:rsidR="00B87BE0" w:rsidRDefault="00375E84">
      <w:pPr>
        <w:pStyle w:val="TOC2"/>
        <w:rPr>
          <w:rFonts w:eastAsiaTheme="minorEastAsia" w:cstheme="minorBidi"/>
          <w:noProof/>
          <w:szCs w:val="22"/>
        </w:rPr>
      </w:pPr>
      <w:hyperlink w:anchor="_Toc7535449" w:history="1">
        <w:r w:rsidR="00B87BE0" w:rsidRPr="001D6768">
          <w:rPr>
            <w:rStyle w:val="Hyperlink"/>
            <w:noProof/>
          </w:rPr>
          <w:t>14.5.</w:t>
        </w:r>
        <w:r w:rsidR="00B87BE0">
          <w:rPr>
            <w:rFonts w:eastAsiaTheme="minorEastAsia" w:cstheme="minorBidi"/>
            <w:noProof/>
            <w:szCs w:val="22"/>
          </w:rPr>
          <w:tab/>
        </w:r>
        <w:r w:rsidR="00B87BE0" w:rsidRPr="001D6768">
          <w:rPr>
            <w:rStyle w:val="Hyperlink"/>
            <w:noProof/>
          </w:rPr>
          <w:t>Основен доход на акция</w:t>
        </w:r>
        <w:r w:rsidR="00B87BE0">
          <w:rPr>
            <w:noProof/>
            <w:webHidden/>
          </w:rPr>
          <w:tab/>
        </w:r>
        <w:r w:rsidR="00B87BE0">
          <w:rPr>
            <w:noProof/>
            <w:webHidden/>
          </w:rPr>
          <w:fldChar w:fldCharType="begin"/>
        </w:r>
        <w:r w:rsidR="00B87BE0">
          <w:rPr>
            <w:noProof/>
            <w:webHidden/>
          </w:rPr>
          <w:instrText xml:space="preserve"> PAGEREF _Toc7535449 \h </w:instrText>
        </w:r>
        <w:r w:rsidR="00B87BE0">
          <w:rPr>
            <w:noProof/>
            <w:webHidden/>
          </w:rPr>
        </w:r>
        <w:r w:rsidR="00B87BE0">
          <w:rPr>
            <w:noProof/>
            <w:webHidden/>
          </w:rPr>
          <w:fldChar w:fldCharType="separate"/>
        </w:r>
        <w:r w:rsidR="00B87BE0">
          <w:rPr>
            <w:noProof/>
            <w:webHidden/>
          </w:rPr>
          <w:t>29</w:t>
        </w:r>
        <w:r w:rsidR="00B87BE0">
          <w:rPr>
            <w:noProof/>
            <w:webHidden/>
          </w:rPr>
          <w:fldChar w:fldCharType="end"/>
        </w:r>
      </w:hyperlink>
    </w:p>
    <w:p w:rsidR="00745FEF" w:rsidRPr="00AC6A82" w:rsidRDefault="007465D5" w:rsidP="004837D9">
      <w:pPr>
        <w:spacing w:line="240" w:lineRule="auto"/>
        <w:rPr>
          <w:rFonts w:ascii="Calibri" w:hAnsi="Calibri" w:cs="Calibri"/>
        </w:rPr>
      </w:pPr>
      <w:r w:rsidRPr="00AC6A82">
        <w:rPr>
          <w:rFonts w:ascii="Calibri" w:hAnsi="Calibri" w:cs="Calibri"/>
        </w:rPr>
        <w:fldChar w:fldCharType="end"/>
      </w:r>
      <w:r w:rsidR="00843499" w:rsidRPr="00AC6A82">
        <w:rPr>
          <w:rFonts w:ascii="Calibri" w:hAnsi="Calibri" w:cs="Calibri"/>
        </w:rPr>
        <w:br w:type="page"/>
      </w:r>
    </w:p>
    <w:p w:rsidR="00E00E9E" w:rsidRPr="00AC6A82" w:rsidRDefault="00E00E9E" w:rsidP="001A50AB">
      <w:pPr>
        <w:pStyle w:val="Mainnumbers"/>
        <w:rPr>
          <w:rFonts w:ascii="Calibri" w:hAnsi="Calibri" w:cs="Calibri"/>
        </w:rPr>
      </w:pPr>
      <w:bookmarkStart w:id="1" w:name="_Toc283112098"/>
      <w:bookmarkStart w:id="2" w:name="_Toc7535413"/>
      <w:r w:rsidRPr="00AC6A82">
        <w:rPr>
          <w:rFonts w:ascii="Calibri" w:hAnsi="Calibri" w:cs="Calibri"/>
        </w:rPr>
        <w:t>Въведение</w:t>
      </w:r>
      <w:bookmarkEnd w:id="1"/>
      <w:bookmarkEnd w:id="2"/>
    </w:p>
    <w:p w:rsidR="0015471C" w:rsidRPr="00AC6A82" w:rsidRDefault="0015471C" w:rsidP="001A50AB">
      <w:pPr>
        <w:rPr>
          <w:rFonts w:ascii="Calibri" w:hAnsi="Calibri" w:cs="Calibri"/>
        </w:rPr>
      </w:pPr>
      <w:r w:rsidRPr="00AC6A82">
        <w:rPr>
          <w:rFonts w:ascii="Calibri" w:hAnsi="Calibri" w:cs="Calibri"/>
        </w:rPr>
        <w:t xml:space="preserve">Настоящият доклад е изготвен съгласно изискванията на чл. </w:t>
      </w:r>
      <w:r w:rsidR="00395238" w:rsidRPr="00AC6A82">
        <w:rPr>
          <w:rFonts w:ascii="Calibri" w:hAnsi="Calibri" w:cs="Calibri"/>
        </w:rPr>
        <w:t>100о</w:t>
      </w:r>
      <w:r w:rsidRPr="00AC6A82">
        <w:rPr>
          <w:rFonts w:ascii="Calibri" w:hAnsi="Calibri" w:cs="Calibri"/>
        </w:rPr>
        <w:t xml:space="preserve"> от </w:t>
      </w:r>
      <w:r w:rsidR="00395238" w:rsidRPr="00AC6A82">
        <w:rPr>
          <w:rFonts w:ascii="Calibri" w:hAnsi="Calibri" w:cs="Calibri"/>
        </w:rPr>
        <w:t>Закона за публичното предлагане на ценни книжа</w:t>
      </w:r>
      <w:r w:rsidRPr="00AC6A82">
        <w:rPr>
          <w:rFonts w:ascii="Calibri" w:hAnsi="Calibri" w:cs="Calibri"/>
        </w:rPr>
        <w:t xml:space="preserve"> и съдържа данни за дейността на </w:t>
      </w:r>
      <w:r w:rsidR="001A50AB" w:rsidRPr="00AC6A82">
        <w:rPr>
          <w:rFonts w:ascii="Calibri" w:hAnsi="Calibri" w:cs="Calibri"/>
        </w:rPr>
        <w:t>„</w:t>
      </w:r>
      <w:r w:rsidR="00636F5A" w:rsidRPr="00AC6A82">
        <w:rPr>
          <w:rFonts w:ascii="Calibri" w:hAnsi="Calibri" w:cs="Calibri"/>
        </w:rPr>
        <w:t>Българска фондова борса</w:t>
      </w:r>
      <w:r w:rsidR="001A50AB" w:rsidRPr="00AC6A82">
        <w:rPr>
          <w:rFonts w:ascii="Calibri" w:hAnsi="Calibri" w:cs="Calibri"/>
        </w:rPr>
        <w:t xml:space="preserve">“ АД </w:t>
      </w:r>
      <w:r w:rsidRPr="00AC6A82">
        <w:rPr>
          <w:rFonts w:ascii="Calibri" w:hAnsi="Calibri" w:cs="Calibri"/>
        </w:rPr>
        <w:t>(</w:t>
      </w:r>
      <w:r w:rsidR="001A50AB" w:rsidRPr="00AC6A82">
        <w:rPr>
          <w:rFonts w:ascii="Calibri" w:hAnsi="Calibri" w:cs="Calibri"/>
        </w:rPr>
        <w:t xml:space="preserve">БФБ, </w:t>
      </w:r>
      <w:r w:rsidRPr="00AC6A82">
        <w:rPr>
          <w:rFonts w:ascii="Calibri" w:hAnsi="Calibri" w:cs="Calibri"/>
        </w:rPr>
        <w:t xml:space="preserve">Борсата), за акционерния състав и членовете й, както и финансов отчет за </w:t>
      </w:r>
      <w:r w:rsidR="00A615FE" w:rsidRPr="00AC6A82">
        <w:rPr>
          <w:rFonts w:ascii="Calibri" w:hAnsi="Calibri" w:cs="Calibri"/>
        </w:rPr>
        <w:t xml:space="preserve">първото </w:t>
      </w:r>
      <w:r w:rsidR="00C1730A" w:rsidRPr="00AC6A82">
        <w:rPr>
          <w:rFonts w:ascii="Calibri" w:hAnsi="Calibri" w:cs="Calibri"/>
        </w:rPr>
        <w:t>три</w:t>
      </w:r>
      <w:r w:rsidR="00395238" w:rsidRPr="00AC6A82">
        <w:rPr>
          <w:rFonts w:ascii="Calibri" w:hAnsi="Calibri" w:cs="Calibri"/>
        </w:rPr>
        <w:t>месечие</w:t>
      </w:r>
      <w:r w:rsidRPr="00AC6A82">
        <w:rPr>
          <w:rFonts w:ascii="Calibri" w:hAnsi="Calibri" w:cs="Calibri"/>
        </w:rPr>
        <w:t xml:space="preserve"> на 201</w:t>
      </w:r>
      <w:r w:rsidR="00A615FE" w:rsidRPr="00AC6A82">
        <w:rPr>
          <w:rFonts w:ascii="Calibri" w:hAnsi="Calibri" w:cs="Calibri"/>
        </w:rPr>
        <w:t>9</w:t>
      </w:r>
      <w:r w:rsidRPr="00AC6A82">
        <w:rPr>
          <w:rFonts w:ascii="Calibri" w:hAnsi="Calibri" w:cs="Calibri"/>
        </w:rPr>
        <w:t xml:space="preserve"> г.</w:t>
      </w:r>
    </w:p>
    <w:p w:rsidR="0099025F" w:rsidRPr="00AC6A82" w:rsidRDefault="0015471C" w:rsidP="001A50AB">
      <w:pPr>
        <w:rPr>
          <w:rFonts w:ascii="Calibri" w:hAnsi="Calibri" w:cs="Calibri"/>
        </w:rPr>
      </w:pPr>
      <w:r w:rsidRPr="00AC6A82">
        <w:rPr>
          <w:rFonts w:ascii="Calibri" w:hAnsi="Calibri" w:cs="Calibri"/>
        </w:rPr>
        <w:t xml:space="preserve">Докладът дава информация за важните събития, настъпили през </w:t>
      </w:r>
      <w:r w:rsidR="00A615FE" w:rsidRPr="00AC6A82">
        <w:rPr>
          <w:rFonts w:ascii="Calibri" w:hAnsi="Calibri" w:cs="Calibri"/>
        </w:rPr>
        <w:t>първото</w:t>
      </w:r>
      <w:r w:rsidR="00F740E7" w:rsidRPr="00AC6A82">
        <w:rPr>
          <w:rFonts w:ascii="Calibri" w:hAnsi="Calibri" w:cs="Calibri"/>
        </w:rPr>
        <w:t xml:space="preserve"> </w:t>
      </w:r>
      <w:r w:rsidR="003F4A98" w:rsidRPr="00AC6A82">
        <w:rPr>
          <w:rFonts w:ascii="Calibri" w:hAnsi="Calibri" w:cs="Calibri"/>
        </w:rPr>
        <w:t>три</w:t>
      </w:r>
      <w:r w:rsidR="00395238" w:rsidRPr="00AC6A82">
        <w:rPr>
          <w:rFonts w:ascii="Calibri" w:hAnsi="Calibri" w:cs="Calibri"/>
        </w:rPr>
        <w:t>месечие</w:t>
      </w:r>
      <w:r w:rsidRPr="00AC6A82">
        <w:rPr>
          <w:rFonts w:ascii="Calibri" w:hAnsi="Calibri" w:cs="Calibri"/>
        </w:rPr>
        <w:t xml:space="preserve"> на 201</w:t>
      </w:r>
      <w:r w:rsidR="00A615FE" w:rsidRPr="00AC6A82">
        <w:rPr>
          <w:rFonts w:ascii="Calibri" w:hAnsi="Calibri" w:cs="Calibri"/>
        </w:rPr>
        <w:t>9</w:t>
      </w:r>
      <w:r w:rsidRPr="00AC6A82">
        <w:rPr>
          <w:rFonts w:ascii="Calibri" w:hAnsi="Calibri" w:cs="Calibri"/>
        </w:rPr>
        <w:t xml:space="preserve"> г</w:t>
      </w:r>
      <w:r w:rsidR="00954D04" w:rsidRPr="00AC6A82">
        <w:rPr>
          <w:rFonts w:ascii="Calibri" w:hAnsi="Calibri" w:cs="Calibri"/>
        </w:rPr>
        <w:t>.</w:t>
      </w:r>
      <w:r w:rsidRPr="00AC6A82">
        <w:rPr>
          <w:rFonts w:ascii="Calibri" w:hAnsi="Calibri" w:cs="Calibri"/>
        </w:rPr>
        <w:t>, като са взети под внимание основните показатели на дейността, съпроводени със съответните анализи и изводи. Очертани са основните тенденции в развитието на капиталовия пазар, описани са основните рискове и несигурности, пред които е изправена Борсата.</w:t>
      </w:r>
    </w:p>
    <w:p w:rsidR="00355B33" w:rsidRPr="00AC6A82" w:rsidRDefault="00A916CF" w:rsidP="001A50AB">
      <w:pPr>
        <w:pStyle w:val="Mainnumbers"/>
        <w:spacing w:before="0"/>
        <w:rPr>
          <w:rFonts w:ascii="Calibri" w:hAnsi="Calibri" w:cs="Calibri"/>
        </w:rPr>
      </w:pPr>
      <w:r w:rsidRPr="00AC6A82">
        <w:rPr>
          <w:rFonts w:ascii="Calibri" w:hAnsi="Calibri" w:cs="Calibri"/>
        </w:rPr>
        <w:br w:type="page"/>
      </w:r>
      <w:bookmarkStart w:id="3" w:name="_Toc283112099"/>
      <w:bookmarkStart w:id="4" w:name="_Toc7535414"/>
      <w:r w:rsidR="001A0C3E" w:rsidRPr="00AC6A82">
        <w:rPr>
          <w:rFonts w:ascii="Calibri" w:hAnsi="Calibri" w:cs="Calibri"/>
        </w:rPr>
        <w:t xml:space="preserve">Данни за търговията на </w:t>
      </w:r>
      <w:bookmarkEnd w:id="3"/>
      <w:r w:rsidR="00636F5A" w:rsidRPr="00AC6A82">
        <w:rPr>
          <w:rFonts w:ascii="Calibri" w:hAnsi="Calibri" w:cs="Calibri"/>
        </w:rPr>
        <w:t>Българска фондова борса</w:t>
      </w:r>
      <w:bookmarkEnd w:id="4"/>
    </w:p>
    <w:p w:rsidR="001524A4" w:rsidRPr="00AC6A82" w:rsidRDefault="009A3F7B" w:rsidP="003030DD">
      <w:pPr>
        <w:pStyle w:val="SubNumbers"/>
      </w:pPr>
      <w:bookmarkStart w:id="5" w:name="_Toc283112100"/>
      <w:bookmarkStart w:id="6" w:name="_Toc386535672"/>
      <w:bookmarkStart w:id="7" w:name="_Toc7535415"/>
      <w:r w:rsidRPr="00AC6A82">
        <w:t>Оборот, брой сделки</w:t>
      </w:r>
      <w:bookmarkEnd w:id="5"/>
      <w:bookmarkEnd w:id="6"/>
      <w:bookmarkEnd w:id="7"/>
    </w:p>
    <w:tbl>
      <w:tblPr>
        <w:tblStyle w:val="TableGrid"/>
        <w:tblpPr w:leftFromText="142" w:rightFromText="142" w:vertAnchor="text" w:horzAnchor="margin" w:tblpXSpec="right" w:tblpY="568"/>
        <w:tblOverlap w:val="never"/>
        <w:tblW w:w="52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211"/>
      </w:tblGrid>
      <w:tr w:rsidR="00CB1BD8" w:rsidRPr="00AC6A82" w:rsidTr="007F2E58">
        <w:tc>
          <w:tcPr>
            <w:tcW w:w="5211" w:type="dxa"/>
          </w:tcPr>
          <w:p w:rsidR="00CB1BD8" w:rsidRPr="00AC6A82" w:rsidRDefault="0009711E" w:rsidP="001A50AB">
            <w:pPr>
              <w:rPr>
                <w:rFonts w:ascii="Calibri" w:hAnsi="Calibri" w:cs="Calibri"/>
              </w:rPr>
            </w:pPr>
            <w:r w:rsidRPr="00AC6A82">
              <w:rPr>
                <w:rFonts w:ascii="Calibri" w:hAnsi="Calibri" w:cs="Calibri"/>
              </w:rPr>
              <w:t xml:space="preserve">Графика 1: </w:t>
            </w:r>
            <w:r w:rsidR="00CB1BD8" w:rsidRPr="00AC6A82">
              <w:rPr>
                <w:rFonts w:ascii="Calibri" w:hAnsi="Calibri" w:cs="Calibri"/>
              </w:rPr>
              <w:t xml:space="preserve">Оборот за </w:t>
            </w:r>
            <w:r w:rsidR="009A3F7B" w:rsidRPr="00AC6A82">
              <w:rPr>
                <w:rFonts w:ascii="Calibri" w:hAnsi="Calibri" w:cs="Calibri"/>
              </w:rPr>
              <w:t>отчетното</w:t>
            </w:r>
            <w:r w:rsidR="000523D8" w:rsidRPr="00AC6A82">
              <w:rPr>
                <w:rFonts w:ascii="Calibri" w:hAnsi="Calibri" w:cs="Calibri"/>
              </w:rPr>
              <w:t xml:space="preserve"> </w:t>
            </w:r>
            <w:r w:rsidR="00F7417B" w:rsidRPr="00AC6A82">
              <w:rPr>
                <w:rFonts w:ascii="Calibri" w:hAnsi="Calibri" w:cs="Calibri"/>
              </w:rPr>
              <w:t>три</w:t>
            </w:r>
            <w:r w:rsidR="00D17299" w:rsidRPr="00AC6A82">
              <w:rPr>
                <w:rFonts w:ascii="Calibri" w:hAnsi="Calibri" w:cs="Calibri"/>
              </w:rPr>
              <w:t>месечие</w:t>
            </w:r>
            <w:r w:rsidR="000523D8" w:rsidRPr="00AC6A82">
              <w:rPr>
                <w:rFonts w:ascii="Calibri" w:hAnsi="Calibri" w:cs="Calibri"/>
              </w:rPr>
              <w:t xml:space="preserve"> </w:t>
            </w:r>
            <w:r w:rsidRPr="00AC6A82">
              <w:rPr>
                <w:rFonts w:ascii="Calibri" w:hAnsi="Calibri" w:cs="Calibri"/>
              </w:rPr>
              <w:t>и</w:t>
            </w:r>
            <w:r w:rsidR="00CB1BD8" w:rsidRPr="00AC6A82">
              <w:rPr>
                <w:rFonts w:ascii="Calibri" w:hAnsi="Calibri" w:cs="Calibri"/>
              </w:rPr>
              <w:t xml:space="preserve"> сравнение</w:t>
            </w:r>
            <w:r w:rsidR="009A3F7B" w:rsidRPr="00AC6A82">
              <w:rPr>
                <w:rFonts w:ascii="Calibri" w:hAnsi="Calibri" w:cs="Calibri"/>
              </w:rPr>
              <w:t xml:space="preserve"> с </w:t>
            </w:r>
            <w:r w:rsidR="00F7417B" w:rsidRPr="00AC6A82">
              <w:rPr>
                <w:rFonts w:ascii="Calibri" w:hAnsi="Calibri" w:cs="Calibri"/>
              </w:rPr>
              <w:t xml:space="preserve">предходния </w:t>
            </w:r>
            <w:r w:rsidR="009A3F7B" w:rsidRPr="00AC6A82">
              <w:rPr>
                <w:rFonts w:ascii="Calibri" w:hAnsi="Calibri" w:cs="Calibri"/>
              </w:rPr>
              <w:t>период</w:t>
            </w:r>
          </w:p>
        </w:tc>
      </w:tr>
      <w:tr w:rsidR="00CB1BD8" w:rsidRPr="00AC6A82" w:rsidTr="00B87BE0">
        <w:tblPrEx>
          <w:tblCellMar>
            <w:left w:w="70" w:type="dxa"/>
            <w:right w:w="70" w:type="dxa"/>
          </w:tblCellMar>
        </w:tblPrEx>
        <w:trPr>
          <w:trHeight w:val="5337"/>
        </w:trPr>
        <w:tc>
          <w:tcPr>
            <w:tcW w:w="5211" w:type="dxa"/>
          </w:tcPr>
          <w:p w:rsidR="00CB1BD8" w:rsidRPr="00AC6A82" w:rsidRDefault="00B87BE0" w:rsidP="001A50AB">
            <w:pPr>
              <w:rPr>
                <w:rFonts w:ascii="Calibri" w:hAnsi="Calibri" w:cs="Calibri"/>
                <w:sz w:val="20"/>
                <w:szCs w:val="20"/>
                <w:u w:val="single"/>
              </w:rPr>
            </w:pPr>
            <w:r>
              <w:rPr>
                <w:noProof/>
              </w:rPr>
              <w:drawing>
                <wp:inline distT="0" distB="0" distL="0" distR="0" wp14:anchorId="095B9DA2" wp14:editId="69DA75ED">
                  <wp:extent cx="3220085" cy="3326621"/>
                  <wp:effectExtent l="0" t="0" r="0" b="0"/>
                  <wp:docPr id="9" name="Chart 9">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tc>
      </w:tr>
    </w:tbl>
    <w:p w:rsidR="00C64B7B" w:rsidRPr="00AC6A82" w:rsidRDefault="00C64B7B" w:rsidP="003D4CDE">
      <w:pPr>
        <w:pStyle w:val="SubSubNumber"/>
        <w:spacing w:before="0"/>
      </w:pPr>
      <w:bookmarkStart w:id="8" w:name="_Toc7535416"/>
      <w:r w:rsidRPr="00AC6A82">
        <w:t>Оборот</w:t>
      </w:r>
      <w:bookmarkEnd w:id="8"/>
    </w:p>
    <w:tbl>
      <w:tblPr>
        <w:tblStyle w:val="TableGrid"/>
        <w:tblpPr w:leftFromText="142" w:rightFromText="142" w:vertAnchor="text" w:horzAnchor="margin" w:tblpY="698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820"/>
      </w:tblGrid>
      <w:tr w:rsidR="0061651B" w:rsidRPr="00AC6A82" w:rsidTr="001D759C">
        <w:trPr>
          <w:cantSplit/>
        </w:trPr>
        <w:tc>
          <w:tcPr>
            <w:tcW w:w="4820" w:type="dxa"/>
          </w:tcPr>
          <w:p w:rsidR="0061651B" w:rsidRPr="00AC6A82" w:rsidRDefault="0061651B" w:rsidP="0061651B">
            <w:pPr>
              <w:rPr>
                <w:rFonts w:ascii="Calibri" w:hAnsi="Calibri" w:cs="Calibri"/>
                <w:i/>
              </w:rPr>
            </w:pPr>
            <w:r w:rsidRPr="00AC6A82">
              <w:rPr>
                <w:rFonts w:ascii="Calibri" w:hAnsi="Calibri" w:cs="Calibri"/>
              </w:rPr>
              <w:t>Графика 2: Брой сделки за отчетното тримесечие и сравнение с предходния период</w:t>
            </w:r>
          </w:p>
        </w:tc>
      </w:tr>
      <w:tr w:rsidR="0061651B" w:rsidRPr="00AC6A82" w:rsidTr="008F4D4C">
        <w:tblPrEx>
          <w:tblCellMar>
            <w:left w:w="70" w:type="dxa"/>
            <w:right w:w="70" w:type="dxa"/>
          </w:tblCellMar>
        </w:tblPrEx>
        <w:trPr>
          <w:cantSplit/>
        </w:trPr>
        <w:tc>
          <w:tcPr>
            <w:tcW w:w="4820" w:type="dxa"/>
          </w:tcPr>
          <w:p w:rsidR="0061651B" w:rsidRPr="00AC6A82" w:rsidRDefault="000D51E6" w:rsidP="0061651B">
            <w:pPr>
              <w:rPr>
                <w:rFonts w:ascii="Calibri" w:hAnsi="Calibri" w:cs="Calibri"/>
                <w:sz w:val="12"/>
                <w:szCs w:val="12"/>
              </w:rPr>
            </w:pPr>
            <w:r w:rsidRPr="00AC6A82">
              <w:rPr>
                <w:rFonts w:ascii="Calibri" w:hAnsi="Calibri" w:cs="Calibri"/>
                <w:noProof/>
                <w:sz w:val="12"/>
                <w:szCs w:val="12"/>
              </w:rPr>
              <w:drawing>
                <wp:inline distT="0" distB="0" distL="0" distR="0">
                  <wp:extent cx="2927268" cy="2559132"/>
                  <wp:effectExtent l="0" t="0" r="0" b="0"/>
                  <wp:docPr id="13" name="Диаграма 2">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1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tc>
      </w:tr>
    </w:tbl>
    <w:p w:rsidR="00774D56" w:rsidRPr="00AC6A82" w:rsidRDefault="00624D97" w:rsidP="001A50AB">
      <w:pPr>
        <w:rPr>
          <w:rFonts w:ascii="Calibri" w:hAnsi="Calibri" w:cs="Calibri"/>
          <w:color w:val="000000"/>
        </w:rPr>
      </w:pPr>
      <w:r w:rsidRPr="00AC6A82">
        <w:rPr>
          <w:rFonts w:ascii="Calibri" w:hAnsi="Calibri" w:cs="Calibri"/>
        </w:rPr>
        <w:t xml:space="preserve">Оборотът на регулирания пазар на финансови инструменти през </w:t>
      </w:r>
      <w:r w:rsidR="000523D8" w:rsidRPr="00AC6A82">
        <w:rPr>
          <w:rFonts w:ascii="Calibri" w:hAnsi="Calibri" w:cs="Calibri"/>
        </w:rPr>
        <w:t xml:space="preserve">първото </w:t>
      </w:r>
      <w:r w:rsidR="00C1730A" w:rsidRPr="00AC6A82">
        <w:rPr>
          <w:rFonts w:ascii="Calibri" w:hAnsi="Calibri" w:cs="Calibri"/>
        </w:rPr>
        <w:t>три</w:t>
      </w:r>
      <w:r w:rsidR="00F963F0" w:rsidRPr="00AC6A82">
        <w:rPr>
          <w:rFonts w:ascii="Calibri" w:hAnsi="Calibri" w:cs="Calibri"/>
        </w:rPr>
        <w:t>месечие</w:t>
      </w:r>
      <w:r w:rsidR="001241C2" w:rsidRPr="00AC6A82">
        <w:rPr>
          <w:rFonts w:ascii="Calibri" w:hAnsi="Calibri" w:cs="Calibri"/>
        </w:rPr>
        <w:t xml:space="preserve"> на 201</w:t>
      </w:r>
      <w:r w:rsidR="000523D8" w:rsidRPr="00AC6A82">
        <w:rPr>
          <w:rFonts w:ascii="Calibri" w:hAnsi="Calibri" w:cs="Calibri"/>
        </w:rPr>
        <w:t>9</w:t>
      </w:r>
      <w:r w:rsidRPr="00AC6A82">
        <w:rPr>
          <w:rFonts w:ascii="Calibri" w:hAnsi="Calibri" w:cs="Calibri"/>
        </w:rPr>
        <w:t xml:space="preserve"> година </w:t>
      </w:r>
      <w:r w:rsidR="001A4F35" w:rsidRPr="00AC6A82">
        <w:rPr>
          <w:rFonts w:ascii="Calibri" w:hAnsi="Calibri" w:cs="Calibri"/>
        </w:rPr>
        <w:t>беше</w:t>
      </w:r>
      <w:r w:rsidR="000523D8" w:rsidRPr="00AC6A82">
        <w:rPr>
          <w:rFonts w:ascii="Calibri" w:hAnsi="Calibri" w:cs="Calibri"/>
        </w:rPr>
        <w:t xml:space="preserve"> 99 672 508</w:t>
      </w:r>
      <w:r w:rsidR="008F4D4C" w:rsidRPr="00AC6A82">
        <w:rPr>
          <w:rFonts w:ascii="Calibri" w:hAnsi="Calibri" w:cs="Calibri"/>
        </w:rPr>
        <w:t xml:space="preserve"> </w:t>
      </w:r>
      <w:r w:rsidR="00AA1499" w:rsidRPr="00AC6A82">
        <w:rPr>
          <w:rFonts w:ascii="Calibri" w:hAnsi="Calibri" w:cs="Calibri"/>
        </w:rPr>
        <w:t xml:space="preserve">лева. </w:t>
      </w:r>
      <w:r w:rsidRPr="00AC6A82">
        <w:rPr>
          <w:rFonts w:ascii="Calibri" w:hAnsi="Calibri" w:cs="Calibri"/>
        </w:rPr>
        <w:t>За сравнение</w:t>
      </w:r>
      <w:r w:rsidR="008F1EF5" w:rsidRPr="00AC6A82">
        <w:rPr>
          <w:rFonts w:ascii="Calibri" w:hAnsi="Calibri" w:cs="Calibri"/>
        </w:rPr>
        <w:t>,</w:t>
      </w:r>
      <w:r w:rsidRPr="00AC6A82">
        <w:rPr>
          <w:rFonts w:ascii="Calibri" w:hAnsi="Calibri" w:cs="Calibri"/>
        </w:rPr>
        <w:t xml:space="preserve"> през </w:t>
      </w:r>
      <w:r w:rsidR="000523D8" w:rsidRPr="00AC6A82">
        <w:rPr>
          <w:rFonts w:ascii="Calibri" w:hAnsi="Calibri" w:cs="Calibri"/>
        </w:rPr>
        <w:t xml:space="preserve">четвъртото </w:t>
      </w:r>
      <w:r w:rsidR="00F7417B" w:rsidRPr="00AC6A82">
        <w:rPr>
          <w:rFonts w:ascii="Calibri" w:hAnsi="Calibri" w:cs="Calibri"/>
        </w:rPr>
        <w:t xml:space="preserve">тримесечие </w:t>
      </w:r>
      <w:r w:rsidRPr="00AC6A82">
        <w:rPr>
          <w:rFonts w:ascii="Calibri" w:hAnsi="Calibri" w:cs="Calibri"/>
        </w:rPr>
        <w:t xml:space="preserve">той бе </w:t>
      </w:r>
      <w:r w:rsidR="000523D8" w:rsidRPr="00AC6A82">
        <w:rPr>
          <w:rFonts w:ascii="Calibri" w:hAnsi="Calibri" w:cs="Calibri"/>
        </w:rPr>
        <w:t xml:space="preserve">180 252 919 </w:t>
      </w:r>
      <w:r w:rsidRPr="00AC6A82">
        <w:rPr>
          <w:rFonts w:ascii="Calibri" w:hAnsi="Calibri" w:cs="Calibri"/>
        </w:rPr>
        <w:t>л</w:t>
      </w:r>
      <w:r w:rsidR="00CD1D26" w:rsidRPr="00AC6A82">
        <w:rPr>
          <w:rFonts w:ascii="Calibri" w:hAnsi="Calibri" w:cs="Calibri"/>
        </w:rPr>
        <w:t>е</w:t>
      </w:r>
      <w:r w:rsidRPr="00AC6A82">
        <w:rPr>
          <w:rFonts w:ascii="Calibri" w:hAnsi="Calibri" w:cs="Calibri"/>
        </w:rPr>
        <w:t>в</w:t>
      </w:r>
      <w:r w:rsidR="00CD1D26" w:rsidRPr="00AC6A82">
        <w:rPr>
          <w:rFonts w:ascii="Calibri" w:hAnsi="Calibri" w:cs="Calibri"/>
        </w:rPr>
        <w:t>а</w:t>
      </w:r>
      <w:r w:rsidRPr="00AC6A82">
        <w:rPr>
          <w:rFonts w:ascii="Calibri" w:hAnsi="Calibri" w:cs="Calibri"/>
        </w:rPr>
        <w:t>,</w:t>
      </w:r>
      <w:r w:rsidR="00B545E1" w:rsidRPr="00AC6A82">
        <w:rPr>
          <w:rFonts w:ascii="Calibri" w:hAnsi="Calibri" w:cs="Calibri"/>
        </w:rPr>
        <w:t xml:space="preserve"> което представлява</w:t>
      </w:r>
      <w:r w:rsidR="000523D8" w:rsidRPr="00AC6A82">
        <w:rPr>
          <w:rFonts w:ascii="Calibri" w:hAnsi="Calibri" w:cs="Calibri"/>
        </w:rPr>
        <w:t xml:space="preserve"> спад</w:t>
      </w:r>
      <w:r w:rsidR="008F4D4C" w:rsidRPr="00AC6A82">
        <w:rPr>
          <w:rFonts w:ascii="Calibri" w:hAnsi="Calibri" w:cs="Calibri"/>
        </w:rPr>
        <w:t xml:space="preserve"> с</w:t>
      </w:r>
      <w:r w:rsidR="003A7A7E" w:rsidRPr="00AC6A82">
        <w:rPr>
          <w:rFonts w:ascii="Calibri" w:hAnsi="Calibri" w:cs="Calibri"/>
        </w:rPr>
        <w:t xml:space="preserve"> над </w:t>
      </w:r>
      <w:r w:rsidR="000523D8" w:rsidRPr="00AC6A82">
        <w:rPr>
          <w:rFonts w:ascii="Calibri" w:hAnsi="Calibri" w:cs="Calibri"/>
        </w:rPr>
        <w:t>44</w:t>
      </w:r>
      <w:r w:rsidR="00C2306E" w:rsidRPr="00AC6A82">
        <w:rPr>
          <w:rFonts w:ascii="Calibri" w:hAnsi="Calibri" w:cs="Calibri"/>
        </w:rPr>
        <w:t xml:space="preserve">%. </w:t>
      </w:r>
      <w:r w:rsidRPr="00AC6A82">
        <w:rPr>
          <w:rFonts w:ascii="Calibri" w:hAnsi="Calibri" w:cs="Calibri"/>
        </w:rPr>
        <w:t xml:space="preserve">Както става ясно от графиката, </w:t>
      </w:r>
      <w:r w:rsidR="003A7A7E" w:rsidRPr="00AC6A82">
        <w:rPr>
          <w:rFonts w:ascii="Calibri" w:hAnsi="Calibri" w:cs="Calibri"/>
        </w:rPr>
        <w:t>той</w:t>
      </w:r>
      <w:r w:rsidRPr="00AC6A82">
        <w:rPr>
          <w:rFonts w:ascii="Calibri" w:hAnsi="Calibri" w:cs="Calibri"/>
        </w:rPr>
        <w:t xml:space="preserve"> се дължи на </w:t>
      </w:r>
      <w:r w:rsidR="000523D8" w:rsidRPr="00AC6A82">
        <w:rPr>
          <w:rFonts w:ascii="Calibri" w:hAnsi="Calibri" w:cs="Calibri"/>
        </w:rPr>
        <w:t xml:space="preserve">намаление </w:t>
      </w:r>
      <w:r w:rsidR="00F7417B" w:rsidRPr="00AC6A82">
        <w:rPr>
          <w:rFonts w:ascii="Calibri" w:hAnsi="Calibri" w:cs="Calibri"/>
        </w:rPr>
        <w:t>в</w:t>
      </w:r>
      <w:r w:rsidR="000523D8" w:rsidRPr="00AC6A82">
        <w:rPr>
          <w:rFonts w:ascii="Calibri" w:hAnsi="Calibri" w:cs="Calibri"/>
        </w:rPr>
        <w:t xml:space="preserve"> </w:t>
      </w:r>
      <w:r w:rsidRPr="00AC6A82">
        <w:rPr>
          <w:rFonts w:ascii="Calibri" w:hAnsi="Calibri" w:cs="Calibri"/>
        </w:rPr>
        <w:t>оборот</w:t>
      </w:r>
      <w:r w:rsidR="00BF237B" w:rsidRPr="00AC6A82">
        <w:rPr>
          <w:rFonts w:ascii="Calibri" w:hAnsi="Calibri" w:cs="Calibri"/>
        </w:rPr>
        <w:t>а</w:t>
      </w:r>
      <w:r w:rsidR="000523D8" w:rsidRPr="00AC6A82">
        <w:rPr>
          <w:rFonts w:ascii="Calibri" w:hAnsi="Calibri" w:cs="Calibri"/>
        </w:rPr>
        <w:t xml:space="preserve"> </w:t>
      </w:r>
      <w:r w:rsidR="00EF50CD" w:rsidRPr="00AC6A82">
        <w:rPr>
          <w:rFonts w:ascii="Calibri" w:hAnsi="Calibri" w:cs="Calibri"/>
        </w:rPr>
        <w:t>с</w:t>
      </w:r>
      <w:r w:rsidR="000523D8" w:rsidRPr="00AC6A82">
        <w:rPr>
          <w:rFonts w:ascii="Calibri" w:hAnsi="Calibri" w:cs="Calibri"/>
        </w:rPr>
        <w:t xml:space="preserve"> </w:t>
      </w:r>
      <w:r w:rsidR="008F4D4C" w:rsidRPr="00AC6A82">
        <w:rPr>
          <w:rFonts w:ascii="Calibri" w:hAnsi="Calibri" w:cs="Calibri"/>
        </w:rPr>
        <w:t xml:space="preserve">повечето основни групи </w:t>
      </w:r>
      <w:r w:rsidR="00F7417B" w:rsidRPr="00AC6A82">
        <w:rPr>
          <w:rFonts w:ascii="Calibri" w:hAnsi="Calibri" w:cs="Calibri"/>
        </w:rPr>
        <w:t>финансови инструменти</w:t>
      </w:r>
      <w:r w:rsidR="008F4D4C" w:rsidRPr="00AC6A82">
        <w:rPr>
          <w:rFonts w:ascii="Calibri" w:hAnsi="Calibri" w:cs="Calibri"/>
        </w:rPr>
        <w:t xml:space="preserve">. </w:t>
      </w:r>
      <w:r w:rsidR="000D51E6" w:rsidRPr="00AC6A82">
        <w:rPr>
          <w:rFonts w:ascii="Calibri" w:hAnsi="Calibri" w:cs="Calibri"/>
        </w:rPr>
        <w:t>Ръст</w:t>
      </w:r>
      <w:r w:rsidR="008F4D4C" w:rsidRPr="00AC6A82">
        <w:rPr>
          <w:rFonts w:ascii="Calibri" w:hAnsi="Calibri" w:cs="Calibri"/>
        </w:rPr>
        <w:t xml:space="preserve"> има единствено в оборота с </w:t>
      </w:r>
      <w:r w:rsidR="000D51E6" w:rsidRPr="00AC6A82">
        <w:rPr>
          <w:rFonts w:ascii="Calibri" w:hAnsi="Calibri" w:cs="Calibri"/>
        </w:rPr>
        <w:t>Борсово търгувани продукти</w:t>
      </w:r>
      <w:r w:rsidR="008F4D4C" w:rsidRPr="00AC6A82">
        <w:rPr>
          <w:rFonts w:ascii="Calibri" w:hAnsi="Calibri" w:cs="Calibri"/>
        </w:rPr>
        <w:t xml:space="preserve">, </w:t>
      </w:r>
      <w:r w:rsidR="000D51E6" w:rsidRPr="00AC6A82">
        <w:rPr>
          <w:rFonts w:ascii="Calibri" w:hAnsi="Calibri" w:cs="Calibri"/>
        </w:rPr>
        <w:t>но той</w:t>
      </w:r>
      <w:r w:rsidR="008F4D4C" w:rsidRPr="00AC6A82">
        <w:rPr>
          <w:rFonts w:ascii="Calibri" w:hAnsi="Calibri" w:cs="Calibri"/>
        </w:rPr>
        <w:t xml:space="preserve"> е незначителен на фона на оборота на останалите</w:t>
      </w:r>
      <w:r w:rsidR="000D51E6" w:rsidRPr="00AC6A82">
        <w:rPr>
          <w:rFonts w:ascii="Calibri" w:hAnsi="Calibri" w:cs="Calibri"/>
        </w:rPr>
        <w:t xml:space="preserve"> групи инструменти</w:t>
      </w:r>
      <w:r w:rsidR="001A50AB" w:rsidRPr="00AC6A82">
        <w:rPr>
          <w:rFonts w:ascii="Calibri" w:hAnsi="Calibri" w:cs="Calibri"/>
        </w:rPr>
        <w:t>.</w:t>
      </w:r>
      <w:r w:rsidR="000D51E6" w:rsidRPr="00AC6A82">
        <w:rPr>
          <w:rFonts w:ascii="Calibri" w:hAnsi="Calibri" w:cs="Calibri"/>
        </w:rPr>
        <w:t xml:space="preserve"> </w:t>
      </w:r>
      <w:r w:rsidR="008F4D4C" w:rsidRPr="00AC6A82">
        <w:rPr>
          <w:rFonts w:ascii="Calibri" w:hAnsi="Calibri" w:cs="Calibri"/>
        </w:rPr>
        <w:t xml:space="preserve">Най-значителен бе </w:t>
      </w:r>
      <w:r w:rsidR="000D51E6" w:rsidRPr="00AC6A82">
        <w:rPr>
          <w:rFonts w:ascii="Calibri" w:hAnsi="Calibri" w:cs="Calibri"/>
        </w:rPr>
        <w:t>спадът</w:t>
      </w:r>
      <w:r w:rsidR="008F4D4C" w:rsidRPr="00AC6A82">
        <w:rPr>
          <w:rFonts w:ascii="Calibri" w:hAnsi="Calibri" w:cs="Calibri"/>
        </w:rPr>
        <w:t xml:space="preserve"> от </w:t>
      </w:r>
      <w:r w:rsidR="000D51E6" w:rsidRPr="00AC6A82">
        <w:rPr>
          <w:rFonts w:ascii="Calibri" w:hAnsi="Calibri" w:cs="Calibri"/>
        </w:rPr>
        <w:t>28</w:t>
      </w:r>
      <w:r w:rsidR="008F4D4C" w:rsidRPr="00AC6A82">
        <w:rPr>
          <w:rFonts w:ascii="Calibri" w:hAnsi="Calibri" w:cs="Calibri"/>
        </w:rPr>
        <w:t>,</w:t>
      </w:r>
      <w:r w:rsidR="000D51E6" w:rsidRPr="00AC6A82">
        <w:rPr>
          <w:rFonts w:ascii="Calibri" w:hAnsi="Calibri" w:cs="Calibri"/>
        </w:rPr>
        <w:t>9 милиона лева (-26</w:t>
      </w:r>
      <w:r w:rsidR="008F4D4C" w:rsidRPr="00AC6A82">
        <w:rPr>
          <w:rFonts w:ascii="Calibri" w:hAnsi="Calibri" w:cs="Calibri"/>
        </w:rPr>
        <w:t>%) в о</w:t>
      </w:r>
      <w:r w:rsidR="001A50AB" w:rsidRPr="00AC6A82">
        <w:rPr>
          <w:rFonts w:ascii="Calibri" w:hAnsi="Calibri" w:cs="Calibri"/>
        </w:rPr>
        <w:t>борот</w:t>
      </w:r>
      <w:r w:rsidR="008F4D4C" w:rsidRPr="00AC6A82">
        <w:rPr>
          <w:rFonts w:ascii="Calibri" w:hAnsi="Calibri" w:cs="Calibri"/>
        </w:rPr>
        <w:t>а</w:t>
      </w:r>
      <w:r w:rsidR="000D51E6" w:rsidRPr="00AC6A82">
        <w:rPr>
          <w:rFonts w:ascii="Calibri" w:hAnsi="Calibri" w:cs="Calibri"/>
        </w:rPr>
        <w:t xml:space="preserve"> </w:t>
      </w:r>
      <w:r w:rsidR="00961F9B" w:rsidRPr="00AC6A82">
        <w:rPr>
          <w:rFonts w:ascii="Calibri" w:hAnsi="Calibri" w:cs="Calibri"/>
        </w:rPr>
        <w:t>с</w:t>
      </w:r>
      <w:r w:rsidR="00CD1D26" w:rsidRPr="00AC6A82">
        <w:rPr>
          <w:rFonts w:ascii="Calibri" w:hAnsi="Calibri" w:cs="Calibri"/>
        </w:rPr>
        <w:t xml:space="preserve"> акции (без АДСИЦ)</w:t>
      </w:r>
      <w:r w:rsidR="00AA1499" w:rsidRPr="00AC6A82">
        <w:rPr>
          <w:rFonts w:ascii="Calibri" w:hAnsi="Calibri" w:cs="Calibri"/>
        </w:rPr>
        <w:t>,</w:t>
      </w:r>
      <w:r w:rsidR="000D51E6" w:rsidRPr="00AC6A82">
        <w:rPr>
          <w:rFonts w:ascii="Calibri" w:hAnsi="Calibri" w:cs="Calibri"/>
        </w:rPr>
        <w:t xml:space="preserve"> </w:t>
      </w:r>
      <w:r w:rsidR="008F4D4C" w:rsidRPr="00AC6A82">
        <w:rPr>
          <w:rFonts w:ascii="Calibri" w:hAnsi="Calibri" w:cs="Calibri"/>
        </w:rPr>
        <w:t xml:space="preserve">следван от оборота с облигации, </w:t>
      </w:r>
      <w:r w:rsidR="000D51E6" w:rsidRPr="00AC6A82">
        <w:rPr>
          <w:rFonts w:ascii="Calibri" w:hAnsi="Calibri" w:cs="Calibri"/>
        </w:rPr>
        <w:t>намалял</w:t>
      </w:r>
      <w:r w:rsidR="008F4D4C" w:rsidRPr="00AC6A82">
        <w:rPr>
          <w:rFonts w:ascii="Calibri" w:hAnsi="Calibri" w:cs="Calibri"/>
        </w:rPr>
        <w:t xml:space="preserve"> с </w:t>
      </w:r>
      <w:r w:rsidR="000D51E6" w:rsidRPr="00AC6A82">
        <w:rPr>
          <w:rFonts w:ascii="Calibri" w:hAnsi="Calibri" w:cs="Calibri"/>
        </w:rPr>
        <w:t>28,6</w:t>
      </w:r>
      <w:r w:rsidR="008F4D4C" w:rsidRPr="00AC6A82">
        <w:rPr>
          <w:rFonts w:ascii="Calibri" w:hAnsi="Calibri" w:cs="Calibri"/>
        </w:rPr>
        <w:t xml:space="preserve"> милиона лева (</w:t>
      </w:r>
      <w:r w:rsidR="000D51E6" w:rsidRPr="00AC6A82">
        <w:rPr>
          <w:rFonts w:ascii="Calibri" w:hAnsi="Calibri" w:cs="Calibri"/>
        </w:rPr>
        <w:t>-92</w:t>
      </w:r>
      <w:r w:rsidR="008F4D4C" w:rsidRPr="00AC6A82">
        <w:rPr>
          <w:rFonts w:ascii="Calibri" w:hAnsi="Calibri" w:cs="Calibri"/>
        </w:rPr>
        <w:t xml:space="preserve">%) и оборота </w:t>
      </w:r>
      <w:r w:rsidR="00961F9B" w:rsidRPr="00AC6A82">
        <w:rPr>
          <w:rFonts w:ascii="Calibri" w:hAnsi="Calibri" w:cs="Calibri"/>
        </w:rPr>
        <w:t>с</w:t>
      </w:r>
      <w:r w:rsidR="008F4D4C" w:rsidRPr="00AC6A82">
        <w:rPr>
          <w:rFonts w:ascii="Calibri" w:hAnsi="Calibri" w:cs="Calibri"/>
        </w:rPr>
        <w:t xml:space="preserve"> акции на </w:t>
      </w:r>
      <w:r w:rsidR="00C2306E" w:rsidRPr="00AC6A82">
        <w:rPr>
          <w:rFonts w:ascii="Calibri" w:hAnsi="Calibri" w:cs="Calibri"/>
        </w:rPr>
        <w:t>АДСИ</w:t>
      </w:r>
      <w:r w:rsidR="00BA7356" w:rsidRPr="00AC6A82">
        <w:rPr>
          <w:rFonts w:ascii="Calibri" w:hAnsi="Calibri" w:cs="Calibri"/>
        </w:rPr>
        <w:t>Ц</w:t>
      </w:r>
      <w:r w:rsidR="008F4D4C" w:rsidRPr="00AC6A82">
        <w:rPr>
          <w:rFonts w:ascii="Calibri" w:hAnsi="Calibri" w:cs="Calibri"/>
        </w:rPr>
        <w:t xml:space="preserve"> с </w:t>
      </w:r>
      <w:r w:rsidR="000D51E6" w:rsidRPr="00AC6A82">
        <w:rPr>
          <w:rFonts w:ascii="Calibri" w:hAnsi="Calibri" w:cs="Calibri"/>
        </w:rPr>
        <w:t>намаление</w:t>
      </w:r>
      <w:r w:rsidR="008F4D4C" w:rsidRPr="00AC6A82">
        <w:rPr>
          <w:rFonts w:ascii="Calibri" w:hAnsi="Calibri" w:cs="Calibri"/>
        </w:rPr>
        <w:t xml:space="preserve"> от </w:t>
      </w:r>
      <w:r w:rsidR="000D51E6" w:rsidRPr="00AC6A82">
        <w:rPr>
          <w:rFonts w:ascii="Calibri" w:hAnsi="Calibri" w:cs="Calibri"/>
        </w:rPr>
        <w:t>14</w:t>
      </w:r>
      <w:r w:rsidR="008F4D4C" w:rsidRPr="00AC6A82">
        <w:rPr>
          <w:rFonts w:ascii="Calibri" w:hAnsi="Calibri" w:cs="Calibri"/>
        </w:rPr>
        <w:t xml:space="preserve"> милиона лева (</w:t>
      </w:r>
      <w:r w:rsidR="000D51E6" w:rsidRPr="00AC6A82">
        <w:rPr>
          <w:rFonts w:ascii="Calibri" w:hAnsi="Calibri" w:cs="Calibri"/>
        </w:rPr>
        <w:t>-51</w:t>
      </w:r>
      <w:r w:rsidR="008F4D4C" w:rsidRPr="00AC6A82">
        <w:rPr>
          <w:rFonts w:ascii="Calibri" w:hAnsi="Calibri" w:cs="Calibri"/>
        </w:rPr>
        <w:t>%)</w:t>
      </w:r>
      <w:r w:rsidR="00FD1333" w:rsidRPr="00AC6A82">
        <w:rPr>
          <w:rFonts w:ascii="Calibri" w:hAnsi="Calibri" w:cs="Calibri"/>
        </w:rPr>
        <w:t>.</w:t>
      </w:r>
      <w:r w:rsidR="000D51E6" w:rsidRPr="00AC6A82">
        <w:rPr>
          <w:rFonts w:ascii="Calibri" w:hAnsi="Calibri" w:cs="Calibri"/>
        </w:rPr>
        <w:t xml:space="preserve"> </w:t>
      </w:r>
      <w:r w:rsidR="00B545E1" w:rsidRPr="00AC6A82">
        <w:rPr>
          <w:rFonts w:ascii="Calibri" w:hAnsi="Calibri" w:cs="Calibri"/>
        </w:rPr>
        <w:t>Най</w:t>
      </w:r>
      <w:r w:rsidR="00C2306E" w:rsidRPr="00AC6A82">
        <w:rPr>
          <w:rFonts w:ascii="Calibri" w:hAnsi="Calibri" w:cs="Calibri"/>
        </w:rPr>
        <w:t>-</w:t>
      </w:r>
      <w:r w:rsidR="00AA1499" w:rsidRPr="00AC6A82">
        <w:rPr>
          <w:rFonts w:ascii="Calibri" w:hAnsi="Calibri" w:cs="Calibri"/>
        </w:rPr>
        <w:t xml:space="preserve">нисък </w:t>
      </w:r>
      <w:r w:rsidRPr="00AC6A82">
        <w:rPr>
          <w:rFonts w:ascii="Calibri" w:hAnsi="Calibri" w:cs="Calibri"/>
        </w:rPr>
        <w:t xml:space="preserve">бе оборотът през </w:t>
      </w:r>
      <w:r w:rsidR="000D51E6" w:rsidRPr="00AC6A82">
        <w:rPr>
          <w:rFonts w:ascii="Calibri" w:hAnsi="Calibri" w:cs="Calibri"/>
        </w:rPr>
        <w:t>февруари</w:t>
      </w:r>
      <w:r w:rsidR="008F1EF5" w:rsidRPr="00AC6A82">
        <w:rPr>
          <w:rFonts w:ascii="Calibri" w:hAnsi="Calibri" w:cs="Calibri"/>
        </w:rPr>
        <w:t>:</w:t>
      </w:r>
      <w:r w:rsidR="000D51E6" w:rsidRPr="00AC6A82">
        <w:rPr>
          <w:rFonts w:ascii="Calibri" w:hAnsi="Calibri" w:cs="Calibri"/>
        </w:rPr>
        <w:t xml:space="preserve"> 24</w:t>
      </w:r>
      <w:r w:rsidR="00FD1333" w:rsidRPr="00AC6A82">
        <w:rPr>
          <w:rFonts w:ascii="Calibri" w:hAnsi="Calibri" w:cs="Calibri"/>
        </w:rPr>
        <w:t>,</w:t>
      </w:r>
      <w:r w:rsidR="008F4D4C" w:rsidRPr="00AC6A82">
        <w:rPr>
          <w:rFonts w:ascii="Calibri" w:hAnsi="Calibri" w:cs="Calibri"/>
        </w:rPr>
        <w:t>6</w:t>
      </w:r>
      <w:r w:rsidR="00311917" w:rsidRPr="00AC6A82">
        <w:rPr>
          <w:rFonts w:ascii="Calibri" w:hAnsi="Calibri" w:cs="Calibri"/>
        </w:rPr>
        <w:t xml:space="preserve"> млн. лв., а най-висок -</w:t>
      </w:r>
      <w:r w:rsidRPr="00AC6A82">
        <w:rPr>
          <w:rFonts w:ascii="Calibri" w:hAnsi="Calibri" w:cs="Calibri"/>
        </w:rPr>
        <w:t xml:space="preserve"> през </w:t>
      </w:r>
      <w:r w:rsidR="000D51E6" w:rsidRPr="00AC6A82">
        <w:rPr>
          <w:rFonts w:ascii="Calibri" w:hAnsi="Calibri" w:cs="Calibri"/>
        </w:rPr>
        <w:t>март</w:t>
      </w:r>
      <w:r w:rsidR="008F1EF5" w:rsidRPr="00AC6A82">
        <w:rPr>
          <w:rFonts w:ascii="Calibri" w:hAnsi="Calibri" w:cs="Calibri"/>
        </w:rPr>
        <w:t>:</w:t>
      </w:r>
      <w:r w:rsidR="000D51E6" w:rsidRPr="00AC6A82">
        <w:rPr>
          <w:rFonts w:ascii="Calibri" w:hAnsi="Calibri" w:cs="Calibri"/>
        </w:rPr>
        <w:t xml:space="preserve"> 40 </w:t>
      </w:r>
      <w:r w:rsidRPr="00AC6A82">
        <w:rPr>
          <w:rFonts w:ascii="Calibri" w:hAnsi="Calibri" w:cs="Calibri"/>
        </w:rPr>
        <w:t>млн.</w:t>
      </w:r>
      <w:r w:rsidR="00AA1499" w:rsidRPr="00AC6A82">
        <w:rPr>
          <w:rFonts w:ascii="Calibri" w:hAnsi="Calibri" w:cs="Calibri"/>
        </w:rPr>
        <w:t xml:space="preserve"> лв</w:t>
      </w:r>
      <w:r w:rsidR="00E236BD" w:rsidRPr="00AC6A82">
        <w:rPr>
          <w:rFonts w:ascii="Calibri" w:hAnsi="Calibri" w:cs="Calibri"/>
        </w:rPr>
        <w:t>.</w:t>
      </w:r>
    </w:p>
    <w:p w:rsidR="00491DEE" w:rsidRPr="00AC6A82" w:rsidRDefault="00491DEE" w:rsidP="003030DD">
      <w:pPr>
        <w:pStyle w:val="SubSubNumber"/>
      </w:pPr>
      <w:bookmarkStart w:id="9" w:name="_Toc7535417"/>
      <w:r w:rsidRPr="00AC6A82">
        <w:t>Брой сделки</w:t>
      </w:r>
      <w:bookmarkEnd w:id="9"/>
    </w:p>
    <w:p w:rsidR="009A3F7B" w:rsidRPr="00AC6A82" w:rsidRDefault="00624D97" w:rsidP="007F2E58">
      <w:pPr>
        <w:pStyle w:val="NoSpacing"/>
        <w:spacing w:line="276" w:lineRule="auto"/>
        <w:rPr>
          <w:rFonts w:ascii="Calibri" w:hAnsi="Calibri" w:cs="Calibri"/>
        </w:rPr>
      </w:pPr>
      <w:r w:rsidRPr="00AC6A82">
        <w:rPr>
          <w:rFonts w:ascii="Calibri" w:hAnsi="Calibri" w:cs="Calibri"/>
        </w:rPr>
        <w:t xml:space="preserve">Броят сделки на регулирания пазар на финансови инструменти през </w:t>
      </w:r>
      <w:r w:rsidR="00B9185E" w:rsidRPr="00AC6A82">
        <w:rPr>
          <w:rFonts w:ascii="Calibri" w:hAnsi="Calibri" w:cs="Calibri"/>
        </w:rPr>
        <w:t xml:space="preserve">първото </w:t>
      </w:r>
      <w:r w:rsidR="0061651B" w:rsidRPr="00AC6A82">
        <w:rPr>
          <w:rFonts w:ascii="Calibri" w:hAnsi="Calibri" w:cs="Calibri"/>
        </w:rPr>
        <w:t>три</w:t>
      </w:r>
      <w:r w:rsidR="00F963F0" w:rsidRPr="00AC6A82">
        <w:rPr>
          <w:rFonts w:ascii="Calibri" w:hAnsi="Calibri" w:cs="Calibri"/>
        </w:rPr>
        <w:t>месечие</w:t>
      </w:r>
      <w:r w:rsidR="00C2306E" w:rsidRPr="00AC6A82">
        <w:rPr>
          <w:rFonts w:ascii="Calibri" w:hAnsi="Calibri" w:cs="Calibri"/>
        </w:rPr>
        <w:t xml:space="preserve"> на 201</w:t>
      </w:r>
      <w:r w:rsidR="00B9185E" w:rsidRPr="00AC6A82">
        <w:rPr>
          <w:rFonts w:ascii="Calibri" w:hAnsi="Calibri" w:cs="Calibri"/>
        </w:rPr>
        <w:t>9</w:t>
      </w:r>
      <w:r w:rsidR="00C2306E" w:rsidRPr="00AC6A82">
        <w:rPr>
          <w:rFonts w:ascii="Calibri" w:hAnsi="Calibri" w:cs="Calibri"/>
        </w:rPr>
        <w:t xml:space="preserve"> година достигна</w:t>
      </w:r>
      <w:r w:rsidR="00B9185E" w:rsidRPr="00AC6A82">
        <w:rPr>
          <w:rFonts w:ascii="Calibri" w:hAnsi="Calibri" w:cs="Calibri"/>
        </w:rPr>
        <w:t xml:space="preserve"> 14 165</w:t>
      </w:r>
      <w:r w:rsidRPr="00AC6A82">
        <w:rPr>
          <w:rFonts w:ascii="Calibri" w:hAnsi="Calibri" w:cs="Calibri"/>
        </w:rPr>
        <w:t>. За сравнение</w:t>
      </w:r>
      <w:r w:rsidR="008F1EF5" w:rsidRPr="00AC6A82">
        <w:rPr>
          <w:rFonts w:ascii="Calibri" w:hAnsi="Calibri" w:cs="Calibri"/>
        </w:rPr>
        <w:t>,</w:t>
      </w:r>
      <w:r w:rsidRPr="00AC6A82">
        <w:rPr>
          <w:rFonts w:ascii="Calibri" w:hAnsi="Calibri" w:cs="Calibri"/>
        </w:rPr>
        <w:t xml:space="preserve"> през </w:t>
      </w:r>
      <w:r w:rsidR="0061651B" w:rsidRPr="00AC6A82">
        <w:rPr>
          <w:rFonts w:ascii="Calibri" w:hAnsi="Calibri" w:cs="Calibri"/>
        </w:rPr>
        <w:t>предходното</w:t>
      </w:r>
      <w:r w:rsidR="00B9185E" w:rsidRPr="00AC6A82">
        <w:rPr>
          <w:rFonts w:ascii="Calibri" w:hAnsi="Calibri" w:cs="Calibri"/>
        </w:rPr>
        <w:t xml:space="preserve"> </w:t>
      </w:r>
      <w:r w:rsidR="0061651B" w:rsidRPr="00AC6A82">
        <w:rPr>
          <w:rFonts w:ascii="Calibri" w:hAnsi="Calibri" w:cs="Calibri"/>
        </w:rPr>
        <w:t xml:space="preserve">тримесечие </w:t>
      </w:r>
      <w:r w:rsidRPr="00AC6A82">
        <w:rPr>
          <w:rFonts w:ascii="Calibri" w:hAnsi="Calibri" w:cs="Calibri"/>
        </w:rPr>
        <w:t>той беше</w:t>
      </w:r>
      <w:r w:rsidR="00B9185E" w:rsidRPr="00AC6A82">
        <w:rPr>
          <w:rFonts w:ascii="Calibri" w:hAnsi="Calibri" w:cs="Calibri"/>
        </w:rPr>
        <w:t xml:space="preserve"> 15 302</w:t>
      </w:r>
      <w:r w:rsidR="00C2306E" w:rsidRPr="00AC6A82">
        <w:rPr>
          <w:rFonts w:ascii="Calibri" w:hAnsi="Calibri" w:cs="Calibri"/>
        </w:rPr>
        <w:t xml:space="preserve">, което </w:t>
      </w:r>
      <w:r w:rsidR="008F1EF5" w:rsidRPr="00AC6A82">
        <w:rPr>
          <w:rFonts w:ascii="Calibri" w:hAnsi="Calibri" w:cs="Calibri"/>
        </w:rPr>
        <w:t>представлява</w:t>
      </w:r>
      <w:r w:rsidR="00B9185E" w:rsidRPr="00AC6A82">
        <w:rPr>
          <w:rFonts w:ascii="Calibri" w:hAnsi="Calibri" w:cs="Calibri"/>
        </w:rPr>
        <w:t xml:space="preserve"> спад </w:t>
      </w:r>
      <w:r w:rsidR="00A9109A" w:rsidRPr="00AC6A82">
        <w:rPr>
          <w:rFonts w:ascii="Calibri" w:hAnsi="Calibri" w:cs="Calibri"/>
        </w:rPr>
        <w:t>с</w:t>
      </w:r>
      <w:r w:rsidR="00B9185E" w:rsidRPr="00AC6A82">
        <w:rPr>
          <w:rFonts w:ascii="Calibri" w:hAnsi="Calibri" w:cs="Calibri"/>
        </w:rPr>
        <w:t>ъс 7,4</w:t>
      </w:r>
      <w:r w:rsidR="00C2306E" w:rsidRPr="00AC6A82">
        <w:rPr>
          <w:rFonts w:ascii="Calibri" w:hAnsi="Calibri" w:cs="Calibri"/>
        </w:rPr>
        <w:t>%</w:t>
      </w:r>
      <w:r w:rsidRPr="00AC6A82">
        <w:rPr>
          <w:rFonts w:ascii="Calibri" w:hAnsi="Calibri" w:cs="Calibri"/>
        </w:rPr>
        <w:t xml:space="preserve">. </w:t>
      </w:r>
      <w:r w:rsidR="00AA1499" w:rsidRPr="00AC6A82">
        <w:rPr>
          <w:rFonts w:ascii="Calibri" w:hAnsi="Calibri" w:cs="Calibri"/>
        </w:rPr>
        <w:t>Това</w:t>
      </w:r>
      <w:r w:rsidRPr="00AC6A82">
        <w:rPr>
          <w:rFonts w:ascii="Calibri" w:hAnsi="Calibri" w:cs="Calibri"/>
        </w:rPr>
        <w:t xml:space="preserve"> се дължи</w:t>
      </w:r>
      <w:r w:rsidR="008F1EF5" w:rsidRPr="00AC6A82">
        <w:rPr>
          <w:rFonts w:ascii="Calibri" w:hAnsi="Calibri" w:cs="Calibri"/>
        </w:rPr>
        <w:t xml:space="preserve"> на</w:t>
      </w:r>
      <w:r w:rsidR="00B9185E" w:rsidRPr="00AC6A82">
        <w:rPr>
          <w:rFonts w:ascii="Calibri" w:hAnsi="Calibri" w:cs="Calibri"/>
        </w:rPr>
        <w:t xml:space="preserve"> намаление в </w:t>
      </w:r>
      <w:r w:rsidR="008F1EF5" w:rsidRPr="00AC6A82">
        <w:rPr>
          <w:rFonts w:ascii="Calibri" w:hAnsi="Calibri" w:cs="Calibri"/>
        </w:rPr>
        <w:t>бро</w:t>
      </w:r>
      <w:r w:rsidR="00A9109A" w:rsidRPr="00AC6A82">
        <w:rPr>
          <w:rFonts w:ascii="Calibri" w:hAnsi="Calibri" w:cs="Calibri"/>
        </w:rPr>
        <w:t>я</w:t>
      </w:r>
      <w:r w:rsidR="008F1EF5" w:rsidRPr="00AC6A82">
        <w:rPr>
          <w:rFonts w:ascii="Calibri" w:hAnsi="Calibri" w:cs="Calibri"/>
        </w:rPr>
        <w:t xml:space="preserve"> сделки </w:t>
      </w:r>
      <w:r w:rsidR="00E56451" w:rsidRPr="00AC6A82">
        <w:rPr>
          <w:rFonts w:ascii="Calibri" w:hAnsi="Calibri" w:cs="Calibri"/>
        </w:rPr>
        <w:t xml:space="preserve">с </w:t>
      </w:r>
      <w:r w:rsidR="00A9109A" w:rsidRPr="00AC6A82">
        <w:rPr>
          <w:rFonts w:ascii="Calibri" w:hAnsi="Calibri" w:cs="Calibri"/>
        </w:rPr>
        <w:t xml:space="preserve">Акции (без АДСИЦ) с </w:t>
      </w:r>
      <w:r w:rsidR="00B9185E" w:rsidRPr="00AC6A82">
        <w:rPr>
          <w:rFonts w:ascii="Calibri" w:hAnsi="Calibri" w:cs="Calibri"/>
        </w:rPr>
        <w:t>573</w:t>
      </w:r>
      <w:r w:rsidR="00A9109A" w:rsidRPr="00AC6A82">
        <w:rPr>
          <w:rFonts w:ascii="Calibri" w:hAnsi="Calibri" w:cs="Calibri"/>
        </w:rPr>
        <w:t xml:space="preserve"> сделки или </w:t>
      </w:r>
      <w:r w:rsidR="00B9185E" w:rsidRPr="00AC6A82">
        <w:rPr>
          <w:rFonts w:ascii="Calibri" w:hAnsi="Calibri" w:cs="Calibri"/>
        </w:rPr>
        <w:t>-4</w:t>
      </w:r>
      <w:r w:rsidR="00A9109A" w:rsidRPr="00AC6A82">
        <w:rPr>
          <w:rFonts w:ascii="Calibri" w:hAnsi="Calibri" w:cs="Calibri"/>
        </w:rPr>
        <w:t>,</w:t>
      </w:r>
      <w:r w:rsidR="00B9185E" w:rsidRPr="00AC6A82">
        <w:rPr>
          <w:rFonts w:ascii="Calibri" w:hAnsi="Calibri" w:cs="Calibri"/>
        </w:rPr>
        <w:t>5</w:t>
      </w:r>
      <w:r w:rsidR="00A9109A" w:rsidRPr="00AC6A82">
        <w:rPr>
          <w:rFonts w:ascii="Calibri" w:hAnsi="Calibri" w:cs="Calibri"/>
        </w:rPr>
        <w:t xml:space="preserve">%, </w:t>
      </w:r>
      <w:r w:rsidR="00B9185E" w:rsidRPr="00AC6A82">
        <w:rPr>
          <w:rFonts w:ascii="Calibri" w:hAnsi="Calibri" w:cs="Calibri"/>
        </w:rPr>
        <w:t xml:space="preserve">в броя </w:t>
      </w:r>
      <w:r w:rsidR="00A9109A" w:rsidRPr="00AC6A82">
        <w:rPr>
          <w:rFonts w:ascii="Calibri" w:hAnsi="Calibri" w:cs="Calibri"/>
        </w:rPr>
        <w:t xml:space="preserve">сделки с </w:t>
      </w:r>
      <w:r w:rsidR="00B9185E" w:rsidRPr="00AC6A82">
        <w:rPr>
          <w:rFonts w:ascii="Calibri" w:hAnsi="Calibri" w:cs="Calibri"/>
        </w:rPr>
        <w:t xml:space="preserve">акции на АДСИЦ </w:t>
      </w:r>
      <w:r w:rsidR="00A9109A" w:rsidRPr="00AC6A82">
        <w:rPr>
          <w:rFonts w:ascii="Calibri" w:hAnsi="Calibri" w:cs="Calibri"/>
        </w:rPr>
        <w:t xml:space="preserve">с </w:t>
      </w:r>
      <w:r w:rsidR="00B9185E" w:rsidRPr="00AC6A82">
        <w:rPr>
          <w:rFonts w:ascii="Calibri" w:hAnsi="Calibri" w:cs="Calibri"/>
        </w:rPr>
        <w:t>287</w:t>
      </w:r>
      <w:r w:rsidR="00A9109A" w:rsidRPr="00AC6A82">
        <w:rPr>
          <w:rFonts w:ascii="Calibri" w:hAnsi="Calibri" w:cs="Calibri"/>
        </w:rPr>
        <w:t xml:space="preserve"> сделки или </w:t>
      </w:r>
      <w:r w:rsidR="00B9185E" w:rsidRPr="00AC6A82">
        <w:rPr>
          <w:rFonts w:ascii="Calibri" w:hAnsi="Calibri" w:cs="Calibri"/>
        </w:rPr>
        <w:t>17,8</w:t>
      </w:r>
      <w:r w:rsidR="00A9109A" w:rsidRPr="00AC6A82">
        <w:rPr>
          <w:rFonts w:ascii="Calibri" w:hAnsi="Calibri" w:cs="Calibri"/>
        </w:rPr>
        <w:t xml:space="preserve">% и </w:t>
      </w:r>
      <w:r w:rsidR="00B9185E" w:rsidRPr="00AC6A82">
        <w:rPr>
          <w:rFonts w:ascii="Calibri" w:hAnsi="Calibri" w:cs="Calibri"/>
        </w:rPr>
        <w:t>в броя</w:t>
      </w:r>
      <w:r w:rsidR="00A9109A" w:rsidRPr="00AC6A82">
        <w:rPr>
          <w:rFonts w:ascii="Calibri" w:hAnsi="Calibri" w:cs="Calibri"/>
        </w:rPr>
        <w:t xml:space="preserve"> сделки с компенсаторни инструменти със 174 или </w:t>
      </w:r>
      <w:r w:rsidR="00B9185E" w:rsidRPr="00AC6A82">
        <w:rPr>
          <w:rFonts w:ascii="Calibri" w:hAnsi="Calibri" w:cs="Calibri"/>
        </w:rPr>
        <w:t>33,7</w:t>
      </w:r>
      <w:r w:rsidR="00A9109A" w:rsidRPr="00AC6A82">
        <w:rPr>
          <w:rFonts w:ascii="Calibri" w:hAnsi="Calibri" w:cs="Calibri"/>
        </w:rPr>
        <w:t>%</w:t>
      </w:r>
      <w:r w:rsidR="00E56451" w:rsidRPr="00AC6A82">
        <w:rPr>
          <w:rFonts w:ascii="Calibri" w:hAnsi="Calibri" w:cs="Calibri"/>
        </w:rPr>
        <w:t>.</w:t>
      </w:r>
      <w:r w:rsidR="00B9185E" w:rsidRPr="00AC6A82">
        <w:rPr>
          <w:rFonts w:ascii="Calibri" w:hAnsi="Calibri" w:cs="Calibri"/>
        </w:rPr>
        <w:t xml:space="preserve"> Спад бе регистриран при броя сделки с всички видове финансови инструменти</w:t>
      </w:r>
      <w:r w:rsidR="00DE5453" w:rsidRPr="00AC6A82">
        <w:rPr>
          <w:rFonts w:ascii="Calibri" w:hAnsi="Calibri" w:cs="Calibri"/>
        </w:rPr>
        <w:t xml:space="preserve">. </w:t>
      </w:r>
      <w:r w:rsidR="00B9185E" w:rsidRPr="00AC6A82">
        <w:rPr>
          <w:rFonts w:ascii="Calibri" w:hAnsi="Calibri" w:cs="Calibri"/>
        </w:rPr>
        <w:t>За разлика от най-силния месец при</w:t>
      </w:r>
      <w:r w:rsidR="00A9109A" w:rsidRPr="00AC6A82">
        <w:rPr>
          <w:rFonts w:ascii="Calibri" w:hAnsi="Calibri" w:cs="Calibri"/>
        </w:rPr>
        <w:t xml:space="preserve"> оборота, броят сделки бе н</w:t>
      </w:r>
      <w:r w:rsidR="00961F9B" w:rsidRPr="00AC6A82">
        <w:rPr>
          <w:rFonts w:ascii="Calibri" w:hAnsi="Calibri" w:cs="Calibri"/>
        </w:rPr>
        <w:t>ай</w:t>
      </w:r>
      <w:r w:rsidR="00090367" w:rsidRPr="00AC6A82">
        <w:rPr>
          <w:rFonts w:ascii="Calibri" w:hAnsi="Calibri" w:cs="Calibri"/>
        </w:rPr>
        <w:t>-нисък</w:t>
      </w:r>
      <w:r w:rsidRPr="00AC6A82">
        <w:rPr>
          <w:rFonts w:ascii="Calibri" w:hAnsi="Calibri" w:cs="Calibri"/>
        </w:rPr>
        <w:t xml:space="preserve"> през </w:t>
      </w:r>
      <w:r w:rsidR="00B9185E" w:rsidRPr="00AC6A82">
        <w:rPr>
          <w:rFonts w:ascii="Calibri" w:hAnsi="Calibri" w:cs="Calibri"/>
        </w:rPr>
        <w:t>март</w:t>
      </w:r>
      <w:r w:rsidR="008F1EF5" w:rsidRPr="00AC6A82">
        <w:rPr>
          <w:rFonts w:ascii="Calibri" w:hAnsi="Calibri" w:cs="Calibri"/>
        </w:rPr>
        <w:t>:</w:t>
      </w:r>
      <w:r w:rsidR="00B9185E" w:rsidRPr="00AC6A82">
        <w:rPr>
          <w:rFonts w:ascii="Calibri" w:hAnsi="Calibri" w:cs="Calibri"/>
        </w:rPr>
        <w:t xml:space="preserve"> 4 366</w:t>
      </w:r>
      <w:r w:rsidR="00610CFD" w:rsidRPr="00AC6A82">
        <w:rPr>
          <w:rFonts w:ascii="Calibri" w:hAnsi="Calibri" w:cs="Calibri"/>
        </w:rPr>
        <w:t>, а най-</w:t>
      </w:r>
      <w:r w:rsidR="00354C4B" w:rsidRPr="00AC6A82">
        <w:rPr>
          <w:rFonts w:ascii="Calibri" w:hAnsi="Calibri" w:cs="Calibri"/>
        </w:rPr>
        <w:t>висок</w:t>
      </w:r>
      <w:r w:rsidR="00B9185E" w:rsidRPr="00AC6A82">
        <w:rPr>
          <w:rFonts w:ascii="Calibri" w:hAnsi="Calibri" w:cs="Calibri"/>
        </w:rPr>
        <w:t xml:space="preserve"> </w:t>
      </w:r>
      <w:r w:rsidR="00311917" w:rsidRPr="00AC6A82">
        <w:rPr>
          <w:rFonts w:ascii="Calibri" w:hAnsi="Calibri" w:cs="Calibri"/>
        </w:rPr>
        <w:t xml:space="preserve">той беше </w:t>
      </w:r>
      <w:r w:rsidRPr="00AC6A82">
        <w:rPr>
          <w:rFonts w:ascii="Calibri" w:hAnsi="Calibri" w:cs="Calibri"/>
        </w:rPr>
        <w:t xml:space="preserve">през </w:t>
      </w:r>
      <w:r w:rsidR="00B9185E" w:rsidRPr="00AC6A82">
        <w:rPr>
          <w:rFonts w:ascii="Calibri" w:hAnsi="Calibri" w:cs="Calibri"/>
        </w:rPr>
        <w:t>февруари</w:t>
      </w:r>
      <w:r w:rsidR="008F1EF5" w:rsidRPr="00AC6A82">
        <w:rPr>
          <w:rFonts w:ascii="Calibri" w:hAnsi="Calibri" w:cs="Calibri"/>
        </w:rPr>
        <w:t>:</w:t>
      </w:r>
      <w:r w:rsidR="00B9185E" w:rsidRPr="00AC6A82">
        <w:rPr>
          <w:rFonts w:ascii="Calibri" w:hAnsi="Calibri" w:cs="Calibri"/>
        </w:rPr>
        <w:t xml:space="preserve"> 5 061 </w:t>
      </w:r>
      <w:r w:rsidR="00311917" w:rsidRPr="00AC6A82">
        <w:rPr>
          <w:rFonts w:ascii="Calibri" w:hAnsi="Calibri" w:cs="Calibri"/>
        </w:rPr>
        <w:t>сделки</w:t>
      </w:r>
      <w:r w:rsidRPr="00AC6A82">
        <w:rPr>
          <w:rFonts w:ascii="Calibri" w:hAnsi="Calibri" w:cs="Calibri"/>
        </w:rPr>
        <w:t>.</w:t>
      </w:r>
      <w:r w:rsidR="009A3F7B" w:rsidRPr="00AC6A82">
        <w:rPr>
          <w:rFonts w:ascii="Calibri" w:hAnsi="Calibri" w:cs="Calibri"/>
          <w:szCs w:val="22"/>
        </w:rPr>
        <w:br w:type="page"/>
      </w:r>
    </w:p>
    <w:p w:rsidR="00B9185E" w:rsidRPr="00AC6A82" w:rsidRDefault="009A3F7B" w:rsidP="001A50AB">
      <w:pPr>
        <w:rPr>
          <w:rFonts w:ascii="Calibri" w:hAnsi="Calibri" w:cs="Calibri"/>
          <w:i/>
        </w:rPr>
      </w:pPr>
      <w:bookmarkStart w:id="10" w:name="_Toc283112101"/>
      <w:bookmarkStart w:id="11" w:name="_Toc142469780"/>
      <w:bookmarkStart w:id="12" w:name="_Toc142469778"/>
      <w:r w:rsidRPr="00AC6A82">
        <w:rPr>
          <w:rFonts w:ascii="Calibri" w:hAnsi="Calibri" w:cs="Calibri"/>
        </w:rPr>
        <w:t xml:space="preserve">Таблица 1. Структура на търговията по пазари за отчетното </w:t>
      </w:r>
      <w:r w:rsidR="00DE5453" w:rsidRPr="00AC6A82">
        <w:rPr>
          <w:rFonts w:ascii="Calibri" w:hAnsi="Calibri" w:cs="Calibri"/>
        </w:rPr>
        <w:t>три</w:t>
      </w:r>
      <w:r w:rsidR="00F963F0" w:rsidRPr="00AC6A82">
        <w:rPr>
          <w:rFonts w:ascii="Calibri" w:hAnsi="Calibri" w:cs="Calibri"/>
        </w:rPr>
        <w:t>месечие</w:t>
      </w:r>
      <w:r w:rsidRPr="00AC6A82">
        <w:rPr>
          <w:rFonts w:ascii="Calibri" w:hAnsi="Calibri" w:cs="Calibri"/>
        </w:rPr>
        <w:t xml:space="preserve"> (оборот в лв.)</w:t>
      </w:r>
    </w:p>
    <w:tbl>
      <w:tblPr>
        <w:tblW w:w="7549" w:type="dxa"/>
        <w:jc w:val="center"/>
        <w:tblCellMar>
          <w:left w:w="70" w:type="dxa"/>
          <w:right w:w="70" w:type="dxa"/>
        </w:tblCellMar>
        <w:tblLook w:val="04A0" w:firstRow="1" w:lastRow="0" w:firstColumn="1" w:lastColumn="0" w:noHBand="0" w:noVBand="1"/>
      </w:tblPr>
      <w:tblGrid>
        <w:gridCol w:w="389"/>
        <w:gridCol w:w="5660"/>
        <w:gridCol w:w="1500"/>
      </w:tblGrid>
      <w:tr w:rsidR="00B9185E" w:rsidRPr="00AC6A82" w:rsidTr="00B9185E">
        <w:trPr>
          <w:trHeight w:val="170"/>
          <w:jc w:val="center"/>
        </w:trPr>
        <w:tc>
          <w:tcPr>
            <w:tcW w:w="389" w:type="dxa"/>
            <w:tcBorders>
              <w:top w:val="single" w:sz="4" w:space="0" w:color="auto"/>
              <w:left w:val="single" w:sz="4" w:space="0" w:color="auto"/>
              <w:bottom w:val="single" w:sz="4" w:space="0" w:color="auto"/>
              <w:right w:val="single" w:sz="4" w:space="0" w:color="auto"/>
            </w:tcBorders>
            <w:shd w:val="clear" w:color="000000" w:fill="4F81BD"/>
            <w:noWrap/>
            <w:tcMar>
              <w:left w:w="28" w:type="dxa"/>
              <w:right w:w="28" w:type="dxa"/>
            </w:tcMar>
            <w:vAlign w:val="center"/>
            <w:hideMark/>
          </w:tcPr>
          <w:p w:rsidR="00B9185E" w:rsidRPr="00AC6A82" w:rsidRDefault="00B9185E" w:rsidP="009C7159">
            <w:pPr>
              <w:widowControl/>
              <w:spacing w:line="240" w:lineRule="auto"/>
              <w:jc w:val="center"/>
              <w:rPr>
                <w:rFonts w:ascii="Calibri" w:hAnsi="Calibri"/>
                <w:color w:val="FFFFFF"/>
                <w:sz w:val="20"/>
                <w:szCs w:val="20"/>
              </w:rPr>
            </w:pPr>
            <w:r w:rsidRPr="00AC6A82">
              <w:rPr>
                <w:rFonts w:ascii="Calibri" w:hAnsi="Calibri"/>
                <w:color w:val="FFFFFF"/>
                <w:sz w:val="20"/>
                <w:szCs w:val="20"/>
              </w:rPr>
              <w:t>№</w:t>
            </w:r>
          </w:p>
        </w:tc>
        <w:tc>
          <w:tcPr>
            <w:tcW w:w="5660"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FFFFFF"/>
                <w:sz w:val="20"/>
                <w:szCs w:val="20"/>
              </w:rPr>
            </w:pPr>
            <w:r w:rsidRPr="00AC6A82">
              <w:rPr>
                <w:rFonts w:ascii="Calibri" w:hAnsi="Calibri"/>
                <w:color w:val="FFFFFF"/>
                <w:sz w:val="20"/>
                <w:szCs w:val="20"/>
              </w:rPr>
              <w:t>Пазарен сегмент</w:t>
            </w:r>
          </w:p>
        </w:tc>
        <w:tc>
          <w:tcPr>
            <w:tcW w:w="1500"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FFFFFF"/>
                <w:sz w:val="20"/>
                <w:szCs w:val="20"/>
              </w:rPr>
            </w:pPr>
            <w:r w:rsidRPr="00AC6A82">
              <w:rPr>
                <w:rFonts w:ascii="Calibri" w:hAnsi="Calibri"/>
                <w:color w:val="FFFFFF"/>
                <w:sz w:val="20"/>
                <w:szCs w:val="20"/>
              </w:rPr>
              <w:t>Оборот (лева)</w:t>
            </w:r>
          </w:p>
        </w:tc>
      </w:tr>
      <w:tr w:rsidR="00B9185E" w:rsidRPr="00AC6A82" w:rsidTr="00B9185E">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center"/>
              <w:rPr>
                <w:rFonts w:ascii="Calibri" w:hAnsi="Calibri"/>
                <w:b/>
                <w:bCs/>
                <w:color w:val="000000"/>
                <w:sz w:val="20"/>
                <w:szCs w:val="20"/>
              </w:rPr>
            </w:pPr>
            <w:r w:rsidRPr="00AC6A82">
              <w:rPr>
                <w:rFonts w:ascii="Calibri" w:hAnsi="Calibri"/>
                <w:b/>
                <w:bCs/>
                <w:color w:val="000000"/>
                <w:sz w:val="20"/>
                <w:szCs w:val="20"/>
              </w:rPr>
              <w:t>1</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b/>
                <w:bCs/>
                <w:i/>
                <w:iCs/>
                <w:color w:val="000000"/>
                <w:sz w:val="20"/>
                <w:szCs w:val="20"/>
              </w:rPr>
            </w:pPr>
            <w:r w:rsidRPr="00AC6A82">
              <w:rPr>
                <w:rFonts w:ascii="Calibri" w:hAnsi="Calibri"/>
                <w:b/>
                <w:bCs/>
                <w:i/>
                <w:iCs/>
                <w:color w:val="000000"/>
                <w:sz w:val="20"/>
                <w:szCs w:val="20"/>
              </w:rPr>
              <w:t>Основен пазар BSE</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b/>
                <w:bCs/>
                <w:color w:val="000000"/>
                <w:sz w:val="20"/>
                <w:szCs w:val="20"/>
              </w:rPr>
            </w:pPr>
            <w:r w:rsidRPr="00AC6A82">
              <w:rPr>
                <w:rFonts w:ascii="Calibri" w:hAnsi="Calibri"/>
                <w:b/>
                <w:bCs/>
                <w:color w:val="000000"/>
                <w:sz w:val="20"/>
                <w:szCs w:val="20"/>
              </w:rPr>
              <w:t>83 427 669</w:t>
            </w:r>
          </w:p>
        </w:tc>
      </w:tr>
      <w:tr w:rsidR="00B9185E" w:rsidRPr="00AC6A82" w:rsidTr="00B9185E">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a</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Сегмент акции Premium</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9 094 399</w:t>
            </w:r>
          </w:p>
        </w:tc>
      </w:tr>
      <w:tr w:rsidR="00B9185E" w:rsidRPr="00AC6A82" w:rsidTr="00B9185E">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b</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Сегмент акции Standard</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63 724 473</w:t>
            </w:r>
          </w:p>
        </w:tc>
      </w:tr>
      <w:tr w:rsidR="00B9185E" w:rsidRPr="00AC6A82" w:rsidTr="00B9185E">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c</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Сегмент за борсово търгувани продукти</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533 537</w:t>
            </w:r>
          </w:p>
        </w:tc>
      </w:tr>
      <w:tr w:rsidR="00B9185E" w:rsidRPr="00AC6A82" w:rsidTr="00B9185E">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d</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Сегмент за дружества със специална инвестиционна цел</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5 547 026</w:t>
            </w:r>
          </w:p>
        </w:tc>
      </w:tr>
      <w:tr w:rsidR="00B9185E" w:rsidRPr="00AC6A82" w:rsidTr="00B9185E">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e</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Сегмент за държавни ценни книжа</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1 000 493</w:t>
            </w:r>
          </w:p>
        </w:tc>
      </w:tr>
      <w:tr w:rsidR="00B9185E" w:rsidRPr="00AC6A82" w:rsidTr="00B9185E">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f</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Сегмент за компенсаторни инструменти</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1 270 663</w:t>
            </w:r>
          </w:p>
        </w:tc>
      </w:tr>
      <w:tr w:rsidR="00B9185E" w:rsidRPr="00AC6A82" w:rsidTr="00B9185E">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g</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Сегмент за облигации</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2 179 334</w:t>
            </w:r>
          </w:p>
        </w:tc>
      </w:tr>
      <w:tr w:rsidR="00B9185E" w:rsidRPr="00AC6A82" w:rsidTr="00B9185E">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h</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Сегмент за права</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77 745</w:t>
            </w:r>
          </w:p>
        </w:tc>
      </w:tr>
      <w:tr w:rsidR="00B9185E" w:rsidRPr="00AC6A82" w:rsidTr="00B9185E">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i</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B9185E" w:rsidRPr="00AC6A82" w:rsidRDefault="00B9185E"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Сегмент за първично публично предлагане</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0</w:t>
            </w:r>
          </w:p>
        </w:tc>
      </w:tr>
      <w:tr w:rsidR="00B9185E" w:rsidRPr="00AC6A82" w:rsidTr="00B9185E">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center"/>
              <w:rPr>
                <w:rFonts w:ascii="Calibri" w:hAnsi="Calibri"/>
                <w:b/>
                <w:bCs/>
                <w:color w:val="000000"/>
                <w:sz w:val="20"/>
                <w:szCs w:val="20"/>
              </w:rPr>
            </w:pPr>
            <w:r w:rsidRPr="00AC6A82">
              <w:rPr>
                <w:rFonts w:ascii="Calibri" w:hAnsi="Calibri"/>
                <w:b/>
                <w:bCs/>
                <w:color w:val="000000"/>
                <w:sz w:val="20"/>
                <w:szCs w:val="20"/>
              </w:rPr>
              <w:t>2</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b/>
                <w:bCs/>
                <w:i/>
                <w:iCs/>
                <w:color w:val="000000"/>
                <w:sz w:val="20"/>
                <w:szCs w:val="20"/>
              </w:rPr>
            </w:pPr>
            <w:r w:rsidRPr="00AC6A82">
              <w:rPr>
                <w:rFonts w:ascii="Calibri" w:hAnsi="Calibri"/>
                <w:b/>
                <w:bCs/>
                <w:i/>
                <w:iCs/>
                <w:color w:val="000000"/>
                <w:sz w:val="20"/>
                <w:szCs w:val="20"/>
              </w:rPr>
              <w:t>Алтернативен пазар BaSE</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b/>
                <w:bCs/>
                <w:color w:val="000000"/>
                <w:sz w:val="20"/>
                <w:szCs w:val="20"/>
              </w:rPr>
            </w:pPr>
            <w:r w:rsidRPr="00AC6A82">
              <w:rPr>
                <w:rFonts w:ascii="Calibri" w:hAnsi="Calibri"/>
                <w:b/>
                <w:bCs/>
                <w:color w:val="000000"/>
                <w:sz w:val="20"/>
                <w:szCs w:val="20"/>
              </w:rPr>
              <w:t>16 244 839</w:t>
            </w:r>
          </w:p>
        </w:tc>
      </w:tr>
      <w:tr w:rsidR="00B9185E" w:rsidRPr="00AC6A82" w:rsidTr="00B9185E">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a</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Сегмент акции</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8 316 231</w:t>
            </w:r>
          </w:p>
        </w:tc>
      </w:tr>
      <w:tr w:rsidR="00B9185E" w:rsidRPr="00AC6A82" w:rsidTr="00B9185E">
        <w:trPr>
          <w:trHeight w:val="170"/>
          <w:jc w:val="center"/>
        </w:trPr>
        <w:tc>
          <w:tcPr>
            <w:tcW w:w="389"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b</w:t>
            </w:r>
          </w:p>
        </w:tc>
        <w:tc>
          <w:tcPr>
            <w:tcW w:w="56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Сегмент за дружества със специална инвестиционна цел</w:t>
            </w:r>
          </w:p>
        </w:tc>
        <w:tc>
          <w:tcPr>
            <w:tcW w:w="150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7 928 608</w:t>
            </w:r>
          </w:p>
        </w:tc>
      </w:tr>
    </w:tbl>
    <w:p w:rsidR="00B9185E" w:rsidRPr="00AC6A82" w:rsidRDefault="009A3F7B" w:rsidP="009C7159">
      <w:pPr>
        <w:spacing w:before="120"/>
        <w:rPr>
          <w:rFonts w:ascii="Calibri" w:hAnsi="Calibri" w:cs="Calibri"/>
          <w:i/>
        </w:rPr>
      </w:pPr>
      <w:r w:rsidRPr="00AC6A82">
        <w:rPr>
          <w:rFonts w:ascii="Calibri" w:hAnsi="Calibri" w:cs="Calibri"/>
        </w:rPr>
        <w:t xml:space="preserve">Таблица 2. Структура на търговията по пазари за отчетното </w:t>
      </w:r>
      <w:r w:rsidR="00DE5453" w:rsidRPr="00AC6A82">
        <w:rPr>
          <w:rFonts w:ascii="Calibri" w:hAnsi="Calibri" w:cs="Calibri"/>
        </w:rPr>
        <w:t>три</w:t>
      </w:r>
      <w:r w:rsidR="00F963F0" w:rsidRPr="00AC6A82">
        <w:rPr>
          <w:rFonts w:ascii="Calibri" w:hAnsi="Calibri" w:cs="Calibri"/>
        </w:rPr>
        <w:t>месечие</w:t>
      </w:r>
      <w:r w:rsidRPr="00AC6A82">
        <w:rPr>
          <w:rFonts w:ascii="Calibri" w:hAnsi="Calibri" w:cs="Calibri"/>
        </w:rPr>
        <w:t xml:space="preserve"> (брой сделки)</w:t>
      </w:r>
    </w:p>
    <w:tbl>
      <w:tblPr>
        <w:tblW w:w="7514" w:type="dxa"/>
        <w:jc w:val="center"/>
        <w:tblCellMar>
          <w:left w:w="70" w:type="dxa"/>
          <w:right w:w="70" w:type="dxa"/>
        </w:tblCellMar>
        <w:tblLook w:val="04A0" w:firstRow="1" w:lastRow="0" w:firstColumn="1" w:lastColumn="0" w:noHBand="0" w:noVBand="1"/>
      </w:tblPr>
      <w:tblGrid>
        <w:gridCol w:w="355"/>
        <w:gridCol w:w="5657"/>
        <w:gridCol w:w="1502"/>
      </w:tblGrid>
      <w:tr w:rsidR="00B9185E" w:rsidRPr="00AC6A82" w:rsidTr="00B9185E">
        <w:trPr>
          <w:trHeight w:val="170"/>
          <w:jc w:val="center"/>
        </w:trPr>
        <w:tc>
          <w:tcPr>
            <w:tcW w:w="355" w:type="dxa"/>
            <w:tcBorders>
              <w:top w:val="single" w:sz="4" w:space="0" w:color="auto"/>
              <w:left w:val="single" w:sz="4" w:space="0" w:color="auto"/>
              <w:bottom w:val="single" w:sz="4" w:space="0" w:color="auto"/>
              <w:right w:val="single" w:sz="4" w:space="0" w:color="auto"/>
            </w:tcBorders>
            <w:shd w:val="clear" w:color="000000" w:fill="4F81BD"/>
            <w:noWrap/>
            <w:tcMar>
              <w:left w:w="28" w:type="dxa"/>
              <w:right w:w="28" w:type="dxa"/>
            </w:tcMar>
            <w:vAlign w:val="center"/>
            <w:hideMark/>
          </w:tcPr>
          <w:p w:rsidR="00B9185E" w:rsidRPr="00AC6A82" w:rsidRDefault="00B9185E" w:rsidP="009C7159">
            <w:pPr>
              <w:widowControl/>
              <w:spacing w:line="240" w:lineRule="auto"/>
              <w:jc w:val="center"/>
              <w:rPr>
                <w:rFonts w:ascii="Calibri" w:hAnsi="Calibri"/>
                <w:color w:val="FFFFFF"/>
                <w:szCs w:val="22"/>
              </w:rPr>
            </w:pPr>
            <w:r w:rsidRPr="00AC6A82">
              <w:rPr>
                <w:rFonts w:ascii="Calibri" w:hAnsi="Calibri"/>
                <w:color w:val="FFFFFF"/>
                <w:szCs w:val="22"/>
              </w:rPr>
              <w:t>№</w:t>
            </w:r>
          </w:p>
        </w:tc>
        <w:tc>
          <w:tcPr>
            <w:tcW w:w="5657"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FFFFFF"/>
                <w:szCs w:val="22"/>
              </w:rPr>
            </w:pPr>
            <w:r w:rsidRPr="00AC6A82">
              <w:rPr>
                <w:rFonts w:ascii="Calibri" w:hAnsi="Calibri"/>
                <w:color w:val="FFFFFF"/>
                <w:szCs w:val="22"/>
              </w:rPr>
              <w:t>Пазарен сегмент</w:t>
            </w:r>
          </w:p>
        </w:tc>
        <w:tc>
          <w:tcPr>
            <w:tcW w:w="1502"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FFFFFF"/>
                <w:szCs w:val="22"/>
              </w:rPr>
            </w:pPr>
            <w:r w:rsidRPr="00AC6A82">
              <w:rPr>
                <w:rFonts w:ascii="Calibri" w:hAnsi="Calibri"/>
                <w:color w:val="FFFFFF"/>
                <w:szCs w:val="22"/>
              </w:rPr>
              <w:t xml:space="preserve">Брой сделки </w:t>
            </w:r>
          </w:p>
        </w:tc>
      </w:tr>
      <w:tr w:rsidR="00B9185E" w:rsidRPr="00AC6A82" w:rsidTr="00B9185E">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center"/>
              <w:rPr>
                <w:rFonts w:ascii="Calibri" w:hAnsi="Calibri"/>
                <w:b/>
                <w:bCs/>
                <w:color w:val="000000"/>
                <w:szCs w:val="22"/>
              </w:rPr>
            </w:pPr>
            <w:r w:rsidRPr="00AC6A82">
              <w:rPr>
                <w:rFonts w:ascii="Calibri" w:hAnsi="Calibri"/>
                <w:b/>
                <w:bCs/>
                <w:color w:val="000000"/>
                <w:szCs w:val="22"/>
              </w:rPr>
              <w:t>1</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b/>
                <w:bCs/>
                <w:i/>
                <w:iCs/>
                <w:color w:val="000000"/>
                <w:szCs w:val="22"/>
              </w:rPr>
            </w:pPr>
            <w:r w:rsidRPr="00AC6A82">
              <w:rPr>
                <w:rFonts w:ascii="Calibri" w:hAnsi="Calibri"/>
                <w:b/>
                <w:bCs/>
                <w:i/>
                <w:iCs/>
                <w:color w:val="000000"/>
                <w:szCs w:val="22"/>
              </w:rPr>
              <w:t>Основен пазар BSE</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b/>
                <w:bCs/>
                <w:color w:val="000000"/>
                <w:szCs w:val="22"/>
              </w:rPr>
            </w:pPr>
            <w:r w:rsidRPr="00AC6A82">
              <w:rPr>
                <w:rFonts w:ascii="Calibri" w:hAnsi="Calibri"/>
                <w:b/>
                <w:bCs/>
                <w:color w:val="000000"/>
                <w:szCs w:val="22"/>
              </w:rPr>
              <w:t>13 078</w:t>
            </w:r>
          </w:p>
        </w:tc>
      </w:tr>
      <w:tr w:rsidR="00B9185E" w:rsidRPr="00AC6A82" w:rsidTr="00B9185E">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a</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Cs w:val="22"/>
              </w:rPr>
            </w:pPr>
            <w:r w:rsidRPr="00AC6A82">
              <w:rPr>
                <w:rFonts w:ascii="Calibri" w:hAnsi="Calibri"/>
                <w:color w:val="000000"/>
                <w:szCs w:val="22"/>
              </w:rPr>
              <w:t>Сегмент акции Premium</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3 675</w:t>
            </w:r>
          </w:p>
        </w:tc>
      </w:tr>
      <w:tr w:rsidR="00B9185E" w:rsidRPr="00AC6A82" w:rsidTr="00B9185E">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b</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Cs w:val="22"/>
              </w:rPr>
            </w:pPr>
            <w:r w:rsidRPr="00AC6A82">
              <w:rPr>
                <w:rFonts w:ascii="Calibri" w:hAnsi="Calibri"/>
                <w:color w:val="000000"/>
                <w:szCs w:val="22"/>
              </w:rPr>
              <w:t>Сегмент акции Standard</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7 653</w:t>
            </w:r>
          </w:p>
        </w:tc>
      </w:tr>
      <w:tr w:rsidR="00B9185E" w:rsidRPr="00AC6A82" w:rsidTr="00B9185E">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c</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борсово търгувани продукти</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152</w:t>
            </w:r>
          </w:p>
        </w:tc>
      </w:tr>
      <w:tr w:rsidR="00B9185E" w:rsidRPr="00AC6A82" w:rsidTr="00B9185E">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d</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дружества със специална инвестиционна цел</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1 145</w:t>
            </w:r>
          </w:p>
        </w:tc>
      </w:tr>
      <w:tr w:rsidR="00B9185E" w:rsidRPr="00AC6A82" w:rsidTr="00B9185E">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e</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държавни ценни книжа</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1</w:t>
            </w:r>
          </w:p>
        </w:tc>
      </w:tr>
      <w:tr w:rsidR="00B9185E" w:rsidRPr="00AC6A82" w:rsidTr="00B9185E">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f</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компенсаторни инструменти</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343</w:t>
            </w:r>
          </w:p>
        </w:tc>
      </w:tr>
      <w:tr w:rsidR="00B9185E" w:rsidRPr="00AC6A82" w:rsidTr="00B9185E">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g</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облигации</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46</w:t>
            </w:r>
          </w:p>
        </w:tc>
      </w:tr>
      <w:tr w:rsidR="00B9185E" w:rsidRPr="00AC6A82" w:rsidTr="00B9185E">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h</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права</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63</w:t>
            </w:r>
          </w:p>
        </w:tc>
      </w:tr>
      <w:tr w:rsidR="00B9185E" w:rsidRPr="00AC6A82" w:rsidTr="00B9185E">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i</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B9185E" w:rsidRPr="00AC6A82" w:rsidRDefault="00B9185E"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първично публично предлагане</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0</w:t>
            </w:r>
          </w:p>
        </w:tc>
      </w:tr>
      <w:tr w:rsidR="00B9185E" w:rsidRPr="00AC6A82" w:rsidTr="00B9185E">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center"/>
              <w:rPr>
                <w:rFonts w:ascii="Calibri" w:hAnsi="Calibri"/>
                <w:b/>
                <w:bCs/>
                <w:color w:val="000000"/>
                <w:szCs w:val="22"/>
              </w:rPr>
            </w:pPr>
            <w:r w:rsidRPr="00AC6A82">
              <w:rPr>
                <w:rFonts w:ascii="Calibri" w:hAnsi="Calibri"/>
                <w:b/>
                <w:bCs/>
                <w:color w:val="000000"/>
                <w:szCs w:val="22"/>
              </w:rPr>
              <w:t>2</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b/>
                <w:bCs/>
                <w:i/>
                <w:iCs/>
                <w:color w:val="000000"/>
                <w:szCs w:val="22"/>
              </w:rPr>
            </w:pPr>
            <w:r w:rsidRPr="00AC6A82">
              <w:rPr>
                <w:rFonts w:ascii="Calibri" w:hAnsi="Calibri"/>
                <w:b/>
                <w:bCs/>
                <w:i/>
                <w:iCs/>
                <w:color w:val="000000"/>
                <w:szCs w:val="22"/>
              </w:rPr>
              <w:t>Алтернативен пазар BaSE</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b/>
                <w:bCs/>
                <w:color w:val="000000"/>
                <w:szCs w:val="22"/>
              </w:rPr>
            </w:pPr>
            <w:r w:rsidRPr="00AC6A82">
              <w:rPr>
                <w:rFonts w:ascii="Calibri" w:hAnsi="Calibri"/>
                <w:b/>
                <w:bCs/>
                <w:color w:val="000000"/>
                <w:szCs w:val="22"/>
              </w:rPr>
              <w:t>1 087</w:t>
            </w:r>
          </w:p>
        </w:tc>
      </w:tr>
      <w:tr w:rsidR="00B9185E" w:rsidRPr="00AC6A82" w:rsidTr="00B9185E">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a</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Cs w:val="22"/>
              </w:rPr>
            </w:pPr>
            <w:r w:rsidRPr="00AC6A82">
              <w:rPr>
                <w:rFonts w:ascii="Calibri" w:hAnsi="Calibri"/>
                <w:color w:val="000000"/>
                <w:szCs w:val="22"/>
              </w:rPr>
              <w:t>Сегмент акции</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906</w:t>
            </w:r>
          </w:p>
        </w:tc>
      </w:tr>
      <w:tr w:rsidR="00B9185E" w:rsidRPr="00AC6A82" w:rsidTr="00B9185E">
        <w:trPr>
          <w:trHeight w:val="170"/>
          <w:jc w:val="center"/>
        </w:trPr>
        <w:tc>
          <w:tcPr>
            <w:tcW w:w="355"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b</w:t>
            </w:r>
          </w:p>
        </w:tc>
        <w:tc>
          <w:tcPr>
            <w:tcW w:w="565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дружества със специална инвестиционна цел</w:t>
            </w:r>
          </w:p>
        </w:tc>
        <w:tc>
          <w:tcPr>
            <w:tcW w:w="1502"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B9185E" w:rsidRPr="00AC6A82" w:rsidRDefault="00B9185E" w:rsidP="009C7159">
            <w:pPr>
              <w:widowControl/>
              <w:spacing w:line="240" w:lineRule="auto"/>
              <w:jc w:val="right"/>
              <w:rPr>
                <w:rFonts w:ascii="Calibri" w:hAnsi="Calibri"/>
                <w:color w:val="000000"/>
                <w:szCs w:val="22"/>
              </w:rPr>
            </w:pPr>
            <w:r w:rsidRPr="00AC6A82">
              <w:rPr>
                <w:rFonts w:ascii="Calibri" w:hAnsi="Calibri"/>
                <w:color w:val="000000"/>
                <w:szCs w:val="22"/>
              </w:rPr>
              <w:t>181</w:t>
            </w:r>
          </w:p>
        </w:tc>
      </w:tr>
    </w:tbl>
    <w:p w:rsidR="00B9185E" w:rsidRPr="00AC6A82" w:rsidRDefault="009A3F7B" w:rsidP="009C7159">
      <w:pPr>
        <w:spacing w:before="120"/>
        <w:rPr>
          <w:rFonts w:ascii="Calibri" w:hAnsi="Calibri" w:cs="Calibri"/>
        </w:rPr>
      </w:pPr>
      <w:r w:rsidRPr="00AC6A82">
        <w:rPr>
          <w:rFonts w:ascii="Calibri" w:hAnsi="Calibri" w:cs="Calibri"/>
        </w:rPr>
        <w:t xml:space="preserve">Таблица 3. Структура на търговията по пазари за отчетното </w:t>
      </w:r>
      <w:r w:rsidR="00C1730A" w:rsidRPr="00AC6A82">
        <w:rPr>
          <w:rFonts w:ascii="Calibri" w:hAnsi="Calibri" w:cs="Calibri"/>
        </w:rPr>
        <w:t>три</w:t>
      </w:r>
      <w:r w:rsidR="00F963F0" w:rsidRPr="00AC6A82">
        <w:rPr>
          <w:rFonts w:ascii="Calibri" w:hAnsi="Calibri" w:cs="Calibri"/>
        </w:rPr>
        <w:t>месечие</w:t>
      </w:r>
      <w:r w:rsidRPr="00AC6A82">
        <w:rPr>
          <w:rFonts w:ascii="Calibri" w:hAnsi="Calibri" w:cs="Calibri"/>
        </w:rPr>
        <w:t xml:space="preserve"> (брой лотове)</w:t>
      </w:r>
    </w:p>
    <w:tbl>
      <w:tblPr>
        <w:tblW w:w="7519" w:type="dxa"/>
        <w:jc w:val="center"/>
        <w:tblCellMar>
          <w:left w:w="70" w:type="dxa"/>
          <w:right w:w="70" w:type="dxa"/>
        </w:tblCellMar>
        <w:tblLook w:val="04A0" w:firstRow="1" w:lastRow="0" w:firstColumn="1" w:lastColumn="0" w:noHBand="0" w:noVBand="1"/>
      </w:tblPr>
      <w:tblGrid>
        <w:gridCol w:w="431"/>
        <w:gridCol w:w="5628"/>
        <w:gridCol w:w="1460"/>
      </w:tblGrid>
      <w:tr w:rsidR="009C7159" w:rsidRPr="00AC6A82" w:rsidTr="009C7159">
        <w:trPr>
          <w:trHeight w:val="170"/>
          <w:jc w:val="center"/>
        </w:trPr>
        <w:tc>
          <w:tcPr>
            <w:tcW w:w="431" w:type="dxa"/>
            <w:tcBorders>
              <w:top w:val="single" w:sz="4" w:space="0" w:color="auto"/>
              <w:left w:val="single" w:sz="4" w:space="0" w:color="auto"/>
              <w:bottom w:val="single" w:sz="4" w:space="0" w:color="auto"/>
              <w:right w:val="single" w:sz="4" w:space="0" w:color="auto"/>
            </w:tcBorders>
            <w:shd w:val="clear" w:color="000000" w:fill="4F81BD"/>
            <w:noWrap/>
            <w:tcMar>
              <w:left w:w="28" w:type="dxa"/>
              <w:right w:w="28" w:type="dxa"/>
            </w:tcMar>
            <w:vAlign w:val="center"/>
            <w:hideMark/>
          </w:tcPr>
          <w:p w:rsidR="009C7159" w:rsidRPr="00AC6A82" w:rsidRDefault="009C7159" w:rsidP="009C7159">
            <w:pPr>
              <w:widowControl/>
              <w:spacing w:line="240" w:lineRule="auto"/>
              <w:jc w:val="center"/>
              <w:rPr>
                <w:rFonts w:ascii="Calibri" w:hAnsi="Calibri"/>
                <w:color w:val="FFFFFF"/>
                <w:szCs w:val="22"/>
              </w:rPr>
            </w:pPr>
            <w:r w:rsidRPr="00AC6A82">
              <w:rPr>
                <w:rFonts w:ascii="Calibri" w:hAnsi="Calibri"/>
                <w:color w:val="FFFFFF"/>
                <w:szCs w:val="22"/>
              </w:rPr>
              <w:t>№</w:t>
            </w:r>
          </w:p>
        </w:tc>
        <w:tc>
          <w:tcPr>
            <w:tcW w:w="5628"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FFFFFF"/>
                <w:szCs w:val="22"/>
              </w:rPr>
            </w:pPr>
            <w:r w:rsidRPr="00AC6A82">
              <w:rPr>
                <w:rFonts w:ascii="Calibri" w:hAnsi="Calibri"/>
                <w:color w:val="FFFFFF"/>
                <w:szCs w:val="22"/>
              </w:rPr>
              <w:t>Пазарен сегмент</w:t>
            </w:r>
          </w:p>
        </w:tc>
        <w:tc>
          <w:tcPr>
            <w:tcW w:w="1460"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FFFFFF"/>
                <w:szCs w:val="22"/>
              </w:rPr>
            </w:pPr>
            <w:r w:rsidRPr="00AC6A82">
              <w:rPr>
                <w:rFonts w:ascii="Calibri" w:hAnsi="Calibri"/>
                <w:color w:val="FFFFFF"/>
                <w:szCs w:val="22"/>
              </w:rPr>
              <w:t>Обем</w:t>
            </w:r>
          </w:p>
        </w:tc>
      </w:tr>
      <w:tr w:rsidR="009C7159" w:rsidRPr="00AC6A82" w:rsidTr="009C715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center"/>
              <w:rPr>
                <w:rFonts w:ascii="Calibri" w:hAnsi="Calibri"/>
                <w:b/>
                <w:bCs/>
                <w:color w:val="000000"/>
                <w:szCs w:val="22"/>
              </w:rPr>
            </w:pPr>
            <w:r w:rsidRPr="00AC6A82">
              <w:rPr>
                <w:rFonts w:ascii="Calibri" w:hAnsi="Calibri"/>
                <w:b/>
                <w:bCs/>
                <w:color w:val="000000"/>
                <w:szCs w:val="22"/>
              </w:rPr>
              <w:t>1</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b/>
                <w:bCs/>
                <w:i/>
                <w:iCs/>
                <w:color w:val="000000"/>
                <w:szCs w:val="22"/>
              </w:rPr>
            </w:pPr>
            <w:r w:rsidRPr="00AC6A82">
              <w:rPr>
                <w:rFonts w:ascii="Calibri" w:hAnsi="Calibri"/>
                <w:b/>
                <w:bCs/>
                <w:i/>
                <w:iCs/>
                <w:color w:val="000000"/>
                <w:szCs w:val="22"/>
              </w:rPr>
              <w:t>Основен пазар BSE</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b/>
                <w:bCs/>
                <w:color w:val="000000"/>
                <w:szCs w:val="22"/>
              </w:rPr>
            </w:pPr>
            <w:r w:rsidRPr="00AC6A82">
              <w:rPr>
                <w:rFonts w:ascii="Calibri" w:hAnsi="Calibri"/>
                <w:b/>
                <w:bCs/>
                <w:color w:val="000000"/>
                <w:szCs w:val="22"/>
              </w:rPr>
              <w:t>56 490 576</w:t>
            </w:r>
          </w:p>
        </w:tc>
      </w:tr>
      <w:tr w:rsidR="009C7159" w:rsidRPr="00AC6A82" w:rsidTr="009C715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a</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Сегмент акции Premium</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4 620 481</w:t>
            </w:r>
          </w:p>
        </w:tc>
      </w:tr>
      <w:tr w:rsidR="009C7159" w:rsidRPr="00AC6A82" w:rsidTr="009C715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b</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Сегмент акции Standard</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18 162 179</w:t>
            </w:r>
          </w:p>
        </w:tc>
      </w:tr>
      <w:tr w:rsidR="009C7159" w:rsidRPr="00AC6A82" w:rsidTr="009C715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c</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борсово търгувани продукти</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9 011 469</w:t>
            </w:r>
          </w:p>
        </w:tc>
      </w:tr>
      <w:tr w:rsidR="009C7159" w:rsidRPr="00AC6A82" w:rsidTr="009C715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d</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дружества със специална инвестиционна цел</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2 349 965</w:t>
            </w:r>
          </w:p>
        </w:tc>
      </w:tr>
      <w:tr w:rsidR="009C7159" w:rsidRPr="00AC6A82" w:rsidTr="009C715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e</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държавни ценни книжа</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925</w:t>
            </w:r>
          </w:p>
        </w:tc>
      </w:tr>
      <w:tr w:rsidR="009C7159" w:rsidRPr="00AC6A82" w:rsidTr="009C715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f</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компенсаторни инструменти</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2 405 307</w:t>
            </w:r>
          </w:p>
        </w:tc>
      </w:tr>
      <w:tr w:rsidR="009C7159" w:rsidRPr="00AC6A82" w:rsidTr="009C715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g</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облигации</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1 865</w:t>
            </w:r>
          </w:p>
        </w:tc>
      </w:tr>
      <w:tr w:rsidR="009C7159" w:rsidRPr="00AC6A82" w:rsidTr="009C715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h</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права</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19 938 385</w:t>
            </w:r>
          </w:p>
        </w:tc>
      </w:tr>
      <w:tr w:rsidR="009C7159" w:rsidRPr="00AC6A82" w:rsidTr="009C715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i</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първично публично предлагане</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0</w:t>
            </w:r>
          </w:p>
        </w:tc>
      </w:tr>
      <w:tr w:rsidR="009C7159" w:rsidRPr="00AC6A82" w:rsidTr="009C715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center"/>
              <w:rPr>
                <w:rFonts w:ascii="Calibri" w:hAnsi="Calibri"/>
                <w:b/>
                <w:bCs/>
                <w:color w:val="000000"/>
                <w:szCs w:val="22"/>
              </w:rPr>
            </w:pPr>
            <w:r w:rsidRPr="00AC6A82">
              <w:rPr>
                <w:rFonts w:ascii="Calibri" w:hAnsi="Calibri"/>
                <w:b/>
                <w:bCs/>
                <w:color w:val="000000"/>
                <w:szCs w:val="22"/>
              </w:rPr>
              <w:t>2</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b/>
                <w:bCs/>
                <w:i/>
                <w:iCs/>
                <w:color w:val="000000"/>
                <w:szCs w:val="22"/>
              </w:rPr>
            </w:pPr>
            <w:r w:rsidRPr="00AC6A82">
              <w:rPr>
                <w:rFonts w:ascii="Calibri" w:hAnsi="Calibri"/>
                <w:b/>
                <w:bCs/>
                <w:i/>
                <w:iCs/>
                <w:color w:val="000000"/>
                <w:szCs w:val="22"/>
              </w:rPr>
              <w:t>Алтернативен пазар BaSE</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b/>
                <w:bCs/>
                <w:color w:val="000000"/>
                <w:szCs w:val="22"/>
              </w:rPr>
            </w:pPr>
            <w:r w:rsidRPr="00AC6A82">
              <w:rPr>
                <w:rFonts w:ascii="Calibri" w:hAnsi="Calibri"/>
                <w:b/>
                <w:bCs/>
                <w:color w:val="000000"/>
                <w:szCs w:val="22"/>
              </w:rPr>
              <w:t>6 832 491</w:t>
            </w:r>
          </w:p>
        </w:tc>
      </w:tr>
      <w:tr w:rsidR="009C7159" w:rsidRPr="00AC6A82" w:rsidTr="009C715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a</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Сегмент акции</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3 229 258</w:t>
            </w:r>
          </w:p>
        </w:tc>
      </w:tr>
      <w:tr w:rsidR="009C7159" w:rsidRPr="00AC6A82" w:rsidTr="009C7159">
        <w:trPr>
          <w:trHeight w:val="170"/>
          <w:jc w:val="center"/>
        </w:trPr>
        <w:tc>
          <w:tcPr>
            <w:tcW w:w="43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b</w:t>
            </w:r>
          </w:p>
        </w:tc>
        <w:tc>
          <w:tcPr>
            <w:tcW w:w="5628"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дружества със специална инвестиционна цел</w:t>
            </w:r>
          </w:p>
        </w:tc>
        <w:tc>
          <w:tcPr>
            <w:tcW w:w="14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3 603 233</w:t>
            </w:r>
          </w:p>
        </w:tc>
      </w:tr>
    </w:tbl>
    <w:p w:rsidR="009A3F7B" w:rsidRPr="00AC6A82" w:rsidRDefault="009A3F7B" w:rsidP="001A50AB">
      <w:pPr>
        <w:rPr>
          <w:rFonts w:ascii="Calibri" w:hAnsi="Calibri" w:cs="Calibri"/>
        </w:rPr>
      </w:pPr>
      <w:r w:rsidRPr="00AC6A82">
        <w:rPr>
          <w:rFonts w:ascii="Calibri" w:hAnsi="Calibri" w:cs="Calibri"/>
        </w:rPr>
        <w:br w:type="page"/>
      </w:r>
    </w:p>
    <w:p w:rsidR="009C7159" w:rsidRPr="00AC6A82" w:rsidRDefault="009A3F7B" w:rsidP="001A50AB">
      <w:pPr>
        <w:rPr>
          <w:rFonts w:ascii="Calibri" w:hAnsi="Calibri" w:cs="Calibri"/>
        </w:rPr>
      </w:pPr>
      <w:r w:rsidRPr="00AC6A82">
        <w:rPr>
          <w:rFonts w:ascii="Calibri" w:hAnsi="Calibri" w:cs="Calibri"/>
        </w:rPr>
        <w:t>Таблица 4. Търговия по видове ценни книжа на регулиран пазар</w:t>
      </w:r>
    </w:p>
    <w:tbl>
      <w:tblPr>
        <w:tblW w:w="9505" w:type="dxa"/>
        <w:jc w:val="center"/>
        <w:tblCellMar>
          <w:left w:w="70" w:type="dxa"/>
          <w:right w:w="70" w:type="dxa"/>
        </w:tblCellMar>
        <w:tblLook w:val="04A0" w:firstRow="1" w:lastRow="0" w:firstColumn="1" w:lastColumn="0" w:noHBand="0" w:noVBand="1"/>
      </w:tblPr>
      <w:tblGrid>
        <w:gridCol w:w="3476"/>
        <w:gridCol w:w="1273"/>
        <w:gridCol w:w="1346"/>
        <w:gridCol w:w="1361"/>
        <w:gridCol w:w="2049"/>
      </w:tblGrid>
      <w:tr w:rsidR="009C7159" w:rsidRPr="00AC6A82" w:rsidTr="009C7159">
        <w:trPr>
          <w:trHeight w:val="170"/>
          <w:jc w:val="center"/>
        </w:trPr>
        <w:tc>
          <w:tcPr>
            <w:tcW w:w="3476" w:type="dxa"/>
            <w:tcBorders>
              <w:top w:val="single" w:sz="4" w:space="0" w:color="auto"/>
              <w:left w:val="single" w:sz="4" w:space="0" w:color="auto"/>
              <w:bottom w:val="single" w:sz="4" w:space="0" w:color="auto"/>
              <w:right w:val="single" w:sz="4" w:space="0" w:color="auto"/>
            </w:tcBorders>
            <w:shd w:val="clear" w:color="000000" w:fill="4F81BD"/>
            <w:noWrap/>
            <w:tcMar>
              <w:left w:w="28" w:type="dxa"/>
              <w:right w:w="28" w:type="dxa"/>
            </w:tcMar>
            <w:vAlign w:val="center"/>
            <w:hideMark/>
          </w:tcPr>
          <w:p w:rsidR="009C7159" w:rsidRPr="00AC6A82" w:rsidRDefault="009C7159" w:rsidP="009C7159">
            <w:pPr>
              <w:widowControl/>
              <w:spacing w:line="240" w:lineRule="auto"/>
              <w:jc w:val="center"/>
              <w:rPr>
                <w:rFonts w:ascii="Calibri" w:hAnsi="Calibri"/>
                <w:b/>
                <w:bCs/>
                <w:color w:val="FFFFFF"/>
                <w:szCs w:val="22"/>
              </w:rPr>
            </w:pPr>
            <w:r w:rsidRPr="00AC6A82">
              <w:rPr>
                <w:rFonts w:ascii="Calibri" w:hAnsi="Calibri"/>
                <w:b/>
                <w:bCs/>
                <w:color w:val="FFFFFF"/>
                <w:szCs w:val="22"/>
              </w:rPr>
              <w:t>Пазар / Пазарен сегмент</w:t>
            </w:r>
          </w:p>
        </w:tc>
        <w:tc>
          <w:tcPr>
            <w:tcW w:w="1273"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9C7159" w:rsidRPr="00AC6A82" w:rsidRDefault="009C7159" w:rsidP="009C7159">
            <w:pPr>
              <w:widowControl/>
              <w:spacing w:line="240" w:lineRule="auto"/>
              <w:jc w:val="center"/>
              <w:rPr>
                <w:rFonts w:ascii="Calibri" w:hAnsi="Calibri"/>
                <w:b/>
                <w:bCs/>
                <w:color w:val="FFFFFF"/>
                <w:szCs w:val="22"/>
              </w:rPr>
            </w:pPr>
            <w:r w:rsidRPr="00AC6A82">
              <w:rPr>
                <w:rFonts w:ascii="Calibri" w:hAnsi="Calibri"/>
                <w:b/>
                <w:bCs/>
                <w:color w:val="FFFFFF"/>
                <w:szCs w:val="22"/>
              </w:rPr>
              <w:t>Q4 '18</w:t>
            </w:r>
          </w:p>
        </w:tc>
        <w:tc>
          <w:tcPr>
            <w:tcW w:w="1346"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9C7159" w:rsidRPr="00AC6A82" w:rsidRDefault="009C7159" w:rsidP="009C7159">
            <w:pPr>
              <w:widowControl/>
              <w:spacing w:line="240" w:lineRule="auto"/>
              <w:jc w:val="center"/>
              <w:rPr>
                <w:rFonts w:ascii="Calibri" w:hAnsi="Calibri"/>
                <w:b/>
                <w:bCs/>
                <w:color w:val="FFFFFF"/>
                <w:szCs w:val="22"/>
              </w:rPr>
            </w:pPr>
            <w:r w:rsidRPr="00AC6A82">
              <w:rPr>
                <w:rFonts w:ascii="Calibri" w:hAnsi="Calibri"/>
                <w:b/>
                <w:bCs/>
                <w:color w:val="FFFFFF"/>
                <w:szCs w:val="22"/>
              </w:rPr>
              <w:t>Q1 '19</w:t>
            </w:r>
          </w:p>
        </w:tc>
        <w:tc>
          <w:tcPr>
            <w:tcW w:w="1361"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9C7159" w:rsidRPr="00AC6A82" w:rsidRDefault="009C7159" w:rsidP="009C7159">
            <w:pPr>
              <w:widowControl/>
              <w:spacing w:line="240" w:lineRule="auto"/>
              <w:jc w:val="center"/>
              <w:rPr>
                <w:rFonts w:ascii="Calibri" w:hAnsi="Calibri"/>
                <w:b/>
                <w:bCs/>
                <w:color w:val="FFFFFF"/>
                <w:szCs w:val="22"/>
              </w:rPr>
            </w:pPr>
            <w:r w:rsidRPr="00AC6A82">
              <w:rPr>
                <w:rFonts w:ascii="Calibri" w:hAnsi="Calibri"/>
                <w:b/>
                <w:bCs/>
                <w:color w:val="FFFFFF"/>
                <w:szCs w:val="22"/>
              </w:rPr>
              <w:t>промяна %</w:t>
            </w:r>
          </w:p>
        </w:tc>
        <w:tc>
          <w:tcPr>
            <w:tcW w:w="2049"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9C7159" w:rsidRPr="00AC6A82" w:rsidRDefault="009C7159" w:rsidP="009C7159">
            <w:pPr>
              <w:widowControl/>
              <w:spacing w:line="240" w:lineRule="auto"/>
              <w:jc w:val="center"/>
              <w:rPr>
                <w:rFonts w:ascii="Calibri" w:hAnsi="Calibri"/>
                <w:b/>
                <w:bCs/>
                <w:color w:val="FFFFFF"/>
                <w:szCs w:val="22"/>
              </w:rPr>
            </w:pPr>
            <w:r w:rsidRPr="00AC6A82">
              <w:rPr>
                <w:rFonts w:ascii="Calibri" w:hAnsi="Calibri"/>
                <w:b/>
                <w:bCs/>
                <w:color w:val="FFFFFF"/>
                <w:szCs w:val="22"/>
              </w:rPr>
              <w:t>абсолютна стойност</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b/>
                <w:bCs/>
                <w:color w:val="000000"/>
                <w:szCs w:val="22"/>
              </w:rPr>
            </w:pPr>
            <w:r w:rsidRPr="00AC6A82">
              <w:rPr>
                <w:rFonts w:ascii="Calibri" w:hAnsi="Calibri"/>
                <w:b/>
                <w:bCs/>
                <w:color w:val="000000"/>
                <w:szCs w:val="22"/>
              </w:rPr>
              <w:t>Оборот (BGN)</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b/>
                <w:bCs/>
                <w:color w:val="000000"/>
                <w:szCs w:val="22"/>
              </w:rPr>
            </w:pPr>
            <w:r w:rsidRPr="00AC6A82">
              <w:rPr>
                <w:rFonts w:ascii="Calibri" w:hAnsi="Calibri"/>
                <w:b/>
                <w:bCs/>
                <w:color w:val="000000"/>
                <w:szCs w:val="22"/>
              </w:rPr>
              <w:t>180 252 919</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b/>
                <w:bCs/>
                <w:color w:val="000000"/>
                <w:szCs w:val="22"/>
              </w:rPr>
            </w:pPr>
            <w:r w:rsidRPr="00AC6A82">
              <w:rPr>
                <w:rFonts w:ascii="Calibri" w:hAnsi="Calibri"/>
                <w:b/>
                <w:bCs/>
                <w:color w:val="000000"/>
                <w:szCs w:val="22"/>
              </w:rPr>
              <w:t>99 672 508</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b/>
                <w:bCs/>
                <w:color w:val="000000"/>
                <w:szCs w:val="22"/>
              </w:rPr>
            </w:pPr>
            <w:r w:rsidRPr="00AC6A82">
              <w:rPr>
                <w:rFonts w:ascii="Calibri" w:hAnsi="Calibri"/>
                <w:b/>
                <w:bCs/>
                <w:color w:val="000000"/>
                <w:szCs w:val="22"/>
              </w:rPr>
              <w:t>-44,70%</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b/>
                <w:bCs/>
                <w:color w:val="000000"/>
                <w:szCs w:val="22"/>
              </w:rPr>
            </w:pPr>
            <w:r w:rsidRPr="00AC6A82">
              <w:rPr>
                <w:rFonts w:ascii="Calibri" w:hAnsi="Calibri"/>
                <w:b/>
                <w:bCs/>
                <w:color w:val="000000"/>
                <w:szCs w:val="22"/>
              </w:rPr>
              <w:t>-80 580 411</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 xml:space="preserve">Акции (без АДСИЦ) </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110 015 387</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81 135 103</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-26,25%</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-28 880 283</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Акции на АДСИЦ</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27 578 479</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13 475 633</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-51,14%</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-14 102 846</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Облигации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30 815 243</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2 179 334</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-92,93%</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-28 635 910</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Борсово търгувани продукти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440 483</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533 537</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21,13%</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93 054</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държавни ценни книжа</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9 504 041</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1 000 493</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-89,47%</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-8 503 548</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Компенсаторни инструменти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1 871 740</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1 270 663</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-32,11%</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-601 078</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 xml:space="preserve">Други </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27 545</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77 745</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182,24%</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50 200</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b/>
                <w:bCs/>
                <w:color w:val="000000"/>
                <w:szCs w:val="22"/>
              </w:rPr>
            </w:pPr>
            <w:r w:rsidRPr="00AC6A82">
              <w:rPr>
                <w:rFonts w:ascii="Calibri" w:hAnsi="Calibri"/>
                <w:b/>
                <w:bCs/>
                <w:color w:val="000000"/>
                <w:szCs w:val="22"/>
              </w:rPr>
              <w:t>Обем ФИ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b/>
                <w:bCs/>
                <w:color w:val="000000"/>
                <w:szCs w:val="22"/>
              </w:rPr>
            </w:pPr>
            <w:r w:rsidRPr="00AC6A82">
              <w:rPr>
                <w:rFonts w:ascii="Calibri" w:hAnsi="Calibri"/>
                <w:b/>
                <w:bCs/>
                <w:color w:val="000000"/>
                <w:szCs w:val="22"/>
              </w:rPr>
              <w:t>92 166 495</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b/>
                <w:bCs/>
                <w:color w:val="000000"/>
                <w:szCs w:val="22"/>
              </w:rPr>
            </w:pPr>
            <w:r w:rsidRPr="00AC6A82">
              <w:rPr>
                <w:rFonts w:ascii="Calibri" w:hAnsi="Calibri"/>
                <w:b/>
                <w:bCs/>
                <w:color w:val="000000"/>
                <w:szCs w:val="22"/>
              </w:rPr>
              <w:t>63 323 067</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b/>
                <w:bCs/>
                <w:color w:val="000000"/>
                <w:szCs w:val="22"/>
              </w:rPr>
            </w:pPr>
            <w:r w:rsidRPr="00AC6A82">
              <w:rPr>
                <w:rFonts w:ascii="Calibri" w:hAnsi="Calibri"/>
                <w:b/>
                <w:bCs/>
                <w:color w:val="000000"/>
                <w:szCs w:val="22"/>
              </w:rPr>
              <w:t>-31,29%</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b/>
                <w:bCs/>
                <w:color w:val="000000"/>
                <w:szCs w:val="22"/>
              </w:rPr>
            </w:pPr>
            <w:r w:rsidRPr="00AC6A82">
              <w:rPr>
                <w:rFonts w:ascii="Calibri" w:hAnsi="Calibri"/>
                <w:b/>
                <w:bCs/>
                <w:color w:val="000000"/>
                <w:szCs w:val="22"/>
              </w:rPr>
              <w:t>-28 843 428</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 xml:space="preserve">Акции (без АДСИЦ) </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40 312 509</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26 011 918</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-35,47%</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-14 300 591</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Акции на АДСИЦ</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20 420 939</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5 953 198</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-70,85%</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-14 467 741</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Облигации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18 882</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1 865</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-90,12%</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-17 017</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Борсово търгувани продукти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350 602</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9 011 469</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2 470,28%</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8 660 867</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държавни ценни книжа</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8 250</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925</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-88,79%</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-7 325</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Компенсаторни инструменти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4 270 544</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2 405 307</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-43,68%</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-1 865 237</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 xml:space="preserve">Други </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26 784 769</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19 938 385</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-25,56%</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-6 846 384</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b/>
                <w:bCs/>
                <w:color w:val="000000"/>
                <w:szCs w:val="22"/>
              </w:rPr>
            </w:pPr>
            <w:r w:rsidRPr="00AC6A82">
              <w:rPr>
                <w:rFonts w:ascii="Calibri" w:hAnsi="Calibri"/>
                <w:b/>
                <w:bCs/>
                <w:color w:val="000000"/>
                <w:szCs w:val="22"/>
              </w:rPr>
              <w:t xml:space="preserve">Брой сделки </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b/>
                <w:bCs/>
                <w:color w:val="000000"/>
                <w:szCs w:val="22"/>
              </w:rPr>
            </w:pPr>
            <w:r w:rsidRPr="00AC6A82">
              <w:rPr>
                <w:rFonts w:ascii="Calibri" w:hAnsi="Calibri"/>
                <w:b/>
                <w:bCs/>
                <w:color w:val="000000"/>
                <w:szCs w:val="22"/>
              </w:rPr>
              <w:t>15 302</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b/>
                <w:bCs/>
                <w:color w:val="000000"/>
                <w:szCs w:val="22"/>
              </w:rPr>
            </w:pPr>
            <w:r w:rsidRPr="00AC6A82">
              <w:rPr>
                <w:rFonts w:ascii="Calibri" w:hAnsi="Calibri"/>
                <w:b/>
                <w:bCs/>
                <w:color w:val="000000"/>
                <w:szCs w:val="22"/>
              </w:rPr>
              <w:t>14 165</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b/>
                <w:bCs/>
                <w:color w:val="000000"/>
                <w:szCs w:val="22"/>
              </w:rPr>
            </w:pPr>
            <w:r w:rsidRPr="00AC6A82">
              <w:rPr>
                <w:rFonts w:ascii="Calibri" w:hAnsi="Calibri"/>
                <w:b/>
                <w:bCs/>
                <w:color w:val="000000"/>
                <w:szCs w:val="22"/>
              </w:rPr>
              <w:t>-7,43%</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b/>
                <w:bCs/>
                <w:color w:val="000000"/>
                <w:szCs w:val="22"/>
              </w:rPr>
            </w:pPr>
            <w:r w:rsidRPr="00AC6A82">
              <w:rPr>
                <w:rFonts w:ascii="Calibri" w:hAnsi="Calibri"/>
                <w:b/>
                <w:bCs/>
                <w:color w:val="000000"/>
                <w:szCs w:val="22"/>
              </w:rPr>
              <w:t>-1 137</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 xml:space="preserve">Акции (без АДСИЦ) </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12 807</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12 234</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-4,47%</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-573</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Акции на АДСИЦ</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1 613</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1 326</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-17,79%</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-287</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Облигации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108</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46</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-57,41%</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-62</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Борсово търгувани продукти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154</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152</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-1,30%</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-2</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Сегмент за държавни ценни книжа</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5</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-80,00%</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-4</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Компенсаторни инструменти</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517</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343</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-33,66%</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-174</w:t>
            </w:r>
          </w:p>
        </w:tc>
      </w:tr>
      <w:tr w:rsidR="009C7159" w:rsidRPr="00AC6A82" w:rsidTr="009C7159">
        <w:trPr>
          <w:trHeight w:val="170"/>
          <w:jc w:val="center"/>
        </w:trPr>
        <w:tc>
          <w:tcPr>
            <w:tcW w:w="347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000000"/>
                <w:szCs w:val="22"/>
              </w:rPr>
            </w:pPr>
            <w:r w:rsidRPr="00AC6A82">
              <w:rPr>
                <w:rFonts w:ascii="Calibri" w:hAnsi="Calibri"/>
                <w:color w:val="000000"/>
                <w:szCs w:val="22"/>
              </w:rPr>
              <w:t xml:space="preserve">Други </w:t>
            </w:r>
          </w:p>
        </w:tc>
        <w:tc>
          <w:tcPr>
            <w:tcW w:w="1273"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98</w:t>
            </w:r>
          </w:p>
        </w:tc>
        <w:tc>
          <w:tcPr>
            <w:tcW w:w="1346"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63</w:t>
            </w:r>
          </w:p>
        </w:tc>
        <w:tc>
          <w:tcPr>
            <w:tcW w:w="1361"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-35,71%</w:t>
            </w:r>
          </w:p>
        </w:tc>
        <w:tc>
          <w:tcPr>
            <w:tcW w:w="2049"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9C7159" w:rsidRPr="00AC6A82" w:rsidRDefault="009C7159" w:rsidP="009C7159">
            <w:pPr>
              <w:widowControl/>
              <w:spacing w:line="240" w:lineRule="auto"/>
              <w:jc w:val="right"/>
              <w:rPr>
                <w:rFonts w:ascii="Calibri" w:hAnsi="Calibri"/>
                <w:color w:val="000000"/>
                <w:szCs w:val="22"/>
              </w:rPr>
            </w:pPr>
            <w:r w:rsidRPr="00AC6A82">
              <w:rPr>
                <w:rFonts w:ascii="Calibri" w:hAnsi="Calibri"/>
                <w:color w:val="000000"/>
                <w:szCs w:val="22"/>
              </w:rPr>
              <w:t>-35</w:t>
            </w:r>
          </w:p>
        </w:tc>
      </w:tr>
    </w:tbl>
    <w:p w:rsidR="000602B5" w:rsidRPr="00AC6A82" w:rsidRDefault="000602B5" w:rsidP="000602B5">
      <w:pPr>
        <w:spacing w:line="240" w:lineRule="auto"/>
        <w:rPr>
          <w:rFonts w:ascii="Calibri" w:hAnsi="Calibri" w:cs="Calibri"/>
        </w:rPr>
      </w:pPr>
    </w:p>
    <w:tbl>
      <w:tblPr>
        <w:tblStyle w:val="TableGrid"/>
        <w:tblW w:w="954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27"/>
        <w:gridCol w:w="33"/>
      </w:tblGrid>
      <w:tr w:rsidR="000602B5" w:rsidRPr="00AC6A82" w:rsidTr="006E6027">
        <w:trPr>
          <w:gridAfter w:val="1"/>
          <w:wAfter w:w="32" w:type="dxa"/>
          <w:jc w:val="center"/>
        </w:trPr>
        <w:tc>
          <w:tcPr>
            <w:tcW w:w="9515" w:type="dxa"/>
          </w:tcPr>
          <w:p w:rsidR="000602B5" w:rsidRPr="00AC6A82" w:rsidRDefault="000602B5" w:rsidP="006E6027">
            <w:pPr>
              <w:rPr>
                <w:rFonts w:ascii="Calibri" w:hAnsi="Calibri" w:cs="Calibri"/>
              </w:rPr>
            </w:pPr>
            <w:r w:rsidRPr="00AC6A82">
              <w:rPr>
                <w:rFonts w:ascii="Calibri" w:hAnsi="Calibri" w:cs="Calibri"/>
              </w:rPr>
              <w:t xml:space="preserve">Графика 3: Десетте дружества с най-висок оборот през отчетното </w:t>
            </w:r>
            <w:r w:rsidR="00DE5453" w:rsidRPr="00AC6A82">
              <w:rPr>
                <w:rFonts w:ascii="Calibri" w:hAnsi="Calibri" w:cs="Calibri"/>
              </w:rPr>
              <w:t>три</w:t>
            </w:r>
            <w:r w:rsidRPr="00AC6A82">
              <w:rPr>
                <w:rFonts w:ascii="Calibri" w:hAnsi="Calibri" w:cs="Calibri"/>
              </w:rPr>
              <w:t>месечие</w:t>
            </w:r>
          </w:p>
        </w:tc>
      </w:tr>
      <w:tr w:rsidR="000602B5" w:rsidRPr="00AC6A82" w:rsidTr="009C7159">
        <w:tblPrEx>
          <w:tblCellMar>
            <w:left w:w="70" w:type="dxa"/>
            <w:right w:w="70" w:type="dxa"/>
          </w:tblCellMar>
        </w:tblPrEx>
        <w:trPr>
          <w:trHeight w:hRule="exact" w:val="5182"/>
          <w:jc w:val="center"/>
        </w:trPr>
        <w:tc>
          <w:tcPr>
            <w:tcW w:w="9547" w:type="dxa"/>
            <w:gridSpan w:val="2"/>
            <w:shd w:val="clear" w:color="auto" w:fill="FFFFFF" w:themeFill="background1"/>
          </w:tcPr>
          <w:p w:rsidR="000602B5" w:rsidRPr="00AC6A82" w:rsidRDefault="009C7159" w:rsidP="006E6027">
            <w:pPr>
              <w:rPr>
                <w:rFonts w:ascii="Calibri" w:hAnsi="Calibri" w:cs="Calibri"/>
                <w:sz w:val="12"/>
                <w:szCs w:val="12"/>
              </w:rPr>
            </w:pPr>
            <w:r w:rsidRPr="00AC6A82">
              <w:rPr>
                <w:rFonts w:ascii="Calibri" w:hAnsi="Calibri" w:cs="Calibri"/>
                <w:noProof/>
                <w:sz w:val="12"/>
                <w:szCs w:val="12"/>
              </w:rPr>
              <w:drawing>
                <wp:inline distT="0" distB="0" distL="0" distR="0">
                  <wp:extent cx="5954238" cy="3247902"/>
                  <wp:effectExtent l="19050" t="0" r="8412" b="0"/>
                  <wp:docPr id="16" name="Диаграма 3">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2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tc>
      </w:tr>
    </w:tbl>
    <w:p w:rsidR="009A3F7B" w:rsidRPr="00AC6A82" w:rsidRDefault="009A3F7B" w:rsidP="001A50AB">
      <w:pPr>
        <w:rPr>
          <w:rFonts w:ascii="Calibri" w:hAnsi="Calibri" w:cs="Calibri"/>
        </w:rPr>
      </w:pPr>
      <w:r w:rsidRPr="00AC6A82">
        <w:rPr>
          <w:rFonts w:ascii="Calibri" w:hAnsi="Calibri" w:cs="Calibri"/>
        </w:rPr>
        <w:br w:type="page"/>
      </w:r>
    </w:p>
    <w:p w:rsidR="00316218" w:rsidRPr="00AC6A82" w:rsidRDefault="000432F0" w:rsidP="003030DD">
      <w:pPr>
        <w:pStyle w:val="SubNumbers"/>
      </w:pPr>
      <w:bookmarkStart w:id="13" w:name="_Toc7535418"/>
      <w:r w:rsidRPr="00AC6A82">
        <w:t>Отраслова структура на търговията</w:t>
      </w:r>
      <w:bookmarkEnd w:id="10"/>
      <w:bookmarkEnd w:id="13"/>
    </w:p>
    <w:p w:rsidR="00CE408A" w:rsidRPr="00AC6A82" w:rsidRDefault="007756A8" w:rsidP="001A50AB">
      <w:pPr>
        <w:rPr>
          <w:rFonts w:ascii="Calibri" w:hAnsi="Calibri" w:cs="Calibri"/>
          <w:szCs w:val="22"/>
        </w:rPr>
      </w:pPr>
      <w:r w:rsidRPr="00AC6A82">
        <w:rPr>
          <w:rFonts w:ascii="Calibri" w:hAnsi="Calibri" w:cs="Calibri"/>
        </w:rPr>
        <w:t xml:space="preserve">През </w:t>
      </w:r>
      <w:r w:rsidR="009C7159" w:rsidRPr="00AC6A82">
        <w:rPr>
          <w:rFonts w:ascii="Calibri" w:hAnsi="Calibri" w:cs="Calibri"/>
        </w:rPr>
        <w:t>първото</w:t>
      </w:r>
      <w:r w:rsidR="00CE408A" w:rsidRPr="00AC6A82">
        <w:rPr>
          <w:rFonts w:ascii="Calibri" w:hAnsi="Calibri" w:cs="Calibri"/>
        </w:rPr>
        <w:t xml:space="preserve"> тримесечие секторът „Финансови и застрахователни дейности“ запази челното място в класацията</w:t>
      </w:r>
      <w:r w:rsidR="009C7159" w:rsidRPr="00AC6A82">
        <w:rPr>
          <w:rFonts w:ascii="Calibri" w:hAnsi="Calibri" w:cs="Calibri"/>
        </w:rPr>
        <w:t xml:space="preserve"> по оборот със 48,9 млн. лв. (Q4</w:t>
      </w:r>
      <w:r w:rsidR="00CE408A" w:rsidRPr="00AC6A82">
        <w:rPr>
          <w:rFonts w:ascii="Calibri" w:hAnsi="Calibri" w:cs="Calibri"/>
        </w:rPr>
        <w:t xml:space="preserve">’18: </w:t>
      </w:r>
      <w:r w:rsidR="009C7159" w:rsidRPr="00AC6A82">
        <w:rPr>
          <w:rFonts w:ascii="Calibri" w:hAnsi="Calibri" w:cs="Calibri"/>
        </w:rPr>
        <w:t>73</w:t>
      </w:r>
      <w:r w:rsidR="00CE408A" w:rsidRPr="00AC6A82">
        <w:rPr>
          <w:rFonts w:ascii="Calibri" w:hAnsi="Calibri" w:cs="Calibri"/>
        </w:rPr>
        <w:t>,</w:t>
      </w:r>
      <w:r w:rsidR="009C7159" w:rsidRPr="00AC6A82">
        <w:rPr>
          <w:rFonts w:ascii="Calibri" w:hAnsi="Calibri" w:cs="Calibri"/>
        </w:rPr>
        <w:t>8</w:t>
      </w:r>
      <w:r w:rsidR="00CE408A" w:rsidRPr="00AC6A82">
        <w:rPr>
          <w:rFonts w:ascii="Calibri" w:hAnsi="Calibri" w:cs="Calibri"/>
        </w:rPr>
        <w:t xml:space="preserve"> млн. лв.). </w:t>
      </w:r>
      <w:r w:rsidR="00CE408A" w:rsidRPr="00AC6A82">
        <w:rPr>
          <w:rFonts w:ascii="Calibri" w:hAnsi="Calibri" w:cs="Calibri"/>
          <w:szCs w:val="22"/>
        </w:rPr>
        <w:t xml:space="preserve">Както се вижда от следващата </w:t>
      </w:r>
      <w:r w:rsidR="00E233D1">
        <w:rPr>
          <w:rFonts w:ascii="Calibri" w:hAnsi="Calibri" w:cs="Calibri"/>
          <w:szCs w:val="22"/>
        </w:rPr>
        <w:t>графика</w:t>
      </w:r>
      <w:r w:rsidR="00CE408A" w:rsidRPr="00AC6A82">
        <w:rPr>
          <w:rFonts w:ascii="Calibri" w:hAnsi="Calibri" w:cs="Calibri"/>
          <w:szCs w:val="22"/>
        </w:rPr>
        <w:t>, оборотът на сектора надхвърля общия на всичк</w:t>
      </w:r>
      <w:r w:rsidR="009C7159" w:rsidRPr="00AC6A82">
        <w:rPr>
          <w:rFonts w:ascii="Calibri" w:hAnsi="Calibri" w:cs="Calibri"/>
          <w:szCs w:val="22"/>
        </w:rPr>
        <w:t>и останали браншове и формира 51</w:t>
      </w:r>
      <w:r w:rsidR="00CE408A" w:rsidRPr="00AC6A82">
        <w:rPr>
          <w:rFonts w:ascii="Calibri" w:hAnsi="Calibri" w:cs="Calibri"/>
          <w:szCs w:val="22"/>
        </w:rPr>
        <w:t>% (</w:t>
      </w:r>
      <w:r w:rsidR="00CE408A" w:rsidRPr="00AC6A82">
        <w:rPr>
          <w:rFonts w:ascii="Calibri" w:hAnsi="Calibri" w:cs="Calibri"/>
        </w:rPr>
        <w:t>Q</w:t>
      </w:r>
      <w:r w:rsidR="009C7159" w:rsidRPr="00AC6A82">
        <w:rPr>
          <w:rFonts w:ascii="Calibri" w:hAnsi="Calibri" w:cs="Calibri"/>
        </w:rPr>
        <w:t>4</w:t>
      </w:r>
      <w:r w:rsidR="00CE408A" w:rsidRPr="00AC6A82">
        <w:rPr>
          <w:rFonts w:ascii="Calibri" w:hAnsi="Calibri" w:cs="Calibri"/>
        </w:rPr>
        <w:t xml:space="preserve">’18: </w:t>
      </w:r>
      <w:r w:rsidR="009C7159" w:rsidRPr="00AC6A82">
        <w:rPr>
          <w:rFonts w:ascii="Calibri" w:hAnsi="Calibri" w:cs="Calibri"/>
        </w:rPr>
        <w:t>54</w:t>
      </w:r>
      <w:r w:rsidR="00CE408A" w:rsidRPr="00AC6A82">
        <w:rPr>
          <w:rFonts w:ascii="Calibri" w:hAnsi="Calibri" w:cs="Calibri"/>
          <w:szCs w:val="22"/>
        </w:rPr>
        <w:t>%) от общия оборот за тримесечието. Това прави оборотът и капитализацията на Борсата особено чувствителни към сътресения и лоши новини, свързани с банковия и застрахователния сектори.</w:t>
      </w:r>
    </w:p>
    <w:p w:rsidR="00CE408A" w:rsidRPr="00AC6A82" w:rsidRDefault="00CE408A" w:rsidP="001A50AB">
      <w:pPr>
        <w:rPr>
          <w:rFonts w:ascii="Calibri" w:hAnsi="Calibri" w:cs="Calibri"/>
        </w:rPr>
      </w:pPr>
      <w:r w:rsidRPr="00AC6A82">
        <w:rPr>
          <w:rFonts w:ascii="Calibri" w:hAnsi="Calibri" w:cs="Calibri"/>
          <w:szCs w:val="22"/>
        </w:rPr>
        <w:t>Сектор „Операции с недвижими имоти“ запази преднината си пред</w:t>
      </w:r>
      <w:r w:rsidR="009C7159" w:rsidRPr="00AC6A82">
        <w:rPr>
          <w:rFonts w:ascii="Calibri" w:hAnsi="Calibri" w:cs="Calibri"/>
          <w:szCs w:val="22"/>
        </w:rPr>
        <w:t xml:space="preserve"> „Преработваща промишленост“ с оборот от 23</w:t>
      </w:r>
      <w:r w:rsidRPr="00AC6A82">
        <w:rPr>
          <w:rFonts w:ascii="Calibri" w:hAnsi="Calibri" w:cs="Calibri"/>
          <w:szCs w:val="22"/>
        </w:rPr>
        <w:t>,</w:t>
      </w:r>
      <w:r w:rsidR="009C7159" w:rsidRPr="00AC6A82">
        <w:rPr>
          <w:rFonts w:ascii="Calibri" w:hAnsi="Calibri" w:cs="Calibri"/>
          <w:szCs w:val="22"/>
        </w:rPr>
        <w:t>5</w:t>
      </w:r>
      <w:r w:rsidRPr="00AC6A82">
        <w:rPr>
          <w:rFonts w:ascii="Calibri" w:hAnsi="Calibri" w:cs="Calibri"/>
          <w:szCs w:val="22"/>
        </w:rPr>
        <w:t xml:space="preserve"> млн. лв. (</w:t>
      </w:r>
      <w:r w:rsidR="009C7159" w:rsidRPr="00AC6A82">
        <w:rPr>
          <w:rFonts w:ascii="Calibri" w:hAnsi="Calibri" w:cs="Calibri"/>
        </w:rPr>
        <w:t>Q4</w:t>
      </w:r>
      <w:r w:rsidRPr="00AC6A82">
        <w:rPr>
          <w:rFonts w:ascii="Calibri" w:hAnsi="Calibri" w:cs="Calibri"/>
        </w:rPr>
        <w:t xml:space="preserve">’18: </w:t>
      </w:r>
      <w:r w:rsidR="009C7159" w:rsidRPr="00AC6A82">
        <w:rPr>
          <w:rFonts w:ascii="Calibri" w:hAnsi="Calibri" w:cs="Calibri"/>
        </w:rPr>
        <w:t>44</w:t>
      </w:r>
      <w:r w:rsidRPr="00AC6A82">
        <w:rPr>
          <w:rFonts w:ascii="Calibri" w:hAnsi="Calibri" w:cs="Calibri"/>
          <w:szCs w:val="22"/>
        </w:rPr>
        <w:t>,</w:t>
      </w:r>
      <w:r w:rsidR="009C7159" w:rsidRPr="00AC6A82">
        <w:rPr>
          <w:rFonts w:ascii="Calibri" w:hAnsi="Calibri" w:cs="Calibri"/>
          <w:szCs w:val="22"/>
        </w:rPr>
        <w:t>1 млн. лв.) и 25</w:t>
      </w:r>
      <w:r w:rsidRPr="00AC6A82">
        <w:rPr>
          <w:rFonts w:ascii="Calibri" w:hAnsi="Calibri" w:cs="Calibri"/>
          <w:szCs w:val="22"/>
        </w:rPr>
        <w:t xml:space="preserve">% от общия оборот. На трето място в класацията, както и през </w:t>
      </w:r>
      <w:r w:rsidR="00DD5826" w:rsidRPr="00AC6A82">
        <w:rPr>
          <w:rFonts w:ascii="Calibri" w:hAnsi="Calibri" w:cs="Calibri"/>
          <w:szCs w:val="22"/>
        </w:rPr>
        <w:t>предходното</w:t>
      </w:r>
      <w:r w:rsidRPr="00AC6A82">
        <w:rPr>
          <w:rFonts w:ascii="Calibri" w:hAnsi="Calibri" w:cs="Calibri"/>
          <w:szCs w:val="22"/>
        </w:rPr>
        <w:t xml:space="preserve"> тримесечие, беше сектор „Преработваща промишленост“ с оборот от </w:t>
      </w:r>
      <w:r w:rsidR="009C7159" w:rsidRPr="00AC6A82">
        <w:rPr>
          <w:rFonts w:ascii="Calibri" w:hAnsi="Calibri" w:cs="Calibri"/>
          <w:szCs w:val="22"/>
        </w:rPr>
        <w:t>10</w:t>
      </w:r>
      <w:r w:rsidRPr="00AC6A82">
        <w:rPr>
          <w:rFonts w:ascii="Calibri" w:hAnsi="Calibri" w:cs="Calibri"/>
          <w:szCs w:val="22"/>
        </w:rPr>
        <w:t>,2 млн. лв. (</w:t>
      </w:r>
      <w:r w:rsidR="009C7159" w:rsidRPr="00AC6A82">
        <w:rPr>
          <w:rFonts w:ascii="Calibri" w:hAnsi="Calibri" w:cs="Calibri"/>
        </w:rPr>
        <w:t>Q4’18</w:t>
      </w:r>
      <w:r w:rsidRPr="00AC6A82">
        <w:rPr>
          <w:rFonts w:ascii="Calibri" w:hAnsi="Calibri" w:cs="Calibri"/>
        </w:rPr>
        <w:t xml:space="preserve">: </w:t>
      </w:r>
      <w:r w:rsidR="009C7159" w:rsidRPr="00AC6A82">
        <w:rPr>
          <w:rFonts w:ascii="Calibri" w:hAnsi="Calibri" w:cs="Calibri"/>
        </w:rPr>
        <w:t>12</w:t>
      </w:r>
      <w:r w:rsidRPr="00AC6A82">
        <w:rPr>
          <w:rFonts w:ascii="Calibri" w:hAnsi="Calibri" w:cs="Calibri"/>
          <w:szCs w:val="22"/>
        </w:rPr>
        <w:t>,</w:t>
      </w:r>
      <w:r w:rsidR="009C7159" w:rsidRPr="00AC6A82">
        <w:rPr>
          <w:rFonts w:ascii="Calibri" w:hAnsi="Calibri" w:cs="Calibri"/>
          <w:szCs w:val="22"/>
        </w:rPr>
        <w:t>1 млн. лв.) и 10</w:t>
      </w:r>
      <w:r w:rsidRPr="00AC6A82">
        <w:rPr>
          <w:rFonts w:ascii="Calibri" w:hAnsi="Calibri" w:cs="Calibri"/>
          <w:szCs w:val="22"/>
        </w:rPr>
        <w:t>.8% от общия оборот. Тази структура се запазва устойчива и рядко друг сектор влиза в топ три, което обикновено се дължи на ефект от еднократни големи сделки.</w:t>
      </w:r>
    </w:p>
    <w:p w:rsidR="00767FDB" w:rsidRPr="00AC6A82" w:rsidRDefault="00767FDB" w:rsidP="001A50AB">
      <w:pPr>
        <w:rPr>
          <w:rFonts w:ascii="Calibri" w:hAnsi="Calibri" w:cs="Calibri"/>
        </w:rPr>
      </w:pPr>
    </w:p>
    <w:p w:rsidR="009C7159" w:rsidRPr="00AC6A82" w:rsidRDefault="009A3F7B" w:rsidP="001A50AB">
      <w:pPr>
        <w:rPr>
          <w:rFonts w:ascii="Calibri" w:hAnsi="Calibri" w:cs="Calibri"/>
        </w:rPr>
      </w:pPr>
      <w:r w:rsidRPr="00AC6A82">
        <w:rPr>
          <w:rFonts w:ascii="Calibri" w:hAnsi="Calibri" w:cs="Calibri"/>
        </w:rPr>
        <w:t xml:space="preserve">Таблица 5. Структура на търговията </w:t>
      </w:r>
      <w:r w:rsidR="00595F0B" w:rsidRPr="00AC6A82">
        <w:rPr>
          <w:rFonts w:ascii="Calibri" w:hAnsi="Calibri" w:cs="Calibri"/>
        </w:rPr>
        <w:t>в</w:t>
      </w:r>
      <w:r w:rsidRPr="00AC6A82">
        <w:rPr>
          <w:rFonts w:ascii="Calibri" w:hAnsi="Calibri" w:cs="Calibri"/>
        </w:rPr>
        <w:t xml:space="preserve"> 10-те водещи сектора през </w:t>
      </w:r>
      <w:r w:rsidR="009C7159" w:rsidRPr="00AC6A82">
        <w:rPr>
          <w:rFonts w:ascii="Calibri" w:hAnsi="Calibri" w:cs="Calibri"/>
        </w:rPr>
        <w:t xml:space="preserve">първото </w:t>
      </w:r>
      <w:r w:rsidR="00E25483" w:rsidRPr="00AC6A82">
        <w:rPr>
          <w:rFonts w:ascii="Calibri" w:hAnsi="Calibri" w:cs="Calibri"/>
        </w:rPr>
        <w:t>три</w:t>
      </w:r>
      <w:r w:rsidR="00824B28" w:rsidRPr="00AC6A82">
        <w:rPr>
          <w:rFonts w:ascii="Calibri" w:hAnsi="Calibri" w:cs="Calibri"/>
        </w:rPr>
        <w:t>месечие</w:t>
      </w:r>
    </w:p>
    <w:tbl>
      <w:tblPr>
        <w:tblW w:w="99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633"/>
        <w:gridCol w:w="1233"/>
        <w:gridCol w:w="1843"/>
        <w:gridCol w:w="1276"/>
      </w:tblGrid>
      <w:tr w:rsidR="009C7159" w:rsidRPr="00AC6A82" w:rsidTr="009C7159">
        <w:trPr>
          <w:trHeight w:val="170"/>
          <w:jc w:val="center"/>
        </w:trPr>
        <w:tc>
          <w:tcPr>
            <w:tcW w:w="5633" w:type="dxa"/>
            <w:shd w:val="clear" w:color="000000" w:fill="538DD5"/>
            <w:noWrap/>
            <w:tcMar>
              <w:left w:w="28" w:type="dxa"/>
              <w:right w:w="28" w:type="dxa"/>
            </w:tcMar>
            <w:vAlign w:val="center"/>
            <w:hideMark/>
          </w:tcPr>
          <w:p w:rsidR="009C7159" w:rsidRPr="00AC6A82" w:rsidRDefault="009C7159" w:rsidP="009C7159">
            <w:pPr>
              <w:widowControl/>
              <w:spacing w:line="240" w:lineRule="auto"/>
              <w:jc w:val="left"/>
              <w:rPr>
                <w:rFonts w:ascii="Calibri" w:hAnsi="Calibri"/>
                <w:color w:val="FFFFFF"/>
                <w:sz w:val="20"/>
                <w:szCs w:val="20"/>
              </w:rPr>
            </w:pPr>
            <w:r w:rsidRPr="00AC6A82">
              <w:rPr>
                <w:rFonts w:ascii="Calibri" w:hAnsi="Calibri"/>
                <w:color w:val="FFFFFF"/>
                <w:sz w:val="20"/>
                <w:szCs w:val="20"/>
              </w:rPr>
              <w:t>Сектор</w:t>
            </w:r>
          </w:p>
        </w:tc>
        <w:tc>
          <w:tcPr>
            <w:tcW w:w="1233" w:type="dxa"/>
            <w:shd w:val="clear" w:color="000000" w:fill="538DD5"/>
            <w:noWrap/>
            <w:tcMar>
              <w:left w:w="28" w:type="dxa"/>
              <w:right w:w="28" w:type="dxa"/>
            </w:tcMar>
            <w:hideMark/>
          </w:tcPr>
          <w:p w:rsidR="009C7159" w:rsidRPr="00AC6A82" w:rsidRDefault="009C7159" w:rsidP="009C7159">
            <w:pPr>
              <w:widowControl/>
              <w:spacing w:line="240" w:lineRule="auto"/>
              <w:jc w:val="center"/>
              <w:rPr>
                <w:rFonts w:ascii="Calibri" w:hAnsi="Calibri"/>
                <w:color w:val="FFFFFF"/>
                <w:sz w:val="20"/>
                <w:szCs w:val="20"/>
              </w:rPr>
            </w:pPr>
            <w:r w:rsidRPr="00AC6A82">
              <w:rPr>
                <w:rFonts w:ascii="Calibri" w:hAnsi="Calibri"/>
                <w:color w:val="FFFFFF"/>
                <w:sz w:val="20"/>
                <w:szCs w:val="20"/>
              </w:rPr>
              <w:t>Брой сделки</w:t>
            </w:r>
          </w:p>
        </w:tc>
        <w:tc>
          <w:tcPr>
            <w:tcW w:w="1843" w:type="dxa"/>
            <w:shd w:val="clear" w:color="000000" w:fill="538DD5"/>
            <w:noWrap/>
            <w:tcMar>
              <w:left w:w="28" w:type="dxa"/>
              <w:right w:w="28" w:type="dxa"/>
            </w:tcMar>
            <w:hideMark/>
          </w:tcPr>
          <w:p w:rsidR="009C7159" w:rsidRPr="00AC6A82" w:rsidRDefault="009C7159" w:rsidP="009C7159">
            <w:pPr>
              <w:widowControl/>
              <w:spacing w:line="240" w:lineRule="auto"/>
              <w:jc w:val="center"/>
              <w:rPr>
                <w:rFonts w:ascii="Calibri" w:hAnsi="Calibri"/>
                <w:color w:val="FFFFFF"/>
                <w:sz w:val="20"/>
                <w:szCs w:val="20"/>
              </w:rPr>
            </w:pPr>
            <w:r w:rsidRPr="00AC6A82">
              <w:rPr>
                <w:rFonts w:ascii="Calibri" w:hAnsi="Calibri"/>
                <w:color w:val="FFFFFF"/>
                <w:sz w:val="20"/>
                <w:szCs w:val="20"/>
              </w:rPr>
              <w:t>Изтъргувани лотове</w:t>
            </w:r>
          </w:p>
        </w:tc>
        <w:tc>
          <w:tcPr>
            <w:tcW w:w="1276" w:type="dxa"/>
            <w:shd w:val="clear" w:color="000000" w:fill="538DD5"/>
            <w:noWrap/>
            <w:tcMar>
              <w:left w:w="28" w:type="dxa"/>
              <w:right w:w="28" w:type="dxa"/>
            </w:tcMar>
            <w:hideMark/>
          </w:tcPr>
          <w:p w:rsidR="009C7159" w:rsidRPr="00AC6A82" w:rsidRDefault="009C7159" w:rsidP="009C7159">
            <w:pPr>
              <w:widowControl/>
              <w:spacing w:line="240" w:lineRule="auto"/>
              <w:jc w:val="center"/>
              <w:rPr>
                <w:rFonts w:ascii="Calibri" w:hAnsi="Calibri"/>
                <w:color w:val="FFFFFF"/>
                <w:sz w:val="20"/>
                <w:szCs w:val="20"/>
              </w:rPr>
            </w:pPr>
            <w:r w:rsidRPr="00AC6A82">
              <w:rPr>
                <w:rFonts w:ascii="Calibri" w:hAnsi="Calibri"/>
                <w:color w:val="FFFFFF"/>
                <w:sz w:val="20"/>
                <w:szCs w:val="20"/>
              </w:rPr>
              <w:t>Оборот (лв)</w:t>
            </w:r>
          </w:p>
        </w:tc>
      </w:tr>
      <w:tr w:rsidR="009C7159" w:rsidRPr="00AC6A82" w:rsidTr="009C7159">
        <w:trPr>
          <w:trHeight w:val="170"/>
          <w:jc w:val="center"/>
        </w:trPr>
        <w:tc>
          <w:tcPr>
            <w:tcW w:w="5633" w:type="dxa"/>
            <w:shd w:val="clear" w:color="auto" w:fill="auto"/>
            <w:noWrap/>
            <w:tcMar>
              <w:left w:w="28" w:type="dxa"/>
              <w:right w:w="28" w:type="dxa"/>
            </w:tcMar>
            <w:hideMark/>
          </w:tcPr>
          <w:p w:rsidR="009C7159" w:rsidRPr="00AC6A82" w:rsidRDefault="009C7159"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Финансови и застрахователни дейности</w:t>
            </w:r>
          </w:p>
        </w:tc>
        <w:tc>
          <w:tcPr>
            <w:tcW w:w="123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8 435</w:t>
            </w:r>
          </w:p>
        </w:tc>
        <w:tc>
          <w:tcPr>
            <w:tcW w:w="184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21 529 628</w:t>
            </w:r>
          </w:p>
        </w:tc>
        <w:tc>
          <w:tcPr>
            <w:tcW w:w="1276"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48 850 145</w:t>
            </w:r>
          </w:p>
        </w:tc>
      </w:tr>
      <w:tr w:rsidR="009C7159" w:rsidRPr="00AC6A82" w:rsidTr="009C7159">
        <w:trPr>
          <w:trHeight w:val="170"/>
          <w:jc w:val="center"/>
        </w:trPr>
        <w:tc>
          <w:tcPr>
            <w:tcW w:w="5633" w:type="dxa"/>
            <w:shd w:val="clear" w:color="auto" w:fill="auto"/>
            <w:noWrap/>
            <w:tcMar>
              <w:left w:w="28" w:type="dxa"/>
              <w:right w:w="28" w:type="dxa"/>
            </w:tcMar>
            <w:hideMark/>
          </w:tcPr>
          <w:p w:rsidR="009C7159" w:rsidRPr="00AC6A82" w:rsidRDefault="009C7159"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Операции с недвижими имоти</w:t>
            </w:r>
          </w:p>
        </w:tc>
        <w:tc>
          <w:tcPr>
            <w:tcW w:w="123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265</w:t>
            </w:r>
          </w:p>
        </w:tc>
        <w:tc>
          <w:tcPr>
            <w:tcW w:w="184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3 912 272</w:t>
            </w:r>
          </w:p>
        </w:tc>
        <w:tc>
          <w:tcPr>
            <w:tcW w:w="1276"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23 530 296</w:t>
            </w:r>
          </w:p>
        </w:tc>
      </w:tr>
      <w:tr w:rsidR="009C7159" w:rsidRPr="00AC6A82" w:rsidTr="009C7159">
        <w:trPr>
          <w:trHeight w:val="170"/>
          <w:jc w:val="center"/>
        </w:trPr>
        <w:tc>
          <w:tcPr>
            <w:tcW w:w="5633" w:type="dxa"/>
            <w:shd w:val="clear" w:color="auto" w:fill="auto"/>
            <w:noWrap/>
            <w:tcMar>
              <w:left w:w="28" w:type="dxa"/>
              <w:right w:w="28" w:type="dxa"/>
            </w:tcMar>
            <w:hideMark/>
          </w:tcPr>
          <w:p w:rsidR="009C7159" w:rsidRPr="00AC6A82" w:rsidRDefault="009C7159"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Преработваща промишленост</w:t>
            </w:r>
          </w:p>
        </w:tc>
        <w:tc>
          <w:tcPr>
            <w:tcW w:w="123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2 471</w:t>
            </w:r>
          </w:p>
        </w:tc>
        <w:tc>
          <w:tcPr>
            <w:tcW w:w="184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2 510 593</w:t>
            </w:r>
          </w:p>
        </w:tc>
        <w:tc>
          <w:tcPr>
            <w:tcW w:w="1276"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10 236 474</w:t>
            </w:r>
          </w:p>
        </w:tc>
      </w:tr>
      <w:tr w:rsidR="009C7159" w:rsidRPr="00AC6A82" w:rsidTr="009C7159">
        <w:trPr>
          <w:trHeight w:val="170"/>
          <w:jc w:val="center"/>
        </w:trPr>
        <w:tc>
          <w:tcPr>
            <w:tcW w:w="5633" w:type="dxa"/>
            <w:shd w:val="clear" w:color="auto" w:fill="auto"/>
            <w:noWrap/>
            <w:tcMar>
              <w:left w:w="28" w:type="dxa"/>
              <w:right w:w="28" w:type="dxa"/>
            </w:tcMar>
            <w:hideMark/>
          </w:tcPr>
          <w:p w:rsidR="009C7159" w:rsidRPr="00AC6A82" w:rsidRDefault="009C7159"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Хотелиерство и ресторантьорство</w:t>
            </w:r>
          </w:p>
        </w:tc>
        <w:tc>
          <w:tcPr>
            <w:tcW w:w="123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571</w:t>
            </w:r>
          </w:p>
        </w:tc>
        <w:tc>
          <w:tcPr>
            <w:tcW w:w="184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995 289</w:t>
            </w:r>
          </w:p>
        </w:tc>
        <w:tc>
          <w:tcPr>
            <w:tcW w:w="1276"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3 608 114</w:t>
            </w:r>
          </w:p>
        </w:tc>
      </w:tr>
      <w:tr w:rsidR="009C7159" w:rsidRPr="00AC6A82" w:rsidTr="009C7159">
        <w:trPr>
          <w:trHeight w:val="170"/>
          <w:jc w:val="center"/>
        </w:trPr>
        <w:tc>
          <w:tcPr>
            <w:tcW w:w="5633" w:type="dxa"/>
            <w:shd w:val="clear" w:color="auto" w:fill="auto"/>
            <w:noWrap/>
            <w:tcMar>
              <w:left w:w="28" w:type="dxa"/>
              <w:right w:w="28" w:type="dxa"/>
            </w:tcMar>
            <w:hideMark/>
          </w:tcPr>
          <w:p w:rsidR="009C7159" w:rsidRPr="00AC6A82" w:rsidRDefault="009C7159"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Създаване и разпространение на информация и творчески продукти; далекосъобщения</w:t>
            </w:r>
          </w:p>
        </w:tc>
        <w:tc>
          <w:tcPr>
            <w:tcW w:w="123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75</w:t>
            </w:r>
          </w:p>
        </w:tc>
        <w:tc>
          <w:tcPr>
            <w:tcW w:w="184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218 537</w:t>
            </w:r>
          </w:p>
        </w:tc>
        <w:tc>
          <w:tcPr>
            <w:tcW w:w="1276"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3 453 991</w:t>
            </w:r>
          </w:p>
        </w:tc>
      </w:tr>
      <w:tr w:rsidR="009C7159" w:rsidRPr="00AC6A82" w:rsidTr="009C7159">
        <w:trPr>
          <w:trHeight w:val="170"/>
          <w:jc w:val="center"/>
        </w:trPr>
        <w:tc>
          <w:tcPr>
            <w:tcW w:w="5633" w:type="dxa"/>
            <w:shd w:val="clear" w:color="auto" w:fill="auto"/>
            <w:noWrap/>
            <w:tcMar>
              <w:left w:w="28" w:type="dxa"/>
              <w:right w:w="28" w:type="dxa"/>
            </w:tcMar>
            <w:hideMark/>
          </w:tcPr>
          <w:p w:rsidR="009C7159" w:rsidRPr="00AC6A82" w:rsidRDefault="009C7159"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Професионални дейности и научни изследвания</w:t>
            </w:r>
          </w:p>
        </w:tc>
        <w:tc>
          <w:tcPr>
            <w:tcW w:w="123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659</w:t>
            </w:r>
          </w:p>
        </w:tc>
        <w:tc>
          <w:tcPr>
            <w:tcW w:w="184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1 853 520</w:t>
            </w:r>
          </w:p>
        </w:tc>
        <w:tc>
          <w:tcPr>
            <w:tcW w:w="1276"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1 913 583</w:t>
            </w:r>
          </w:p>
        </w:tc>
      </w:tr>
      <w:tr w:rsidR="009C7159" w:rsidRPr="00AC6A82" w:rsidTr="009C7159">
        <w:trPr>
          <w:trHeight w:val="170"/>
          <w:jc w:val="center"/>
        </w:trPr>
        <w:tc>
          <w:tcPr>
            <w:tcW w:w="5633" w:type="dxa"/>
            <w:shd w:val="clear" w:color="auto" w:fill="auto"/>
            <w:noWrap/>
            <w:tcMar>
              <w:left w:w="28" w:type="dxa"/>
              <w:right w:w="28" w:type="dxa"/>
            </w:tcMar>
            <w:hideMark/>
          </w:tcPr>
          <w:p w:rsidR="009C7159" w:rsidRPr="00AC6A82" w:rsidRDefault="009C7159"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Търговия; ремонт на автомобили и мотоциклети</w:t>
            </w:r>
          </w:p>
        </w:tc>
        <w:tc>
          <w:tcPr>
            <w:tcW w:w="123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450</w:t>
            </w:r>
          </w:p>
        </w:tc>
        <w:tc>
          <w:tcPr>
            <w:tcW w:w="184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507 712</w:t>
            </w:r>
          </w:p>
        </w:tc>
        <w:tc>
          <w:tcPr>
            <w:tcW w:w="1276"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1 139 713</w:t>
            </w:r>
          </w:p>
        </w:tc>
      </w:tr>
      <w:tr w:rsidR="009C7159" w:rsidRPr="00AC6A82" w:rsidTr="009C7159">
        <w:trPr>
          <w:trHeight w:val="170"/>
          <w:jc w:val="center"/>
        </w:trPr>
        <w:tc>
          <w:tcPr>
            <w:tcW w:w="5633" w:type="dxa"/>
            <w:shd w:val="clear" w:color="auto" w:fill="auto"/>
            <w:noWrap/>
            <w:tcMar>
              <w:left w:w="28" w:type="dxa"/>
              <w:right w:w="28" w:type="dxa"/>
            </w:tcMar>
            <w:hideMark/>
          </w:tcPr>
          <w:p w:rsidR="009C7159" w:rsidRPr="00AC6A82" w:rsidRDefault="009C7159"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Производство и разпределение на електрическа и топлинна енергия и на газообразни горива</w:t>
            </w:r>
          </w:p>
        </w:tc>
        <w:tc>
          <w:tcPr>
            <w:tcW w:w="123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145</w:t>
            </w:r>
          </w:p>
        </w:tc>
        <w:tc>
          <w:tcPr>
            <w:tcW w:w="184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141 649</w:t>
            </w:r>
          </w:p>
        </w:tc>
        <w:tc>
          <w:tcPr>
            <w:tcW w:w="1276"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959 419</w:t>
            </w:r>
          </w:p>
        </w:tc>
      </w:tr>
      <w:tr w:rsidR="009C7159" w:rsidRPr="00AC6A82" w:rsidTr="009C7159">
        <w:trPr>
          <w:trHeight w:val="170"/>
          <w:jc w:val="center"/>
        </w:trPr>
        <w:tc>
          <w:tcPr>
            <w:tcW w:w="5633" w:type="dxa"/>
            <w:shd w:val="clear" w:color="auto" w:fill="auto"/>
            <w:noWrap/>
            <w:tcMar>
              <w:left w:w="28" w:type="dxa"/>
              <w:right w:w="28" w:type="dxa"/>
            </w:tcMar>
            <w:hideMark/>
          </w:tcPr>
          <w:p w:rsidR="009C7159" w:rsidRPr="00AC6A82" w:rsidRDefault="009C7159"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Строителство</w:t>
            </w:r>
          </w:p>
        </w:tc>
        <w:tc>
          <w:tcPr>
            <w:tcW w:w="123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391</w:t>
            </w:r>
          </w:p>
        </w:tc>
        <w:tc>
          <w:tcPr>
            <w:tcW w:w="184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264 775</w:t>
            </w:r>
          </w:p>
        </w:tc>
        <w:tc>
          <w:tcPr>
            <w:tcW w:w="1276"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677 336</w:t>
            </w:r>
          </w:p>
        </w:tc>
      </w:tr>
      <w:tr w:rsidR="009C7159" w:rsidRPr="00AC6A82" w:rsidTr="009C7159">
        <w:trPr>
          <w:trHeight w:val="170"/>
          <w:jc w:val="center"/>
        </w:trPr>
        <w:tc>
          <w:tcPr>
            <w:tcW w:w="5633" w:type="dxa"/>
            <w:shd w:val="clear" w:color="auto" w:fill="auto"/>
            <w:noWrap/>
            <w:tcMar>
              <w:left w:w="28" w:type="dxa"/>
              <w:right w:w="28" w:type="dxa"/>
            </w:tcMar>
            <w:hideMark/>
          </w:tcPr>
          <w:p w:rsidR="009C7159" w:rsidRPr="00AC6A82" w:rsidRDefault="009C7159" w:rsidP="009C7159">
            <w:pPr>
              <w:widowControl/>
              <w:spacing w:line="240" w:lineRule="auto"/>
              <w:jc w:val="left"/>
              <w:rPr>
                <w:rFonts w:ascii="Calibri" w:hAnsi="Calibri"/>
                <w:color w:val="000000"/>
                <w:sz w:val="20"/>
                <w:szCs w:val="20"/>
              </w:rPr>
            </w:pPr>
            <w:r w:rsidRPr="00AC6A82">
              <w:rPr>
                <w:rFonts w:ascii="Calibri" w:hAnsi="Calibri"/>
                <w:color w:val="000000"/>
                <w:sz w:val="20"/>
                <w:szCs w:val="20"/>
              </w:rPr>
              <w:t>Транспорт, складиране и пощи</w:t>
            </w:r>
          </w:p>
        </w:tc>
        <w:tc>
          <w:tcPr>
            <w:tcW w:w="123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91</w:t>
            </w:r>
          </w:p>
        </w:tc>
        <w:tc>
          <w:tcPr>
            <w:tcW w:w="1843"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21 982</w:t>
            </w:r>
          </w:p>
        </w:tc>
        <w:tc>
          <w:tcPr>
            <w:tcW w:w="1276" w:type="dxa"/>
            <w:shd w:val="clear" w:color="auto" w:fill="auto"/>
            <w:noWrap/>
            <w:tcMar>
              <w:left w:w="28" w:type="dxa"/>
              <w:right w:w="28" w:type="dxa"/>
            </w:tcMar>
            <w:vAlign w:val="bottom"/>
            <w:hideMark/>
          </w:tcPr>
          <w:p w:rsidR="009C7159" w:rsidRPr="00AC6A82" w:rsidRDefault="009C7159" w:rsidP="009C7159">
            <w:pPr>
              <w:widowControl/>
              <w:spacing w:line="240" w:lineRule="auto"/>
              <w:jc w:val="right"/>
              <w:rPr>
                <w:rFonts w:ascii="Calibri" w:hAnsi="Calibri"/>
                <w:color w:val="000000"/>
                <w:sz w:val="20"/>
                <w:szCs w:val="20"/>
              </w:rPr>
            </w:pPr>
            <w:r w:rsidRPr="00AC6A82">
              <w:rPr>
                <w:rFonts w:ascii="Calibri" w:hAnsi="Calibri"/>
                <w:color w:val="000000"/>
                <w:sz w:val="20"/>
                <w:szCs w:val="20"/>
              </w:rPr>
              <w:t>178 745</w:t>
            </w:r>
          </w:p>
        </w:tc>
      </w:tr>
    </w:tbl>
    <w:p w:rsidR="00E25483" w:rsidRPr="00AC6A82" w:rsidRDefault="00E25483" w:rsidP="001A50AB">
      <w:pPr>
        <w:rPr>
          <w:rFonts w:ascii="Calibri" w:hAnsi="Calibri" w:cs="Calibri"/>
        </w:rPr>
      </w:pPr>
    </w:p>
    <w:tbl>
      <w:tblPr>
        <w:tblStyle w:val="TableGrid"/>
        <w:tblW w:w="1048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480"/>
      </w:tblGrid>
      <w:tr w:rsidR="00994D7C" w:rsidRPr="00AC6A82" w:rsidTr="00E25483">
        <w:trPr>
          <w:trHeight w:val="227"/>
          <w:jc w:val="center"/>
        </w:trPr>
        <w:tc>
          <w:tcPr>
            <w:tcW w:w="10480" w:type="dxa"/>
          </w:tcPr>
          <w:p w:rsidR="00994D7C" w:rsidRPr="00AC6A82" w:rsidRDefault="00994D7C" w:rsidP="00E25483">
            <w:pPr>
              <w:spacing w:line="240" w:lineRule="auto"/>
              <w:rPr>
                <w:rFonts w:ascii="Calibri" w:hAnsi="Calibri" w:cs="Calibri"/>
              </w:rPr>
            </w:pPr>
            <w:bookmarkStart w:id="14" w:name="_Toc283112102"/>
            <w:r w:rsidRPr="00AC6A82">
              <w:rPr>
                <w:rFonts w:ascii="Calibri" w:hAnsi="Calibri" w:cs="Calibri"/>
              </w:rPr>
              <w:t>График</w:t>
            </w:r>
            <w:r w:rsidR="00B577CD" w:rsidRPr="00AC6A82">
              <w:rPr>
                <w:rFonts w:ascii="Calibri" w:hAnsi="Calibri" w:cs="Calibri"/>
              </w:rPr>
              <w:t xml:space="preserve">а 4: Разпределение на оборота </w:t>
            </w:r>
            <w:r w:rsidRPr="00AC6A82">
              <w:rPr>
                <w:rFonts w:ascii="Calibri" w:hAnsi="Calibri" w:cs="Calibri"/>
              </w:rPr>
              <w:t xml:space="preserve">през отчетното </w:t>
            </w:r>
            <w:r w:rsidR="00EB0CB0" w:rsidRPr="00AC6A82">
              <w:rPr>
                <w:rFonts w:ascii="Calibri" w:hAnsi="Calibri" w:cs="Calibri"/>
              </w:rPr>
              <w:t>три</w:t>
            </w:r>
            <w:r w:rsidRPr="00AC6A82">
              <w:rPr>
                <w:rFonts w:ascii="Calibri" w:hAnsi="Calibri" w:cs="Calibri"/>
              </w:rPr>
              <w:t>месечие</w:t>
            </w:r>
            <w:r w:rsidR="00B577CD" w:rsidRPr="00AC6A82">
              <w:rPr>
                <w:rFonts w:ascii="Calibri" w:hAnsi="Calibri" w:cs="Calibri"/>
              </w:rPr>
              <w:t xml:space="preserve"> по сектори</w:t>
            </w:r>
          </w:p>
        </w:tc>
      </w:tr>
      <w:tr w:rsidR="00994D7C" w:rsidRPr="00AC6A82" w:rsidTr="00CE408A">
        <w:tblPrEx>
          <w:tblCellMar>
            <w:left w:w="70" w:type="dxa"/>
            <w:right w:w="70" w:type="dxa"/>
          </w:tblCellMar>
        </w:tblPrEx>
        <w:trPr>
          <w:jc w:val="center"/>
        </w:trPr>
        <w:tc>
          <w:tcPr>
            <w:tcW w:w="10480" w:type="dxa"/>
          </w:tcPr>
          <w:p w:rsidR="00994D7C" w:rsidRPr="00AC6A82" w:rsidRDefault="00C311E6" w:rsidP="001A50AB">
            <w:pPr>
              <w:rPr>
                <w:rFonts w:ascii="Calibri" w:hAnsi="Calibri" w:cs="Calibri"/>
                <w:sz w:val="12"/>
                <w:szCs w:val="12"/>
                <w:highlight w:val="green"/>
              </w:rPr>
            </w:pPr>
            <w:r w:rsidRPr="00AC6A82">
              <w:rPr>
                <w:rFonts w:ascii="Calibri" w:hAnsi="Calibri" w:cs="Calibri"/>
                <w:noProof/>
                <w:sz w:val="12"/>
                <w:szCs w:val="12"/>
              </w:rPr>
              <w:drawing>
                <wp:inline distT="0" distB="0" distL="0" distR="0">
                  <wp:extent cx="6543304" cy="3182587"/>
                  <wp:effectExtent l="0" t="0" r="0" b="0"/>
                  <wp:docPr id="20" name="Диаграма 4">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3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tc>
      </w:tr>
    </w:tbl>
    <w:p w:rsidR="00772A63" w:rsidRPr="00AC6A82" w:rsidRDefault="00656AAC" w:rsidP="001A50AB">
      <w:pPr>
        <w:rPr>
          <w:rFonts w:ascii="Calibri" w:hAnsi="Calibri" w:cs="Calibri"/>
        </w:rPr>
      </w:pPr>
      <w:r w:rsidRPr="00AC6A82">
        <w:rPr>
          <w:rFonts w:ascii="Calibri" w:hAnsi="Calibri" w:cs="Calibri"/>
        </w:rPr>
        <w:br w:type="page"/>
      </w:r>
    </w:p>
    <w:p w:rsidR="004B006C" w:rsidRPr="00AC6A82" w:rsidRDefault="00241ABE" w:rsidP="001A50AB">
      <w:pPr>
        <w:pStyle w:val="Mainnumbers"/>
        <w:rPr>
          <w:rFonts w:ascii="Calibri" w:hAnsi="Calibri" w:cs="Calibri"/>
        </w:rPr>
      </w:pPr>
      <w:bookmarkStart w:id="15" w:name="_Toc7535419"/>
      <w:r w:rsidRPr="00AC6A82">
        <w:rPr>
          <w:rFonts w:ascii="Calibri" w:hAnsi="Calibri" w:cs="Calibri"/>
        </w:rPr>
        <w:t>Регистрирани е</w:t>
      </w:r>
      <w:r w:rsidR="00266E75" w:rsidRPr="00AC6A82">
        <w:rPr>
          <w:rFonts w:ascii="Calibri" w:hAnsi="Calibri" w:cs="Calibri"/>
        </w:rPr>
        <w:t xml:space="preserve">мисии </w:t>
      </w:r>
      <w:r w:rsidR="00D06C89" w:rsidRPr="00AC6A82">
        <w:rPr>
          <w:rFonts w:ascii="Calibri" w:hAnsi="Calibri" w:cs="Calibri"/>
        </w:rPr>
        <w:t>финансови инструменти</w:t>
      </w:r>
      <w:r w:rsidRPr="00AC6A82">
        <w:rPr>
          <w:rFonts w:ascii="Calibri" w:hAnsi="Calibri" w:cs="Calibri"/>
        </w:rPr>
        <w:t xml:space="preserve"> на </w:t>
      </w:r>
      <w:bookmarkEnd w:id="14"/>
      <w:r w:rsidR="00636F5A" w:rsidRPr="00AC6A82">
        <w:rPr>
          <w:rFonts w:ascii="Calibri" w:hAnsi="Calibri" w:cs="Calibri"/>
        </w:rPr>
        <w:t>Българска фондова борса</w:t>
      </w:r>
      <w:bookmarkEnd w:id="15"/>
    </w:p>
    <w:p w:rsidR="009A3F7B" w:rsidRPr="00AC6A82" w:rsidRDefault="007756A8" w:rsidP="00A57623">
      <w:pPr>
        <w:spacing w:after="240"/>
        <w:rPr>
          <w:rFonts w:ascii="Calibri" w:hAnsi="Calibri" w:cs="Calibri"/>
        </w:rPr>
      </w:pPr>
      <w:r w:rsidRPr="00AC6A82">
        <w:rPr>
          <w:rFonts w:ascii="Calibri" w:hAnsi="Calibri" w:cs="Calibri"/>
        </w:rPr>
        <w:t xml:space="preserve">Както се вижда от следващата таблица, броят на емисиите финансови инструменти, допуснати до търговия на пазарите на БФБ към </w:t>
      </w:r>
      <w:r w:rsidR="000C56C3" w:rsidRPr="00AC6A82">
        <w:rPr>
          <w:rFonts w:ascii="Calibri" w:hAnsi="Calibri" w:cs="Calibri"/>
        </w:rPr>
        <w:t>3</w:t>
      </w:r>
      <w:r w:rsidR="004A097B" w:rsidRPr="00AC6A82">
        <w:rPr>
          <w:rFonts w:ascii="Calibri" w:hAnsi="Calibri" w:cs="Calibri"/>
        </w:rPr>
        <w:t xml:space="preserve">1 декември </w:t>
      </w:r>
      <w:r w:rsidRPr="00AC6A82">
        <w:rPr>
          <w:rFonts w:ascii="Calibri" w:hAnsi="Calibri" w:cs="Calibri"/>
        </w:rPr>
        <w:t>201</w:t>
      </w:r>
      <w:r w:rsidR="00A34F4D" w:rsidRPr="00AC6A82">
        <w:rPr>
          <w:rFonts w:ascii="Calibri" w:hAnsi="Calibri" w:cs="Calibri"/>
        </w:rPr>
        <w:t>8</w:t>
      </w:r>
      <w:r w:rsidRPr="00AC6A82">
        <w:rPr>
          <w:rFonts w:ascii="Calibri" w:hAnsi="Calibri" w:cs="Calibri"/>
        </w:rPr>
        <w:t xml:space="preserve"> г. бе</w:t>
      </w:r>
      <w:r w:rsidR="00DE7178" w:rsidRPr="00AC6A82">
        <w:rPr>
          <w:rFonts w:ascii="Calibri" w:hAnsi="Calibri" w:cs="Calibri"/>
        </w:rPr>
        <w:t>ше</w:t>
      </w:r>
      <w:r w:rsidR="004A097B" w:rsidRPr="00AC6A82">
        <w:rPr>
          <w:rFonts w:ascii="Calibri" w:hAnsi="Calibri" w:cs="Calibri"/>
        </w:rPr>
        <w:t xml:space="preserve"> </w:t>
      </w:r>
      <w:r w:rsidR="00CE408A" w:rsidRPr="00AC6A82">
        <w:rPr>
          <w:rFonts w:ascii="Calibri" w:hAnsi="Calibri" w:cs="Calibri"/>
        </w:rPr>
        <w:t>3</w:t>
      </w:r>
      <w:r w:rsidR="004A097B" w:rsidRPr="00AC6A82">
        <w:rPr>
          <w:rFonts w:ascii="Calibri" w:hAnsi="Calibri" w:cs="Calibri"/>
        </w:rPr>
        <w:t>81</w:t>
      </w:r>
      <w:r w:rsidR="00CE408A" w:rsidRPr="00AC6A82">
        <w:rPr>
          <w:rFonts w:ascii="Calibri" w:hAnsi="Calibri" w:cs="Calibri"/>
        </w:rPr>
        <w:t xml:space="preserve"> </w:t>
      </w:r>
      <w:r w:rsidRPr="00AC6A82">
        <w:rPr>
          <w:rFonts w:ascii="Calibri" w:hAnsi="Calibri" w:cs="Calibri"/>
        </w:rPr>
        <w:t xml:space="preserve">и се измени до </w:t>
      </w:r>
      <w:r w:rsidR="00CE408A" w:rsidRPr="00AC6A82">
        <w:rPr>
          <w:rFonts w:ascii="Calibri" w:hAnsi="Calibri" w:cs="Calibri"/>
        </w:rPr>
        <w:t>3</w:t>
      </w:r>
      <w:r w:rsidR="004A097B" w:rsidRPr="00AC6A82">
        <w:rPr>
          <w:rFonts w:ascii="Calibri" w:hAnsi="Calibri" w:cs="Calibri"/>
        </w:rPr>
        <w:t xml:space="preserve">73 </w:t>
      </w:r>
      <w:r w:rsidR="005B272E" w:rsidRPr="00AC6A82">
        <w:rPr>
          <w:rFonts w:ascii="Calibri" w:hAnsi="Calibri" w:cs="Calibri"/>
        </w:rPr>
        <w:t xml:space="preserve">в края </w:t>
      </w:r>
      <w:r w:rsidRPr="00AC6A82">
        <w:rPr>
          <w:rFonts w:ascii="Calibri" w:hAnsi="Calibri" w:cs="Calibri"/>
        </w:rPr>
        <w:t xml:space="preserve">на </w:t>
      </w:r>
      <w:r w:rsidR="00C1730A" w:rsidRPr="00AC6A82">
        <w:rPr>
          <w:rFonts w:ascii="Calibri" w:hAnsi="Calibri" w:cs="Calibri"/>
        </w:rPr>
        <w:t>три</w:t>
      </w:r>
      <w:r w:rsidR="004B518A" w:rsidRPr="00AC6A82">
        <w:rPr>
          <w:rFonts w:ascii="Calibri" w:hAnsi="Calibri" w:cs="Calibri"/>
        </w:rPr>
        <w:t>месечието</w:t>
      </w:r>
      <w:r w:rsidRPr="00AC6A82">
        <w:rPr>
          <w:rFonts w:ascii="Calibri" w:hAnsi="Calibri" w:cs="Calibri"/>
        </w:rPr>
        <w:t xml:space="preserve">. </w:t>
      </w:r>
      <w:r w:rsidR="004A097B" w:rsidRPr="00AC6A82">
        <w:rPr>
          <w:rFonts w:ascii="Calibri" w:hAnsi="Calibri" w:cs="Calibri"/>
        </w:rPr>
        <w:t>Спадът</w:t>
      </w:r>
      <w:r w:rsidR="00CE408A" w:rsidRPr="00AC6A82">
        <w:rPr>
          <w:rFonts w:ascii="Calibri" w:hAnsi="Calibri" w:cs="Calibri"/>
        </w:rPr>
        <w:t xml:space="preserve"> </w:t>
      </w:r>
      <w:r w:rsidR="00687209" w:rsidRPr="00AC6A82">
        <w:rPr>
          <w:rFonts w:ascii="Calibri" w:hAnsi="Calibri" w:cs="Calibri"/>
        </w:rPr>
        <w:t>в броя инструменти</w:t>
      </w:r>
      <w:r w:rsidR="004A097B" w:rsidRPr="00AC6A82">
        <w:rPr>
          <w:rFonts w:ascii="Calibri" w:hAnsi="Calibri" w:cs="Calibri"/>
        </w:rPr>
        <w:t xml:space="preserve"> </w:t>
      </w:r>
      <w:r w:rsidRPr="00AC6A82">
        <w:rPr>
          <w:rFonts w:ascii="Calibri" w:hAnsi="Calibri" w:cs="Calibri"/>
        </w:rPr>
        <w:t xml:space="preserve">се дължи </w:t>
      </w:r>
      <w:r w:rsidR="00610CFD" w:rsidRPr="00AC6A82">
        <w:rPr>
          <w:rFonts w:ascii="Calibri" w:hAnsi="Calibri" w:cs="Calibri"/>
        </w:rPr>
        <w:t xml:space="preserve">на </w:t>
      </w:r>
      <w:r w:rsidR="004A097B" w:rsidRPr="00AC6A82">
        <w:rPr>
          <w:rFonts w:ascii="Calibri" w:hAnsi="Calibri" w:cs="Calibri"/>
        </w:rPr>
        <w:t xml:space="preserve">отписани </w:t>
      </w:r>
      <w:r w:rsidR="00610CFD" w:rsidRPr="00AC6A82">
        <w:rPr>
          <w:rFonts w:ascii="Calibri" w:hAnsi="Calibri" w:cs="Calibri"/>
        </w:rPr>
        <w:t xml:space="preserve">емисии </w:t>
      </w:r>
      <w:r w:rsidR="004A097B" w:rsidRPr="00AC6A82">
        <w:rPr>
          <w:rFonts w:ascii="Calibri" w:hAnsi="Calibri" w:cs="Calibri"/>
        </w:rPr>
        <w:t>ДЦК, права, облигации и акции</w:t>
      </w:r>
      <w:r w:rsidR="00CE408A" w:rsidRPr="00AC6A82">
        <w:rPr>
          <w:rFonts w:ascii="Calibri" w:hAnsi="Calibri" w:cs="Calibri"/>
        </w:rPr>
        <w:t xml:space="preserve"> </w:t>
      </w:r>
      <w:r w:rsidR="004A097B" w:rsidRPr="00AC6A82">
        <w:rPr>
          <w:rFonts w:ascii="Calibri" w:hAnsi="Calibri" w:cs="Calibri"/>
        </w:rPr>
        <w:t xml:space="preserve">и </w:t>
      </w:r>
      <w:r w:rsidR="00F225FE" w:rsidRPr="00AC6A82">
        <w:rPr>
          <w:rFonts w:ascii="Calibri" w:hAnsi="Calibri" w:cs="Calibri"/>
        </w:rPr>
        <w:t>е подробно описан</w:t>
      </w:r>
      <w:r w:rsidR="00610CFD" w:rsidRPr="00AC6A82">
        <w:rPr>
          <w:rFonts w:ascii="Calibri" w:hAnsi="Calibri" w:cs="Calibri"/>
        </w:rPr>
        <w:t xml:space="preserve"> в точка </w:t>
      </w:r>
      <w:r w:rsidR="00E05B83">
        <w:fldChar w:fldCharType="begin"/>
      </w:r>
      <w:r w:rsidR="00E05B83">
        <w:instrText xml:space="preserve"> REF _Ref457297363 \r \h  \* MERGEFORMAT </w:instrText>
      </w:r>
      <w:r w:rsidR="00E05B83">
        <w:fldChar w:fldCharType="separate"/>
      </w:r>
      <w:r w:rsidR="004A097B" w:rsidRPr="00AC6A82">
        <w:t>4</w:t>
      </w:r>
      <w:r w:rsidR="00E05B83">
        <w:fldChar w:fldCharType="end"/>
      </w:r>
      <w:r w:rsidR="00610CFD" w:rsidRPr="00AC6A82">
        <w:rPr>
          <w:rFonts w:ascii="Calibri" w:hAnsi="Calibri" w:cs="Calibri"/>
        </w:rPr>
        <w:t xml:space="preserve"> от настоящия доклад</w:t>
      </w:r>
      <w:r w:rsidR="0013201F" w:rsidRPr="00AC6A82">
        <w:rPr>
          <w:rFonts w:ascii="Calibri" w:hAnsi="Calibri" w:cs="Calibri"/>
        </w:rPr>
        <w:t>.</w:t>
      </w:r>
    </w:p>
    <w:p w:rsidR="004A097B" w:rsidRPr="00AC6A82" w:rsidRDefault="009A3F7B" w:rsidP="001A50AB">
      <w:pPr>
        <w:rPr>
          <w:rFonts w:ascii="Calibri" w:hAnsi="Calibri" w:cs="Calibri"/>
        </w:rPr>
      </w:pPr>
      <w:r w:rsidRPr="00AC6A82">
        <w:rPr>
          <w:rFonts w:ascii="Calibri" w:hAnsi="Calibri" w:cs="Calibri"/>
        </w:rPr>
        <w:t>Таблица 6: Регистрирани емисии по сегменти</w:t>
      </w:r>
    </w:p>
    <w:tbl>
      <w:tblPr>
        <w:tblW w:w="8830" w:type="dxa"/>
        <w:jc w:val="center"/>
        <w:tblCellMar>
          <w:left w:w="70" w:type="dxa"/>
          <w:right w:w="70" w:type="dxa"/>
        </w:tblCellMar>
        <w:tblLook w:val="04A0" w:firstRow="1" w:lastRow="0" w:firstColumn="1" w:lastColumn="0" w:noHBand="0" w:noVBand="1"/>
      </w:tblPr>
      <w:tblGrid>
        <w:gridCol w:w="5350"/>
        <w:gridCol w:w="1160"/>
        <w:gridCol w:w="1160"/>
        <w:gridCol w:w="1160"/>
      </w:tblGrid>
      <w:tr w:rsidR="004A097B" w:rsidRPr="00AC6A82" w:rsidTr="004A097B">
        <w:trPr>
          <w:trHeight w:val="170"/>
          <w:jc w:val="center"/>
        </w:trPr>
        <w:tc>
          <w:tcPr>
            <w:tcW w:w="5350" w:type="dxa"/>
            <w:tcBorders>
              <w:top w:val="single" w:sz="4" w:space="0" w:color="auto"/>
              <w:left w:val="single" w:sz="4" w:space="0" w:color="auto"/>
              <w:bottom w:val="single" w:sz="4" w:space="0" w:color="auto"/>
              <w:right w:val="single" w:sz="4" w:space="0" w:color="auto"/>
            </w:tcBorders>
            <w:shd w:val="clear" w:color="000000" w:fill="538DD5"/>
            <w:noWrap/>
            <w:tcMar>
              <w:left w:w="28" w:type="dxa"/>
              <w:right w:w="28" w:type="dxa"/>
            </w:tcMar>
            <w:vAlign w:val="center"/>
            <w:hideMark/>
          </w:tcPr>
          <w:p w:rsidR="004A097B" w:rsidRPr="00AC6A82" w:rsidRDefault="004A097B" w:rsidP="004A097B">
            <w:pPr>
              <w:widowControl/>
              <w:spacing w:line="240" w:lineRule="auto"/>
              <w:jc w:val="left"/>
              <w:rPr>
                <w:rFonts w:ascii="Calibri" w:hAnsi="Calibri"/>
                <w:color w:val="FFFFFF"/>
                <w:szCs w:val="22"/>
              </w:rPr>
            </w:pPr>
            <w:r w:rsidRPr="00AC6A82">
              <w:rPr>
                <w:rFonts w:ascii="Calibri" w:hAnsi="Calibri"/>
                <w:color w:val="FFFFFF"/>
                <w:szCs w:val="22"/>
              </w:rPr>
              <w:t xml:space="preserve">Пазарен сегмент \ Регистрирани емисии </w:t>
            </w:r>
          </w:p>
        </w:tc>
        <w:tc>
          <w:tcPr>
            <w:tcW w:w="1160" w:type="dxa"/>
            <w:tcBorders>
              <w:top w:val="single" w:sz="4" w:space="0" w:color="auto"/>
              <w:left w:val="nil"/>
              <w:bottom w:val="single" w:sz="4" w:space="0" w:color="auto"/>
              <w:right w:val="single" w:sz="4" w:space="0" w:color="auto"/>
            </w:tcBorders>
            <w:shd w:val="clear" w:color="000000" w:fill="538DD5"/>
            <w:noWrap/>
            <w:tcMar>
              <w:left w:w="28" w:type="dxa"/>
              <w:right w:w="28" w:type="dxa"/>
            </w:tcMar>
            <w:hideMark/>
          </w:tcPr>
          <w:p w:rsidR="004A097B" w:rsidRPr="00AC6A82" w:rsidRDefault="004A097B" w:rsidP="004A097B">
            <w:pPr>
              <w:widowControl/>
              <w:spacing w:line="240" w:lineRule="auto"/>
              <w:jc w:val="center"/>
              <w:rPr>
                <w:rFonts w:ascii="Calibri" w:hAnsi="Calibri"/>
                <w:color w:val="FFFFFF"/>
                <w:szCs w:val="22"/>
              </w:rPr>
            </w:pPr>
            <w:r w:rsidRPr="00AC6A82">
              <w:rPr>
                <w:rFonts w:ascii="Calibri" w:hAnsi="Calibri"/>
                <w:color w:val="FFFFFF"/>
                <w:szCs w:val="22"/>
              </w:rPr>
              <w:t>31.12.2018</w:t>
            </w:r>
          </w:p>
        </w:tc>
        <w:tc>
          <w:tcPr>
            <w:tcW w:w="1160" w:type="dxa"/>
            <w:tcBorders>
              <w:top w:val="single" w:sz="4" w:space="0" w:color="auto"/>
              <w:left w:val="nil"/>
              <w:bottom w:val="single" w:sz="4" w:space="0" w:color="auto"/>
              <w:right w:val="single" w:sz="4" w:space="0" w:color="auto"/>
            </w:tcBorders>
            <w:shd w:val="clear" w:color="000000" w:fill="538DD5"/>
            <w:noWrap/>
            <w:tcMar>
              <w:left w:w="28" w:type="dxa"/>
              <w:right w:w="28" w:type="dxa"/>
            </w:tcMar>
            <w:hideMark/>
          </w:tcPr>
          <w:p w:rsidR="004A097B" w:rsidRPr="00AC6A82" w:rsidRDefault="004A097B" w:rsidP="004A097B">
            <w:pPr>
              <w:widowControl/>
              <w:spacing w:line="240" w:lineRule="auto"/>
              <w:jc w:val="center"/>
              <w:rPr>
                <w:rFonts w:ascii="Calibri" w:hAnsi="Calibri"/>
                <w:color w:val="FFFFFF"/>
                <w:szCs w:val="22"/>
              </w:rPr>
            </w:pPr>
            <w:r w:rsidRPr="00AC6A82">
              <w:rPr>
                <w:rFonts w:ascii="Calibri" w:hAnsi="Calibri"/>
                <w:color w:val="FFFFFF"/>
                <w:szCs w:val="22"/>
              </w:rPr>
              <w:t>31.3.2019</w:t>
            </w:r>
          </w:p>
        </w:tc>
        <w:tc>
          <w:tcPr>
            <w:tcW w:w="1160" w:type="dxa"/>
            <w:tcBorders>
              <w:top w:val="single" w:sz="4" w:space="0" w:color="auto"/>
              <w:left w:val="nil"/>
              <w:bottom w:val="single" w:sz="4" w:space="0" w:color="auto"/>
              <w:right w:val="single" w:sz="4" w:space="0" w:color="auto"/>
            </w:tcBorders>
            <w:shd w:val="clear" w:color="000000" w:fill="538DD5"/>
            <w:noWrap/>
            <w:tcMar>
              <w:left w:w="28" w:type="dxa"/>
              <w:right w:w="28" w:type="dxa"/>
            </w:tcMar>
            <w:hideMark/>
          </w:tcPr>
          <w:p w:rsidR="004A097B" w:rsidRPr="00AC6A82" w:rsidRDefault="004A097B" w:rsidP="004A097B">
            <w:pPr>
              <w:widowControl/>
              <w:spacing w:line="240" w:lineRule="auto"/>
              <w:jc w:val="center"/>
              <w:rPr>
                <w:rFonts w:ascii="Calibri" w:hAnsi="Calibri"/>
                <w:color w:val="FFFFFF"/>
                <w:szCs w:val="22"/>
              </w:rPr>
            </w:pPr>
            <w:r w:rsidRPr="00AC6A82">
              <w:rPr>
                <w:rFonts w:ascii="Calibri" w:hAnsi="Calibri"/>
                <w:color w:val="FFFFFF"/>
                <w:szCs w:val="22"/>
              </w:rPr>
              <w:t>промяна</w:t>
            </w:r>
          </w:p>
        </w:tc>
      </w:tr>
      <w:tr w:rsidR="004A097B" w:rsidRPr="00AC6A82" w:rsidTr="004A097B">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left"/>
              <w:rPr>
                <w:rFonts w:ascii="Calibri" w:hAnsi="Calibri"/>
                <w:color w:val="000000"/>
                <w:szCs w:val="22"/>
              </w:rPr>
            </w:pPr>
            <w:r w:rsidRPr="00AC6A82">
              <w:rPr>
                <w:rFonts w:ascii="Calibri" w:hAnsi="Calibri"/>
                <w:color w:val="000000"/>
                <w:szCs w:val="22"/>
              </w:rPr>
              <w:t>Сегмент акции Premium, пазар BSE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7</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7</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w:t>
            </w:r>
          </w:p>
        </w:tc>
      </w:tr>
      <w:tr w:rsidR="004A097B" w:rsidRPr="00AC6A82" w:rsidTr="004A097B">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left"/>
              <w:rPr>
                <w:rFonts w:ascii="Calibri" w:hAnsi="Calibri"/>
                <w:color w:val="000000"/>
                <w:szCs w:val="22"/>
              </w:rPr>
            </w:pPr>
            <w:r w:rsidRPr="00AC6A82">
              <w:rPr>
                <w:rFonts w:ascii="Calibri" w:hAnsi="Calibri"/>
                <w:color w:val="000000"/>
                <w:szCs w:val="22"/>
              </w:rPr>
              <w:t>Сегмент акции Standard, пазар BSE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60</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59</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-1</w:t>
            </w:r>
          </w:p>
        </w:tc>
      </w:tr>
      <w:tr w:rsidR="004A097B" w:rsidRPr="00AC6A82" w:rsidTr="004A097B">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left"/>
              <w:rPr>
                <w:rFonts w:ascii="Calibri" w:hAnsi="Calibri"/>
                <w:color w:val="000000"/>
                <w:szCs w:val="22"/>
              </w:rPr>
            </w:pPr>
            <w:r w:rsidRPr="00AC6A82">
              <w:rPr>
                <w:rFonts w:ascii="Calibri" w:hAnsi="Calibri"/>
                <w:color w:val="000000"/>
                <w:szCs w:val="22"/>
              </w:rPr>
              <w:t>Сегмент за борсово търгувани продукти, пазар BSE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13</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13</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w:t>
            </w:r>
          </w:p>
        </w:tc>
      </w:tr>
      <w:tr w:rsidR="004A097B" w:rsidRPr="00AC6A82" w:rsidTr="004A097B">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left"/>
              <w:rPr>
                <w:rFonts w:ascii="Calibri" w:hAnsi="Calibri"/>
                <w:color w:val="000000"/>
                <w:szCs w:val="22"/>
              </w:rPr>
            </w:pPr>
            <w:r w:rsidRPr="00AC6A82">
              <w:rPr>
                <w:rFonts w:ascii="Calibri" w:hAnsi="Calibri"/>
                <w:color w:val="000000"/>
                <w:szCs w:val="22"/>
              </w:rPr>
              <w:t>Сегмент за АДСИЦ, пазар BSE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12</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12</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w:t>
            </w:r>
          </w:p>
        </w:tc>
      </w:tr>
      <w:tr w:rsidR="004A097B" w:rsidRPr="00AC6A82" w:rsidTr="004A097B">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left"/>
              <w:rPr>
                <w:rFonts w:ascii="Calibri" w:hAnsi="Calibri"/>
                <w:color w:val="000000"/>
                <w:szCs w:val="22"/>
              </w:rPr>
            </w:pPr>
            <w:r w:rsidRPr="00AC6A82">
              <w:rPr>
                <w:rFonts w:ascii="Calibri" w:hAnsi="Calibri"/>
                <w:color w:val="000000"/>
                <w:szCs w:val="22"/>
              </w:rPr>
              <w:t>Сегмент за ДЦК, пазар BSE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19</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15</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-4</w:t>
            </w:r>
          </w:p>
        </w:tc>
      </w:tr>
      <w:tr w:rsidR="004A097B" w:rsidRPr="00AC6A82" w:rsidTr="004A097B">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left"/>
              <w:rPr>
                <w:rFonts w:ascii="Calibri" w:hAnsi="Calibri"/>
                <w:color w:val="000000"/>
                <w:szCs w:val="22"/>
              </w:rPr>
            </w:pPr>
            <w:r w:rsidRPr="00AC6A82">
              <w:rPr>
                <w:rFonts w:ascii="Calibri" w:hAnsi="Calibri"/>
                <w:color w:val="000000"/>
                <w:szCs w:val="22"/>
              </w:rPr>
              <w:t>Сегмент за компенсаторни инструменти, пазар BSE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3</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3</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w:t>
            </w:r>
          </w:p>
        </w:tc>
      </w:tr>
      <w:tr w:rsidR="004A097B" w:rsidRPr="00AC6A82" w:rsidTr="004A097B">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left"/>
              <w:rPr>
                <w:rFonts w:ascii="Calibri" w:hAnsi="Calibri"/>
                <w:color w:val="000000"/>
                <w:szCs w:val="22"/>
              </w:rPr>
            </w:pPr>
            <w:r w:rsidRPr="00AC6A82">
              <w:rPr>
                <w:rFonts w:ascii="Calibri" w:hAnsi="Calibri"/>
                <w:color w:val="000000"/>
                <w:szCs w:val="22"/>
              </w:rPr>
              <w:t>Сегмент за облигации, пазар BSE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66</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65</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-1</w:t>
            </w:r>
          </w:p>
        </w:tc>
      </w:tr>
      <w:tr w:rsidR="004A097B" w:rsidRPr="00AC6A82" w:rsidTr="004A097B">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left"/>
              <w:rPr>
                <w:rFonts w:ascii="Calibri" w:hAnsi="Calibri"/>
                <w:color w:val="000000"/>
                <w:szCs w:val="22"/>
              </w:rPr>
            </w:pPr>
            <w:r w:rsidRPr="00AC6A82">
              <w:rPr>
                <w:rFonts w:ascii="Calibri" w:hAnsi="Calibri"/>
                <w:color w:val="000000"/>
                <w:szCs w:val="22"/>
              </w:rPr>
              <w:t>Сегмент за първично публично предлагане, пазар BSE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0</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0</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w:t>
            </w:r>
          </w:p>
        </w:tc>
      </w:tr>
      <w:tr w:rsidR="004A097B" w:rsidRPr="00AC6A82" w:rsidTr="004A097B">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4A097B" w:rsidRPr="00B87BE0" w:rsidRDefault="004A097B" w:rsidP="004A097B">
            <w:pPr>
              <w:widowControl/>
              <w:spacing w:line="240" w:lineRule="auto"/>
              <w:jc w:val="left"/>
              <w:rPr>
                <w:rFonts w:ascii="Calibri" w:hAnsi="Calibri"/>
                <w:color w:val="000000"/>
                <w:szCs w:val="22"/>
              </w:rPr>
            </w:pPr>
            <w:r w:rsidRPr="00B87BE0">
              <w:rPr>
                <w:rFonts w:ascii="Calibri" w:hAnsi="Calibri"/>
                <w:color w:val="000000"/>
                <w:szCs w:val="22"/>
              </w:rPr>
              <w:t>Сегмент за права, пазар BSE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B87BE0" w:rsidRDefault="00B87BE0" w:rsidP="004A097B">
            <w:pPr>
              <w:widowControl/>
              <w:spacing w:line="240" w:lineRule="auto"/>
              <w:jc w:val="right"/>
              <w:rPr>
                <w:rFonts w:ascii="Calibri" w:hAnsi="Calibri"/>
                <w:color w:val="000000"/>
                <w:szCs w:val="22"/>
                <w:lang w:val="en-US"/>
              </w:rPr>
            </w:pPr>
            <w:r>
              <w:rPr>
                <w:rFonts w:ascii="Calibri" w:hAnsi="Calibri"/>
                <w:color w:val="000000"/>
                <w:szCs w:val="22"/>
                <w:lang w:val="en-US"/>
              </w:rPr>
              <w:t>0</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B87BE0" w:rsidRDefault="004A097B" w:rsidP="004A097B">
            <w:pPr>
              <w:widowControl/>
              <w:spacing w:line="240" w:lineRule="auto"/>
              <w:jc w:val="right"/>
              <w:rPr>
                <w:rFonts w:ascii="Calibri" w:hAnsi="Calibri"/>
                <w:color w:val="000000"/>
                <w:szCs w:val="22"/>
              </w:rPr>
            </w:pPr>
            <w:r w:rsidRPr="00B87BE0">
              <w:rPr>
                <w:rFonts w:ascii="Calibri" w:hAnsi="Calibri"/>
                <w:color w:val="000000"/>
                <w:szCs w:val="22"/>
              </w:rPr>
              <w:t>0</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4A097B" w:rsidRPr="00B87BE0" w:rsidRDefault="00B87BE0" w:rsidP="004A097B">
            <w:pPr>
              <w:widowControl/>
              <w:spacing w:line="240" w:lineRule="auto"/>
              <w:jc w:val="right"/>
              <w:rPr>
                <w:rFonts w:ascii="Calibri" w:hAnsi="Calibri"/>
                <w:color w:val="000000"/>
                <w:szCs w:val="22"/>
                <w:lang w:val="en-US"/>
              </w:rPr>
            </w:pPr>
            <w:r>
              <w:rPr>
                <w:rFonts w:ascii="Calibri" w:hAnsi="Calibri"/>
                <w:color w:val="000000"/>
                <w:szCs w:val="22"/>
                <w:lang w:val="en-US"/>
              </w:rPr>
              <w:t>0</w:t>
            </w:r>
          </w:p>
        </w:tc>
      </w:tr>
      <w:tr w:rsidR="004A097B" w:rsidRPr="00AC6A82" w:rsidTr="004A097B">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left"/>
              <w:rPr>
                <w:rFonts w:ascii="Calibri" w:hAnsi="Calibri"/>
                <w:color w:val="000000"/>
                <w:szCs w:val="22"/>
              </w:rPr>
            </w:pPr>
            <w:r w:rsidRPr="00AC6A82">
              <w:rPr>
                <w:rFonts w:ascii="Calibri" w:hAnsi="Calibri"/>
                <w:color w:val="000000"/>
                <w:szCs w:val="22"/>
              </w:rPr>
              <w:t>Сегмент акции, пазар BаSE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154</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154</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w:t>
            </w:r>
          </w:p>
        </w:tc>
      </w:tr>
      <w:tr w:rsidR="004A097B" w:rsidRPr="00AC6A82" w:rsidTr="004A097B">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left"/>
              <w:rPr>
                <w:rFonts w:ascii="Calibri" w:hAnsi="Calibri"/>
                <w:color w:val="000000"/>
                <w:szCs w:val="22"/>
              </w:rPr>
            </w:pPr>
            <w:r w:rsidRPr="00AC6A82">
              <w:rPr>
                <w:rFonts w:ascii="Calibri" w:hAnsi="Calibri"/>
                <w:color w:val="000000"/>
                <w:szCs w:val="22"/>
              </w:rPr>
              <w:t>Сегмент за АДСИЦ, пазар BаSE</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45</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45</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right"/>
              <w:rPr>
                <w:rFonts w:ascii="Calibri" w:hAnsi="Calibri"/>
                <w:color w:val="000000"/>
                <w:szCs w:val="22"/>
              </w:rPr>
            </w:pPr>
            <w:r w:rsidRPr="00AC6A82">
              <w:rPr>
                <w:rFonts w:ascii="Calibri" w:hAnsi="Calibri"/>
                <w:color w:val="000000"/>
                <w:szCs w:val="22"/>
              </w:rPr>
              <w:t>-</w:t>
            </w:r>
          </w:p>
        </w:tc>
      </w:tr>
      <w:tr w:rsidR="004A097B" w:rsidRPr="00AC6A82" w:rsidTr="004A097B">
        <w:trPr>
          <w:trHeight w:val="170"/>
          <w:jc w:val="center"/>
        </w:trPr>
        <w:tc>
          <w:tcPr>
            <w:tcW w:w="535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left"/>
              <w:rPr>
                <w:rFonts w:ascii="Calibri" w:hAnsi="Calibri"/>
                <w:b/>
                <w:bCs/>
                <w:color w:val="000000"/>
                <w:szCs w:val="22"/>
              </w:rPr>
            </w:pPr>
            <w:r w:rsidRPr="00AC6A82">
              <w:rPr>
                <w:rFonts w:ascii="Calibri" w:hAnsi="Calibri"/>
                <w:b/>
                <w:bCs/>
                <w:color w:val="000000"/>
                <w:szCs w:val="22"/>
              </w:rPr>
              <w:t>Общо</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4A097B" w:rsidRPr="00B87BE0" w:rsidRDefault="004A097B" w:rsidP="004A097B">
            <w:pPr>
              <w:widowControl/>
              <w:spacing w:line="240" w:lineRule="auto"/>
              <w:jc w:val="right"/>
              <w:rPr>
                <w:rFonts w:ascii="Calibri" w:hAnsi="Calibri"/>
                <w:b/>
                <w:bCs/>
                <w:color w:val="000000"/>
                <w:szCs w:val="22"/>
                <w:lang w:val="en-US"/>
              </w:rPr>
            </w:pPr>
            <w:r w:rsidRPr="00AC6A82">
              <w:rPr>
                <w:rFonts w:ascii="Calibri" w:hAnsi="Calibri"/>
                <w:b/>
                <w:bCs/>
                <w:color w:val="000000"/>
                <w:szCs w:val="22"/>
              </w:rPr>
              <w:t>3</w:t>
            </w:r>
            <w:r w:rsidR="00B87BE0">
              <w:rPr>
                <w:rFonts w:ascii="Calibri" w:hAnsi="Calibri"/>
                <w:b/>
                <w:bCs/>
                <w:color w:val="000000"/>
                <w:szCs w:val="22"/>
                <w:lang w:val="en-US"/>
              </w:rPr>
              <w:t>79</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4A097B" w:rsidRPr="00AC6A82" w:rsidRDefault="004A097B" w:rsidP="004A097B">
            <w:pPr>
              <w:widowControl/>
              <w:spacing w:line="240" w:lineRule="auto"/>
              <w:jc w:val="right"/>
              <w:rPr>
                <w:rFonts w:ascii="Calibri" w:hAnsi="Calibri"/>
                <w:b/>
                <w:bCs/>
                <w:color w:val="000000"/>
                <w:szCs w:val="22"/>
              </w:rPr>
            </w:pPr>
            <w:r w:rsidRPr="00AC6A82">
              <w:rPr>
                <w:rFonts w:ascii="Calibri" w:hAnsi="Calibri"/>
                <w:b/>
                <w:bCs/>
                <w:color w:val="000000"/>
                <w:szCs w:val="22"/>
              </w:rPr>
              <w:t>373</w:t>
            </w:r>
          </w:p>
        </w:tc>
        <w:tc>
          <w:tcPr>
            <w:tcW w:w="1160"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4A097B" w:rsidRPr="00B87BE0" w:rsidRDefault="004A097B" w:rsidP="004A097B">
            <w:pPr>
              <w:widowControl/>
              <w:spacing w:line="240" w:lineRule="auto"/>
              <w:jc w:val="right"/>
              <w:rPr>
                <w:rFonts w:ascii="Calibri" w:hAnsi="Calibri"/>
                <w:b/>
                <w:bCs/>
                <w:color w:val="000000"/>
                <w:szCs w:val="22"/>
                <w:lang w:val="en-US"/>
              </w:rPr>
            </w:pPr>
            <w:r w:rsidRPr="00AC6A82">
              <w:rPr>
                <w:rFonts w:ascii="Calibri" w:hAnsi="Calibri"/>
                <w:b/>
                <w:bCs/>
                <w:color w:val="000000"/>
                <w:szCs w:val="22"/>
              </w:rPr>
              <w:t>-</w:t>
            </w:r>
            <w:r w:rsidR="00B87BE0">
              <w:rPr>
                <w:rFonts w:ascii="Calibri" w:hAnsi="Calibri"/>
                <w:b/>
                <w:bCs/>
                <w:color w:val="000000"/>
                <w:szCs w:val="22"/>
                <w:lang w:val="en-US"/>
              </w:rPr>
              <w:t>6</w:t>
            </w:r>
          </w:p>
        </w:tc>
      </w:tr>
    </w:tbl>
    <w:p w:rsidR="00773327" w:rsidRPr="00AC6A82" w:rsidRDefault="00773327" w:rsidP="001A50AB">
      <w:pPr>
        <w:rPr>
          <w:rFonts w:ascii="Calibri" w:hAnsi="Calibri" w:cs="Calibri"/>
        </w:rPr>
      </w:pPr>
    </w:p>
    <w:tbl>
      <w:tblPr>
        <w:tblStyle w:val="TableGrid"/>
        <w:tblW w:w="968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80"/>
      </w:tblGrid>
      <w:tr w:rsidR="005B3FF0" w:rsidRPr="00AC6A82" w:rsidTr="00773327">
        <w:trPr>
          <w:jc w:val="center"/>
        </w:trPr>
        <w:tc>
          <w:tcPr>
            <w:tcW w:w="9680" w:type="dxa"/>
          </w:tcPr>
          <w:p w:rsidR="005B3FF0" w:rsidRPr="00AC6A82" w:rsidRDefault="005B3FF0" w:rsidP="00C1730A">
            <w:pPr>
              <w:rPr>
                <w:rFonts w:ascii="Calibri" w:hAnsi="Calibri" w:cs="Calibri"/>
              </w:rPr>
            </w:pPr>
            <w:r w:rsidRPr="00AC6A82">
              <w:rPr>
                <w:rFonts w:ascii="Calibri" w:hAnsi="Calibri" w:cs="Calibri"/>
              </w:rPr>
              <w:t xml:space="preserve">Графика 5: Регистрирани емисии по сегменти за отчетното </w:t>
            </w:r>
            <w:r w:rsidR="00C1730A" w:rsidRPr="00AC6A82">
              <w:rPr>
                <w:rFonts w:ascii="Calibri" w:hAnsi="Calibri" w:cs="Calibri"/>
              </w:rPr>
              <w:t>три</w:t>
            </w:r>
            <w:r w:rsidRPr="00AC6A82">
              <w:rPr>
                <w:rFonts w:ascii="Calibri" w:hAnsi="Calibri" w:cs="Calibri"/>
              </w:rPr>
              <w:t>месечие и сравнение</w:t>
            </w:r>
          </w:p>
        </w:tc>
      </w:tr>
      <w:tr w:rsidR="005B3FF0" w:rsidRPr="00AC6A82" w:rsidTr="00A57623">
        <w:tblPrEx>
          <w:tblCellMar>
            <w:left w:w="70" w:type="dxa"/>
            <w:right w:w="70" w:type="dxa"/>
          </w:tblCellMar>
        </w:tblPrEx>
        <w:trPr>
          <w:jc w:val="center"/>
        </w:trPr>
        <w:tc>
          <w:tcPr>
            <w:tcW w:w="9680" w:type="dxa"/>
          </w:tcPr>
          <w:p w:rsidR="005B3FF0" w:rsidRPr="00AC6A82" w:rsidRDefault="004A097B" w:rsidP="001A50AB">
            <w:pPr>
              <w:rPr>
                <w:rFonts w:ascii="Calibri" w:hAnsi="Calibri" w:cs="Calibri"/>
                <w:sz w:val="20"/>
                <w:szCs w:val="20"/>
              </w:rPr>
            </w:pPr>
            <w:r w:rsidRPr="00AC6A82">
              <w:rPr>
                <w:rFonts w:ascii="Calibri" w:hAnsi="Calibri" w:cs="Calibri"/>
                <w:noProof/>
                <w:sz w:val="20"/>
                <w:szCs w:val="20"/>
              </w:rPr>
              <w:drawing>
                <wp:inline distT="0" distB="0" distL="0" distR="0">
                  <wp:extent cx="5973288" cy="4132613"/>
                  <wp:effectExtent l="0" t="0" r="0" b="0"/>
                  <wp:docPr id="21" name="Диаграма 5">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4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r>
    </w:tbl>
    <w:p w:rsidR="009A3F7B" w:rsidRPr="00AC6A82" w:rsidRDefault="009A3F7B" w:rsidP="001A50AB">
      <w:pPr>
        <w:rPr>
          <w:rFonts w:ascii="Calibri" w:hAnsi="Calibri" w:cs="Calibri"/>
        </w:rPr>
      </w:pPr>
      <w:r w:rsidRPr="00AC6A82">
        <w:rPr>
          <w:rFonts w:ascii="Calibri" w:hAnsi="Calibri" w:cs="Calibri"/>
        </w:rPr>
        <w:br w:type="page"/>
      </w:r>
    </w:p>
    <w:p w:rsidR="00A22320" w:rsidRPr="00AC6A82" w:rsidRDefault="00A22320" w:rsidP="001A50AB">
      <w:pPr>
        <w:pStyle w:val="Mainnumbers"/>
        <w:rPr>
          <w:rFonts w:ascii="Calibri" w:hAnsi="Calibri" w:cs="Calibri"/>
        </w:rPr>
      </w:pPr>
      <w:bookmarkStart w:id="16" w:name="_Toc283112103"/>
      <w:bookmarkStart w:id="17" w:name="_Ref457297363"/>
      <w:bookmarkStart w:id="18" w:name="_Toc7535420"/>
      <w:r w:rsidRPr="00AC6A82">
        <w:rPr>
          <w:rFonts w:ascii="Calibri" w:hAnsi="Calibri" w:cs="Calibri"/>
        </w:rPr>
        <w:t>Нови емитенти, отписани емисии и увеличения на капита</w:t>
      </w:r>
      <w:bookmarkEnd w:id="16"/>
      <w:r w:rsidR="001E6C9F" w:rsidRPr="00AC6A82">
        <w:rPr>
          <w:rFonts w:ascii="Calibri" w:hAnsi="Calibri" w:cs="Calibri"/>
        </w:rPr>
        <w:t>л</w:t>
      </w:r>
      <w:bookmarkEnd w:id="17"/>
      <w:bookmarkEnd w:id="18"/>
    </w:p>
    <w:p w:rsidR="000C2FF8" w:rsidRPr="00AC6A82" w:rsidRDefault="00ED2F4C" w:rsidP="0047355D">
      <w:pPr>
        <w:pStyle w:val="NoSpacing"/>
        <w:spacing w:line="276" w:lineRule="auto"/>
        <w:rPr>
          <w:rFonts w:ascii="Calibri" w:hAnsi="Calibri" w:cs="Calibri"/>
        </w:rPr>
      </w:pPr>
      <w:bookmarkStart w:id="19" w:name="_Toc142469786"/>
      <w:bookmarkStart w:id="20" w:name="_Toc283112104"/>
      <w:bookmarkEnd w:id="11"/>
      <w:bookmarkEnd w:id="12"/>
      <w:r w:rsidRPr="00AC6A82">
        <w:rPr>
          <w:rFonts w:ascii="Calibri" w:hAnsi="Calibri" w:cs="Calibri"/>
        </w:rPr>
        <w:t xml:space="preserve">През </w:t>
      </w:r>
      <w:r w:rsidR="00B56CBC" w:rsidRPr="00AC6A82">
        <w:rPr>
          <w:rFonts w:ascii="Calibri" w:hAnsi="Calibri" w:cs="Calibri"/>
        </w:rPr>
        <w:t>четвъртото</w:t>
      </w:r>
      <w:r w:rsidR="00A34F4D" w:rsidRPr="00AC6A82">
        <w:rPr>
          <w:rFonts w:ascii="Calibri" w:hAnsi="Calibri" w:cs="Calibri"/>
        </w:rPr>
        <w:t xml:space="preserve"> три</w:t>
      </w:r>
      <w:r w:rsidR="00BB0AE7" w:rsidRPr="00AC6A82">
        <w:rPr>
          <w:rFonts w:ascii="Calibri" w:hAnsi="Calibri" w:cs="Calibri"/>
        </w:rPr>
        <w:t>месечие на 201</w:t>
      </w:r>
      <w:r w:rsidR="006D7BFB" w:rsidRPr="00AC6A82">
        <w:rPr>
          <w:rFonts w:ascii="Calibri" w:hAnsi="Calibri" w:cs="Calibri"/>
        </w:rPr>
        <w:t>8</w:t>
      </w:r>
      <w:r w:rsidR="00BB0AE7" w:rsidRPr="00AC6A82">
        <w:rPr>
          <w:rFonts w:ascii="Calibri" w:hAnsi="Calibri" w:cs="Calibri"/>
        </w:rPr>
        <w:t xml:space="preserve"> година</w:t>
      </w:r>
      <w:r w:rsidR="004402E5" w:rsidRPr="00AC6A82">
        <w:rPr>
          <w:rFonts w:ascii="Calibri" w:hAnsi="Calibri" w:cs="Calibri"/>
        </w:rPr>
        <w:t xml:space="preserve"> </w:t>
      </w:r>
      <w:r w:rsidR="000F109B" w:rsidRPr="00AC6A82">
        <w:rPr>
          <w:rFonts w:ascii="Calibri" w:hAnsi="Calibri" w:cs="Calibri"/>
        </w:rPr>
        <w:t xml:space="preserve">имаше </w:t>
      </w:r>
      <w:r w:rsidR="007B7E27" w:rsidRPr="00AC6A82">
        <w:rPr>
          <w:rFonts w:ascii="Calibri" w:hAnsi="Calibri" w:cs="Calibri"/>
        </w:rPr>
        <w:t xml:space="preserve">пет </w:t>
      </w:r>
      <w:r w:rsidR="00BB0AE7" w:rsidRPr="00AC6A82">
        <w:rPr>
          <w:rFonts w:ascii="Calibri" w:hAnsi="Calibri" w:cs="Calibri"/>
        </w:rPr>
        <w:t xml:space="preserve">нови емисии </w:t>
      </w:r>
      <w:r w:rsidR="00783023" w:rsidRPr="00AC6A82">
        <w:rPr>
          <w:rFonts w:ascii="Calibri" w:hAnsi="Calibri" w:cs="Calibri"/>
        </w:rPr>
        <w:t>финансови инструменти, допуснати до търговия</w:t>
      </w:r>
      <w:r w:rsidR="007B7E27" w:rsidRPr="00AC6A82">
        <w:rPr>
          <w:rFonts w:ascii="Calibri" w:hAnsi="Calibri" w:cs="Calibri"/>
        </w:rPr>
        <w:t xml:space="preserve"> – всичките </w:t>
      </w:r>
      <w:r w:rsidR="00BB0AE7" w:rsidRPr="00AC6A82">
        <w:rPr>
          <w:rFonts w:ascii="Calibri" w:hAnsi="Calibri" w:cs="Calibri"/>
        </w:rPr>
        <w:t>емисии на права. За сравнение</w:t>
      </w:r>
      <w:r w:rsidR="00783023" w:rsidRPr="00AC6A82">
        <w:rPr>
          <w:rFonts w:ascii="Calibri" w:hAnsi="Calibri" w:cs="Calibri"/>
        </w:rPr>
        <w:t xml:space="preserve">, през </w:t>
      </w:r>
      <w:r w:rsidR="004402E5" w:rsidRPr="00AC6A82">
        <w:rPr>
          <w:rFonts w:ascii="Calibri" w:hAnsi="Calibri" w:cs="Calibri"/>
        </w:rPr>
        <w:t xml:space="preserve">четвъртото </w:t>
      </w:r>
      <w:r w:rsidR="00F65652" w:rsidRPr="00AC6A82">
        <w:rPr>
          <w:rFonts w:ascii="Calibri" w:hAnsi="Calibri" w:cs="Calibri"/>
        </w:rPr>
        <w:t>тримесечие</w:t>
      </w:r>
      <w:r w:rsidR="004402E5" w:rsidRPr="00AC6A82">
        <w:rPr>
          <w:rFonts w:ascii="Calibri" w:hAnsi="Calibri" w:cs="Calibri"/>
        </w:rPr>
        <w:t xml:space="preserve"> </w:t>
      </w:r>
      <w:r w:rsidR="00364FB4" w:rsidRPr="00AC6A82">
        <w:rPr>
          <w:rFonts w:ascii="Calibri" w:hAnsi="Calibri" w:cs="Calibri"/>
        </w:rPr>
        <w:t>н</w:t>
      </w:r>
      <w:r w:rsidR="0095361A" w:rsidRPr="00AC6A82">
        <w:rPr>
          <w:rFonts w:ascii="Calibri" w:hAnsi="Calibri" w:cs="Calibri"/>
        </w:rPr>
        <w:t>овите емисии</w:t>
      </w:r>
      <w:r w:rsidR="00364FB4" w:rsidRPr="00AC6A82">
        <w:rPr>
          <w:rFonts w:ascii="Calibri" w:hAnsi="Calibri" w:cs="Calibri"/>
        </w:rPr>
        <w:t xml:space="preserve"> бяха </w:t>
      </w:r>
      <w:r w:rsidR="004402E5" w:rsidRPr="00AC6A82">
        <w:rPr>
          <w:rFonts w:ascii="Calibri" w:hAnsi="Calibri" w:cs="Calibri"/>
        </w:rPr>
        <w:t>петнадесет: една емисия акции, една емисия борсово търгувани продукти, една емисия акции на АДСИЦ, седем облигационни емисии и пет емисии на права</w:t>
      </w:r>
      <w:r w:rsidR="000F109B" w:rsidRPr="00AC6A82">
        <w:rPr>
          <w:rFonts w:ascii="Calibri" w:hAnsi="Calibri" w:cs="Calibri"/>
        </w:rPr>
        <w:t>.</w:t>
      </w:r>
    </w:p>
    <w:p w:rsidR="000C2FF8" w:rsidRPr="00AC6A82" w:rsidRDefault="00ED2F4C" w:rsidP="0047355D">
      <w:pPr>
        <w:pStyle w:val="NoSpacing"/>
        <w:spacing w:line="276" w:lineRule="auto"/>
        <w:rPr>
          <w:rFonts w:ascii="Calibri" w:hAnsi="Calibri" w:cs="Calibri"/>
        </w:rPr>
      </w:pPr>
      <w:r w:rsidRPr="00AC6A82">
        <w:rPr>
          <w:rFonts w:ascii="Calibri" w:hAnsi="Calibri" w:cs="Calibri"/>
        </w:rPr>
        <w:t xml:space="preserve">Прекратена бе регистрацията на </w:t>
      </w:r>
      <w:r w:rsidR="007B7E27" w:rsidRPr="00AC6A82">
        <w:rPr>
          <w:rFonts w:ascii="Calibri" w:hAnsi="Calibri" w:cs="Calibri"/>
        </w:rPr>
        <w:t>единадесет</w:t>
      </w:r>
      <w:r w:rsidR="002706AA" w:rsidRPr="00AC6A82">
        <w:rPr>
          <w:rFonts w:ascii="Calibri" w:hAnsi="Calibri" w:cs="Calibri"/>
        </w:rPr>
        <w:t xml:space="preserve"> емисии</w:t>
      </w:r>
      <w:r w:rsidR="00BB0AE7" w:rsidRPr="00AC6A82">
        <w:rPr>
          <w:rFonts w:ascii="Calibri" w:hAnsi="Calibri" w:cs="Calibri"/>
        </w:rPr>
        <w:t xml:space="preserve">, от които </w:t>
      </w:r>
      <w:r w:rsidR="007B7E27" w:rsidRPr="00AC6A82">
        <w:rPr>
          <w:rFonts w:ascii="Calibri" w:hAnsi="Calibri" w:cs="Calibri"/>
        </w:rPr>
        <w:t>една емисия</w:t>
      </w:r>
      <w:r w:rsidR="00A77FFC" w:rsidRPr="00AC6A82">
        <w:rPr>
          <w:rFonts w:ascii="Calibri" w:hAnsi="Calibri" w:cs="Calibri"/>
        </w:rPr>
        <w:t xml:space="preserve"> </w:t>
      </w:r>
      <w:r w:rsidR="00BB0AE7" w:rsidRPr="00AC6A82">
        <w:rPr>
          <w:rFonts w:ascii="Calibri" w:hAnsi="Calibri" w:cs="Calibri"/>
        </w:rPr>
        <w:t xml:space="preserve">акции, </w:t>
      </w:r>
      <w:r w:rsidR="00B56CBC" w:rsidRPr="00AC6A82">
        <w:rPr>
          <w:rFonts w:ascii="Calibri" w:hAnsi="Calibri" w:cs="Calibri"/>
        </w:rPr>
        <w:t>една</w:t>
      </w:r>
      <w:r w:rsidR="00BB0AE7" w:rsidRPr="00AC6A82">
        <w:rPr>
          <w:rFonts w:ascii="Calibri" w:hAnsi="Calibri" w:cs="Calibri"/>
        </w:rPr>
        <w:t xml:space="preserve"> </w:t>
      </w:r>
      <w:r w:rsidR="00BB0AE7" w:rsidRPr="00B87BE0">
        <w:rPr>
          <w:rFonts w:ascii="Calibri" w:hAnsi="Calibri" w:cs="Calibri"/>
        </w:rPr>
        <w:t>облигационн</w:t>
      </w:r>
      <w:r w:rsidR="00B56CBC" w:rsidRPr="00B87BE0">
        <w:rPr>
          <w:rFonts w:ascii="Calibri" w:hAnsi="Calibri" w:cs="Calibri"/>
        </w:rPr>
        <w:t>а</w:t>
      </w:r>
      <w:r w:rsidR="00BB0AE7" w:rsidRPr="00B87BE0">
        <w:rPr>
          <w:rFonts w:ascii="Calibri" w:hAnsi="Calibri" w:cs="Calibri"/>
        </w:rPr>
        <w:t xml:space="preserve"> емиси</w:t>
      </w:r>
      <w:r w:rsidR="00B56CBC" w:rsidRPr="00B87BE0">
        <w:rPr>
          <w:rFonts w:ascii="Calibri" w:hAnsi="Calibri" w:cs="Calibri"/>
        </w:rPr>
        <w:t xml:space="preserve">я, </w:t>
      </w:r>
      <w:r w:rsidR="007B7E27" w:rsidRPr="00B87BE0">
        <w:rPr>
          <w:rFonts w:ascii="Calibri" w:hAnsi="Calibri" w:cs="Calibri"/>
        </w:rPr>
        <w:t>четири емисии</w:t>
      </w:r>
      <w:r w:rsidR="00B56CBC" w:rsidRPr="00B87BE0">
        <w:rPr>
          <w:rFonts w:ascii="Calibri" w:hAnsi="Calibri" w:cs="Calibri"/>
        </w:rPr>
        <w:t xml:space="preserve"> ДЦК</w:t>
      </w:r>
      <w:r w:rsidR="00EF3285" w:rsidRPr="00B87BE0">
        <w:rPr>
          <w:rFonts w:ascii="Calibri" w:hAnsi="Calibri" w:cs="Calibri"/>
        </w:rPr>
        <w:t xml:space="preserve"> и </w:t>
      </w:r>
      <w:r w:rsidR="00B56CBC" w:rsidRPr="00B87BE0">
        <w:rPr>
          <w:rFonts w:ascii="Calibri" w:hAnsi="Calibri" w:cs="Calibri"/>
        </w:rPr>
        <w:t>пет</w:t>
      </w:r>
      <w:r w:rsidR="00BB0AE7" w:rsidRPr="00B87BE0">
        <w:rPr>
          <w:rFonts w:ascii="Calibri" w:hAnsi="Calibri" w:cs="Calibri"/>
        </w:rPr>
        <w:t xml:space="preserve"> емиси</w:t>
      </w:r>
      <w:r w:rsidR="007C5285" w:rsidRPr="00B87BE0">
        <w:rPr>
          <w:rFonts w:ascii="Calibri" w:hAnsi="Calibri" w:cs="Calibri"/>
        </w:rPr>
        <w:t>и</w:t>
      </w:r>
      <w:r w:rsidR="007B7E27" w:rsidRPr="00B87BE0">
        <w:rPr>
          <w:rFonts w:ascii="Calibri" w:hAnsi="Calibri" w:cs="Calibri"/>
        </w:rPr>
        <w:t xml:space="preserve"> </w:t>
      </w:r>
      <w:r w:rsidR="007C5285" w:rsidRPr="00B87BE0">
        <w:rPr>
          <w:rFonts w:ascii="Calibri" w:hAnsi="Calibri" w:cs="Calibri"/>
        </w:rPr>
        <w:t>права</w:t>
      </w:r>
      <w:r w:rsidR="00FA3B28" w:rsidRPr="00B87BE0">
        <w:rPr>
          <w:rFonts w:ascii="Calibri" w:hAnsi="Calibri" w:cs="Calibri"/>
        </w:rPr>
        <w:t>.</w:t>
      </w:r>
      <w:r w:rsidR="00FC3D31" w:rsidRPr="00B87BE0">
        <w:rPr>
          <w:rFonts w:ascii="Calibri" w:hAnsi="Calibri" w:cs="Calibri"/>
        </w:rPr>
        <w:t xml:space="preserve"> З</w:t>
      </w:r>
      <w:r w:rsidR="007756A8" w:rsidRPr="00B87BE0">
        <w:rPr>
          <w:rFonts w:ascii="Calibri" w:hAnsi="Calibri" w:cs="Calibri"/>
        </w:rPr>
        <w:t xml:space="preserve">а сравнение през </w:t>
      </w:r>
      <w:r w:rsidR="002706AA" w:rsidRPr="00B87BE0">
        <w:rPr>
          <w:rFonts w:ascii="Calibri" w:hAnsi="Calibri" w:cs="Calibri"/>
        </w:rPr>
        <w:t>предходното</w:t>
      </w:r>
      <w:r w:rsidR="002706AA" w:rsidRPr="00AC6A82">
        <w:rPr>
          <w:rFonts w:ascii="Calibri" w:hAnsi="Calibri" w:cs="Calibri"/>
        </w:rPr>
        <w:t xml:space="preserve"> тримесечие</w:t>
      </w:r>
      <w:r w:rsidR="007B7E27" w:rsidRPr="00AC6A82">
        <w:rPr>
          <w:rFonts w:ascii="Calibri" w:hAnsi="Calibri" w:cs="Calibri"/>
        </w:rPr>
        <w:t xml:space="preserve"> </w:t>
      </w:r>
      <w:r w:rsidR="007756A8" w:rsidRPr="00AC6A82">
        <w:rPr>
          <w:rFonts w:ascii="Calibri" w:hAnsi="Calibri" w:cs="Calibri"/>
        </w:rPr>
        <w:t xml:space="preserve">бе прекратена регистрацията на </w:t>
      </w:r>
      <w:r w:rsidR="007B7E27" w:rsidRPr="00AC6A82">
        <w:rPr>
          <w:rFonts w:ascii="Calibri" w:hAnsi="Calibri" w:cs="Calibri"/>
        </w:rPr>
        <w:t>две емисии акции, една облигационна емисия, една емисия ДЦК и пет емисии права</w:t>
      </w:r>
      <w:r w:rsidR="00C83A5F" w:rsidRPr="00AC6A82">
        <w:rPr>
          <w:rFonts w:ascii="Calibri" w:hAnsi="Calibri" w:cs="Calibri"/>
        </w:rPr>
        <w:t>.</w:t>
      </w:r>
    </w:p>
    <w:p w:rsidR="00106038" w:rsidRPr="00AC6A82" w:rsidRDefault="00C83A5F" w:rsidP="0047355D">
      <w:pPr>
        <w:pStyle w:val="NoSpacing"/>
        <w:spacing w:line="276" w:lineRule="auto"/>
        <w:rPr>
          <w:rFonts w:ascii="Calibri" w:hAnsi="Calibri" w:cs="Calibri"/>
        </w:rPr>
      </w:pPr>
      <w:r w:rsidRPr="00AC6A82">
        <w:rPr>
          <w:rFonts w:ascii="Calibri" w:hAnsi="Calibri" w:cs="Calibri"/>
        </w:rPr>
        <w:t xml:space="preserve">През отчетното </w:t>
      </w:r>
      <w:r w:rsidR="002706AA" w:rsidRPr="00AC6A82">
        <w:rPr>
          <w:rFonts w:ascii="Calibri" w:hAnsi="Calibri" w:cs="Calibri"/>
        </w:rPr>
        <w:t>три</w:t>
      </w:r>
      <w:r w:rsidR="00BB0AE7" w:rsidRPr="00AC6A82">
        <w:rPr>
          <w:rFonts w:ascii="Calibri" w:hAnsi="Calibri" w:cs="Calibri"/>
        </w:rPr>
        <w:t>месечие</w:t>
      </w:r>
      <w:r w:rsidR="00EF1F23">
        <w:rPr>
          <w:rFonts w:ascii="Calibri" w:hAnsi="Calibri" w:cs="Calibri"/>
          <w:lang w:val="en-US"/>
        </w:rPr>
        <w:t xml:space="preserve"> </w:t>
      </w:r>
      <w:r w:rsidR="00EF1F23">
        <w:rPr>
          <w:rFonts w:ascii="Calibri" w:hAnsi="Calibri" w:cs="Calibri"/>
        </w:rPr>
        <w:t>тринадесет</w:t>
      </w:r>
      <w:r w:rsidR="00EF1F23">
        <w:rPr>
          <w:rFonts w:ascii="Calibri" w:hAnsi="Calibri" w:cs="Calibri"/>
          <w:lang w:val="en-US"/>
        </w:rPr>
        <w:t xml:space="preserve"> </w:t>
      </w:r>
      <w:r w:rsidR="007C5285" w:rsidRPr="00AC6A82">
        <w:rPr>
          <w:rFonts w:ascii="Calibri" w:hAnsi="Calibri" w:cs="Calibri"/>
        </w:rPr>
        <w:t>дружества</w:t>
      </w:r>
      <w:r w:rsidR="00463761" w:rsidRPr="00AC6A82">
        <w:rPr>
          <w:rFonts w:ascii="Calibri" w:hAnsi="Calibri" w:cs="Calibri"/>
        </w:rPr>
        <w:t xml:space="preserve"> увеличи</w:t>
      </w:r>
      <w:r w:rsidR="007C5285" w:rsidRPr="00AC6A82">
        <w:rPr>
          <w:rFonts w:ascii="Calibri" w:hAnsi="Calibri" w:cs="Calibri"/>
        </w:rPr>
        <w:t>ха</w:t>
      </w:r>
      <w:r w:rsidR="007756A8" w:rsidRPr="00AC6A82">
        <w:rPr>
          <w:rFonts w:ascii="Calibri" w:hAnsi="Calibri" w:cs="Calibri"/>
        </w:rPr>
        <w:t xml:space="preserve"> капитала си, </w:t>
      </w:r>
      <w:r w:rsidR="00BB0AE7" w:rsidRPr="00AC6A82">
        <w:rPr>
          <w:rFonts w:ascii="Calibri" w:hAnsi="Calibri" w:cs="Calibri"/>
        </w:rPr>
        <w:t>а през предходн</w:t>
      </w:r>
      <w:r w:rsidR="002706AA" w:rsidRPr="00AC6A82">
        <w:rPr>
          <w:rFonts w:ascii="Calibri" w:hAnsi="Calibri" w:cs="Calibri"/>
        </w:rPr>
        <w:t xml:space="preserve">ото- </w:t>
      </w:r>
      <w:r w:rsidR="00EF1F23">
        <w:rPr>
          <w:rFonts w:ascii="Calibri" w:hAnsi="Calibri" w:cs="Calibri"/>
        </w:rPr>
        <w:t>пет</w:t>
      </w:r>
      <w:r w:rsidR="00C27505" w:rsidRPr="00AC6A82">
        <w:rPr>
          <w:rFonts w:ascii="Calibri" w:hAnsi="Calibri" w:cs="Calibri"/>
        </w:rPr>
        <w:t>.</w:t>
      </w:r>
    </w:p>
    <w:p w:rsidR="00106038" w:rsidRPr="00AC6A82" w:rsidRDefault="00106038" w:rsidP="001A50AB">
      <w:pPr>
        <w:rPr>
          <w:rFonts w:ascii="Calibri" w:hAnsi="Calibri" w:cs="Calibri"/>
        </w:rPr>
      </w:pPr>
    </w:p>
    <w:p w:rsidR="00B56CBC" w:rsidRPr="00AC6A82" w:rsidRDefault="009A3F7B" w:rsidP="001A50AB">
      <w:pPr>
        <w:rPr>
          <w:rFonts w:ascii="Calibri" w:hAnsi="Calibri" w:cs="Calibri"/>
        </w:rPr>
      </w:pPr>
      <w:r w:rsidRPr="00AC6A82">
        <w:rPr>
          <w:rFonts w:ascii="Calibri" w:hAnsi="Calibri" w:cs="Calibri"/>
        </w:rPr>
        <w:t xml:space="preserve">Таблица 7а. Нови емитенти през отчетното </w:t>
      </w:r>
      <w:r w:rsidR="002706AA" w:rsidRPr="00AC6A82">
        <w:rPr>
          <w:rFonts w:ascii="Calibri" w:hAnsi="Calibri" w:cs="Calibri"/>
        </w:rPr>
        <w:t>три</w:t>
      </w:r>
      <w:r w:rsidRPr="00AC6A82">
        <w:rPr>
          <w:rFonts w:ascii="Calibri" w:hAnsi="Calibri" w:cs="Calibri"/>
        </w:rPr>
        <w:t>месечие</w:t>
      </w:r>
      <w:r w:rsidR="000B2B69" w:rsidRPr="00AC6A82">
        <w:rPr>
          <w:rFonts w:ascii="Calibri" w:hAnsi="Calibri" w:cs="Calibri"/>
        </w:rPr>
        <w:t>:</w:t>
      </w:r>
    </w:p>
    <w:tbl>
      <w:tblPr>
        <w:tblW w:w="7224" w:type="dxa"/>
        <w:jc w:val="center"/>
        <w:tblCellMar>
          <w:left w:w="70" w:type="dxa"/>
          <w:right w:w="70" w:type="dxa"/>
        </w:tblCellMar>
        <w:tblLook w:val="04A0" w:firstRow="1" w:lastRow="0" w:firstColumn="1" w:lastColumn="0" w:noHBand="0" w:noVBand="1"/>
      </w:tblPr>
      <w:tblGrid>
        <w:gridCol w:w="4660"/>
        <w:gridCol w:w="1289"/>
        <w:gridCol w:w="1275"/>
      </w:tblGrid>
      <w:tr w:rsidR="00B56CBC" w:rsidRPr="00AC6A82" w:rsidTr="00CC2B94">
        <w:trPr>
          <w:trHeight w:val="255"/>
          <w:jc w:val="center"/>
        </w:trPr>
        <w:tc>
          <w:tcPr>
            <w:tcW w:w="4660" w:type="dxa"/>
            <w:tcBorders>
              <w:top w:val="single" w:sz="4" w:space="0" w:color="auto"/>
              <w:left w:val="single" w:sz="4" w:space="0" w:color="auto"/>
              <w:bottom w:val="single" w:sz="4" w:space="0" w:color="auto"/>
              <w:right w:val="single" w:sz="4" w:space="0" w:color="auto"/>
            </w:tcBorders>
            <w:shd w:val="clear" w:color="000000" w:fill="4F81BD"/>
            <w:noWrap/>
            <w:vAlign w:val="center"/>
            <w:hideMark/>
          </w:tcPr>
          <w:p w:rsidR="00B56CBC" w:rsidRPr="00AC6A82" w:rsidRDefault="00B56CBC" w:rsidP="00CC2B94">
            <w:pPr>
              <w:widowControl/>
              <w:spacing w:line="240" w:lineRule="auto"/>
              <w:jc w:val="center"/>
              <w:rPr>
                <w:rFonts w:ascii="Calibri" w:hAnsi="Calibri" w:cs="Calibri"/>
                <w:color w:val="FFFFFF"/>
                <w:szCs w:val="22"/>
              </w:rPr>
            </w:pPr>
            <w:r w:rsidRPr="00AC6A82">
              <w:rPr>
                <w:rFonts w:ascii="Calibri" w:hAnsi="Calibri" w:cs="Calibri"/>
                <w:color w:val="FFFFFF"/>
                <w:szCs w:val="22"/>
              </w:rPr>
              <w:t>Нови емисии по сегмент</w:t>
            </w:r>
          </w:p>
        </w:tc>
        <w:tc>
          <w:tcPr>
            <w:tcW w:w="1289" w:type="dxa"/>
            <w:tcBorders>
              <w:top w:val="single" w:sz="4" w:space="0" w:color="auto"/>
              <w:left w:val="nil"/>
              <w:bottom w:val="single" w:sz="4" w:space="0" w:color="auto"/>
              <w:right w:val="single" w:sz="4" w:space="0" w:color="auto"/>
            </w:tcBorders>
            <w:shd w:val="clear" w:color="000000" w:fill="4F81BD"/>
            <w:noWrap/>
            <w:vAlign w:val="center"/>
            <w:hideMark/>
          </w:tcPr>
          <w:p w:rsidR="00B56CBC" w:rsidRPr="00AC6A82" w:rsidRDefault="00B56CBC" w:rsidP="00CC2B94">
            <w:pPr>
              <w:widowControl/>
              <w:spacing w:line="240" w:lineRule="auto"/>
              <w:jc w:val="center"/>
              <w:rPr>
                <w:rFonts w:ascii="Calibri" w:hAnsi="Calibri" w:cs="Calibri"/>
                <w:color w:val="FFFFFF"/>
                <w:szCs w:val="22"/>
              </w:rPr>
            </w:pPr>
            <w:r w:rsidRPr="00AC6A82">
              <w:rPr>
                <w:rFonts w:ascii="Calibri" w:hAnsi="Calibri" w:cs="Calibri"/>
                <w:color w:val="FFFFFF"/>
                <w:szCs w:val="22"/>
              </w:rPr>
              <w:t>Пазар</w:t>
            </w:r>
          </w:p>
        </w:tc>
        <w:tc>
          <w:tcPr>
            <w:tcW w:w="1275" w:type="dxa"/>
            <w:tcBorders>
              <w:top w:val="single" w:sz="4" w:space="0" w:color="auto"/>
              <w:left w:val="nil"/>
              <w:bottom w:val="single" w:sz="4" w:space="0" w:color="auto"/>
              <w:right w:val="single" w:sz="4" w:space="0" w:color="auto"/>
            </w:tcBorders>
            <w:shd w:val="clear" w:color="000000" w:fill="4F81BD"/>
            <w:noWrap/>
            <w:vAlign w:val="center"/>
            <w:hideMark/>
          </w:tcPr>
          <w:p w:rsidR="00B56CBC" w:rsidRPr="00AC6A82" w:rsidRDefault="00CC2B94" w:rsidP="00CC2B94">
            <w:pPr>
              <w:widowControl/>
              <w:spacing w:line="240" w:lineRule="auto"/>
              <w:jc w:val="center"/>
              <w:rPr>
                <w:rFonts w:ascii="Calibri" w:hAnsi="Calibri" w:cs="Calibri"/>
                <w:color w:val="FFFFFF"/>
                <w:szCs w:val="22"/>
              </w:rPr>
            </w:pPr>
            <w:r w:rsidRPr="00AC6A82">
              <w:rPr>
                <w:rFonts w:ascii="Calibri" w:hAnsi="Calibri" w:cs="Calibri"/>
                <w:color w:val="FFFFFF"/>
                <w:szCs w:val="22"/>
              </w:rPr>
              <w:t>Емисии</w:t>
            </w:r>
          </w:p>
        </w:tc>
      </w:tr>
      <w:tr w:rsidR="00B56CBC" w:rsidRPr="00AC6A82" w:rsidTr="00CC2B94">
        <w:trPr>
          <w:trHeight w:val="255"/>
          <w:jc w:val="center"/>
        </w:trPr>
        <w:tc>
          <w:tcPr>
            <w:tcW w:w="4660" w:type="dxa"/>
            <w:tcBorders>
              <w:top w:val="nil"/>
              <w:left w:val="single" w:sz="4" w:space="0" w:color="auto"/>
              <w:bottom w:val="single" w:sz="4" w:space="0" w:color="auto"/>
              <w:right w:val="single" w:sz="4" w:space="0" w:color="auto"/>
            </w:tcBorders>
            <w:shd w:val="clear" w:color="auto" w:fill="auto"/>
            <w:noWrap/>
            <w:vAlign w:val="center"/>
            <w:hideMark/>
          </w:tcPr>
          <w:p w:rsidR="00B56CBC" w:rsidRPr="00AC6A82" w:rsidRDefault="00B56CBC" w:rsidP="00B56CBC">
            <w:pPr>
              <w:widowControl/>
              <w:spacing w:line="240" w:lineRule="auto"/>
              <w:jc w:val="left"/>
              <w:rPr>
                <w:rFonts w:ascii="Calibri" w:hAnsi="Calibri" w:cs="Calibri"/>
                <w:color w:val="000000"/>
                <w:szCs w:val="22"/>
              </w:rPr>
            </w:pPr>
            <w:r w:rsidRPr="00AC6A82">
              <w:rPr>
                <w:rFonts w:ascii="Calibri" w:hAnsi="Calibri" w:cs="Calibri"/>
                <w:color w:val="000000"/>
                <w:szCs w:val="22"/>
              </w:rPr>
              <w:t>Сегмент за права</w:t>
            </w:r>
          </w:p>
        </w:tc>
        <w:tc>
          <w:tcPr>
            <w:tcW w:w="1289" w:type="dxa"/>
            <w:tcBorders>
              <w:top w:val="nil"/>
              <w:left w:val="nil"/>
              <w:bottom w:val="single" w:sz="4" w:space="0" w:color="auto"/>
              <w:right w:val="single" w:sz="4" w:space="0" w:color="auto"/>
            </w:tcBorders>
            <w:shd w:val="clear" w:color="auto" w:fill="auto"/>
            <w:noWrap/>
            <w:vAlign w:val="center"/>
            <w:hideMark/>
          </w:tcPr>
          <w:p w:rsidR="00B56CBC" w:rsidRPr="00AC6A82" w:rsidRDefault="00B56CBC" w:rsidP="00B56CBC">
            <w:pPr>
              <w:widowControl/>
              <w:spacing w:line="240" w:lineRule="auto"/>
              <w:jc w:val="left"/>
              <w:rPr>
                <w:rFonts w:ascii="Calibri" w:hAnsi="Calibri" w:cs="Calibri"/>
                <w:color w:val="000000"/>
                <w:szCs w:val="22"/>
              </w:rPr>
            </w:pPr>
            <w:r w:rsidRPr="00AC6A82">
              <w:rPr>
                <w:rFonts w:ascii="Calibri" w:hAnsi="Calibri" w:cs="Calibri"/>
                <w:color w:val="000000"/>
                <w:szCs w:val="22"/>
              </w:rPr>
              <w:t>BSE</w:t>
            </w:r>
          </w:p>
        </w:tc>
        <w:tc>
          <w:tcPr>
            <w:tcW w:w="1275" w:type="dxa"/>
            <w:tcBorders>
              <w:top w:val="nil"/>
              <w:left w:val="nil"/>
              <w:bottom w:val="single" w:sz="4" w:space="0" w:color="auto"/>
              <w:right w:val="single" w:sz="4" w:space="0" w:color="auto"/>
            </w:tcBorders>
            <w:shd w:val="clear" w:color="auto" w:fill="auto"/>
            <w:noWrap/>
            <w:vAlign w:val="center"/>
            <w:hideMark/>
          </w:tcPr>
          <w:p w:rsidR="00B56CBC" w:rsidRPr="00AC6A82" w:rsidRDefault="00B56CBC" w:rsidP="00B56CBC">
            <w:pPr>
              <w:widowControl/>
              <w:spacing w:line="240" w:lineRule="auto"/>
              <w:jc w:val="right"/>
              <w:rPr>
                <w:rFonts w:ascii="Calibri" w:hAnsi="Calibri" w:cs="Calibri"/>
                <w:color w:val="000000"/>
                <w:szCs w:val="22"/>
              </w:rPr>
            </w:pPr>
            <w:r w:rsidRPr="00AC6A82">
              <w:rPr>
                <w:rFonts w:ascii="Calibri" w:hAnsi="Calibri" w:cs="Calibri"/>
                <w:color w:val="000000"/>
                <w:szCs w:val="22"/>
              </w:rPr>
              <w:t>5</w:t>
            </w:r>
          </w:p>
        </w:tc>
      </w:tr>
      <w:tr w:rsidR="00B56CBC" w:rsidRPr="00AC6A82" w:rsidTr="00CC2B94">
        <w:trPr>
          <w:trHeight w:val="255"/>
          <w:jc w:val="center"/>
        </w:trPr>
        <w:tc>
          <w:tcPr>
            <w:tcW w:w="4660" w:type="dxa"/>
            <w:tcBorders>
              <w:top w:val="nil"/>
              <w:left w:val="nil"/>
              <w:bottom w:val="nil"/>
              <w:right w:val="nil"/>
            </w:tcBorders>
            <w:shd w:val="clear" w:color="auto" w:fill="auto"/>
            <w:noWrap/>
            <w:vAlign w:val="center"/>
            <w:hideMark/>
          </w:tcPr>
          <w:p w:rsidR="00B56CBC" w:rsidRPr="00AC6A82" w:rsidRDefault="00B56CBC" w:rsidP="00B56CBC">
            <w:pPr>
              <w:widowControl/>
              <w:spacing w:line="240" w:lineRule="auto"/>
              <w:jc w:val="right"/>
              <w:rPr>
                <w:rFonts w:ascii="Calibri" w:hAnsi="Calibri" w:cs="Calibri"/>
                <w:color w:val="000000"/>
                <w:szCs w:val="22"/>
              </w:rPr>
            </w:pPr>
          </w:p>
        </w:tc>
        <w:tc>
          <w:tcPr>
            <w:tcW w:w="1289" w:type="dxa"/>
            <w:tcBorders>
              <w:top w:val="nil"/>
              <w:left w:val="nil"/>
              <w:bottom w:val="nil"/>
              <w:right w:val="nil"/>
            </w:tcBorders>
            <w:shd w:val="clear" w:color="auto" w:fill="auto"/>
            <w:noWrap/>
            <w:vAlign w:val="center"/>
            <w:hideMark/>
          </w:tcPr>
          <w:p w:rsidR="00B56CBC" w:rsidRPr="00AC6A82" w:rsidRDefault="00B56CBC" w:rsidP="00B56CBC">
            <w:pPr>
              <w:widowControl/>
              <w:spacing w:line="240" w:lineRule="auto"/>
              <w:jc w:val="left"/>
              <w:rPr>
                <w:rFonts w:ascii="Calibri" w:hAnsi="Calibri" w:cs="Calibri"/>
                <w:szCs w:val="22"/>
              </w:rPr>
            </w:pPr>
          </w:p>
        </w:tc>
        <w:tc>
          <w:tcPr>
            <w:tcW w:w="1275" w:type="dxa"/>
            <w:tcBorders>
              <w:top w:val="nil"/>
              <w:left w:val="nil"/>
              <w:bottom w:val="nil"/>
              <w:right w:val="nil"/>
            </w:tcBorders>
            <w:shd w:val="clear" w:color="auto" w:fill="auto"/>
            <w:noWrap/>
            <w:vAlign w:val="center"/>
            <w:hideMark/>
          </w:tcPr>
          <w:p w:rsidR="00B56CBC" w:rsidRPr="00AC6A82" w:rsidRDefault="00527031" w:rsidP="00B56CBC">
            <w:pPr>
              <w:widowControl/>
              <w:spacing w:line="240" w:lineRule="auto"/>
              <w:jc w:val="right"/>
              <w:rPr>
                <w:rFonts w:ascii="Calibri" w:hAnsi="Calibri" w:cs="Calibri"/>
                <w:b/>
                <w:bCs/>
                <w:color w:val="000000"/>
                <w:szCs w:val="22"/>
              </w:rPr>
            </w:pPr>
            <w:r w:rsidRPr="00AC6A82">
              <w:rPr>
                <w:rFonts w:ascii="Calibri" w:hAnsi="Calibri" w:cs="Calibri"/>
                <w:b/>
                <w:bCs/>
                <w:color w:val="000000"/>
                <w:szCs w:val="22"/>
              </w:rPr>
              <w:t>5</w:t>
            </w:r>
          </w:p>
        </w:tc>
      </w:tr>
    </w:tbl>
    <w:p w:rsidR="00CC2B94" w:rsidRPr="00AC6A82" w:rsidRDefault="009A3F7B" w:rsidP="00ED750F">
      <w:pPr>
        <w:spacing w:before="240"/>
        <w:rPr>
          <w:rFonts w:ascii="Calibri" w:hAnsi="Calibri" w:cs="Calibri"/>
        </w:rPr>
      </w:pPr>
      <w:r w:rsidRPr="00AC6A82">
        <w:rPr>
          <w:rFonts w:ascii="Calibri" w:hAnsi="Calibri" w:cs="Calibri"/>
        </w:rPr>
        <w:t>Таблица 7б. Прекратени е</w:t>
      </w:r>
      <w:r w:rsidR="000443AD" w:rsidRPr="00AC6A82">
        <w:rPr>
          <w:rFonts w:ascii="Calibri" w:hAnsi="Calibri" w:cs="Calibri"/>
        </w:rPr>
        <w:t xml:space="preserve">мисии през отчетното </w:t>
      </w:r>
      <w:r w:rsidR="00C1730A" w:rsidRPr="00AC6A82">
        <w:rPr>
          <w:rFonts w:ascii="Calibri" w:hAnsi="Calibri" w:cs="Calibri"/>
        </w:rPr>
        <w:t>три</w:t>
      </w:r>
      <w:r w:rsidR="000443AD" w:rsidRPr="00AC6A82">
        <w:rPr>
          <w:rFonts w:ascii="Calibri" w:hAnsi="Calibri" w:cs="Calibri"/>
        </w:rPr>
        <w:t>месечие:</w:t>
      </w:r>
    </w:p>
    <w:tbl>
      <w:tblPr>
        <w:tblW w:w="7225" w:type="dxa"/>
        <w:jc w:val="center"/>
        <w:tblCellMar>
          <w:left w:w="70" w:type="dxa"/>
          <w:right w:w="70" w:type="dxa"/>
        </w:tblCellMar>
        <w:tblLook w:val="04A0" w:firstRow="1" w:lastRow="0" w:firstColumn="1" w:lastColumn="0" w:noHBand="0" w:noVBand="1"/>
      </w:tblPr>
      <w:tblGrid>
        <w:gridCol w:w="4673"/>
        <w:gridCol w:w="1276"/>
        <w:gridCol w:w="1276"/>
      </w:tblGrid>
      <w:tr w:rsidR="00CC2B94" w:rsidRPr="00AC6A82" w:rsidTr="00CC2B94">
        <w:trPr>
          <w:trHeight w:val="255"/>
          <w:jc w:val="center"/>
        </w:trPr>
        <w:tc>
          <w:tcPr>
            <w:tcW w:w="4673" w:type="dxa"/>
            <w:tcBorders>
              <w:top w:val="single" w:sz="4" w:space="0" w:color="auto"/>
              <w:left w:val="single" w:sz="4" w:space="0" w:color="auto"/>
              <w:bottom w:val="single" w:sz="4" w:space="0" w:color="auto"/>
              <w:right w:val="single" w:sz="4" w:space="0" w:color="auto"/>
            </w:tcBorders>
            <w:shd w:val="clear" w:color="000000" w:fill="4F81BD"/>
            <w:noWrap/>
            <w:vAlign w:val="center"/>
            <w:hideMark/>
          </w:tcPr>
          <w:p w:rsidR="00CC2B94" w:rsidRPr="00AC6A82" w:rsidRDefault="00CC2B94" w:rsidP="00CC2B94">
            <w:pPr>
              <w:widowControl/>
              <w:spacing w:line="240" w:lineRule="auto"/>
              <w:jc w:val="center"/>
              <w:rPr>
                <w:rFonts w:ascii="Calibri" w:hAnsi="Calibri" w:cs="Calibri"/>
                <w:color w:val="FFFFFF"/>
                <w:szCs w:val="22"/>
              </w:rPr>
            </w:pPr>
            <w:r w:rsidRPr="00AC6A82">
              <w:rPr>
                <w:rFonts w:ascii="Calibri" w:hAnsi="Calibri" w:cs="Calibri"/>
                <w:color w:val="FFFFFF"/>
                <w:szCs w:val="22"/>
              </w:rPr>
              <w:t>Прекратени емисии по сегмент</w:t>
            </w:r>
          </w:p>
        </w:tc>
        <w:tc>
          <w:tcPr>
            <w:tcW w:w="1276" w:type="dxa"/>
            <w:tcBorders>
              <w:top w:val="single" w:sz="4" w:space="0" w:color="auto"/>
              <w:left w:val="nil"/>
              <w:bottom w:val="single" w:sz="4" w:space="0" w:color="auto"/>
              <w:right w:val="single" w:sz="4" w:space="0" w:color="auto"/>
            </w:tcBorders>
            <w:shd w:val="clear" w:color="000000" w:fill="4F81BD"/>
            <w:noWrap/>
            <w:vAlign w:val="center"/>
            <w:hideMark/>
          </w:tcPr>
          <w:p w:rsidR="00CC2B94" w:rsidRPr="00AC6A82" w:rsidRDefault="00CC2B94" w:rsidP="00CC2B94">
            <w:pPr>
              <w:widowControl/>
              <w:spacing w:line="240" w:lineRule="auto"/>
              <w:jc w:val="center"/>
              <w:rPr>
                <w:rFonts w:ascii="Calibri" w:hAnsi="Calibri" w:cs="Calibri"/>
                <w:color w:val="FFFFFF"/>
                <w:szCs w:val="22"/>
              </w:rPr>
            </w:pPr>
            <w:r w:rsidRPr="00AC6A82">
              <w:rPr>
                <w:rFonts w:ascii="Calibri" w:hAnsi="Calibri" w:cs="Calibri"/>
                <w:color w:val="FFFFFF"/>
                <w:szCs w:val="22"/>
              </w:rPr>
              <w:t>Пазар</w:t>
            </w:r>
          </w:p>
        </w:tc>
        <w:tc>
          <w:tcPr>
            <w:tcW w:w="1276" w:type="dxa"/>
            <w:tcBorders>
              <w:top w:val="single" w:sz="4" w:space="0" w:color="auto"/>
              <w:left w:val="nil"/>
              <w:bottom w:val="single" w:sz="4" w:space="0" w:color="auto"/>
              <w:right w:val="single" w:sz="4" w:space="0" w:color="auto"/>
            </w:tcBorders>
            <w:shd w:val="clear" w:color="000000" w:fill="4F81BD"/>
            <w:noWrap/>
            <w:vAlign w:val="center"/>
            <w:hideMark/>
          </w:tcPr>
          <w:p w:rsidR="00CC2B94" w:rsidRPr="00AC6A82" w:rsidRDefault="00CC2B94" w:rsidP="00CC2B94">
            <w:pPr>
              <w:widowControl/>
              <w:spacing w:line="240" w:lineRule="auto"/>
              <w:jc w:val="center"/>
              <w:rPr>
                <w:rFonts w:ascii="Calibri" w:hAnsi="Calibri" w:cs="Calibri"/>
                <w:color w:val="FFFFFF"/>
                <w:szCs w:val="22"/>
              </w:rPr>
            </w:pPr>
            <w:r w:rsidRPr="00AC6A82">
              <w:rPr>
                <w:rFonts w:ascii="Calibri" w:hAnsi="Calibri" w:cs="Calibri"/>
                <w:color w:val="FFFFFF"/>
                <w:szCs w:val="22"/>
              </w:rPr>
              <w:t>Емисии</w:t>
            </w:r>
          </w:p>
        </w:tc>
      </w:tr>
      <w:tr w:rsidR="00CC2B94" w:rsidRPr="00AC6A82" w:rsidTr="00CC2B94">
        <w:trPr>
          <w:trHeight w:val="255"/>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rsidR="00CC2B94" w:rsidRPr="00AC6A82" w:rsidRDefault="00CC2B94" w:rsidP="00CC2B94">
            <w:pPr>
              <w:widowControl/>
              <w:spacing w:line="240" w:lineRule="auto"/>
              <w:jc w:val="left"/>
              <w:rPr>
                <w:rFonts w:ascii="Calibri" w:hAnsi="Calibri" w:cs="Calibri"/>
                <w:color w:val="000000"/>
                <w:szCs w:val="22"/>
              </w:rPr>
            </w:pPr>
            <w:r w:rsidRPr="00AC6A82">
              <w:rPr>
                <w:rFonts w:ascii="Calibri" w:hAnsi="Calibri" w:cs="Calibri"/>
                <w:color w:val="000000"/>
                <w:szCs w:val="22"/>
              </w:rPr>
              <w:t>Сегмент акции Standard</w:t>
            </w:r>
          </w:p>
        </w:tc>
        <w:tc>
          <w:tcPr>
            <w:tcW w:w="1276" w:type="dxa"/>
            <w:tcBorders>
              <w:top w:val="nil"/>
              <w:left w:val="nil"/>
              <w:bottom w:val="single" w:sz="4" w:space="0" w:color="auto"/>
              <w:right w:val="single" w:sz="4" w:space="0" w:color="auto"/>
            </w:tcBorders>
            <w:shd w:val="clear" w:color="auto" w:fill="auto"/>
            <w:noWrap/>
            <w:vAlign w:val="center"/>
            <w:hideMark/>
          </w:tcPr>
          <w:p w:rsidR="00CC2B94" w:rsidRPr="00AC6A82" w:rsidRDefault="00CC2B94" w:rsidP="00CC2B94">
            <w:pPr>
              <w:widowControl/>
              <w:spacing w:line="240" w:lineRule="auto"/>
              <w:jc w:val="left"/>
              <w:rPr>
                <w:rFonts w:ascii="Calibri" w:hAnsi="Calibri" w:cs="Calibri"/>
                <w:color w:val="000000"/>
                <w:szCs w:val="22"/>
              </w:rPr>
            </w:pPr>
            <w:r w:rsidRPr="00AC6A82">
              <w:rPr>
                <w:rFonts w:ascii="Calibri" w:hAnsi="Calibri" w:cs="Calibri"/>
                <w:color w:val="000000"/>
                <w:szCs w:val="22"/>
              </w:rPr>
              <w:t>BSE</w:t>
            </w:r>
          </w:p>
        </w:tc>
        <w:tc>
          <w:tcPr>
            <w:tcW w:w="1276" w:type="dxa"/>
            <w:tcBorders>
              <w:top w:val="nil"/>
              <w:left w:val="nil"/>
              <w:bottom w:val="single" w:sz="4" w:space="0" w:color="auto"/>
              <w:right w:val="single" w:sz="4" w:space="0" w:color="auto"/>
            </w:tcBorders>
            <w:shd w:val="clear" w:color="auto" w:fill="auto"/>
            <w:noWrap/>
            <w:vAlign w:val="bottom"/>
            <w:hideMark/>
          </w:tcPr>
          <w:p w:rsidR="00CC2B94" w:rsidRPr="00AC6A82" w:rsidRDefault="00CC2B94" w:rsidP="00CC2B94">
            <w:pPr>
              <w:widowControl/>
              <w:spacing w:line="240" w:lineRule="auto"/>
              <w:jc w:val="right"/>
              <w:rPr>
                <w:rFonts w:ascii="Calibri" w:hAnsi="Calibri" w:cs="Calibri"/>
                <w:color w:val="000000"/>
                <w:szCs w:val="22"/>
              </w:rPr>
            </w:pPr>
            <w:r w:rsidRPr="00AC6A82">
              <w:rPr>
                <w:rFonts w:ascii="Calibri" w:hAnsi="Calibri" w:cs="Calibri"/>
                <w:color w:val="000000"/>
                <w:szCs w:val="22"/>
              </w:rPr>
              <w:t>1</w:t>
            </w:r>
          </w:p>
        </w:tc>
      </w:tr>
      <w:tr w:rsidR="00CC2B94" w:rsidRPr="00AC6A82" w:rsidTr="00CC2B94">
        <w:trPr>
          <w:trHeight w:val="255"/>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rsidR="00CC2B94" w:rsidRPr="00AC6A82" w:rsidRDefault="00CC2B94" w:rsidP="00CC2B94">
            <w:pPr>
              <w:widowControl/>
              <w:spacing w:line="240" w:lineRule="auto"/>
              <w:jc w:val="left"/>
              <w:rPr>
                <w:rFonts w:ascii="Calibri" w:hAnsi="Calibri" w:cs="Calibri"/>
                <w:color w:val="000000"/>
                <w:szCs w:val="22"/>
              </w:rPr>
            </w:pPr>
            <w:r w:rsidRPr="00AC6A82">
              <w:rPr>
                <w:rFonts w:ascii="Calibri" w:hAnsi="Calibri" w:cs="Calibri"/>
                <w:color w:val="000000"/>
                <w:szCs w:val="22"/>
              </w:rPr>
              <w:t>Сегмент за държавни ценни книжа</w:t>
            </w:r>
          </w:p>
        </w:tc>
        <w:tc>
          <w:tcPr>
            <w:tcW w:w="1276" w:type="dxa"/>
            <w:tcBorders>
              <w:top w:val="nil"/>
              <w:left w:val="nil"/>
              <w:bottom w:val="single" w:sz="4" w:space="0" w:color="auto"/>
              <w:right w:val="single" w:sz="4" w:space="0" w:color="auto"/>
            </w:tcBorders>
            <w:shd w:val="clear" w:color="auto" w:fill="auto"/>
            <w:noWrap/>
            <w:vAlign w:val="center"/>
            <w:hideMark/>
          </w:tcPr>
          <w:p w:rsidR="00CC2B94" w:rsidRPr="00AC6A82" w:rsidRDefault="00CC2B94" w:rsidP="00CC2B94">
            <w:pPr>
              <w:widowControl/>
              <w:spacing w:line="240" w:lineRule="auto"/>
              <w:jc w:val="left"/>
              <w:rPr>
                <w:rFonts w:ascii="Calibri" w:hAnsi="Calibri" w:cs="Calibri"/>
                <w:color w:val="000000"/>
                <w:szCs w:val="22"/>
              </w:rPr>
            </w:pPr>
            <w:r w:rsidRPr="00AC6A82">
              <w:rPr>
                <w:rFonts w:ascii="Calibri" w:hAnsi="Calibri" w:cs="Calibri"/>
                <w:color w:val="000000"/>
                <w:szCs w:val="22"/>
              </w:rPr>
              <w:t>BSE</w:t>
            </w:r>
          </w:p>
        </w:tc>
        <w:tc>
          <w:tcPr>
            <w:tcW w:w="1276" w:type="dxa"/>
            <w:tcBorders>
              <w:top w:val="nil"/>
              <w:left w:val="nil"/>
              <w:bottom w:val="single" w:sz="4" w:space="0" w:color="auto"/>
              <w:right w:val="single" w:sz="4" w:space="0" w:color="auto"/>
            </w:tcBorders>
            <w:shd w:val="clear" w:color="auto" w:fill="auto"/>
            <w:noWrap/>
            <w:vAlign w:val="bottom"/>
            <w:hideMark/>
          </w:tcPr>
          <w:p w:rsidR="00CC2B94" w:rsidRPr="00AC6A82" w:rsidRDefault="00527031" w:rsidP="00CC2B94">
            <w:pPr>
              <w:widowControl/>
              <w:spacing w:line="240" w:lineRule="auto"/>
              <w:jc w:val="right"/>
              <w:rPr>
                <w:rFonts w:ascii="Calibri" w:hAnsi="Calibri" w:cs="Calibri"/>
                <w:color w:val="000000"/>
                <w:szCs w:val="22"/>
              </w:rPr>
            </w:pPr>
            <w:r w:rsidRPr="00AC6A82">
              <w:rPr>
                <w:rFonts w:ascii="Calibri" w:hAnsi="Calibri" w:cs="Calibri"/>
                <w:color w:val="000000"/>
                <w:szCs w:val="22"/>
              </w:rPr>
              <w:t>4</w:t>
            </w:r>
          </w:p>
        </w:tc>
      </w:tr>
      <w:tr w:rsidR="00CC2B94" w:rsidRPr="00AC6A82" w:rsidTr="00CC2B94">
        <w:trPr>
          <w:trHeight w:val="255"/>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rsidR="00CC2B94" w:rsidRPr="00AC6A82" w:rsidRDefault="00CC2B94" w:rsidP="00CC2B94">
            <w:pPr>
              <w:widowControl/>
              <w:spacing w:line="240" w:lineRule="auto"/>
              <w:jc w:val="left"/>
              <w:rPr>
                <w:rFonts w:ascii="Calibri" w:hAnsi="Calibri" w:cs="Calibri"/>
                <w:color w:val="000000"/>
                <w:szCs w:val="22"/>
              </w:rPr>
            </w:pPr>
            <w:r w:rsidRPr="00AC6A82">
              <w:rPr>
                <w:rFonts w:ascii="Calibri" w:hAnsi="Calibri" w:cs="Calibri"/>
                <w:color w:val="000000"/>
                <w:szCs w:val="22"/>
              </w:rPr>
              <w:t>Сегмент за права</w:t>
            </w:r>
          </w:p>
        </w:tc>
        <w:tc>
          <w:tcPr>
            <w:tcW w:w="1276" w:type="dxa"/>
            <w:tcBorders>
              <w:top w:val="nil"/>
              <w:left w:val="nil"/>
              <w:bottom w:val="single" w:sz="4" w:space="0" w:color="auto"/>
              <w:right w:val="single" w:sz="4" w:space="0" w:color="auto"/>
            </w:tcBorders>
            <w:shd w:val="clear" w:color="auto" w:fill="auto"/>
            <w:noWrap/>
            <w:vAlign w:val="center"/>
            <w:hideMark/>
          </w:tcPr>
          <w:p w:rsidR="00CC2B94" w:rsidRPr="00AC6A82" w:rsidRDefault="00CC2B94" w:rsidP="00CC2B94">
            <w:pPr>
              <w:widowControl/>
              <w:spacing w:line="240" w:lineRule="auto"/>
              <w:jc w:val="left"/>
              <w:rPr>
                <w:rFonts w:ascii="Calibri" w:hAnsi="Calibri" w:cs="Calibri"/>
                <w:color w:val="000000"/>
                <w:szCs w:val="22"/>
              </w:rPr>
            </w:pPr>
            <w:r w:rsidRPr="00AC6A82">
              <w:rPr>
                <w:rFonts w:ascii="Calibri" w:hAnsi="Calibri" w:cs="Calibri"/>
                <w:color w:val="000000"/>
                <w:szCs w:val="22"/>
              </w:rPr>
              <w:t>BSE</w:t>
            </w:r>
          </w:p>
        </w:tc>
        <w:tc>
          <w:tcPr>
            <w:tcW w:w="1276" w:type="dxa"/>
            <w:tcBorders>
              <w:top w:val="nil"/>
              <w:left w:val="nil"/>
              <w:bottom w:val="single" w:sz="4" w:space="0" w:color="auto"/>
              <w:right w:val="single" w:sz="4" w:space="0" w:color="auto"/>
            </w:tcBorders>
            <w:shd w:val="clear" w:color="auto" w:fill="auto"/>
            <w:noWrap/>
            <w:vAlign w:val="center"/>
            <w:hideMark/>
          </w:tcPr>
          <w:p w:rsidR="00CC2B94" w:rsidRPr="00AC6A82" w:rsidRDefault="00CC2B94" w:rsidP="00CC2B94">
            <w:pPr>
              <w:widowControl/>
              <w:spacing w:line="240" w:lineRule="auto"/>
              <w:jc w:val="right"/>
              <w:rPr>
                <w:rFonts w:ascii="Calibri" w:hAnsi="Calibri" w:cs="Calibri"/>
                <w:color w:val="000000"/>
                <w:szCs w:val="22"/>
              </w:rPr>
            </w:pPr>
            <w:r w:rsidRPr="00AC6A82">
              <w:rPr>
                <w:rFonts w:ascii="Calibri" w:hAnsi="Calibri" w:cs="Calibri"/>
                <w:color w:val="000000"/>
                <w:szCs w:val="22"/>
              </w:rPr>
              <w:t>5</w:t>
            </w:r>
          </w:p>
        </w:tc>
      </w:tr>
      <w:tr w:rsidR="00CC2B94" w:rsidRPr="00AC6A82" w:rsidTr="00CC2B94">
        <w:trPr>
          <w:trHeight w:val="255"/>
          <w:jc w:val="center"/>
        </w:trPr>
        <w:tc>
          <w:tcPr>
            <w:tcW w:w="4673" w:type="dxa"/>
            <w:tcBorders>
              <w:top w:val="nil"/>
              <w:left w:val="single" w:sz="4" w:space="0" w:color="auto"/>
              <w:bottom w:val="single" w:sz="4" w:space="0" w:color="auto"/>
              <w:right w:val="single" w:sz="4" w:space="0" w:color="auto"/>
            </w:tcBorders>
            <w:shd w:val="clear" w:color="auto" w:fill="auto"/>
            <w:noWrap/>
            <w:vAlign w:val="center"/>
            <w:hideMark/>
          </w:tcPr>
          <w:p w:rsidR="00CC2B94" w:rsidRPr="00AC6A82" w:rsidRDefault="00CC2B94" w:rsidP="00CC2B94">
            <w:pPr>
              <w:widowControl/>
              <w:spacing w:line="240" w:lineRule="auto"/>
              <w:jc w:val="left"/>
              <w:rPr>
                <w:rFonts w:ascii="Calibri" w:hAnsi="Calibri" w:cs="Calibri"/>
                <w:color w:val="000000"/>
                <w:szCs w:val="22"/>
              </w:rPr>
            </w:pPr>
            <w:r w:rsidRPr="00AC6A82">
              <w:rPr>
                <w:rFonts w:ascii="Calibri" w:hAnsi="Calibri" w:cs="Calibri"/>
                <w:color w:val="000000"/>
                <w:szCs w:val="22"/>
              </w:rPr>
              <w:t>Сегмент за облигации</w:t>
            </w:r>
          </w:p>
        </w:tc>
        <w:tc>
          <w:tcPr>
            <w:tcW w:w="1276" w:type="dxa"/>
            <w:tcBorders>
              <w:top w:val="nil"/>
              <w:left w:val="nil"/>
              <w:bottom w:val="single" w:sz="4" w:space="0" w:color="auto"/>
              <w:right w:val="single" w:sz="4" w:space="0" w:color="auto"/>
            </w:tcBorders>
            <w:shd w:val="clear" w:color="auto" w:fill="auto"/>
            <w:noWrap/>
            <w:vAlign w:val="center"/>
            <w:hideMark/>
          </w:tcPr>
          <w:p w:rsidR="00CC2B94" w:rsidRPr="00AC6A82" w:rsidRDefault="00CC2B94" w:rsidP="00CC2B94">
            <w:pPr>
              <w:widowControl/>
              <w:spacing w:line="240" w:lineRule="auto"/>
              <w:jc w:val="left"/>
              <w:rPr>
                <w:rFonts w:ascii="Calibri" w:hAnsi="Calibri" w:cs="Calibri"/>
                <w:color w:val="000000"/>
                <w:szCs w:val="22"/>
              </w:rPr>
            </w:pPr>
            <w:r w:rsidRPr="00AC6A82">
              <w:rPr>
                <w:rFonts w:ascii="Calibri" w:hAnsi="Calibri" w:cs="Calibri"/>
                <w:color w:val="000000"/>
                <w:szCs w:val="22"/>
              </w:rPr>
              <w:t>BSE</w:t>
            </w:r>
          </w:p>
        </w:tc>
        <w:tc>
          <w:tcPr>
            <w:tcW w:w="1276" w:type="dxa"/>
            <w:tcBorders>
              <w:top w:val="nil"/>
              <w:left w:val="nil"/>
              <w:bottom w:val="single" w:sz="4" w:space="0" w:color="auto"/>
              <w:right w:val="single" w:sz="4" w:space="0" w:color="auto"/>
            </w:tcBorders>
            <w:shd w:val="clear" w:color="auto" w:fill="auto"/>
            <w:noWrap/>
            <w:vAlign w:val="center"/>
            <w:hideMark/>
          </w:tcPr>
          <w:p w:rsidR="00CC2B94" w:rsidRPr="00AC6A82" w:rsidRDefault="00CC2B94" w:rsidP="00CC2B94">
            <w:pPr>
              <w:widowControl/>
              <w:spacing w:line="240" w:lineRule="auto"/>
              <w:jc w:val="right"/>
              <w:rPr>
                <w:rFonts w:ascii="Calibri" w:hAnsi="Calibri" w:cs="Calibri"/>
                <w:color w:val="000000"/>
                <w:szCs w:val="22"/>
              </w:rPr>
            </w:pPr>
            <w:r w:rsidRPr="00AC6A82">
              <w:rPr>
                <w:rFonts w:ascii="Calibri" w:hAnsi="Calibri" w:cs="Calibri"/>
                <w:color w:val="000000"/>
                <w:szCs w:val="22"/>
              </w:rPr>
              <w:t>1</w:t>
            </w:r>
          </w:p>
        </w:tc>
      </w:tr>
      <w:tr w:rsidR="00CC2B94" w:rsidRPr="00AC6A82" w:rsidTr="00CC2B94">
        <w:trPr>
          <w:trHeight w:val="255"/>
          <w:jc w:val="center"/>
        </w:trPr>
        <w:tc>
          <w:tcPr>
            <w:tcW w:w="4673" w:type="dxa"/>
            <w:tcBorders>
              <w:top w:val="nil"/>
              <w:left w:val="nil"/>
              <w:bottom w:val="nil"/>
              <w:right w:val="nil"/>
            </w:tcBorders>
            <w:shd w:val="clear" w:color="auto" w:fill="auto"/>
            <w:noWrap/>
            <w:vAlign w:val="center"/>
            <w:hideMark/>
          </w:tcPr>
          <w:p w:rsidR="00CC2B94" w:rsidRPr="00AC6A82" w:rsidRDefault="00CC2B94" w:rsidP="00CC2B94">
            <w:pPr>
              <w:widowControl/>
              <w:spacing w:line="240" w:lineRule="auto"/>
              <w:jc w:val="right"/>
              <w:rPr>
                <w:rFonts w:ascii="Calibri" w:hAnsi="Calibri" w:cs="Calibri"/>
                <w:color w:val="000000"/>
                <w:szCs w:val="22"/>
              </w:rPr>
            </w:pPr>
          </w:p>
        </w:tc>
        <w:tc>
          <w:tcPr>
            <w:tcW w:w="1276" w:type="dxa"/>
            <w:tcBorders>
              <w:top w:val="nil"/>
              <w:left w:val="nil"/>
              <w:bottom w:val="nil"/>
              <w:right w:val="nil"/>
            </w:tcBorders>
            <w:shd w:val="clear" w:color="auto" w:fill="auto"/>
            <w:noWrap/>
            <w:vAlign w:val="center"/>
            <w:hideMark/>
          </w:tcPr>
          <w:p w:rsidR="00CC2B94" w:rsidRPr="00AC6A82" w:rsidRDefault="00CC2B94" w:rsidP="00CC2B94">
            <w:pPr>
              <w:widowControl/>
              <w:spacing w:line="240" w:lineRule="auto"/>
              <w:jc w:val="left"/>
              <w:rPr>
                <w:rFonts w:ascii="Calibri" w:hAnsi="Calibri" w:cs="Calibri"/>
                <w:szCs w:val="22"/>
              </w:rPr>
            </w:pPr>
          </w:p>
        </w:tc>
        <w:tc>
          <w:tcPr>
            <w:tcW w:w="1276" w:type="dxa"/>
            <w:tcBorders>
              <w:top w:val="nil"/>
              <w:left w:val="nil"/>
              <w:bottom w:val="nil"/>
              <w:right w:val="nil"/>
            </w:tcBorders>
            <w:shd w:val="clear" w:color="auto" w:fill="auto"/>
            <w:noWrap/>
            <w:vAlign w:val="center"/>
            <w:hideMark/>
          </w:tcPr>
          <w:p w:rsidR="00CC2B94" w:rsidRPr="00AC6A82" w:rsidRDefault="00527031" w:rsidP="003C2334">
            <w:pPr>
              <w:widowControl/>
              <w:spacing w:line="240" w:lineRule="auto"/>
              <w:jc w:val="right"/>
              <w:rPr>
                <w:rFonts w:ascii="Calibri" w:hAnsi="Calibri" w:cs="Calibri"/>
                <w:b/>
                <w:bCs/>
                <w:color w:val="000000"/>
                <w:szCs w:val="22"/>
              </w:rPr>
            </w:pPr>
            <w:r w:rsidRPr="00AC6A82">
              <w:rPr>
                <w:rFonts w:ascii="Calibri" w:hAnsi="Calibri" w:cs="Calibri"/>
                <w:b/>
                <w:bCs/>
                <w:color w:val="000000"/>
                <w:szCs w:val="22"/>
              </w:rPr>
              <w:t>1</w:t>
            </w:r>
            <w:r w:rsidR="003C2334" w:rsidRPr="00AC6A82">
              <w:rPr>
                <w:rFonts w:ascii="Calibri" w:hAnsi="Calibri" w:cs="Calibri"/>
                <w:b/>
                <w:bCs/>
                <w:color w:val="000000"/>
                <w:szCs w:val="22"/>
              </w:rPr>
              <w:t>1</w:t>
            </w:r>
          </w:p>
        </w:tc>
      </w:tr>
    </w:tbl>
    <w:p w:rsidR="00EF1F23" w:rsidRPr="00AC6A82" w:rsidRDefault="004F60F1" w:rsidP="00ED750F">
      <w:pPr>
        <w:spacing w:before="240"/>
        <w:rPr>
          <w:rFonts w:ascii="Calibri" w:hAnsi="Calibri" w:cs="Calibri"/>
        </w:rPr>
      </w:pPr>
      <w:r w:rsidRPr="00AC6A82">
        <w:rPr>
          <w:rFonts w:ascii="Calibri" w:hAnsi="Calibri" w:cs="Calibri"/>
        </w:rPr>
        <w:t>Таблица 7в. Увеличения на капитала и преобразуване</w:t>
      </w:r>
      <w:r w:rsidR="000F62B5" w:rsidRPr="00AC6A82">
        <w:rPr>
          <w:rFonts w:ascii="Calibri" w:hAnsi="Calibri" w:cs="Calibri"/>
        </w:rPr>
        <w:t>:</w:t>
      </w:r>
    </w:p>
    <w:tbl>
      <w:tblPr>
        <w:tblW w:w="8916" w:type="dxa"/>
        <w:jc w:val="center"/>
        <w:tblCellMar>
          <w:left w:w="70" w:type="dxa"/>
          <w:right w:w="70" w:type="dxa"/>
        </w:tblCellMar>
        <w:tblLook w:val="04A0" w:firstRow="1" w:lastRow="0" w:firstColumn="1" w:lastColumn="0" w:noHBand="0" w:noVBand="1"/>
      </w:tblPr>
      <w:tblGrid>
        <w:gridCol w:w="4140"/>
        <w:gridCol w:w="1256"/>
        <w:gridCol w:w="1380"/>
        <w:gridCol w:w="2140"/>
      </w:tblGrid>
      <w:tr w:rsidR="00EF1F23" w:rsidRPr="00EF1F23" w:rsidTr="00EF1F23">
        <w:trPr>
          <w:trHeight w:val="255"/>
          <w:jc w:val="center"/>
        </w:trPr>
        <w:tc>
          <w:tcPr>
            <w:tcW w:w="4140" w:type="dxa"/>
            <w:tcBorders>
              <w:top w:val="single" w:sz="4" w:space="0" w:color="auto"/>
              <w:left w:val="single" w:sz="4" w:space="0" w:color="auto"/>
              <w:bottom w:val="single" w:sz="4" w:space="0" w:color="auto"/>
              <w:right w:val="single" w:sz="4" w:space="0" w:color="auto"/>
            </w:tcBorders>
            <w:shd w:val="clear" w:color="000000" w:fill="4F81BD"/>
            <w:noWrap/>
            <w:vAlign w:val="center"/>
            <w:hideMark/>
          </w:tcPr>
          <w:p w:rsidR="00EF1F23" w:rsidRPr="00EF1F23" w:rsidRDefault="00EF1F23" w:rsidP="00EF1F23">
            <w:pPr>
              <w:widowControl/>
              <w:spacing w:line="240" w:lineRule="auto"/>
              <w:jc w:val="left"/>
              <w:rPr>
                <w:rFonts w:ascii="Calibri" w:hAnsi="Calibri"/>
                <w:color w:val="FFFFFF"/>
                <w:szCs w:val="22"/>
              </w:rPr>
            </w:pPr>
            <w:r w:rsidRPr="00EF1F23">
              <w:rPr>
                <w:rFonts w:ascii="Calibri" w:hAnsi="Calibri"/>
                <w:color w:val="FFFFFF"/>
                <w:szCs w:val="22"/>
              </w:rPr>
              <w:t>Увеличения на капитала и прeобразуване</w:t>
            </w:r>
          </w:p>
        </w:tc>
        <w:tc>
          <w:tcPr>
            <w:tcW w:w="1256" w:type="dxa"/>
            <w:tcBorders>
              <w:top w:val="single" w:sz="4" w:space="0" w:color="auto"/>
              <w:left w:val="nil"/>
              <w:bottom w:val="single" w:sz="4" w:space="0" w:color="auto"/>
              <w:right w:val="single" w:sz="4" w:space="0" w:color="auto"/>
            </w:tcBorders>
            <w:shd w:val="clear" w:color="000000" w:fill="4F81BD"/>
            <w:noWrap/>
            <w:vAlign w:val="center"/>
            <w:hideMark/>
          </w:tcPr>
          <w:p w:rsidR="00EF1F23" w:rsidRPr="00EF1F23" w:rsidRDefault="00EF1F23" w:rsidP="00EF1F23">
            <w:pPr>
              <w:widowControl/>
              <w:spacing w:line="240" w:lineRule="auto"/>
              <w:jc w:val="left"/>
              <w:rPr>
                <w:rFonts w:ascii="Calibri" w:hAnsi="Calibri"/>
                <w:color w:val="FFFFFF"/>
                <w:szCs w:val="22"/>
              </w:rPr>
            </w:pPr>
            <w:r w:rsidRPr="00EF1F23">
              <w:rPr>
                <w:rFonts w:ascii="Calibri" w:hAnsi="Calibri"/>
                <w:color w:val="FFFFFF"/>
                <w:szCs w:val="22"/>
              </w:rPr>
              <w:t>пазар</w:t>
            </w:r>
          </w:p>
        </w:tc>
        <w:tc>
          <w:tcPr>
            <w:tcW w:w="1380" w:type="dxa"/>
            <w:tcBorders>
              <w:top w:val="single" w:sz="4" w:space="0" w:color="auto"/>
              <w:left w:val="nil"/>
              <w:bottom w:val="single" w:sz="4" w:space="0" w:color="auto"/>
              <w:right w:val="single" w:sz="4" w:space="0" w:color="auto"/>
            </w:tcBorders>
            <w:shd w:val="clear" w:color="000000" w:fill="4F81BD"/>
            <w:noWrap/>
            <w:vAlign w:val="center"/>
            <w:hideMark/>
          </w:tcPr>
          <w:p w:rsidR="00EF1F23" w:rsidRPr="00EF1F23" w:rsidRDefault="00EF1F23" w:rsidP="00EF1F23">
            <w:pPr>
              <w:widowControl/>
              <w:spacing w:line="240" w:lineRule="auto"/>
              <w:jc w:val="left"/>
              <w:rPr>
                <w:rFonts w:ascii="Calibri" w:hAnsi="Calibri"/>
                <w:color w:val="FFFFFF"/>
                <w:szCs w:val="22"/>
              </w:rPr>
            </w:pPr>
            <w:r w:rsidRPr="00EF1F23">
              <w:rPr>
                <w:rFonts w:ascii="Calibri" w:hAnsi="Calibri"/>
                <w:color w:val="FFFFFF"/>
                <w:szCs w:val="22"/>
              </w:rPr>
              <w:t>емисии</w:t>
            </w:r>
          </w:p>
        </w:tc>
        <w:tc>
          <w:tcPr>
            <w:tcW w:w="2140" w:type="dxa"/>
            <w:tcBorders>
              <w:top w:val="single" w:sz="4" w:space="0" w:color="auto"/>
              <w:left w:val="nil"/>
              <w:bottom w:val="single" w:sz="4" w:space="0" w:color="auto"/>
              <w:right w:val="single" w:sz="4" w:space="0" w:color="auto"/>
            </w:tcBorders>
            <w:shd w:val="clear" w:color="000000" w:fill="4F81BD"/>
            <w:noWrap/>
            <w:vAlign w:val="center"/>
            <w:hideMark/>
          </w:tcPr>
          <w:p w:rsidR="00EF1F23" w:rsidRPr="00EF1F23" w:rsidRDefault="00EF1F23" w:rsidP="00EF1F23">
            <w:pPr>
              <w:widowControl/>
              <w:spacing w:line="240" w:lineRule="auto"/>
              <w:jc w:val="left"/>
              <w:rPr>
                <w:rFonts w:ascii="Calibri" w:hAnsi="Calibri"/>
                <w:color w:val="FFFFFF"/>
                <w:szCs w:val="22"/>
              </w:rPr>
            </w:pPr>
            <w:r w:rsidRPr="00EF1F23">
              <w:rPr>
                <w:rFonts w:ascii="Calibri" w:hAnsi="Calibri"/>
                <w:color w:val="FFFFFF"/>
                <w:szCs w:val="22"/>
              </w:rPr>
              <w:t>набран капитал</w:t>
            </w:r>
          </w:p>
        </w:tc>
      </w:tr>
      <w:tr w:rsidR="00EF1F23" w:rsidRPr="00EF1F23" w:rsidTr="00EF1F23">
        <w:trPr>
          <w:trHeight w:val="255"/>
          <w:jc w:val="center"/>
        </w:trPr>
        <w:tc>
          <w:tcPr>
            <w:tcW w:w="4140" w:type="dxa"/>
            <w:tcBorders>
              <w:top w:val="nil"/>
              <w:left w:val="single" w:sz="4" w:space="0" w:color="auto"/>
              <w:bottom w:val="single" w:sz="4" w:space="0" w:color="auto"/>
              <w:right w:val="single" w:sz="4" w:space="0" w:color="auto"/>
            </w:tcBorders>
            <w:shd w:val="clear" w:color="auto" w:fill="auto"/>
            <w:noWrap/>
            <w:vAlign w:val="bottom"/>
            <w:hideMark/>
          </w:tcPr>
          <w:p w:rsidR="00EF1F23" w:rsidRPr="00EF1F23" w:rsidRDefault="00EF1F23" w:rsidP="00EF1F23">
            <w:pPr>
              <w:widowControl/>
              <w:spacing w:line="240" w:lineRule="auto"/>
              <w:jc w:val="left"/>
              <w:rPr>
                <w:rFonts w:ascii="Calibri" w:hAnsi="Calibri"/>
                <w:color w:val="000000"/>
                <w:szCs w:val="22"/>
              </w:rPr>
            </w:pPr>
            <w:r w:rsidRPr="00EF1F23">
              <w:rPr>
                <w:rFonts w:ascii="Calibri" w:hAnsi="Calibri"/>
                <w:color w:val="000000"/>
                <w:szCs w:val="22"/>
              </w:rPr>
              <w:t>Сегмент акции Standard</w:t>
            </w:r>
          </w:p>
        </w:tc>
        <w:tc>
          <w:tcPr>
            <w:tcW w:w="1256" w:type="dxa"/>
            <w:tcBorders>
              <w:top w:val="nil"/>
              <w:left w:val="nil"/>
              <w:bottom w:val="single" w:sz="4" w:space="0" w:color="auto"/>
              <w:right w:val="single" w:sz="4" w:space="0" w:color="auto"/>
            </w:tcBorders>
            <w:shd w:val="clear" w:color="auto" w:fill="auto"/>
            <w:noWrap/>
            <w:vAlign w:val="bottom"/>
            <w:hideMark/>
          </w:tcPr>
          <w:p w:rsidR="00EF1F23" w:rsidRPr="00EF1F23" w:rsidRDefault="00EF1F23" w:rsidP="00EF1F23">
            <w:pPr>
              <w:widowControl/>
              <w:spacing w:line="240" w:lineRule="auto"/>
              <w:jc w:val="left"/>
              <w:rPr>
                <w:rFonts w:ascii="Calibri" w:hAnsi="Calibri"/>
                <w:color w:val="000000"/>
                <w:szCs w:val="22"/>
              </w:rPr>
            </w:pPr>
            <w:r w:rsidRPr="00EF1F23">
              <w:rPr>
                <w:rFonts w:ascii="Calibri" w:hAnsi="Calibri"/>
                <w:color w:val="000000"/>
                <w:szCs w:val="22"/>
              </w:rPr>
              <w:t>BSE</w:t>
            </w:r>
          </w:p>
        </w:tc>
        <w:tc>
          <w:tcPr>
            <w:tcW w:w="1380" w:type="dxa"/>
            <w:tcBorders>
              <w:top w:val="nil"/>
              <w:left w:val="nil"/>
              <w:bottom w:val="single" w:sz="4" w:space="0" w:color="auto"/>
              <w:right w:val="single" w:sz="4" w:space="0" w:color="auto"/>
            </w:tcBorders>
            <w:shd w:val="clear" w:color="auto" w:fill="auto"/>
            <w:noWrap/>
            <w:vAlign w:val="bottom"/>
            <w:hideMark/>
          </w:tcPr>
          <w:p w:rsidR="00EF1F23" w:rsidRPr="00EF1F23" w:rsidRDefault="00EF1F23" w:rsidP="00EF1F23">
            <w:pPr>
              <w:widowControl/>
              <w:spacing w:line="240" w:lineRule="auto"/>
              <w:jc w:val="right"/>
              <w:rPr>
                <w:rFonts w:ascii="Calibri" w:hAnsi="Calibri"/>
                <w:color w:val="000000"/>
                <w:szCs w:val="22"/>
              </w:rPr>
            </w:pPr>
            <w:r w:rsidRPr="00EF1F23">
              <w:rPr>
                <w:rFonts w:ascii="Calibri" w:hAnsi="Calibri"/>
                <w:color w:val="000000"/>
                <w:szCs w:val="22"/>
              </w:rPr>
              <w:t>9</w:t>
            </w:r>
          </w:p>
        </w:tc>
        <w:tc>
          <w:tcPr>
            <w:tcW w:w="2140" w:type="dxa"/>
            <w:tcBorders>
              <w:top w:val="nil"/>
              <w:left w:val="nil"/>
              <w:bottom w:val="single" w:sz="4" w:space="0" w:color="auto"/>
              <w:right w:val="single" w:sz="4" w:space="0" w:color="auto"/>
            </w:tcBorders>
            <w:shd w:val="clear" w:color="auto" w:fill="auto"/>
            <w:noWrap/>
            <w:vAlign w:val="bottom"/>
            <w:hideMark/>
          </w:tcPr>
          <w:p w:rsidR="00EF1F23" w:rsidRPr="00EF1F23" w:rsidRDefault="00EF1F23" w:rsidP="00EF1F23">
            <w:pPr>
              <w:widowControl/>
              <w:spacing w:line="240" w:lineRule="auto"/>
              <w:jc w:val="right"/>
              <w:rPr>
                <w:rFonts w:ascii="Calibri" w:hAnsi="Calibri"/>
                <w:color w:val="000000"/>
                <w:szCs w:val="22"/>
              </w:rPr>
            </w:pPr>
            <w:r w:rsidRPr="00EF1F23">
              <w:rPr>
                <w:rFonts w:ascii="Calibri" w:hAnsi="Calibri"/>
                <w:color w:val="000000"/>
                <w:szCs w:val="22"/>
              </w:rPr>
              <w:t>93 430 651</w:t>
            </w:r>
          </w:p>
        </w:tc>
      </w:tr>
      <w:tr w:rsidR="00EF1F23" w:rsidRPr="00EF1F23" w:rsidTr="00EF1F23">
        <w:trPr>
          <w:trHeight w:val="255"/>
          <w:jc w:val="center"/>
        </w:trPr>
        <w:tc>
          <w:tcPr>
            <w:tcW w:w="4140" w:type="dxa"/>
            <w:tcBorders>
              <w:top w:val="nil"/>
              <w:left w:val="single" w:sz="4" w:space="0" w:color="auto"/>
              <w:bottom w:val="single" w:sz="4" w:space="0" w:color="auto"/>
              <w:right w:val="single" w:sz="4" w:space="0" w:color="auto"/>
            </w:tcBorders>
            <w:shd w:val="clear" w:color="auto" w:fill="auto"/>
            <w:noWrap/>
            <w:vAlign w:val="center"/>
            <w:hideMark/>
          </w:tcPr>
          <w:p w:rsidR="00EF1F23" w:rsidRPr="00EF1F23" w:rsidRDefault="00EF1F23" w:rsidP="00EF1F23">
            <w:pPr>
              <w:widowControl/>
              <w:spacing w:line="240" w:lineRule="auto"/>
              <w:jc w:val="left"/>
              <w:rPr>
                <w:rFonts w:ascii="Calibri" w:hAnsi="Calibri"/>
                <w:color w:val="000000"/>
                <w:szCs w:val="22"/>
              </w:rPr>
            </w:pPr>
            <w:r w:rsidRPr="00EF1F23">
              <w:rPr>
                <w:rFonts w:ascii="Calibri" w:hAnsi="Calibri"/>
                <w:color w:val="000000"/>
                <w:szCs w:val="22"/>
              </w:rPr>
              <w:t>Сегмент за АДСИЦ</w:t>
            </w:r>
          </w:p>
        </w:tc>
        <w:tc>
          <w:tcPr>
            <w:tcW w:w="1256" w:type="dxa"/>
            <w:tcBorders>
              <w:top w:val="nil"/>
              <w:left w:val="nil"/>
              <w:bottom w:val="single" w:sz="4" w:space="0" w:color="auto"/>
              <w:right w:val="single" w:sz="4" w:space="0" w:color="auto"/>
            </w:tcBorders>
            <w:shd w:val="clear" w:color="auto" w:fill="auto"/>
            <w:noWrap/>
            <w:vAlign w:val="bottom"/>
            <w:hideMark/>
          </w:tcPr>
          <w:p w:rsidR="00EF1F23" w:rsidRPr="00EF1F23" w:rsidRDefault="00EF1F23" w:rsidP="00EF1F23">
            <w:pPr>
              <w:widowControl/>
              <w:spacing w:line="240" w:lineRule="auto"/>
              <w:jc w:val="left"/>
              <w:rPr>
                <w:rFonts w:ascii="Calibri" w:hAnsi="Calibri"/>
                <w:color w:val="000000"/>
                <w:szCs w:val="22"/>
              </w:rPr>
            </w:pPr>
            <w:r w:rsidRPr="00EF1F23">
              <w:rPr>
                <w:rFonts w:ascii="Calibri" w:hAnsi="Calibri"/>
                <w:color w:val="000000"/>
                <w:szCs w:val="22"/>
              </w:rPr>
              <w:t>BSE</w:t>
            </w:r>
          </w:p>
        </w:tc>
        <w:tc>
          <w:tcPr>
            <w:tcW w:w="1380" w:type="dxa"/>
            <w:tcBorders>
              <w:top w:val="nil"/>
              <w:left w:val="nil"/>
              <w:bottom w:val="single" w:sz="4" w:space="0" w:color="auto"/>
              <w:right w:val="single" w:sz="4" w:space="0" w:color="auto"/>
            </w:tcBorders>
            <w:shd w:val="clear" w:color="auto" w:fill="auto"/>
            <w:noWrap/>
            <w:vAlign w:val="bottom"/>
            <w:hideMark/>
          </w:tcPr>
          <w:p w:rsidR="00EF1F23" w:rsidRPr="00EF1F23" w:rsidRDefault="00EF1F23" w:rsidP="00EF1F23">
            <w:pPr>
              <w:widowControl/>
              <w:spacing w:line="240" w:lineRule="auto"/>
              <w:jc w:val="right"/>
              <w:rPr>
                <w:rFonts w:ascii="Calibri" w:hAnsi="Calibri"/>
                <w:color w:val="000000"/>
                <w:szCs w:val="22"/>
              </w:rPr>
            </w:pPr>
            <w:r w:rsidRPr="00EF1F23">
              <w:rPr>
                <w:rFonts w:ascii="Calibri" w:hAnsi="Calibri"/>
                <w:color w:val="000000"/>
                <w:szCs w:val="22"/>
              </w:rPr>
              <w:t>2</w:t>
            </w:r>
          </w:p>
        </w:tc>
        <w:tc>
          <w:tcPr>
            <w:tcW w:w="2140" w:type="dxa"/>
            <w:tcBorders>
              <w:top w:val="nil"/>
              <w:left w:val="nil"/>
              <w:bottom w:val="single" w:sz="4" w:space="0" w:color="auto"/>
              <w:right w:val="single" w:sz="4" w:space="0" w:color="auto"/>
            </w:tcBorders>
            <w:shd w:val="clear" w:color="auto" w:fill="auto"/>
            <w:noWrap/>
            <w:vAlign w:val="bottom"/>
            <w:hideMark/>
          </w:tcPr>
          <w:p w:rsidR="00EF1F23" w:rsidRPr="00EF1F23" w:rsidRDefault="00EF1F23" w:rsidP="00EF1F23">
            <w:pPr>
              <w:widowControl/>
              <w:spacing w:line="240" w:lineRule="auto"/>
              <w:jc w:val="right"/>
              <w:rPr>
                <w:rFonts w:ascii="Calibri" w:hAnsi="Calibri"/>
                <w:color w:val="000000"/>
                <w:szCs w:val="22"/>
              </w:rPr>
            </w:pPr>
            <w:r w:rsidRPr="00EF1F23">
              <w:rPr>
                <w:rFonts w:ascii="Calibri" w:hAnsi="Calibri"/>
                <w:color w:val="000000"/>
                <w:szCs w:val="22"/>
              </w:rPr>
              <w:t>33 059 521</w:t>
            </w:r>
          </w:p>
        </w:tc>
      </w:tr>
      <w:tr w:rsidR="00EF1F23" w:rsidRPr="00EF1F23" w:rsidTr="00EF1F23">
        <w:trPr>
          <w:trHeight w:val="255"/>
          <w:jc w:val="center"/>
        </w:trPr>
        <w:tc>
          <w:tcPr>
            <w:tcW w:w="4140" w:type="dxa"/>
            <w:tcBorders>
              <w:top w:val="nil"/>
              <w:left w:val="single" w:sz="4" w:space="0" w:color="auto"/>
              <w:bottom w:val="single" w:sz="4" w:space="0" w:color="auto"/>
              <w:right w:val="single" w:sz="4" w:space="0" w:color="auto"/>
            </w:tcBorders>
            <w:shd w:val="clear" w:color="auto" w:fill="auto"/>
            <w:noWrap/>
            <w:vAlign w:val="bottom"/>
            <w:hideMark/>
          </w:tcPr>
          <w:p w:rsidR="00EF1F23" w:rsidRPr="00EF1F23" w:rsidRDefault="00EF1F23" w:rsidP="00EF1F23">
            <w:pPr>
              <w:widowControl/>
              <w:spacing w:line="240" w:lineRule="auto"/>
              <w:jc w:val="left"/>
              <w:rPr>
                <w:rFonts w:ascii="Calibri" w:hAnsi="Calibri"/>
                <w:color w:val="000000"/>
                <w:szCs w:val="22"/>
              </w:rPr>
            </w:pPr>
            <w:r w:rsidRPr="00EF1F23">
              <w:rPr>
                <w:rFonts w:ascii="Calibri" w:hAnsi="Calibri"/>
                <w:color w:val="000000"/>
                <w:szCs w:val="22"/>
              </w:rPr>
              <w:t>Сегмент за акции</w:t>
            </w:r>
          </w:p>
        </w:tc>
        <w:tc>
          <w:tcPr>
            <w:tcW w:w="1256" w:type="dxa"/>
            <w:tcBorders>
              <w:top w:val="nil"/>
              <w:left w:val="nil"/>
              <w:bottom w:val="single" w:sz="4" w:space="0" w:color="auto"/>
              <w:right w:val="single" w:sz="4" w:space="0" w:color="auto"/>
            </w:tcBorders>
            <w:shd w:val="clear" w:color="auto" w:fill="auto"/>
            <w:noWrap/>
            <w:vAlign w:val="bottom"/>
            <w:hideMark/>
          </w:tcPr>
          <w:p w:rsidR="00EF1F23" w:rsidRPr="00EF1F23" w:rsidRDefault="00EF1F23" w:rsidP="00EF1F23">
            <w:pPr>
              <w:widowControl/>
              <w:spacing w:line="240" w:lineRule="auto"/>
              <w:jc w:val="left"/>
              <w:rPr>
                <w:rFonts w:ascii="Calibri" w:hAnsi="Calibri"/>
                <w:color w:val="000000"/>
                <w:szCs w:val="22"/>
              </w:rPr>
            </w:pPr>
            <w:r w:rsidRPr="00EF1F23">
              <w:rPr>
                <w:rFonts w:ascii="Calibri" w:hAnsi="Calibri"/>
                <w:color w:val="000000"/>
                <w:szCs w:val="22"/>
              </w:rPr>
              <w:t>BASE</w:t>
            </w:r>
          </w:p>
        </w:tc>
        <w:tc>
          <w:tcPr>
            <w:tcW w:w="1380" w:type="dxa"/>
            <w:tcBorders>
              <w:top w:val="nil"/>
              <w:left w:val="nil"/>
              <w:bottom w:val="single" w:sz="4" w:space="0" w:color="auto"/>
              <w:right w:val="single" w:sz="4" w:space="0" w:color="auto"/>
            </w:tcBorders>
            <w:shd w:val="clear" w:color="auto" w:fill="auto"/>
            <w:noWrap/>
            <w:vAlign w:val="bottom"/>
            <w:hideMark/>
          </w:tcPr>
          <w:p w:rsidR="00EF1F23" w:rsidRPr="00EF1F23" w:rsidRDefault="00EF1F23" w:rsidP="00EF1F23">
            <w:pPr>
              <w:widowControl/>
              <w:spacing w:line="240" w:lineRule="auto"/>
              <w:jc w:val="right"/>
              <w:rPr>
                <w:rFonts w:ascii="Calibri" w:hAnsi="Calibri"/>
                <w:color w:val="000000"/>
                <w:szCs w:val="22"/>
              </w:rPr>
            </w:pPr>
            <w:r w:rsidRPr="00EF1F23">
              <w:rPr>
                <w:rFonts w:ascii="Calibri" w:hAnsi="Calibri"/>
                <w:color w:val="000000"/>
                <w:szCs w:val="22"/>
              </w:rPr>
              <w:t>1</w:t>
            </w:r>
          </w:p>
        </w:tc>
        <w:tc>
          <w:tcPr>
            <w:tcW w:w="2140" w:type="dxa"/>
            <w:tcBorders>
              <w:top w:val="nil"/>
              <w:left w:val="nil"/>
              <w:bottom w:val="single" w:sz="4" w:space="0" w:color="auto"/>
              <w:right w:val="single" w:sz="4" w:space="0" w:color="auto"/>
            </w:tcBorders>
            <w:shd w:val="clear" w:color="auto" w:fill="auto"/>
            <w:noWrap/>
            <w:vAlign w:val="bottom"/>
            <w:hideMark/>
          </w:tcPr>
          <w:p w:rsidR="00EF1F23" w:rsidRPr="00EF1F23" w:rsidRDefault="00EF1F23" w:rsidP="00EF1F23">
            <w:pPr>
              <w:widowControl/>
              <w:spacing w:line="240" w:lineRule="auto"/>
              <w:jc w:val="right"/>
              <w:rPr>
                <w:rFonts w:ascii="Calibri" w:hAnsi="Calibri"/>
                <w:color w:val="000000"/>
                <w:szCs w:val="22"/>
              </w:rPr>
            </w:pPr>
            <w:r w:rsidRPr="00EF1F23">
              <w:rPr>
                <w:rFonts w:ascii="Calibri" w:hAnsi="Calibri"/>
                <w:color w:val="000000"/>
                <w:szCs w:val="22"/>
              </w:rPr>
              <w:t>3 442 500</w:t>
            </w:r>
          </w:p>
        </w:tc>
      </w:tr>
      <w:tr w:rsidR="00EF1F23" w:rsidRPr="00EF1F23" w:rsidTr="00EF1F23">
        <w:trPr>
          <w:trHeight w:val="255"/>
          <w:jc w:val="center"/>
        </w:trPr>
        <w:tc>
          <w:tcPr>
            <w:tcW w:w="4140" w:type="dxa"/>
            <w:tcBorders>
              <w:top w:val="nil"/>
              <w:left w:val="single" w:sz="4" w:space="0" w:color="auto"/>
              <w:bottom w:val="single" w:sz="4" w:space="0" w:color="auto"/>
              <w:right w:val="single" w:sz="4" w:space="0" w:color="auto"/>
            </w:tcBorders>
            <w:shd w:val="clear" w:color="auto" w:fill="auto"/>
            <w:noWrap/>
            <w:vAlign w:val="center"/>
            <w:hideMark/>
          </w:tcPr>
          <w:p w:rsidR="00EF1F23" w:rsidRPr="00EF1F23" w:rsidRDefault="00EF1F23" w:rsidP="00EF1F23">
            <w:pPr>
              <w:widowControl/>
              <w:spacing w:line="240" w:lineRule="auto"/>
              <w:jc w:val="left"/>
              <w:rPr>
                <w:rFonts w:ascii="Calibri" w:hAnsi="Calibri"/>
                <w:color w:val="000000"/>
                <w:szCs w:val="22"/>
              </w:rPr>
            </w:pPr>
            <w:r w:rsidRPr="00EF1F23">
              <w:rPr>
                <w:rFonts w:ascii="Calibri" w:hAnsi="Calibri"/>
                <w:color w:val="000000"/>
                <w:szCs w:val="22"/>
              </w:rPr>
              <w:t>Сегмент за АДСИЦ</w:t>
            </w:r>
          </w:p>
        </w:tc>
        <w:tc>
          <w:tcPr>
            <w:tcW w:w="1256" w:type="dxa"/>
            <w:tcBorders>
              <w:top w:val="nil"/>
              <w:left w:val="nil"/>
              <w:bottom w:val="single" w:sz="4" w:space="0" w:color="auto"/>
              <w:right w:val="single" w:sz="4" w:space="0" w:color="auto"/>
            </w:tcBorders>
            <w:shd w:val="clear" w:color="auto" w:fill="auto"/>
            <w:noWrap/>
            <w:vAlign w:val="bottom"/>
            <w:hideMark/>
          </w:tcPr>
          <w:p w:rsidR="00EF1F23" w:rsidRPr="00EF1F23" w:rsidRDefault="00EF1F23" w:rsidP="00EF1F23">
            <w:pPr>
              <w:widowControl/>
              <w:spacing w:line="240" w:lineRule="auto"/>
              <w:jc w:val="left"/>
              <w:rPr>
                <w:rFonts w:ascii="Calibri" w:hAnsi="Calibri"/>
                <w:color w:val="000000"/>
                <w:szCs w:val="22"/>
              </w:rPr>
            </w:pPr>
            <w:r w:rsidRPr="00EF1F23">
              <w:rPr>
                <w:rFonts w:ascii="Calibri" w:hAnsi="Calibri"/>
                <w:color w:val="000000"/>
                <w:szCs w:val="22"/>
              </w:rPr>
              <w:t>BASE</w:t>
            </w:r>
          </w:p>
        </w:tc>
        <w:tc>
          <w:tcPr>
            <w:tcW w:w="1380" w:type="dxa"/>
            <w:tcBorders>
              <w:top w:val="nil"/>
              <w:left w:val="nil"/>
              <w:bottom w:val="single" w:sz="4" w:space="0" w:color="auto"/>
              <w:right w:val="single" w:sz="4" w:space="0" w:color="auto"/>
            </w:tcBorders>
            <w:shd w:val="clear" w:color="auto" w:fill="auto"/>
            <w:noWrap/>
            <w:vAlign w:val="bottom"/>
            <w:hideMark/>
          </w:tcPr>
          <w:p w:rsidR="00EF1F23" w:rsidRPr="00EF1F23" w:rsidRDefault="00EF1F23" w:rsidP="00EF1F23">
            <w:pPr>
              <w:widowControl/>
              <w:spacing w:line="240" w:lineRule="auto"/>
              <w:jc w:val="right"/>
              <w:rPr>
                <w:rFonts w:ascii="Calibri" w:hAnsi="Calibri"/>
                <w:color w:val="000000"/>
                <w:szCs w:val="22"/>
              </w:rPr>
            </w:pPr>
            <w:r w:rsidRPr="00EF1F23">
              <w:rPr>
                <w:rFonts w:ascii="Calibri" w:hAnsi="Calibri"/>
                <w:color w:val="000000"/>
                <w:szCs w:val="22"/>
              </w:rPr>
              <w:t>1</w:t>
            </w:r>
          </w:p>
        </w:tc>
        <w:tc>
          <w:tcPr>
            <w:tcW w:w="2140" w:type="dxa"/>
            <w:tcBorders>
              <w:top w:val="nil"/>
              <w:left w:val="nil"/>
              <w:bottom w:val="single" w:sz="4" w:space="0" w:color="auto"/>
              <w:right w:val="single" w:sz="4" w:space="0" w:color="auto"/>
            </w:tcBorders>
            <w:shd w:val="clear" w:color="auto" w:fill="auto"/>
            <w:noWrap/>
            <w:vAlign w:val="bottom"/>
            <w:hideMark/>
          </w:tcPr>
          <w:p w:rsidR="00EF1F23" w:rsidRPr="00EF1F23" w:rsidRDefault="00EF1F23" w:rsidP="00EF1F23">
            <w:pPr>
              <w:widowControl/>
              <w:spacing w:line="240" w:lineRule="auto"/>
              <w:jc w:val="right"/>
              <w:rPr>
                <w:rFonts w:ascii="Calibri" w:hAnsi="Calibri"/>
                <w:color w:val="000000"/>
                <w:szCs w:val="22"/>
              </w:rPr>
            </w:pPr>
            <w:r w:rsidRPr="00EF1F23">
              <w:rPr>
                <w:rFonts w:ascii="Calibri" w:hAnsi="Calibri"/>
                <w:color w:val="000000"/>
                <w:szCs w:val="22"/>
              </w:rPr>
              <w:t>21 599 784</w:t>
            </w:r>
          </w:p>
        </w:tc>
      </w:tr>
    </w:tbl>
    <w:p w:rsidR="001A0C3E" w:rsidRPr="00AC6A82" w:rsidRDefault="001A0C3E" w:rsidP="001A50AB">
      <w:pPr>
        <w:pStyle w:val="Mainnumbers"/>
        <w:rPr>
          <w:rFonts w:ascii="Calibri" w:hAnsi="Calibri" w:cs="Calibri"/>
        </w:rPr>
      </w:pPr>
      <w:bookmarkStart w:id="21" w:name="_Toc7535421"/>
      <w:r w:rsidRPr="00AC6A82">
        <w:rPr>
          <w:rFonts w:ascii="Calibri" w:hAnsi="Calibri" w:cs="Calibri"/>
        </w:rPr>
        <w:t xml:space="preserve">Пазарна капитализация на </w:t>
      </w:r>
      <w:r w:rsidR="00415B34" w:rsidRPr="00AC6A82">
        <w:rPr>
          <w:rFonts w:ascii="Calibri" w:hAnsi="Calibri" w:cs="Calibri"/>
        </w:rPr>
        <w:t>Борсата</w:t>
      </w:r>
      <w:bookmarkEnd w:id="19"/>
      <w:bookmarkEnd w:id="20"/>
      <w:bookmarkEnd w:id="21"/>
    </w:p>
    <w:p w:rsidR="009C6920" w:rsidRPr="00AC6A82" w:rsidRDefault="007756A8" w:rsidP="001A50AB">
      <w:pPr>
        <w:rPr>
          <w:rFonts w:ascii="Calibri" w:hAnsi="Calibri" w:cs="Calibri"/>
        </w:rPr>
      </w:pPr>
      <w:r w:rsidRPr="00AC6A82">
        <w:rPr>
          <w:rFonts w:ascii="Calibri" w:hAnsi="Calibri" w:cs="Calibri"/>
        </w:rPr>
        <w:t xml:space="preserve">Пазарната капитализация на </w:t>
      </w:r>
      <w:r w:rsidR="0019633E" w:rsidRPr="00AC6A82">
        <w:rPr>
          <w:rFonts w:ascii="Calibri" w:hAnsi="Calibri" w:cs="Calibri"/>
        </w:rPr>
        <w:t>„</w:t>
      </w:r>
      <w:r w:rsidR="00636F5A" w:rsidRPr="00AC6A82">
        <w:rPr>
          <w:rFonts w:ascii="Calibri" w:hAnsi="Calibri" w:cs="Calibri"/>
        </w:rPr>
        <w:t>Българска фондова борса</w:t>
      </w:r>
      <w:r w:rsidR="0019633E" w:rsidRPr="00AC6A82">
        <w:rPr>
          <w:rFonts w:ascii="Calibri" w:hAnsi="Calibri" w:cs="Calibri"/>
        </w:rPr>
        <w:t>“ АД</w:t>
      </w:r>
      <w:r w:rsidRPr="00AC6A82">
        <w:rPr>
          <w:rFonts w:ascii="Calibri" w:hAnsi="Calibri" w:cs="Calibri"/>
        </w:rPr>
        <w:t xml:space="preserve"> достигна </w:t>
      </w:r>
      <w:r w:rsidR="00604F8E" w:rsidRPr="00AC6A82">
        <w:rPr>
          <w:rFonts w:ascii="Calibri" w:hAnsi="Calibri" w:cs="Calibri"/>
        </w:rPr>
        <w:t xml:space="preserve">27 217 112 971 </w:t>
      </w:r>
      <w:r w:rsidR="00C83A5F" w:rsidRPr="00AC6A82">
        <w:rPr>
          <w:rFonts w:ascii="Calibri" w:hAnsi="Calibri" w:cs="Calibri"/>
        </w:rPr>
        <w:t xml:space="preserve">лева </w:t>
      </w:r>
      <w:r w:rsidRPr="00AC6A82">
        <w:rPr>
          <w:rFonts w:ascii="Calibri" w:hAnsi="Calibri" w:cs="Calibri"/>
        </w:rPr>
        <w:t xml:space="preserve">в края на </w:t>
      </w:r>
      <w:r w:rsidR="00604F8E" w:rsidRPr="00AC6A82">
        <w:rPr>
          <w:rFonts w:ascii="Calibri" w:hAnsi="Calibri" w:cs="Calibri"/>
        </w:rPr>
        <w:t xml:space="preserve">първото </w:t>
      </w:r>
      <w:r w:rsidR="00E438C3" w:rsidRPr="00AC6A82">
        <w:rPr>
          <w:rFonts w:ascii="Calibri" w:hAnsi="Calibri" w:cs="Calibri"/>
        </w:rPr>
        <w:t>трим</w:t>
      </w:r>
      <w:r w:rsidR="00213288" w:rsidRPr="00AC6A82">
        <w:rPr>
          <w:rFonts w:ascii="Calibri" w:hAnsi="Calibri" w:cs="Calibri"/>
        </w:rPr>
        <w:t>есечие</w:t>
      </w:r>
      <w:r w:rsidR="0019633E" w:rsidRPr="00AC6A82">
        <w:rPr>
          <w:rFonts w:ascii="Calibri" w:hAnsi="Calibri" w:cs="Calibri"/>
        </w:rPr>
        <w:t xml:space="preserve"> на</w:t>
      </w:r>
      <w:r w:rsidR="006B4F9B" w:rsidRPr="00AC6A82">
        <w:rPr>
          <w:rFonts w:ascii="Calibri" w:hAnsi="Calibri" w:cs="Calibri"/>
        </w:rPr>
        <w:t xml:space="preserve"> 201</w:t>
      </w:r>
      <w:r w:rsidR="00604F8E" w:rsidRPr="00AC6A82">
        <w:rPr>
          <w:rFonts w:ascii="Calibri" w:hAnsi="Calibri" w:cs="Calibri"/>
        </w:rPr>
        <w:t>9</w:t>
      </w:r>
      <w:r w:rsidRPr="00AC6A82">
        <w:rPr>
          <w:rFonts w:ascii="Calibri" w:hAnsi="Calibri" w:cs="Calibri"/>
        </w:rPr>
        <w:t xml:space="preserve"> г., което представлява </w:t>
      </w:r>
      <w:r w:rsidR="006A08D0" w:rsidRPr="00AC6A82">
        <w:rPr>
          <w:rFonts w:ascii="Calibri" w:hAnsi="Calibri" w:cs="Calibri"/>
        </w:rPr>
        <w:t>ръст</w:t>
      </w:r>
      <w:r w:rsidR="003C2334" w:rsidRPr="00AC6A82">
        <w:rPr>
          <w:rFonts w:ascii="Calibri" w:hAnsi="Calibri" w:cs="Calibri"/>
        </w:rPr>
        <w:t xml:space="preserve"> </w:t>
      </w:r>
      <w:r w:rsidR="006A08D0" w:rsidRPr="00AC6A82">
        <w:rPr>
          <w:rFonts w:ascii="Calibri" w:hAnsi="Calibri" w:cs="Calibri"/>
        </w:rPr>
        <w:t>от</w:t>
      </w:r>
      <w:r w:rsidR="003C2334" w:rsidRPr="00AC6A82">
        <w:rPr>
          <w:rFonts w:ascii="Calibri" w:hAnsi="Calibri" w:cs="Calibri"/>
        </w:rPr>
        <w:t xml:space="preserve"> </w:t>
      </w:r>
      <w:r w:rsidR="00604F8E" w:rsidRPr="00AC6A82">
        <w:rPr>
          <w:rFonts w:ascii="Calibri" w:hAnsi="Calibri" w:cs="Calibri"/>
        </w:rPr>
        <w:t>1</w:t>
      </w:r>
      <w:r w:rsidR="009C6920" w:rsidRPr="00AC6A82">
        <w:rPr>
          <w:rFonts w:ascii="Calibri" w:hAnsi="Calibri" w:cs="Calibri"/>
        </w:rPr>
        <w:t>,</w:t>
      </w:r>
      <w:r w:rsidR="00604F8E" w:rsidRPr="00AC6A82">
        <w:rPr>
          <w:rFonts w:ascii="Calibri" w:hAnsi="Calibri" w:cs="Calibri"/>
        </w:rPr>
        <w:t>69</w:t>
      </w:r>
      <w:r w:rsidR="00E438C3" w:rsidRPr="00AC6A82">
        <w:rPr>
          <w:rFonts w:ascii="Calibri" w:hAnsi="Calibri" w:cs="Calibri"/>
        </w:rPr>
        <w:t>%</w:t>
      </w:r>
      <w:r w:rsidRPr="00AC6A82">
        <w:rPr>
          <w:rFonts w:ascii="Calibri" w:hAnsi="Calibri" w:cs="Calibri"/>
        </w:rPr>
        <w:t xml:space="preserve"> в сравнение със стойността от </w:t>
      </w:r>
      <w:r w:rsidR="00604F8E" w:rsidRPr="00AC6A82">
        <w:rPr>
          <w:rFonts w:ascii="Calibri" w:hAnsi="Calibri" w:cs="Calibri"/>
        </w:rPr>
        <w:t xml:space="preserve">26 765 345 283 </w:t>
      </w:r>
      <w:r w:rsidRPr="00AC6A82">
        <w:rPr>
          <w:rFonts w:ascii="Calibri" w:hAnsi="Calibri" w:cs="Calibri"/>
        </w:rPr>
        <w:t xml:space="preserve">лв. в края на </w:t>
      </w:r>
      <w:r w:rsidR="00604F8E" w:rsidRPr="00AC6A82">
        <w:rPr>
          <w:rFonts w:ascii="Calibri" w:hAnsi="Calibri" w:cs="Calibri"/>
        </w:rPr>
        <w:t xml:space="preserve">четвъртото </w:t>
      </w:r>
      <w:r w:rsidR="00E438C3" w:rsidRPr="00AC6A82">
        <w:rPr>
          <w:rFonts w:ascii="Calibri" w:hAnsi="Calibri" w:cs="Calibri"/>
        </w:rPr>
        <w:t xml:space="preserve">тримесечие </w:t>
      </w:r>
      <w:r w:rsidR="00604F8E" w:rsidRPr="00AC6A82">
        <w:rPr>
          <w:rFonts w:ascii="Calibri" w:hAnsi="Calibri" w:cs="Calibri"/>
        </w:rPr>
        <w:t xml:space="preserve">на миналата година </w:t>
      </w:r>
      <w:r w:rsidRPr="00AC6A82">
        <w:rPr>
          <w:rFonts w:ascii="Calibri" w:hAnsi="Calibri" w:cs="Calibri"/>
        </w:rPr>
        <w:t>(виж. Таблица 8).</w:t>
      </w:r>
      <w:r w:rsidR="00EF1F23">
        <w:rPr>
          <w:rFonts w:ascii="Calibri" w:hAnsi="Calibri" w:cs="Calibri"/>
          <w:lang w:val="en-US"/>
        </w:rPr>
        <w:t xml:space="preserve"> </w:t>
      </w:r>
      <w:r w:rsidR="00235507" w:rsidRPr="00AC6A82">
        <w:rPr>
          <w:rFonts w:ascii="Calibri" w:hAnsi="Calibri" w:cs="Calibri"/>
        </w:rPr>
        <w:t>П</w:t>
      </w:r>
      <w:r w:rsidR="006B4F9B" w:rsidRPr="00AC6A82">
        <w:rPr>
          <w:rFonts w:ascii="Calibri" w:hAnsi="Calibri" w:cs="Calibri"/>
        </w:rPr>
        <w:t>азарната капитализация</w:t>
      </w:r>
      <w:r w:rsidRPr="00AC6A82">
        <w:rPr>
          <w:rFonts w:ascii="Calibri" w:hAnsi="Calibri" w:cs="Calibri"/>
        </w:rPr>
        <w:t xml:space="preserve"> на </w:t>
      </w:r>
      <w:r w:rsidR="006E0664" w:rsidRPr="00AC6A82">
        <w:rPr>
          <w:rFonts w:ascii="Calibri" w:hAnsi="Calibri" w:cs="Calibri"/>
        </w:rPr>
        <w:t>сегмент Prem</w:t>
      </w:r>
      <w:r w:rsidR="00604F8E" w:rsidRPr="00AC6A82">
        <w:rPr>
          <w:rFonts w:ascii="Calibri" w:hAnsi="Calibri" w:cs="Calibri"/>
        </w:rPr>
        <w:t>ium на Основния пазар намаля с 1</w:t>
      </w:r>
      <w:r w:rsidR="006E0664" w:rsidRPr="00AC6A82">
        <w:rPr>
          <w:rFonts w:ascii="Calibri" w:hAnsi="Calibri" w:cs="Calibri"/>
        </w:rPr>
        <w:t>,</w:t>
      </w:r>
      <w:r w:rsidR="00604F8E" w:rsidRPr="00AC6A82">
        <w:rPr>
          <w:rFonts w:ascii="Calibri" w:hAnsi="Calibri" w:cs="Calibri"/>
        </w:rPr>
        <w:t>3</w:t>
      </w:r>
      <w:r w:rsidR="006E0664" w:rsidRPr="00AC6A82">
        <w:rPr>
          <w:rFonts w:ascii="Calibri" w:hAnsi="Calibri" w:cs="Calibri"/>
        </w:rPr>
        <w:t xml:space="preserve">%, докато тази на </w:t>
      </w:r>
      <w:r w:rsidR="006B4F9B" w:rsidRPr="00AC6A82">
        <w:rPr>
          <w:rFonts w:ascii="Calibri" w:hAnsi="Calibri" w:cs="Calibri"/>
        </w:rPr>
        <w:t>сегмент</w:t>
      </w:r>
      <w:r w:rsidR="009C6920" w:rsidRPr="00AC6A82">
        <w:rPr>
          <w:rFonts w:ascii="Calibri" w:hAnsi="Calibri" w:cs="Calibri"/>
        </w:rPr>
        <w:t xml:space="preserve"> Standard </w:t>
      </w:r>
      <w:r w:rsidR="006E0664" w:rsidRPr="00AC6A82">
        <w:rPr>
          <w:rFonts w:ascii="Calibri" w:hAnsi="Calibri" w:cs="Calibri"/>
        </w:rPr>
        <w:t xml:space="preserve">нарасна с </w:t>
      </w:r>
      <w:r w:rsidR="00604F8E" w:rsidRPr="00AC6A82">
        <w:rPr>
          <w:rFonts w:ascii="Calibri" w:hAnsi="Calibri" w:cs="Calibri"/>
        </w:rPr>
        <w:t>0</w:t>
      </w:r>
      <w:r w:rsidR="006E0664" w:rsidRPr="00AC6A82">
        <w:rPr>
          <w:rFonts w:ascii="Calibri" w:hAnsi="Calibri" w:cs="Calibri"/>
        </w:rPr>
        <w:t>,</w:t>
      </w:r>
      <w:r w:rsidR="00604F8E" w:rsidRPr="00AC6A82">
        <w:rPr>
          <w:rFonts w:ascii="Calibri" w:hAnsi="Calibri" w:cs="Calibri"/>
        </w:rPr>
        <w:t>98</w:t>
      </w:r>
      <w:r w:rsidR="006E0664" w:rsidRPr="00AC6A82">
        <w:rPr>
          <w:rFonts w:ascii="Calibri" w:hAnsi="Calibri" w:cs="Calibri"/>
        </w:rPr>
        <w:t>%. К</w:t>
      </w:r>
      <w:r w:rsidR="00E438C3" w:rsidRPr="00AC6A82">
        <w:rPr>
          <w:rFonts w:ascii="Calibri" w:hAnsi="Calibri" w:cs="Calibri"/>
        </w:rPr>
        <w:t xml:space="preserve">апитализацията на </w:t>
      </w:r>
      <w:r w:rsidR="006E0664" w:rsidRPr="00AC6A82">
        <w:rPr>
          <w:rFonts w:ascii="Calibri" w:hAnsi="Calibri" w:cs="Calibri"/>
        </w:rPr>
        <w:t>с</w:t>
      </w:r>
      <w:r w:rsidR="009C6920" w:rsidRPr="00AC6A82">
        <w:rPr>
          <w:rFonts w:ascii="Calibri" w:hAnsi="Calibri" w:cs="Calibri"/>
        </w:rPr>
        <w:t xml:space="preserve">егмент АДСИЦ на Основния </w:t>
      </w:r>
      <w:r w:rsidR="00E438C3" w:rsidRPr="00AC6A82">
        <w:rPr>
          <w:rFonts w:ascii="Calibri" w:hAnsi="Calibri" w:cs="Calibri"/>
        </w:rPr>
        <w:t xml:space="preserve">пазар </w:t>
      </w:r>
      <w:r w:rsidR="00604F8E" w:rsidRPr="00AC6A82">
        <w:rPr>
          <w:rFonts w:ascii="Calibri" w:hAnsi="Calibri" w:cs="Calibri"/>
        </w:rPr>
        <w:t>спадна</w:t>
      </w:r>
      <w:r w:rsidR="006E0664" w:rsidRPr="00AC6A82">
        <w:rPr>
          <w:rFonts w:ascii="Calibri" w:hAnsi="Calibri" w:cs="Calibri"/>
        </w:rPr>
        <w:t xml:space="preserve"> с</w:t>
      </w:r>
      <w:r w:rsidR="00604F8E" w:rsidRPr="00AC6A82">
        <w:rPr>
          <w:rFonts w:ascii="Calibri" w:hAnsi="Calibri" w:cs="Calibri"/>
        </w:rPr>
        <w:t xml:space="preserve"> 0,66</w:t>
      </w:r>
      <w:r w:rsidR="006E0664" w:rsidRPr="00AC6A82">
        <w:rPr>
          <w:rFonts w:ascii="Calibri" w:hAnsi="Calibri" w:cs="Calibri"/>
        </w:rPr>
        <w:t>%</w:t>
      </w:r>
      <w:r w:rsidR="009248F9" w:rsidRPr="00AC6A82">
        <w:rPr>
          <w:rFonts w:ascii="Calibri" w:hAnsi="Calibri" w:cs="Calibri"/>
        </w:rPr>
        <w:t>. К</w:t>
      </w:r>
      <w:r w:rsidR="00E438C3" w:rsidRPr="00AC6A82">
        <w:rPr>
          <w:rFonts w:ascii="Calibri" w:hAnsi="Calibri" w:cs="Calibri"/>
        </w:rPr>
        <w:t xml:space="preserve">апитализацията на </w:t>
      </w:r>
      <w:r w:rsidR="009C6920" w:rsidRPr="00AC6A82">
        <w:rPr>
          <w:rFonts w:ascii="Calibri" w:hAnsi="Calibri" w:cs="Calibri"/>
        </w:rPr>
        <w:t>двата сегмента на</w:t>
      </w:r>
      <w:r w:rsidR="00604F8E" w:rsidRPr="00AC6A82">
        <w:rPr>
          <w:rFonts w:ascii="Calibri" w:hAnsi="Calibri" w:cs="Calibri"/>
        </w:rPr>
        <w:t xml:space="preserve"> </w:t>
      </w:r>
      <w:r w:rsidR="006B4F9B" w:rsidRPr="00AC6A82">
        <w:rPr>
          <w:rFonts w:ascii="Calibri" w:hAnsi="Calibri" w:cs="Calibri"/>
        </w:rPr>
        <w:t xml:space="preserve">Алтернативния пазар </w:t>
      </w:r>
      <w:r w:rsidR="009248F9" w:rsidRPr="00AC6A82">
        <w:rPr>
          <w:rFonts w:ascii="Calibri" w:hAnsi="Calibri" w:cs="Calibri"/>
        </w:rPr>
        <w:t xml:space="preserve">се </w:t>
      </w:r>
      <w:r w:rsidR="00604F8E" w:rsidRPr="00AC6A82">
        <w:rPr>
          <w:rFonts w:ascii="Calibri" w:hAnsi="Calibri" w:cs="Calibri"/>
        </w:rPr>
        <w:t>увеличи. С</w:t>
      </w:r>
      <w:r w:rsidR="009248F9" w:rsidRPr="00AC6A82">
        <w:rPr>
          <w:rFonts w:ascii="Calibri" w:hAnsi="Calibri" w:cs="Calibri"/>
        </w:rPr>
        <w:t xml:space="preserve">егментът </w:t>
      </w:r>
      <w:r w:rsidR="00B36B10" w:rsidRPr="00AC6A82">
        <w:rPr>
          <w:rFonts w:ascii="Calibri" w:hAnsi="Calibri" w:cs="Calibri"/>
        </w:rPr>
        <w:t>з</w:t>
      </w:r>
      <w:r w:rsidR="009248F9" w:rsidRPr="00AC6A82">
        <w:rPr>
          <w:rFonts w:ascii="Calibri" w:hAnsi="Calibri" w:cs="Calibri"/>
        </w:rPr>
        <w:t xml:space="preserve">а </w:t>
      </w:r>
      <w:r w:rsidR="00B36B10" w:rsidRPr="00AC6A82">
        <w:rPr>
          <w:rFonts w:ascii="Calibri" w:hAnsi="Calibri" w:cs="Calibri"/>
        </w:rPr>
        <w:t xml:space="preserve">акции отбеляза ръст от </w:t>
      </w:r>
      <w:r w:rsidR="00604F8E" w:rsidRPr="00AC6A82">
        <w:rPr>
          <w:rFonts w:ascii="Calibri" w:hAnsi="Calibri" w:cs="Calibri"/>
        </w:rPr>
        <w:t>2,25</w:t>
      </w:r>
      <w:r w:rsidR="00B36B10" w:rsidRPr="00AC6A82">
        <w:rPr>
          <w:rFonts w:ascii="Calibri" w:hAnsi="Calibri" w:cs="Calibri"/>
        </w:rPr>
        <w:t xml:space="preserve">%, докато сегментът за АДСИЦ </w:t>
      </w:r>
      <w:r w:rsidR="00604F8E" w:rsidRPr="00AC6A82">
        <w:rPr>
          <w:rFonts w:ascii="Calibri" w:hAnsi="Calibri" w:cs="Calibri"/>
        </w:rPr>
        <w:t>нарасна с 4,98</w:t>
      </w:r>
      <w:r w:rsidR="00B36B10" w:rsidRPr="00AC6A82">
        <w:rPr>
          <w:rFonts w:ascii="Calibri" w:hAnsi="Calibri" w:cs="Calibri"/>
        </w:rPr>
        <w:t>%.</w:t>
      </w:r>
    </w:p>
    <w:p w:rsidR="00B87BE0" w:rsidRDefault="009C6920" w:rsidP="001A50AB">
      <w:pPr>
        <w:rPr>
          <w:rFonts w:ascii="Calibri" w:hAnsi="Calibri" w:cs="Calibri"/>
        </w:rPr>
      </w:pPr>
      <w:r w:rsidRPr="00AC6A82">
        <w:rPr>
          <w:rFonts w:ascii="Calibri" w:hAnsi="Calibri" w:cs="Calibri"/>
          <w:szCs w:val="22"/>
        </w:rPr>
        <w:t xml:space="preserve">Най-голям ръст </w:t>
      </w:r>
      <w:r w:rsidR="00604F8E" w:rsidRPr="00AC6A82">
        <w:rPr>
          <w:rFonts w:ascii="Calibri" w:hAnsi="Calibri" w:cs="Calibri"/>
          <w:szCs w:val="22"/>
        </w:rPr>
        <w:t>от 397</w:t>
      </w:r>
      <w:r w:rsidR="00CA5650" w:rsidRPr="00AC6A82">
        <w:rPr>
          <w:rFonts w:ascii="Calibri" w:hAnsi="Calibri" w:cs="Calibri"/>
          <w:szCs w:val="22"/>
        </w:rPr>
        <w:t xml:space="preserve"> мили</w:t>
      </w:r>
      <w:r w:rsidR="00604F8E" w:rsidRPr="00AC6A82">
        <w:rPr>
          <w:rFonts w:ascii="Calibri" w:hAnsi="Calibri" w:cs="Calibri"/>
          <w:szCs w:val="22"/>
        </w:rPr>
        <w:t>она</w:t>
      </w:r>
      <w:r w:rsidR="00CA5650" w:rsidRPr="00AC6A82">
        <w:rPr>
          <w:rFonts w:ascii="Calibri" w:hAnsi="Calibri" w:cs="Calibri"/>
          <w:szCs w:val="22"/>
        </w:rPr>
        <w:t xml:space="preserve"> лева </w:t>
      </w:r>
      <w:r w:rsidRPr="00AC6A82">
        <w:rPr>
          <w:rFonts w:ascii="Calibri" w:hAnsi="Calibri" w:cs="Calibri"/>
          <w:szCs w:val="22"/>
        </w:rPr>
        <w:t>в абсолютен размер имаше в капитализацията на сегмента за акции на Алтернативен пазар</w:t>
      </w:r>
      <w:r w:rsidR="00D94C96" w:rsidRPr="00AC6A82">
        <w:rPr>
          <w:rFonts w:ascii="Calibri" w:hAnsi="Calibri" w:cs="Calibri"/>
          <w:szCs w:val="22"/>
        </w:rPr>
        <w:t xml:space="preserve">. </w:t>
      </w:r>
      <w:r w:rsidR="007756A8" w:rsidRPr="00AC6A82">
        <w:rPr>
          <w:rFonts w:ascii="Calibri" w:hAnsi="Calibri" w:cs="Calibri"/>
        </w:rPr>
        <w:t>(Таблица 9)</w:t>
      </w:r>
      <w:r w:rsidR="007700BA" w:rsidRPr="00AC6A82">
        <w:rPr>
          <w:rFonts w:ascii="Calibri" w:hAnsi="Calibri" w:cs="Calibri"/>
        </w:rPr>
        <w:t>.</w:t>
      </w:r>
    </w:p>
    <w:p w:rsidR="00B87BE0" w:rsidRDefault="00B87BE0">
      <w:pPr>
        <w:widowControl/>
        <w:spacing w:line="240" w:lineRule="auto"/>
        <w:jc w:val="left"/>
        <w:rPr>
          <w:rFonts w:ascii="Calibri" w:hAnsi="Calibri" w:cs="Calibri"/>
        </w:rPr>
      </w:pPr>
      <w:r>
        <w:rPr>
          <w:rFonts w:ascii="Calibri" w:hAnsi="Calibri" w:cs="Calibri"/>
        </w:rPr>
        <w:br w:type="page"/>
      </w:r>
    </w:p>
    <w:p w:rsidR="00604F8E" w:rsidRPr="00AC6A82" w:rsidRDefault="004F60F1" w:rsidP="000515C3">
      <w:pPr>
        <w:spacing w:before="240"/>
        <w:rPr>
          <w:rFonts w:ascii="Calibri" w:hAnsi="Calibri" w:cs="Calibri"/>
        </w:rPr>
      </w:pPr>
      <w:r w:rsidRPr="00AC6A82">
        <w:rPr>
          <w:rFonts w:ascii="Calibri" w:hAnsi="Calibri" w:cs="Calibri"/>
        </w:rPr>
        <w:t>Таблица 8: Пазарна капитализация по видове инструменти и общо (сравнение)</w:t>
      </w:r>
    </w:p>
    <w:tbl>
      <w:tblPr>
        <w:tblW w:w="95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337"/>
        <w:gridCol w:w="1561"/>
        <w:gridCol w:w="1827"/>
        <w:gridCol w:w="1276"/>
        <w:gridCol w:w="1559"/>
      </w:tblGrid>
      <w:tr w:rsidR="00604F8E" w:rsidRPr="00AC6A82" w:rsidTr="00604F8E">
        <w:trPr>
          <w:trHeight w:val="170"/>
          <w:jc w:val="center"/>
        </w:trPr>
        <w:tc>
          <w:tcPr>
            <w:tcW w:w="3337" w:type="dxa"/>
            <w:shd w:val="clear" w:color="000000" w:fill="4F81BD"/>
            <w:noWrap/>
            <w:vAlign w:val="bottom"/>
            <w:hideMark/>
          </w:tcPr>
          <w:p w:rsidR="00604F8E" w:rsidRPr="00AC6A82" w:rsidRDefault="00604F8E" w:rsidP="00604F8E">
            <w:pPr>
              <w:widowControl/>
              <w:spacing w:line="240" w:lineRule="auto"/>
              <w:jc w:val="left"/>
              <w:rPr>
                <w:rFonts w:ascii="Calibri" w:hAnsi="Calibri"/>
                <w:color w:val="FFFFFF"/>
                <w:szCs w:val="22"/>
              </w:rPr>
            </w:pPr>
            <w:r w:rsidRPr="00AC6A82">
              <w:rPr>
                <w:rFonts w:ascii="Calibri" w:hAnsi="Calibri"/>
                <w:color w:val="FFFFFF"/>
                <w:szCs w:val="22"/>
              </w:rPr>
              <w:t> </w:t>
            </w:r>
          </w:p>
        </w:tc>
        <w:tc>
          <w:tcPr>
            <w:tcW w:w="1561" w:type="dxa"/>
            <w:shd w:val="clear" w:color="000000" w:fill="4F81BD"/>
            <w:noWrap/>
            <w:vAlign w:val="bottom"/>
            <w:hideMark/>
          </w:tcPr>
          <w:p w:rsidR="00604F8E" w:rsidRPr="00AC6A82" w:rsidRDefault="00604F8E" w:rsidP="00604F8E">
            <w:pPr>
              <w:widowControl/>
              <w:spacing w:line="240" w:lineRule="auto"/>
              <w:jc w:val="right"/>
              <w:rPr>
                <w:rFonts w:ascii="Calibri" w:hAnsi="Calibri"/>
                <w:color w:val="FFFFFF"/>
                <w:szCs w:val="22"/>
              </w:rPr>
            </w:pPr>
            <w:r w:rsidRPr="00AC6A82">
              <w:rPr>
                <w:rFonts w:ascii="Calibri" w:hAnsi="Calibri"/>
                <w:color w:val="FFFFFF"/>
                <w:szCs w:val="22"/>
              </w:rPr>
              <w:t>Капитализация</w:t>
            </w:r>
          </w:p>
        </w:tc>
        <w:tc>
          <w:tcPr>
            <w:tcW w:w="1827" w:type="dxa"/>
            <w:shd w:val="clear" w:color="000000" w:fill="4F81BD"/>
            <w:noWrap/>
            <w:vAlign w:val="bottom"/>
            <w:hideMark/>
          </w:tcPr>
          <w:p w:rsidR="00604F8E" w:rsidRPr="00AC6A82" w:rsidRDefault="00604F8E" w:rsidP="00604F8E">
            <w:pPr>
              <w:widowControl/>
              <w:spacing w:line="240" w:lineRule="auto"/>
              <w:jc w:val="left"/>
              <w:rPr>
                <w:rFonts w:ascii="Calibri" w:hAnsi="Calibri"/>
                <w:color w:val="FFFFFF"/>
                <w:szCs w:val="22"/>
              </w:rPr>
            </w:pPr>
            <w:r w:rsidRPr="00AC6A82">
              <w:rPr>
                <w:rFonts w:ascii="Calibri" w:hAnsi="Calibri"/>
                <w:color w:val="FFFFFF"/>
                <w:szCs w:val="22"/>
              </w:rPr>
              <w:t xml:space="preserve"> (BGN)</w:t>
            </w:r>
          </w:p>
        </w:tc>
        <w:tc>
          <w:tcPr>
            <w:tcW w:w="2835" w:type="dxa"/>
            <w:gridSpan w:val="2"/>
            <w:shd w:val="clear" w:color="000000" w:fill="4F81BD"/>
            <w:noWrap/>
            <w:vAlign w:val="bottom"/>
            <w:hideMark/>
          </w:tcPr>
          <w:p w:rsidR="00604F8E" w:rsidRPr="00AC6A82" w:rsidRDefault="00604F8E" w:rsidP="00604F8E">
            <w:pPr>
              <w:widowControl/>
              <w:spacing w:line="240" w:lineRule="auto"/>
              <w:jc w:val="center"/>
              <w:rPr>
                <w:rFonts w:ascii="Calibri" w:hAnsi="Calibri"/>
                <w:color w:val="FFFFFF"/>
                <w:szCs w:val="22"/>
              </w:rPr>
            </w:pPr>
            <w:r w:rsidRPr="00AC6A82">
              <w:rPr>
                <w:rFonts w:ascii="Calibri" w:hAnsi="Calibri"/>
                <w:color w:val="FFFFFF"/>
                <w:szCs w:val="22"/>
              </w:rPr>
              <w:t>Промяна</w:t>
            </w:r>
          </w:p>
        </w:tc>
      </w:tr>
      <w:tr w:rsidR="00604F8E" w:rsidRPr="00AC6A82" w:rsidTr="00604F8E">
        <w:trPr>
          <w:trHeight w:val="170"/>
          <w:jc w:val="center"/>
        </w:trPr>
        <w:tc>
          <w:tcPr>
            <w:tcW w:w="3337" w:type="dxa"/>
            <w:shd w:val="clear" w:color="000000" w:fill="4F81BD"/>
            <w:noWrap/>
            <w:vAlign w:val="bottom"/>
            <w:hideMark/>
          </w:tcPr>
          <w:p w:rsidR="00604F8E" w:rsidRPr="00AC6A82" w:rsidRDefault="00604F8E" w:rsidP="00604F8E">
            <w:pPr>
              <w:widowControl/>
              <w:spacing w:line="240" w:lineRule="auto"/>
              <w:jc w:val="left"/>
              <w:rPr>
                <w:rFonts w:ascii="Calibri" w:hAnsi="Calibri"/>
                <w:color w:val="FFFFFF"/>
                <w:szCs w:val="22"/>
              </w:rPr>
            </w:pPr>
            <w:r w:rsidRPr="00AC6A82">
              <w:rPr>
                <w:rFonts w:ascii="Calibri" w:hAnsi="Calibri"/>
                <w:color w:val="FFFFFF"/>
                <w:szCs w:val="22"/>
              </w:rPr>
              <w:t>Сегмент/пазар</w:t>
            </w:r>
          </w:p>
        </w:tc>
        <w:tc>
          <w:tcPr>
            <w:tcW w:w="1561" w:type="dxa"/>
            <w:shd w:val="clear" w:color="000000" w:fill="4F81BD"/>
            <w:noWrap/>
            <w:vAlign w:val="bottom"/>
            <w:hideMark/>
          </w:tcPr>
          <w:p w:rsidR="00604F8E" w:rsidRPr="00AC6A82" w:rsidRDefault="00604F8E" w:rsidP="00604F8E">
            <w:pPr>
              <w:widowControl/>
              <w:spacing w:line="240" w:lineRule="auto"/>
              <w:jc w:val="center"/>
              <w:rPr>
                <w:rFonts w:ascii="Calibri" w:hAnsi="Calibri"/>
                <w:color w:val="FFFFFF"/>
                <w:szCs w:val="22"/>
              </w:rPr>
            </w:pPr>
            <w:r w:rsidRPr="00AC6A82">
              <w:rPr>
                <w:rFonts w:ascii="Calibri" w:hAnsi="Calibri"/>
                <w:color w:val="FFFFFF"/>
                <w:szCs w:val="22"/>
              </w:rPr>
              <w:t>31.12.2018 г.</w:t>
            </w:r>
          </w:p>
        </w:tc>
        <w:tc>
          <w:tcPr>
            <w:tcW w:w="1827" w:type="dxa"/>
            <w:shd w:val="clear" w:color="000000" w:fill="4F81BD"/>
            <w:noWrap/>
            <w:vAlign w:val="bottom"/>
            <w:hideMark/>
          </w:tcPr>
          <w:p w:rsidR="00604F8E" w:rsidRPr="00AC6A82" w:rsidRDefault="00604F8E" w:rsidP="00604F8E">
            <w:pPr>
              <w:widowControl/>
              <w:spacing w:line="240" w:lineRule="auto"/>
              <w:jc w:val="center"/>
              <w:rPr>
                <w:rFonts w:ascii="Calibri" w:hAnsi="Calibri"/>
                <w:color w:val="FFFFFF"/>
                <w:szCs w:val="22"/>
              </w:rPr>
            </w:pPr>
            <w:r w:rsidRPr="00AC6A82">
              <w:rPr>
                <w:rFonts w:ascii="Calibri" w:hAnsi="Calibri"/>
                <w:color w:val="FFFFFF"/>
                <w:szCs w:val="22"/>
              </w:rPr>
              <w:t>31.03.2019 г.</w:t>
            </w:r>
          </w:p>
        </w:tc>
        <w:tc>
          <w:tcPr>
            <w:tcW w:w="1276" w:type="dxa"/>
            <w:shd w:val="clear" w:color="000000" w:fill="4F81BD"/>
            <w:noWrap/>
            <w:vAlign w:val="bottom"/>
            <w:hideMark/>
          </w:tcPr>
          <w:p w:rsidR="00604F8E" w:rsidRPr="00AC6A82" w:rsidRDefault="00604F8E" w:rsidP="00604F8E">
            <w:pPr>
              <w:widowControl/>
              <w:spacing w:line="240" w:lineRule="auto"/>
              <w:jc w:val="center"/>
              <w:rPr>
                <w:rFonts w:ascii="Calibri" w:hAnsi="Calibri"/>
                <w:color w:val="FFFFFF"/>
                <w:szCs w:val="22"/>
              </w:rPr>
            </w:pPr>
            <w:r w:rsidRPr="00AC6A82">
              <w:rPr>
                <w:rFonts w:ascii="Calibri" w:hAnsi="Calibri"/>
                <w:color w:val="FFFFFF"/>
                <w:szCs w:val="22"/>
              </w:rPr>
              <w:t>%</w:t>
            </w:r>
          </w:p>
        </w:tc>
        <w:tc>
          <w:tcPr>
            <w:tcW w:w="1559" w:type="dxa"/>
            <w:shd w:val="clear" w:color="000000" w:fill="4F81BD"/>
            <w:noWrap/>
            <w:vAlign w:val="center"/>
            <w:hideMark/>
          </w:tcPr>
          <w:p w:rsidR="00604F8E" w:rsidRPr="00AC6A82" w:rsidRDefault="00604F8E" w:rsidP="00604F8E">
            <w:pPr>
              <w:widowControl/>
              <w:spacing w:line="240" w:lineRule="auto"/>
              <w:jc w:val="center"/>
              <w:rPr>
                <w:rFonts w:ascii="Calibri" w:hAnsi="Calibri"/>
                <w:color w:val="FFFFFF"/>
                <w:szCs w:val="22"/>
              </w:rPr>
            </w:pPr>
            <w:r w:rsidRPr="00AC6A82">
              <w:rPr>
                <w:rFonts w:ascii="Calibri" w:hAnsi="Calibri"/>
                <w:color w:val="FFFFFF"/>
                <w:szCs w:val="22"/>
              </w:rPr>
              <w:t>абсол. ст-ст</w:t>
            </w:r>
          </w:p>
        </w:tc>
      </w:tr>
      <w:tr w:rsidR="00604F8E" w:rsidRPr="00AC6A82" w:rsidTr="00604F8E">
        <w:trPr>
          <w:trHeight w:val="170"/>
          <w:jc w:val="center"/>
        </w:trPr>
        <w:tc>
          <w:tcPr>
            <w:tcW w:w="3337" w:type="dxa"/>
            <w:shd w:val="clear" w:color="auto" w:fill="auto"/>
            <w:noWrap/>
            <w:vAlign w:val="bottom"/>
            <w:hideMark/>
          </w:tcPr>
          <w:p w:rsidR="00604F8E" w:rsidRPr="00AC6A82" w:rsidRDefault="00604F8E" w:rsidP="00604F8E">
            <w:pPr>
              <w:widowControl/>
              <w:spacing w:line="240" w:lineRule="auto"/>
              <w:jc w:val="left"/>
              <w:rPr>
                <w:rFonts w:ascii="Calibri" w:hAnsi="Calibri"/>
                <w:color w:val="000000"/>
                <w:szCs w:val="22"/>
              </w:rPr>
            </w:pPr>
            <w:r w:rsidRPr="00AC6A82">
              <w:rPr>
                <w:rFonts w:ascii="Calibri" w:hAnsi="Calibri"/>
                <w:color w:val="000000"/>
                <w:szCs w:val="22"/>
              </w:rPr>
              <w:t>Пазари на акции без АДСИЦ</w:t>
            </w:r>
          </w:p>
        </w:tc>
        <w:tc>
          <w:tcPr>
            <w:tcW w:w="1561" w:type="dxa"/>
            <w:shd w:val="clear" w:color="auto" w:fill="auto"/>
            <w:noWrap/>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25 667 443 504</w:t>
            </w:r>
          </w:p>
        </w:tc>
        <w:tc>
          <w:tcPr>
            <w:tcW w:w="1827" w:type="dxa"/>
            <w:shd w:val="clear" w:color="auto" w:fill="auto"/>
            <w:noWrap/>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26 099 015 852</w:t>
            </w:r>
          </w:p>
        </w:tc>
        <w:tc>
          <w:tcPr>
            <w:tcW w:w="1276" w:type="dxa"/>
            <w:shd w:val="clear" w:color="auto" w:fill="auto"/>
            <w:noWrap/>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1,68%</w:t>
            </w:r>
          </w:p>
        </w:tc>
        <w:tc>
          <w:tcPr>
            <w:tcW w:w="1559" w:type="dxa"/>
            <w:shd w:val="clear" w:color="auto" w:fill="auto"/>
            <w:noWrap/>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431 572 348</w:t>
            </w:r>
          </w:p>
        </w:tc>
      </w:tr>
      <w:tr w:rsidR="00604F8E" w:rsidRPr="00AC6A82" w:rsidTr="00604F8E">
        <w:trPr>
          <w:trHeight w:val="170"/>
          <w:jc w:val="center"/>
        </w:trPr>
        <w:tc>
          <w:tcPr>
            <w:tcW w:w="3337" w:type="dxa"/>
            <w:shd w:val="clear" w:color="auto" w:fill="auto"/>
            <w:noWrap/>
            <w:vAlign w:val="bottom"/>
            <w:hideMark/>
          </w:tcPr>
          <w:p w:rsidR="00604F8E" w:rsidRPr="00AC6A82" w:rsidRDefault="00604F8E" w:rsidP="00604F8E">
            <w:pPr>
              <w:widowControl/>
              <w:spacing w:line="240" w:lineRule="auto"/>
              <w:jc w:val="left"/>
              <w:rPr>
                <w:rFonts w:ascii="Calibri" w:hAnsi="Calibri"/>
                <w:color w:val="000000"/>
                <w:szCs w:val="22"/>
              </w:rPr>
            </w:pPr>
            <w:r w:rsidRPr="00AC6A82">
              <w:rPr>
                <w:rFonts w:ascii="Calibri" w:hAnsi="Calibri"/>
                <w:color w:val="000000"/>
                <w:szCs w:val="22"/>
              </w:rPr>
              <w:t>Пазар на АДСИЦ</w:t>
            </w:r>
          </w:p>
        </w:tc>
        <w:tc>
          <w:tcPr>
            <w:tcW w:w="1561" w:type="dxa"/>
            <w:shd w:val="clear" w:color="auto" w:fill="auto"/>
            <w:noWrap/>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1 097 901 779</w:t>
            </w:r>
          </w:p>
        </w:tc>
        <w:tc>
          <w:tcPr>
            <w:tcW w:w="1827" w:type="dxa"/>
            <w:shd w:val="clear" w:color="auto" w:fill="auto"/>
            <w:noWrap/>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1 118 097 119</w:t>
            </w:r>
          </w:p>
        </w:tc>
        <w:tc>
          <w:tcPr>
            <w:tcW w:w="1276" w:type="dxa"/>
            <w:shd w:val="clear" w:color="auto" w:fill="auto"/>
            <w:noWrap/>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1,84%</w:t>
            </w:r>
          </w:p>
        </w:tc>
        <w:tc>
          <w:tcPr>
            <w:tcW w:w="1559" w:type="dxa"/>
            <w:shd w:val="clear" w:color="auto" w:fill="auto"/>
            <w:noWrap/>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20 195 340</w:t>
            </w:r>
          </w:p>
        </w:tc>
      </w:tr>
      <w:tr w:rsidR="00604F8E" w:rsidRPr="00AC6A82" w:rsidTr="00604F8E">
        <w:trPr>
          <w:trHeight w:val="170"/>
          <w:jc w:val="center"/>
        </w:trPr>
        <w:tc>
          <w:tcPr>
            <w:tcW w:w="3337" w:type="dxa"/>
            <w:shd w:val="clear" w:color="auto" w:fill="auto"/>
            <w:noWrap/>
            <w:vAlign w:val="bottom"/>
            <w:hideMark/>
          </w:tcPr>
          <w:p w:rsidR="00604F8E" w:rsidRPr="00AC6A82" w:rsidRDefault="00604F8E" w:rsidP="00604F8E">
            <w:pPr>
              <w:widowControl/>
              <w:spacing w:line="240" w:lineRule="auto"/>
              <w:jc w:val="left"/>
              <w:rPr>
                <w:rFonts w:ascii="Calibri" w:hAnsi="Calibri"/>
                <w:b/>
                <w:bCs/>
                <w:color w:val="000000"/>
                <w:szCs w:val="22"/>
              </w:rPr>
            </w:pPr>
            <w:r w:rsidRPr="00AC6A82">
              <w:rPr>
                <w:rFonts w:ascii="Calibri" w:hAnsi="Calibri"/>
                <w:b/>
                <w:bCs/>
                <w:color w:val="000000"/>
                <w:szCs w:val="22"/>
              </w:rPr>
              <w:t>Обща пазарна капитализация</w:t>
            </w:r>
          </w:p>
        </w:tc>
        <w:tc>
          <w:tcPr>
            <w:tcW w:w="1561" w:type="dxa"/>
            <w:shd w:val="clear" w:color="auto" w:fill="auto"/>
            <w:noWrap/>
            <w:vAlign w:val="bottom"/>
            <w:hideMark/>
          </w:tcPr>
          <w:p w:rsidR="00604F8E" w:rsidRPr="00AC6A82" w:rsidRDefault="00604F8E" w:rsidP="00604F8E">
            <w:pPr>
              <w:widowControl/>
              <w:spacing w:line="240" w:lineRule="auto"/>
              <w:jc w:val="right"/>
              <w:rPr>
                <w:rFonts w:ascii="Calibri" w:hAnsi="Calibri"/>
                <w:b/>
                <w:bCs/>
                <w:color w:val="000000"/>
                <w:szCs w:val="22"/>
              </w:rPr>
            </w:pPr>
            <w:r w:rsidRPr="00AC6A82">
              <w:rPr>
                <w:rFonts w:ascii="Calibri" w:hAnsi="Calibri"/>
                <w:b/>
                <w:bCs/>
                <w:color w:val="000000"/>
                <w:szCs w:val="22"/>
              </w:rPr>
              <w:t>26 765 345 283</w:t>
            </w:r>
          </w:p>
        </w:tc>
        <w:tc>
          <w:tcPr>
            <w:tcW w:w="1827" w:type="dxa"/>
            <w:shd w:val="clear" w:color="auto" w:fill="auto"/>
            <w:noWrap/>
            <w:vAlign w:val="bottom"/>
            <w:hideMark/>
          </w:tcPr>
          <w:p w:rsidR="00604F8E" w:rsidRPr="00AC6A82" w:rsidRDefault="00604F8E" w:rsidP="00604F8E">
            <w:pPr>
              <w:widowControl/>
              <w:spacing w:line="240" w:lineRule="auto"/>
              <w:jc w:val="right"/>
              <w:rPr>
                <w:rFonts w:ascii="Calibri" w:hAnsi="Calibri"/>
                <w:b/>
                <w:bCs/>
                <w:color w:val="000000"/>
                <w:szCs w:val="22"/>
              </w:rPr>
            </w:pPr>
            <w:r w:rsidRPr="00AC6A82">
              <w:rPr>
                <w:rFonts w:ascii="Calibri" w:hAnsi="Calibri"/>
                <w:b/>
                <w:bCs/>
                <w:color w:val="000000"/>
                <w:szCs w:val="22"/>
              </w:rPr>
              <w:t>27 217 112 971</w:t>
            </w:r>
          </w:p>
        </w:tc>
        <w:tc>
          <w:tcPr>
            <w:tcW w:w="1276" w:type="dxa"/>
            <w:shd w:val="clear" w:color="auto" w:fill="auto"/>
            <w:noWrap/>
            <w:vAlign w:val="bottom"/>
            <w:hideMark/>
          </w:tcPr>
          <w:p w:rsidR="00604F8E" w:rsidRPr="00AC6A82" w:rsidRDefault="00604F8E" w:rsidP="00604F8E">
            <w:pPr>
              <w:widowControl/>
              <w:spacing w:line="240" w:lineRule="auto"/>
              <w:jc w:val="right"/>
              <w:rPr>
                <w:rFonts w:ascii="Calibri" w:hAnsi="Calibri"/>
                <w:b/>
                <w:bCs/>
                <w:color w:val="000000"/>
                <w:szCs w:val="22"/>
              </w:rPr>
            </w:pPr>
            <w:r w:rsidRPr="00AC6A82">
              <w:rPr>
                <w:rFonts w:ascii="Calibri" w:hAnsi="Calibri"/>
                <w:b/>
                <w:bCs/>
                <w:color w:val="000000"/>
                <w:szCs w:val="22"/>
              </w:rPr>
              <w:t>1,69%</w:t>
            </w:r>
          </w:p>
        </w:tc>
        <w:tc>
          <w:tcPr>
            <w:tcW w:w="1559" w:type="dxa"/>
            <w:shd w:val="clear" w:color="auto" w:fill="auto"/>
            <w:noWrap/>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451 767 688</w:t>
            </w:r>
          </w:p>
        </w:tc>
      </w:tr>
    </w:tbl>
    <w:p w:rsidR="00604F8E" w:rsidRPr="00AC6A82" w:rsidRDefault="004F60F1" w:rsidP="000515C3">
      <w:pPr>
        <w:spacing w:before="240"/>
        <w:rPr>
          <w:rFonts w:ascii="Calibri" w:hAnsi="Calibri" w:cs="Calibri"/>
        </w:rPr>
      </w:pPr>
      <w:r w:rsidRPr="00AC6A82">
        <w:rPr>
          <w:rFonts w:ascii="Calibri" w:hAnsi="Calibri" w:cs="Calibri"/>
        </w:rPr>
        <w:t>Таблица 9: Пазарна капитализация по пазарни сегменти (сравнение)</w:t>
      </w:r>
    </w:p>
    <w:tbl>
      <w:tblPr>
        <w:tblW w:w="9711" w:type="dxa"/>
        <w:jc w:val="center"/>
        <w:tblCellMar>
          <w:left w:w="70" w:type="dxa"/>
          <w:right w:w="70" w:type="dxa"/>
        </w:tblCellMar>
        <w:tblLook w:val="04A0" w:firstRow="1" w:lastRow="0" w:firstColumn="1" w:lastColumn="0" w:noHBand="0" w:noVBand="1"/>
      </w:tblPr>
      <w:tblGrid>
        <w:gridCol w:w="3000"/>
        <w:gridCol w:w="837"/>
        <w:gridCol w:w="1701"/>
        <w:gridCol w:w="1559"/>
        <w:gridCol w:w="1134"/>
        <w:gridCol w:w="1480"/>
      </w:tblGrid>
      <w:tr w:rsidR="00604F8E" w:rsidRPr="00AC6A82" w:rsidTr="00604F8E">
        <w:trPr>
          <w:trHeight w:val="170"/>
          <w:jc w:val="center"/>
        </w:trPr>
        <w:tc>
          <w:tcPr>
            <w:tcW w:w="3000" w:type="dxa"/>
            <w:tcBorders>
              <w:top w:val="single" w:sz="4" w:space="0" w:color="auto"/>
              <w:left w:val="single" w:sz="4" w:space="0" w:color="auto"/>
              <w:bottom w:val="single" w:sz="4" w:space="0" w:color="auto"/>
              <w:right w:val="single" w:sz="4" w:space="0" w:color="auto"/>
            </w:tcBorders>
            <w:shd w:val="clear" w:color="000000" w:fill="4F81BD"/>
            <w:noWrap/>
            <w:tcMar>
              <w:left w:w="28" w:type="dxa"/>
              <w:right w:w="28" w:type="dxa"/>
            </w:tcMar>
            <w:vAlign w:val="center"/>
            <w:hideMark/>
          </w:tcPr>
          <w:p w:rsidR="00604F8E" w:rsidRPr="00AC6A82" w:rsidRDefault="00604F8E" w:rsidP="00604F8E">
            <w:pPr>
              <w:widowControl/>
              <w:spacing w:line="240" w:lineRule="auto"/>
              <w:jc w:val="left"/>
              <w:rPr>
                <w:rFonts w:ascii="Calibri" w:hAnsi="Calibri"/>
                <w:color w:val="FFFFFF"/>
                <w:szCs w:val="22"/>
              </w:rPr>
            </w:pPr>
            <w:r w:rsidRPr="00AC6A82">
              <w:rPr>
                <w:rFonts w:ascii="Calibri" w:hAnsi="Calibri"/>
                <w:color w:val="FFFFFF"/>
                <w:szCs w:val="22"/>
              </w:rPr>
              <w:t> </w:t>
            </w:r>
          </w:p>
        </w:tc>
        <w:tc>
          <w:tcPr>
            <w:tcW w:w="837"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center"/>
            <w:hideMark/>
          </w:tcPr>
          <w:p w:rsidR="00604F8E" w:rsidRPr="00AC6A82" w:rsidRDefault="00604F8E" w:rsidP="00604F8E">
            <w:pPr>
              <w:widowControl/>
              <w:spacing w:line="240" w:lineRule="auto"/>
              <w:jc w:val="left"/>
              <w:rPr>
                <w:rFonts w:ascii="Calibri" w:hAnsi="Calibri"/>
                <w:color w:val="FFFFFF"/>
                <w:szCs w:val="22"/>
              </w:rPr>
            </w:pPr>
            <w:r w:rsidRPr="00AC6A82">
              <w:rPr>
                <w:rFonts w:ascii="Calibri" w:hAnsi="Calibri"/>
                <w:color w:val="FFFFFF"/>
                <w:szCs w:val="22"/>
              </w:rPr>
              <w:t> </w:t>
            </w:r>
          </w:p>
        </w:tc>
        <w:tc>
          <w:tcPr>
            <w:tcW w:w="1701"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FFFFFF"/>
                <w:szCs w:val="22"/>
              </w:rPr>
            </w:pPr>
            <w:r w:rsidRPr="00AC6A82">
              <w:rPr>
                <w:rFonts w:ascii="Calibri" w:hAnsi="Calibri"/>
                <w:color w:val="FFFFFF"/>
                <w:szCs w:val="22"/>
              </w:rPr>
              <w:t>Капитализация</w:t>
            </w:r>
          </w:p>
        </w:tc>
        <w:tc>
          <w:tcPr>
            <w:tcW w:w="1559"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bottom"/>
            <w:hideMark/>
          </w:tcPr>
          <w:p w:rsidR="00604F8E" w:rsidRPr="00AC6A82" w:rsidRDefault="00604F8E" w:rsidP="00604F8E">
            <w:pPr>
              <w:widowControl/>
              <w:spacing w:line="240" w:lineRule="auto"/>
              <w:jc w:val="left"/>
              <w:rPr>
                <w:rFonts w:ascii="Calibri" w:hAnsi="Calibri"/>
                <w:color w:val="FFFFFF"/>
                <w:szCs w:val="22"/>
              </w:rPr>
            </w:pPr>
            <w:r w:rsidRPr="00AC6A82">
              <w:rPr>
                <w:rFonts w:ascii="Calibri" w:hAnsi="Calibri"/>
                <w:color w:val="FFFFFF"/>
                <w:szCs w:val="22"/>
              </w:rPr>
              <w:t xml:space="preserve"> (BGN)</w:t>
            </w:r>
          </w:p>
        </w:tc>
        <w:tc>
          <w:tcPr>
            <w:tcW w:w="1134"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bottom"/>
            <w:hideMark/>
          </w:tcPr>
          <w:p w:rsidR="00604F8E" w:rsidRPr="00AC6A82" w:rsidRDefault="00604F8E" w:rsidP="00604F8E">
            <w:pPr>
              <w:widowControl/>
              <w:spacing w:line="240" w:lineRule="auto"/>
              <w:jc w:val="center"/>
              <w:rPr>
                <w:rFonts w:ascii="Calibri" w:hAnsi="Calibri"/>
                <w:color w:val="FFFFFF"/>
                <w:szCs w:val="22"/>
              </w:rPr>
            </w:pPr>
          </w:p>
        </w:tc>
        <w:tc>
          <w:tcPr>
            <w:tcW w:w="1480" w:type="dxa"/>
            <w:tcBorders>
              <w:top w:val="single" w:sz="4" w:space="0" w:color="auto"/>
              <w:left w:val="nil"/>
              <w:bottom w:val="single" w:sz="4" w:space="0" w:color="auto"/>
              <w:right w:val="single" w:sz="4" w:space="0" w:color="auto"/>
            </w:tcBorders>
            <w:shd w:val="clear" w:color="000000" w:fill="4F81BD"/>
            <w:noWrap/>
            <w:tcMar>
              <w:left w:w="28" w:type="dxa"/>
              <w:right w:w="28" w:type="dxa"/>
            </w:tcMar>
            <w:vAlign w:val="bottom"/>
            <w:hideMark/>
          </w:tcPr>
          <w:p w:rsidR="00604F8E" w:rsidRPr="00AC6A82" w:rsidRDefault="00604F8E" w:rsidP="00604F8E">
            <w:pPr>
              <w:widowControl/>
              <w:spacing w:line="240" w:lineRule="auto"/>
              <w:jc w:val="center"/>
              <w:rPr>
                <w:rFonts w:ascii="Calibri" w:hAnsi="Calibri"/>
                <w:color w:val="FFFFFF"/>
                <w:szCs w:val="22"/>
              </w:rPr>
            </w:pPr>
            <w:r w:rsidRPr="00AC6A82">
              <w:rPr>
                <w:rFonts w:ascii="Calibri" w:hAnsi="Calibri"/>
                <w:color w:val="FFFFFF"/>
                <w:szCs w:val="22"/>
              </w:rPr>
              <w:t>Промяна</w:t>
            </w:r>
          </w:p>
        </w:tc>
      </w:tr>
      <w:tr w:rsidR="00604F8E" w:rsidRPr="00AC6A82" w:rsidTr="00604F8E">
        <w:trPr>
          <w:trHeight w:val="170"/>
          <w:jc w:val="center"/>
        </w:trPr>
        <w:tc>
          <w:tcPr>
            <w:tcW w:w="3000" w:type="dxa"/>
            <w:tcBorders>
              <w:top w:val="nil"/>
              <w:left w:val="single" w:sz="4" w:space="0" w:color="auto"/>
              <w:bottom w:val="single" w:sz="4" w:space="0" w:color="auto"/>
              <w:right w:val="single" w:sz="4" w:space="0" w:color="auto"/>
            </w:tcBorders>
            <w:shd w:val="clear" w:color="000000" w:fill="4F81BD"/>
            <w:noWrap/>
            <w:tcMar>
              <w:left w:w="28" w:type="dxa"/>
              <w:right w:w="28" w:type="dxa"/>
            </w:tcMar>
            <w:vAlign w:val="center"/>
            <w:hideMark/>
          </w:tcPr>
          <w:p w:rsidR="00604F8E" w:rsidRPr="00AC6A82" w:rsidRDefault="00604F8E" w:rsidP="00604F8E">
            <w:pPr>
              <w:widowControl/>
              <w:spacing w:line="240" w:lineRule="auto"/>
              <w:jc w:val="left"/>
              <w:rPr>
                <w:rFonts w:ascii="Calibri" w:hAnsi="Calibri"/>
                <w:color w:val="FFFFFF"/>
                <w:szCs w:val="22"/>
              </w:rPr>
            </w:pPr>
            <w:r w:rsidRPr="00AC6A82">
              <w:rPr>
                <w:rFonts w:ascii="Calibri" w:hAnsi="Calibri"/>
                <w:color w:val="FFFFFF"/>
                <w:szCs w:val="22"/>
              </w:rPr>
              <w:t>Пазарен сегмент</w:t>
            </w:r>
          </w:p>
        </w:tc>
        <w:tc>
          <w:tcPr>
            <w:tcW w:w="837" w:type="dxa"/>
            <w:tcBorders>
              <w:top w:val="nil"/>
              <w:left w:val="nil"/>
              <w:bottom w:val="single" w:sz="4" w:space="0" w:color="auto"/>
              <w:right w:val="single" w:sz="4" w:space="0" w:color="auto"/>
            </w:tcBorders>
            <w:shd w:val="clear" w:color="000000" w:fill="4F81BD"/>
            <w:noWrap/>
            <w:tcMar>
              <w:left w:w="28" w:type="dxa"/>
              <w:right w:w="28" w:type="dxa"/>
            </w:tcMar>
            <w:vAlign w:val="center"/>
            <w:hideMark/>
          </w:tcPr>
          <w:p w:rsidR="00604F8E" w:rsidRPr="00AC6A82" w:rsidRDefault="00604F8E" w:rsidP="00604F8E">
            <w:pPr>
              <w:widowControl/>
              <w:spacing w:line="240" w:lineRule="auto"/>
              <w:jc w:val="left"/>
              <w:rPr>
                <w:rFonts w:ascii="Calibri" w:hAnsi="Calibri"/>
                <w:color w:val="FFFFFF"/>
                <w:szCs w:val="22"/>
              </w:rPr>
            </w:pPr>
            <w:r w:rsidRPr="00AC6A82">
              <w:rPr>
                <w:rFonts w:ascii="Calibri" w:hAnsi="Calibri"/>
                <w:color w:val="FFFFFF"/>
                <w:szCs w:val="22"/>
              </w:rPr>
              <w:t>пазар</w:t>
            </w:r>
          </w:p>
        </w:tc>
        <w:tc>
          <w:tcPr>
            <w:tcW w:w="1701" w:type="dxa"/>
            <w:tcBorders>
              <w:top w:val="nil"/>
              <w:left w:val="nil"/>
              <w:bottom w:val="single" w:sz="4" w:space="0" w:color="auto"/>
              <w:right w:val="single" w:sz="4" w:space="0" w:color="auto"/>
            </w:tcBorders>
            <w:shd w:val="clear" w:color="000000" w:fill="4F81BD"/>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FFFFFF"/>
                <w:szCs w:val="22"/>
              </w:rPr>
            </w:pPr>
            <w:r w:rsidRPr="00AC6A82">
              <w:rPr>
                <w:rFonts w:ascii="Calibri" w:hAnsi="Calibri"/>
                <w:color w:val="FFFFFF"/>
                <w:szCs w:val="22"/>
              </w:rPr>
              <w:t>31.12.2018 г.</w:t>
            </w:r>
          </w:p>
        </w:tc>
        <w:tc>
          <w:tcPr>
            <w:tcW w:w="1559" w:type="dxa"/>
            <w:tcBorders>
              <w:top w:val="nil"/>
              <w:left w:val="nil"/>
              <w:bottom w:val="single" w:sz="4" w:space="0" w:color="auto"/>
              <w:right w:val="single" w:sz="4" w:space="0" w:color="auto"/>
            </w:tcBorders>
            <w:shd w:val="clear" w:color="000000" w:fill="4F81BD"/>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FFFFFF"/>
                <w:szCs w:val="22"/>
              </w:rPr>
            </w:pPr>
            <w:r w:rsidRPr="00AC6A82">
              <w:rPr>
                <w:rFonts w:ascii="Calibri" w:hAnsi="Calibri"/>
                <w:color w:val="FFFFFF"/>
                <w:szCs w:val="22"/>
              </w:rPr>
              <w:t>31.03.2019 г.</w:t>
            </w:r>
          </w:p>
        </w:tc>
        <w:tc>
          <w:tcPr>
            <w:tcW w:w="1134" w:type="dxa"/>
            <w:tcBorders>
              <w:top w:val="nil"/>
              <w:left w:val="nil"/>
              <w:bottom w:val="single" w:sz="4" w:space="0" w:color="auto"/>
              <w:right w:val="single" w:sz="4" w:space="0" w:color="auto"/>
            </w:tcBorders>
            <w:shd w:val="clear" w:color="000000" w:fill="4F81BD"/>
            <w:noWrap/>
            <w:tcMar>
              <w:left w:w="28" w:type="dxa"/>
              <w:right w:w="28" w:type="dxa"/>
            </w:tcMar>
            <w:vAlign w:val="bottom"/>
            <w:hideMark/>
          </w:tcPr>
          <w:p w:rsidR="00604F8E" w:rsidRPr="00AC6A82" w:rsidRDefault="00604F8E" w:rsidP="00604F8E">
            <w:pPr>
              <w:widowControl/>
              <w:spacing w:line="240" w:lineRule="auto"/>
              <w:jc w:val="center"/>
              <w:rPr>
                <w:rFonts w:ascii="Calibri" w:hAnsi="Calibri"/>
                <w:color w:val="FFFFFF"/>
                <w:szCs w:val="22"/>
              </w:rPr>
            </w:pPr>
            <w:r w:rsidRPr="00AC6A82">
              <w:rPr>
                <w:rFonts w:ascii="Calibri" w:hAnsi="Calibri"/>
                <w:color w:val="FFFFFF"/>
                <w:szCs w:val="22"/>
              </w:rPr>
              <w:t>%</w:t>
            </w:r>
          </w:p>
        </w:tc>
        <w:tc>
          <w:tcPr>
            <w:tcW w:w="1480" w:type="dxa"/>
            <w:tcBorders>
              <w:top w:val="nil"/>
              <w:left w:val="nil"/>
              <w:bottom w:val="single" w:sz="4" w:space="0" w:color="auto"/>
              <w:right w:val="single" w:sz="4" w:space="0" w:color="auto"/>
            </w:tcBorders>
            <w:shd w:val="clear" w:color="000000" w:fill="4F81BD"/>
            <w:noWrap/>
            <w:tcMar>
              <w:left w:w="28" w:type="dxa"/>
              <w:right w:w="28" w:type="dxa"/>
            </w:tcMar>
            <w:vAlign w:val="center"/>
            <w:hideMark/>
          </w:tcPr>
          <w:p w:rsidR="00604F8E" w:rsidRPr="00AC6A82" w:rsidRDefault="00604F8E" w:rsidP="00604F8E">
            <w:pPr>
              <w:widowControl/>
              <w:spacing w:line="240" w:lineRule="auto"/>
              <w:jc w:val="center"/>
              <w:rPr>
                <w:rFonts w:ascii="Calibri" w:hAnsi="Calibri"/>
                <w:color w:val="FFFFFF"/>
                <w:szCs w:val="22"/>
              </w:rPr>
            </w:pPr>
            <w:r w:rsidRPr="00AC6A82">
              <w:rPr>
                <w:rFonts w:ascii="Calibri" w:hAnsi="Calibri"/>
                <w:color w:val="FFFFFF"/>
                <w:szCs w:val="22"/>
              </w:rPr>
              <w:t>абсол. ст-ст</w:t>
            </w:r>
          </w:p>
        </w:tc>
      </w:tr>
      <w:tr w:rsidR="00604F8E" w:rsidRPr="00AC6A82" w:rsidTr="00604F8E">
        <w:trPr>
          <w:trHeight w:val="170"/>
          <w:jc w:val="center"/>
        </w:trPr>
        <w:tc>
          <w:tcPr>
            <w:tcW w:w="300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604F8E" w:rsidRPr="00AC6A82" w:rsidRDefault="00604F8E" w:rsidP="00604F8E">
            <w:pPr>
              <w:widowControl/>
              <w:spacing w:line="240" w:lineRule="auto"/>
              <w:jc w:val="left"/>
              <w:rPr>
                <w:rFonts w:ascii="Calibri" w:hAnsi="Calibri"/>
                <w:color w:val="000000"/>
                <w:szCs w:val="22"/>
              </w:rPr>
            </w:pPr>
            <w:r w:rsidRPr="00AC6A82">
              <w:rPr>
                <w:rFonts w:ascii="Calibri" w:hAnsi="Calibri"/>
                <w:color w:val="000000"/>
                <w:szCs w:val="22"/>
              </w:rPr>
              <w:t>Сегмент акции Premium</w:t>
            </w:r>
          </w:p>
        </w:tc>
        <w:tc>
          <w:tcPr>
            <w:tcW w:w="83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604F8E" w:rsidRPr="00AC6A82" w:rsidRDefault="00604F8E" w:rsidP="00604F8E">
            <w:pPr>
              <w:widowControl/>
              <w:spacing w:line="240" w:lineRule="auto"/>
              <w:jc w:val="left"/>
              <w:rPr>
                <w:rFonts w:ascii="Calibri" w:hAnsi="Calibri"/>
                <w:color w:val="000000"/>
                <w:szCs w:val="22"/>
              </w:rPr>
            </w:pPr>
            <w:r w:rsidRPr="00AC6A82">
              <w:rPr>
                <w:rFonts w:ascii="Calibri" w:hAnsi="Calibri"/>
                <w:color w:val="000000"/>
                <w:szCs w:val="22"/>
              </w:rPr>
              <w:t>BSE</w:t>
            </w:r>
          </w:p>
        </w:tc>
        <w:tc>
          <w:tcPr>
            <w:tcW w:w="170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1 938 747 956</w:t>
            </w:r>
          </w:p>
        </w:tc>
        <w:tc>
          <w:tcPr>
            <w:tcW w:w="1559"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1 913 483 426</w:t>
            </w:r>
          </w:p>
        </w:tc>
        <w:tc>
          <w:tcPr>
            <w:tcW w:w="11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-1,30%</w:t>
            </w:r>
          </w:p>
        </w:tc>
        <w:tc>
          <w:tcPr>
            <w:tcW w:w="148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-25 264 530</w:t>
            </w:r>
          </w:p>
        </w:tc>
      </w:tr>
      <w:tr w:rsidR="00604F8E" w:rsidRPr="00AC6A82" w:rsidTr="00604F8E">
        <w:trPr>
          <w:trHeight w:val="170"/>
          <w:jc w:val="center"/>
        </w:trPr>
        <w:tc>
          <w:tcPr>
            <w:tcW w:w="300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604F8E" w:rsidRPr="00AC6A82" w:rsidRDefault="00604F8E" w:rsidP="00604F8E">
            <w:pPr>
              <w:widowControl/>
              <w:spacing w:line="240" w:lineRule="auto"/>
              <w:jc w:val="left"/>
              <w:rPr>
                <w:rFonts w:ascii="Calibri" w:hAnsi="Calibri"/>
                <w:color w:val="000000"/>
                <w:szCs w:val="22"/>
              </w:rPr>
            </w:pPr>
            <w:r w:rsidRPr="00AC6A82">
              <w:rPr>
                <w:rFonts w:ascii="Calibri" w:hAnsi="Calibri"/>
                <w:color w:val="000000"/>
                <w:szCs w:val="22"/>
              </w:rPr>
              <w:t>Сегмент акции Standard</w:t>
            </w:r>
          </w:p>
        </w:tc>
        <w:tc>
          <w:tcPr>
            <w:tcW w:w="83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604F8E" w:rsidRPr="00AC6A82" w:rsidRDefault="00604F8E" w:rsidP="00604F8E">
            <w:pPr>
              <w:widowControl/>
              <w:spacing w:line="240" w:lineRule="auto"/>
              <w:jc w:val="left"/>
              <w:rPr>
                <w:rFonts w:ascii="Calibri" w:hAnsi="Calibri"/>
                <w:color w:val="000000"/>
                <w:szCs w:val="22"/>
              </w:rPr>
            </w:pPr>
            <w:r w:rsidRPr="00AC6A82">
              <w:rPr>
                <w:rFonts w:ascii="Calibri" w:hAnsi="Calibri"/>
                <w:color w:val="000000"/>
                <w:szCs w:val="22"/>
              </w:rPr>
              <w:t>BSE</w:t>
            </w:r>
          </w:p>
        </w:tc>
        <w:tc>
          <w:tcPr>
            <w:tcW w:w="170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6 138 336 636</w:t>
            </w:r>
          </w:p>
        </w:tc>
        <w:tc>
          <w:tcPr>
            <w:tcW w:w="1559"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6 198 591 926</w:t>
            </w:r>
          </w:p>
        </w:tc>
        <w:tc>
          <w:tcPr>
            <w:tcW w:w="11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0,98%</w:t>
            </w:r>
          </w:p>
        </w:tc>
        <w:tc>
          <w:tcPr>
            <w:tcW w:w="148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60 255 290</w:t>
            </w:r>
          </w:p>
        </w:tc>
      </w:tr>
      <w:tr w:rsidR="00604F8E" w:rsidRPr="00AC6A82" w:rsidTr="00604F8E">
        <w:trPr>
          <w:trHeight w:val="170"/>
          <w:jc w:val="center"/>
        </w:trPr>
        <w:tc>
          <w:tcPr>
            <w:tcW w:w="300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604F8E" w:rsidRPr="00AC6A82" w:rsidRDefault="00604F8E" w:rsidP="00604F8E">
            <w:pPr>
              <w:widowControl/>
              <w:spacing w:line="240" w:lineRule="auto"/>
              <w:jc w:val="left"/>
              <w:rPr>
                <w:rFonts w:ascii="Calibri" w:hAnsi="Calibri"/>
                <w:color w:val="000000"/>
                <w:szCs w:val="22"/>
              </w:rPr>
            </w:pPr>
            <w:r w:rsidRPr="00AC6A82">
              <w:rPr>
                <w:rFonts w:ascii="Calibri" w:hAnsi="Calibri"/>
                <w:color w:val="000000"/>
                <w:szCs w:val="22"/>
              </w:rPr>
              <w:t>Сегмент АДСИЦ</w:t>
            </w:r>
          </w:p>
        </w:tc>
        <w:tc>
          <w:tcPr>
            <w:tcW w:w="83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604F8E" w:rsidRPr="00AC6A82" w:rsidRDefault="00604F8E" w:rsidP="00604F8E">
            <w:pPr>
              <w:widowControl/>
              <w:spacing w:line="240" w:lineRule="auto"/>
              <w:jc w:val="left"/>
              <w:rPr>
                <w:rFonts w:ascii="Calibri" w:hAnsi="Calibri"/>
                <w:color w:val="000000"/>
                <w:szCs w:val="22"/>
              </w:rPr>
            </w:pPr>
            <w:r w:rsidRPr="00AC6A82">
              <w:rPr>
                <w:rFonts w:ascii="Calibri" w:hAnsi="Calibri"/>
                <w:color w:val="000000"/>
                <w:szCs w:val="22"/>
              </w:rPr>
              <w:t>BSE</w:t>
            </w:r>
          </w:p>
        </w:tc>
        <w:tc>
          <w:tcPr>
            <w:tcW w:w="170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611 182 747</w:t>
            </w:r>
          </w:p>
        </w:tc>
        <w:tc>
          <w:tcPr>
            <w:tcW w:w="1559"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607 156 925</w:t>
            </w:r>
          </w:p>
        </w:tc>
        <w:tc>
          <w:tcPr>
            <w:tcW w:w="11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-0,66%</w:t>
            </w:r>
          </w:p>
        </w:tc>
        <w:tc>
          <w:tcPr>
            <w:tcW w:w="148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-4 025 822</w:t>
            </w:r>
          </w:p>
        </w:tc>
      </w:tr>
      <w:tr w:rsidR="00604F8E" w:rsidRPr="00AC6A82" w:rsidTr="00604F8E">
        <w:trPr>
          <w:trHeight w:val="170"/>
          <w:jc w:val="center"/>
        </w:trPr>
        <w:tc>
          <w:tcPr>
            <w:tcW w:w="300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604F8E" w:rsidRPr="00AC6A82" w:rsidRDefault="00604F8E" w:rsidP="00604F8E">
            <w:pPr>
              <w:widowControl/>
              <w:spacing w:line="240" w:lineRule="auto"/>
              <w:jc w:val="left"/>
              <w:rPr>
                <w:rFonts w:ascii="Calibri" w:hAnsi="Calibri"/>
                <w:color w:val="000000"/>
                <w:szCs w:val="22"/>
              </w:rPr>
            </w:pPr>
            <w:r w:rsidRPr="00AC6A82">
              <w:rPr>
                <w:rFonts w:ascii="Calibri" w:hAnsi="Calibri"/>
                <w:color w:val="000000"/>
                <w:szCs w:val="22"/>
              </w:rPr>
              <w:t xml:space="preserve">Сегмент акции </w:t>
            </w:r>
          </w:p>
        </w:tc>
        <w:tc>
          <w:tcPr>
            <w:tcW w:w="83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604F8E" w:rsidRPr="00AC6A82" w:rsidRDefault="00604F8E" w:rsidP="00604F8E">
            <w:pPr>
              <w:widowControl/>
              <w:spacing w:line="240" w:lineRule="auto"/>
              <w:jc w:val="left"/>
              <w:rPr>
                <w:rFonts w:ascii="Calibri" w:hAnsi="Calibri"/>
                <w:color w:val="000000"/>
                <w:szCs w:val="22"/>
              </w:rPr>
            </w:pPr>
            <w:r w:rsidRPr="00AC6A82">
              <w:rPr>
                <w:rFonts w:ascii="Calibri" w:hAnsi="Calibri"/>
                <w:color w:val="000000"/>
                <w:szCs w:val="22"/>
              </w:rPr>
              <w:t>BaSE</w:t>
            </w:r>
          </w:p>
        </w:tc>
        <w:tc>
          <w:tcPr>
            <w:tcW w:w="170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17 590 358 912</w:t>
            </w:r>
          </w:p>
        </w:tc>
        <w:tc>
          <w:tcPr>
            <w:tcW w:w="1559"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17 986 940 500</w:t>
            </w:r>
          </w:p>
        </w:tc>
        <w:tc>
          <w:tcPr>
            <w:tcW w:w="11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2,25%</w:t>
            </w:r>
          </w:p>
        </w:tc>
        <w:tc>
          <w:tcPr>
            <w:tcW w:w="148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396 581 587</w:t>
            </w:r>
          </w:p>
        </w:tc>
      </w:tr>
      <w:tr w:rsidR="00604F8E" w:rsidRPr="00AC6A82" w:rsidTr="00604F8E">
        <w:trPr>
          <w:trHeight w:val="170"/>
          <w:jc w:val="center"/>
        </w:trPr>
        <w:tc>
          <w:tcPr>
            <w:tcW w:w="3000"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center"/>
            <w:hideMark/>
          </w:tcPr>
          <w:p w:rsidR="00604F8E" w:rsidRPr="00AC6A82" w:rsidRDefault="00604F8E" w:rsidP="00604F8E">
            <w:pPr>
              <w:widowControl/>
              <w:spacing w:line="240" w:lineRule="auto"/>
              <w:jc w:val="left"/>
              <w:rPr>
                <w:rFonts w:ascii="Calibri" w:hAnsi="Calibri"/>
                <w:color w:val="000000"/>
                <w:szCs w:val="22"/>
              </w:rPr>
            </w:pPr>
            <w:r w:rsidRPr="00AC6A82">
              <w:rPr>
                <w:rFonts w:ascii="Calibri" w:hAnsi="Calibri"/>
                <w:color w:val="000000"/>
                <w:szCs w:val="22"/>
              </w:rPr>
              <w:t>Сегмент АДСИЦ</w:t>
            </w:r>
          </w:p>
        </w:tc>
        <w:tc>
          <w:tcPr>
            <w:tcW w:w="837" w:type="dxa"/>
            <w:tcBorders>
              <w:top w:val="nil"/>
              <w:left w:val="nil"/>
              <w:bottom w:val="single" w:sz="4" w:space="0" w:color="auto"/>
              <w:right w:val="single" w:sz="4" w:space="0" w:color="auto"/>
            </w:tcBorders>
            <w:shd w:val="clear" w:color="auto" w:fill="auto"/>
            <w:noWrap/>
            <w:tcMar>
              <w:left w:w="28" w:type="dxa"/>
              <w:right w:w="28" w:type="dxa"/>
            </w:tcMar>
            <w:vAlign w:val="center"/>
            <w:hideMark/>
          </w:tcPr>
          <w:p w:rsidR="00604F8E" w:rsidRPr="00AC6A82" w:rsidRDefault="00604F8E" w:rsidP="00604F8E">
            <w:pPr>
              <w:widowControl/>
              <w:spacing w:line="240" w:lineRule="auto"/>
              <w:jc w:val="left"/>
              <w:rPr>
                <w:rFonts w:ascii="Calibri" w:hAnsi="Calibri"/>
                <w:color w:val="000000"/>
                <w:szCs w:val="22"/>
              </w:rPr>
            </w:pPr>
            <w:r w:rsidRPr="00AC6A82">
              <w:rPr>
                <w:rFonts w:ascii="Calibri" w:hAnsi="Calibri"/>
                <w:color w:val="000000"/>
                <w:szCs w:val="22"/>
              </w:rPr>
              <w:t>BaSE</w:t>
            </w:r>
          </w:p>
        </w:tc>
        <w:tc>
          <w:tcPr>
            <w:tcW w:w="170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486 719 032</w:t>
            </w:r>
          </w:p>
        </w:tc>
        <w:tc>
          <w:tcPr>
            <w:tcW w:w="1559"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510 940 194</w:t>
            </w:r>
          </w:p>
        </w:tc>
        <w:tc>
          <w:tcPr>
            <w:tcW w:w="11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4,98%</w:t>
            </w:r>
          </w:p>
        </w:tc>
        <w:tc>
          <w:tcPr>
            <w:tcW w:w="148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24 221 163</w:t>
            </w:r>
          </w:p>
        </w:tc>
      </w:tr>
      <w:tr w:rsidR="00604F8E" w:rsidRPr="00AC6A82" w:rsidTr="00604F8E">
        <w:trPr>
          <w:trHeight w:val="170"/>
          <w:jc w:val="center"/>
        </w:trPr>
        <w:tc>
          <w:tcPr>
            <w:tcW w:w="3000" w:type="dxa"/>
            <w:tcBorders>
              <w:top w:val="nil"/>
              <w:left w:val="nil"/>
              <w:bottom w:val="nil"/>
              <w:right w:val="nil"/>
            </w:tcBorders>
            <w:shd w:val="clear" w:color="auto" w:fill="auto"/>
            <w:noWrap/>
            <w:tcMar>
              <w:left w:w="28" w:type="dxa"/>
              <w:right w:w="28" w:type="dxa"/>
            </w:tcMar>
            <w:vAlign w:val="bottom"/>
            <w:hideMark/>
          </w:tcPr>
          <w:p w:rsidR="00604F8E" w:rsidRPr="00AC6A82" w:rsidRDefault="00604F8E" w:rsidP="00604F8E">
            <w:pPr>
              <w:widowControl/>
              <w:spacing w:line="240" w:lineRule="auto"/>
              <w:jc w:val="left"/>
              <w:rPr>
                <w:rFonts w:ascii="Calibri" w:hAnsi="Calibri"/>
                <w:color w:val="000000"/>
                <w:szCs w:val="22"/>
              </w:rPr>
            </w:pPr>
          </w:p>
        </w:tc>
        <w:tc>
          <w:tcPr>
            <w:tcW w:w="837" w:type="dxa"/>
            <w:tcBorders>
              <w:top w:val="nil"/>
              <w:left w:val="nil"/>
              <w:bottom w:val="nil"/>
              <w:right w:val="nil"/>
            </w:tcBorders>
            <w:shd w:val="clear" w:color="auto" w:fill="auto"/>
            <w:noWrap/>
            <w:tcMar>
              <w:left w:w="28" w:type="dxa"/>
              <w:right w:w="28" w:type="dxa"/>
            </w:tcMar>
            <w:vAlign w:val="bottom"/>
            <w:hideMark/>
          </w:tcPr>
          <w:p w:rsidR="00604F8E" w:rsidRPr="00AC6A82" w:rsidRDefault="00604F8E" w:rsidP="00604F8E">
            <w:pPr>
              <w:widowControl/>
              <w:spacing w:line="240" w:lineRule="auto"/>
              <w:jc w:val="left"/>
              <w:rPr>
                <w:rFonts w:ascii="Calibri" w:hAnsi="Calibri"/>
                <w:color w:val="000000"/>
                <w:szCs w:val="22"/>
              </w:rPr>
            </w:pPr>
          </w:p>
        </w:tc>
        <w:tc>
          <w:tcPr>
            <w:tcW w:w="1701"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b/>
                <w:bCs/>
                <w:color w:val="000000"/>
                <w:szCs w:val="22"/>
              </w:rPr>
            </w:pPr>
            <w:r w:rsidRPr="00AC6A82">
              <w:rPr>
                <w:rFonts w:ascii="Calibri" w:hAnsi="Calibri"/>
                <w:b/>
                <w:bCs/>
                <w:color w:val="000000"/>
                <w:szCs w:val="22"/>
              </w:rPr>
              <w:t>26 765 345 283</w:t>
            </w:r>
          </w:p>
        </w:tc>
        <w:tc>
          <w:tcPr>
            <w:tcW w:w="1559"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b/>
                <w:bCs/>
                <w:color w:val="000000"/>
                <w:szCs w:val="22"/>
              </w:rPr>
            </w:pPr>
            <w:r w:rsidRPr="00AC6A82">
              <w:rPr>
                <w:rFonts w:ascii="Calibri" w:hAnsi="Calibri"/>
                <w:b/>
                <w:bCs/>
                <w:color w:val="000000"/>
                <w:szCs w:val="22"/>
              </w:rPr>
              <w:t>27 217 112 971</w:t>
            </w:r>
          </w:p>
        </w:tc>
        <w:tc>
          <w:tcPr>
            <w:tcW w:w="11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1,69%</w:t>
            </w:r>
          </w:p>
        </w:tc>
        <w:tc>
          <w:tcPr>
            <w:tcW w:w="148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604F8E" w:rsidRPr="00AC6A82" w:rsidRDefault="00604F8E" w:rsidP="00604F8E">
            <w:pPr>
              <w:widowControl/>
              <w:spacing w:line="240" w:lineRule="auto"/>
              <w:jc w:val="right"/>
              <w:rPr>
                <w:rFonts w:ascii="Calibri" w:hAnsi="Calibri"/>
                <w:color w:val="000000"/>
                <w:szCs w:val="22"/>
              </w:rPr>
            </w:pPr>
            <w:r w:rsidRPr="00AC6A82">
              <w:rPr>
                <w:rFonts w:ascii="Calibri" w:hAnsi="Calibri"/>
                <w:color w:val="000000"/>
                <w:szCs w:val="22"/>
              </w:rPr>
              <w:t>451 767 688</w:t>
            </w:r>
          </w:p>
        </w:tc>
      </w:tr>
    </w:tbl>
    <w:p w:rsidR="003F40B5" w:rsidRPr="00AC6A82" w:rsidRDefault="004F60F1" w:rsidP="003F40B5">
      <w:pPr>
        <w:spacing w:before="240" w:line="240" w:lineRule="auto"/>
        <w:rPr>
          <w:rFonts w:ascii="Calibri" w:hAnsi="Calibri" w:cs="Calibri"/>
        </w:rPr>
      </w:pPr>
      <w:r w:rsidRPr="00AC6A82">
        <w:rPr>
          <w:rFonts w:ascii="Calibri" w:hAnsi="Calibri" w:cs="Calibri"/>
        </w:rPr>
        <w:t>Таблица 10. Пазарна капитализация / Брутен вътрешен продукт</w:t>
      </w:r>
    </w:p>
    <w:tbl>
      <w:tblPr>
        <w:tblW w:w="8583"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480"/>
        <w:gridCol w:w="1275"/>
        <w:gridCol w:w="1276"/>
        <w:gridCol w:w="1276"/>
        <w:gridCol w:w="1276"/>
      </w:tblGrid>
      <w:tr w:rsidR="00DF6E82" w:rsidRPr="00AC6A82" w:rsidTr="00C81D9D">
        <w:trPr>
          <w:trHeight w:val="170"/>
          <w:jc w:val="center"/>
        </w:trPr>
        <w:tc>
          <w:tcPr>
            <w:tcW w:w="3480" w:type="dxa"/>
            <w:shd w:val="clear" w:color="auto" w:fill="4F81BD" w:themeFill="accent1"/>
          </w:tcPr>
          <w:p w:rsidR="00DF6E82" w:rsidRPr="00AC6A82" w:rsidRDefault="00DF6E82" w:rsidP="00D94C96">
            <w:pPr>
              <w:widowControl/>
              <w:autoSpaceDE w:val="0"/>
              <w:autoSpaceDN w:val="0"/>
              <w:adjustRightInd w:val="0"/>
              <w:spacing w:line="240" w:lineRule="auto"/>
              <w:jc w:val="left"/>
              <w:rPr>
                <w:rFonts w:ascii="Calibri" w:hAnsi="Calibri" w:cs="Calibri"/>
                <w:color w:val="FFFFFF" w:themeColor="background1"/>
                <w:szCs w:val="22"/>
              </w:rPr>
            </w:pPr>
          </w:p>
        </w:tc>
        <w:tc>
          <w:tcPr>
            <w:tcW w:w="1275" w:type="dxa"/>
            <w:shd w:val="clear" w:color="auto" w:fill="4F81BD" w:themeFill="accent1"/>
          </w:tcPr>
          <w:p w:rsidR="00DF6E82" w:rsidRPr="00AC6A82" w:rsidRDefault="00DF6E82" w:rsidP="00D94C96">
            <w:pPr>
              <w:widowControl/>
              <w:autoSpaceDE w:val="0"/>
              <w:autoSpaceDN w:val="0"/>
              <w:adjustRightInd w:val="0"/>
              <w:spacing w:line="240" w:lineRule="auto"/>
              <w:jc w:val="center"/>
              <w:rPr>
                <w:rFonts w:ascii="Calibri" w:hAnsi="Calibri" w:cs="Calibri"/>
                <w:color w:val="FFFFFF" w:themeColor="background1"/>
                <w:szCs w:val="22"/>
              </w:rPr>
            </w:pPr>
            <w:r w:rsidRPr="00AC6A82">
              <w:rPr>
                <w:rFonts w:ascii="Calibri" w:hAnsi="Calibri" w:cs="Calibri"/>
                <w:color w:val="FFFFFF" w:themeColor="background1"/>
                <w:szCs w:val="22"/>
              </w:rPr>
              <w:t>31.12.2016</w:t>
            </w:r>
          </w:p>
        </w:tc>
        <w:tc>
          <w:tcPr>
            <w:tcW w:w="1276" w:type="dxa"/>
            <w:shd w:val="clear" w:color="auto" w:fill="4F81BD" w:themeFill="accent1"/>
          </w:tcPr>
          <w:p w:rsidR="00DF6E82" w:rsidRPr="00AC6A82" w:rsidRDefault="00DF6E82" w:rsidP="00D94C96">
            <w:pPr>
              <w:widowControl/>
              <w:autoSpaceDE w:val="0"/>
              <w:autoSpaceDN w:val="0"/>
              <w:adjustRightInd w:val="0"/>
              <w:spacing w:line="240" w:lineRule="auto"/>
              <w:jc w:val="center"/>
              <w:rPr>
                <w:rFonts w:ascii="Calibri" w:hAnsi="Calibri" w:cs="Calibri"/>
                <w:color w:val="FFFFFF" w:themeColor="background1"/>
                <w:szCs w:val="22"/>
              </w:rPr>
            </w:pPr>
            <w:r w:rsidRPr="00AC6A82">
              <w:rPr>
                <w:rFonts w:ascii="Calibri" w:hAnsi="Calibri" w:cs="Calibri"/>
                <w:color w:val="FFFFFF" w:themeColor="background1"/>
                <w:szCs w:val="22"/>
              </w:rPr>
              <w:t>31.12.2017</w:t>
            </w:r>
          </w:p>
        </w:tc>
        <w:tc>
          <w:tcPr>
            <w:tcW w:w="1276" w:type="dxa"/>
            <w:shd w:val="clear" w:color="auto" w:fill="4F81BD" w:themeFill="accent1"/>
            <w:vAlign w:val="center"/>
          </w:tcPr>
          <w:p w:rsidR="00DF6E82" w:rsidRPr="00AC6A82" w:rsidRDefault="00DF6E82" w:rsidP="00DE6A9A">
            <w:pPr>
              <w:widowControl/>
              <w:spacing w:line="240" w:lineRule="auto"/>
              <w:jc w:val="center"/>
              <w:rPr>
                <w:rFonts w:ascii="Calibri" w:hAnsi="Calibri" w:cs="Calibri"/>
                <w:color w:val="FFFFFF"/>
                <w:szCs w:val="22"/>
              </w:rPr>
            </w:pPr>
            <w:r w:rsidRPr="00AC6A82">
              <w:rPr>
                <w:rFonts w:ascii="Calibri" w:hAnsi="Calibri" w:cs="Calibri"/>
                <w:color w:val="FFFFFF"/>
                <w:szCs w:val="22"/>
              </w:rPr>
              <w:t>31.12.2018</w:t>
            </w:r>
          </w:p>
        </w:tc>
        <w:tc>
          <w:tcPr>
            <w:tcW w:w="1276" w:type="dxa"/>
            <w:shd w:val="clear" w:color="auto" w:fill="4F81BD" w:themeFill="accent1"/>
            <w:vAlign w:val="center"/>
          </w:tcPr>
          <w:p w:rsidR="00DF6E82" w:rsidRPr="00AC6A82" w:rsidRDefault="00DF6E82" w:rsidP="00DF6E82">
            <w:pPr>
              <w:widowControl/>
              <w:spacing w:line="240" w:lineRule="auto"/>
              <w:jc w:val="center"/>
              <w:rPr>
                <w:rFonts w:ascii="Calibri" w:hAnsi="Calibri" w:cs="Calibri"/>
                <w:color w:val="FFFFFF"/>
                <w:szCs w:val="22"/>
              </w:rPr>
            </w:pPr>
            <w:r w:rsidRPr="00AC6A82">
              <w:rPr>
                <w:rFonts w:ascii="Calibri" w:hAnsi="Calibri" w:cs="Calibri"/>
                <w:color w:val="FFFFFF"/>
                <w:szCs w:val="22"/>
              </w:rPr>
              <w:t>31.3.2019</w:t>
            </w:r>
          </w:p>
        </w:tc>
      </w:tr>
      <w:tr w:rsidR="00DF6E82" w:rsidRPr="00AC6A82" w:rsidTr="00C81D9D">
        <w:trPr>
          <w:trHeight w:val="170"/>
          <w:jc w:val="center"/>
        </w:trPr>
        <w:tc>
          <w:tcPr>
            <w:tcW w:w="3480" w:type="dxa"/>
          </w:tcPr>
          <w:p w:rsidR="00DF6E82" w:rsidRPr="00AC6A82" w:rsidRDefault="00DF6E82" w:rsidP="00D94C96">
            <w:pPr>
              <w:widowControl/>
              <w:autoSpaceDE w:val="0"/>
              <w:autoSpaceDN w:val="0"/>
              <w:adjustRightInd w:val="0"/>
              <w:spacing w:line="240" w:lineRule="auto"/>
              <w:jc w:val="left"/>
              <w:rPr>
                <w:rFonts w:ascii="Calibri" w:hAnsi="Calibri" w:cs="Calibri"/>
                <w:color w:val="000000"/>
                <w:szCs w:val="22"/>
              </w:rPr>
            </w:pPr>
            <w:r w:rsidRPr="00AC6A82">
              <w:rPr>
                <w:rFonts w:ascii="Calibri" w:hAnsi="Calibri" w:cs="Calibri"/>
                <w:color w:val="000000"/>
                <w:szCs w:val="22"/>
              </w:rPr>
              <w:t>Пазарна капитализация (млн. лв.)</w:t>
            </w:r>
          </w:p>
        </w:tc>
        <w:tc>
          <w:tcPr>
            <w:tcW w:w="1275" w:type="dxa"/>
          </w:tcPr>
          <w:p w:rsidR="00DF6E82" w:rsidRPr="00AC6A82" w:rsidRDefault="00DF6E82" w:rsidP="00FE12A4">
            <w:pPr>
              <w:widowControl/>
              <w:autoSpaceDE w:val="0"/>
              <w:autoSpaceDN w:val="0"/>
              <w:adjustRightInd w:val="0"/>
              <w:spacing w:line="240" w:lineRule="auto"/>
              <w:jc w:val="right"/>
              <w:rPr>
                <w:rFonts w:ascii="Calibri" w:hAnsi="Calibri" w:cs="Calibri"/>
                <w:color w:val="000000"/>
                <w:szCs w:val="22"/>
              </w:rPr>
            </w:pPr>
            <w:r w:rsidRPr="00AC6A82">
              <w:rPr>
                <w:rFonts w:ascii="Calibri" w:hAnsi="Calibri" w:cs="Calibri"/>
                <w:color w:val="000000"/>
                <w:szCs w:val="22"/>
              </w:rPr>
              <w:t>9</w:t>
            </w:r>
            <w:r w:rsidR="00FE12A4">
              <w:rPr>
                <w:rFonts w:ascii="Calibri" w:hAnsi="Calibri" w:cs="Calibri"/>
                <w:color w:val="000000"/>
                <w:szCs w:val="22"/>
              </w:rPr>
              <w:t> </w:t>
            </w:r>
            <w:r w:rsidRPr="00AC6A82">
              <w:rPr>
                <w:rFonts w:ascii="Calibri" w:hAnsi="Calibri" w:cs="Calibri"/>
                <w:color w:val="000000"/>
                <w:szCs w:val="22"/>
              </w:rPr>
              <w:t>682</w:t>
            </w:r>
            <w:r w:rsidR="00FE12A4">
              <w:rPr>
                <w:rFonts w:ascii="Calibri" w:hAnsi="Calibri" w:cs="Calibri"/>
                <w:color w:val="000000"/>
                <w:szCs w:val="22"/>
                <w:lang w:val="en-US"/>
              </w:rPr>
              <w:t>,</w:t>
            </w:r>
            <w:r w:rsidRPr="00AC6A82">
              <w:rPr>
                <w:rFonts w:ascii="Calibri" w:hAnsi="Calibri" w:cs="Calibri"/>
                <w:color w:val="000000"/>
                <w:szCs w:val="22"/>
              </w:rPr>
              <w:t>52</w:t>
            </w:r>
          </w:p>
        </w:tc>
        <w:tc>
          <w:tcPr>
            <w:tcW w:w="1276" w:type="dxa"/>
          </w:tcPr>
          <w:p w:rsidR="00DF6E82" w:rsidRPr="00AC6A82" w:rsidRDefault="00DF6E82" w:rsidP="00FE12A4">
            <w:pPr>
              <w:widowControl/>
              <w:autoSpaceDE w:val="0"/>
              <w:autoSpaceDN w:val="0"/>
              <w:adjustRightInd w:val="0"/>
              <w:spacing w:line="240" w:lineRule="auto"/>
              <w:jc w:val="right"/>
              <w:rPr>
                <w:rFonts w:ascii="Calibri" w:hAnsi="Calibri" w:cs="Calibri"/>
                <w:color w:val="000000"/>
                <w:szCs w:val="22"/>
              </w:rPr>
            </w:pPr>
            <w:r w:rsidRPr="00AC6A82">
              <w:rPr>
                <w:rFonts w:ascii="Calibri" w:hAnsi="Calibri" w:cs="Calibri"/>
                <w:color w:val="000000"/>
                <w:szCs w:val="22"/>
              </w:rPr>
              <w:t>23</w:t>
            </w:r>
            <w:r w:rsidR="00FE12A4">
              <w:rPr>
                <w:rFonts w:ascii="Calibri" w:hAnsi="Calibri" w:cs="Calibri"/>
                <w:color w:val="000000"/>
                <w:szCs w:val="22"/>
              </w:rPr>
              <w:t> </w:t>
            </w:r>
            <w:r w:rsidRPr="00AC6A82">
              <w:rPr>
                <w:rFonts w:ascii="Calibri" w:hAnsi="Calibri" w:cs="Calibri"/>
                <w:color w:val="000000"/>
                <w:szCs w:val="22"/>
              </w:rPr>
              <w:t>620</w:t>
            </w:r>
            <w:r w:rsidR="00FE12A4">
              <w:rPr>
                <w:rFonts w:ascii="Calibri" w:hAnsi="Calibri" w:cs="Calibri"/>
                <w:color w:val="000000"/>
                <w:szCs w:val="22"/>
                <w:lang w:val="en-US"/>
              </w:rPr>
              <w:t>,</w:t>
            </w:r>
            <w:r w:rsidRPr="00AC6A82">
              <w:rPr>
                <w:rFonts w:ascii="Calibri" w:hAnsi="Calibri" w:cs="Calibri"/>
                <w:color w:val="000000"/>
                <w:szCs w:val="22"/>
              </w:rPr>
              <w:t>97</w:t>
            </w:r>
          </w:p>
        </w:tc>
        <w:tc>
          <w:tcPr>
            <w:tcW w:w="1276" w:type="dxa"/>
            <w:vAlign w:val="bottom"/>
          </w:tcPr>
          <w:p w:rsidR="00DF6E82" w:rsidRPr="00AC6A82" w:rsidRDefault="00FE12A4" w:rsidP="00DE6A9A">
            <w:pPr>
              <w:spacing w:line="240" w:lineRule="auto"/>
              <w:jc w:val="right"/>
              <w:rPr>
                <w:rFonts w:ascii="Calibri" w:hAnsi="Calibri" w:cs="Calibri"/>
                <w:color w:val="000000"/>
                <w:szCs w:val="22"/>
              </w:rPr>
            </w:pPr>
            <w:r>
              <w:rPr>
                <w:rFonts w:ascii="Calibri" w:hAnsi="Calibri" w:cs="Calibri"/>
                <w:color w:val="000000"/>
                <w:szCs w:val="22"/>
              </w:rPr>
              <w:t>26 765</w:t>
            </w:r>
            <w:r>
              <w:rPr>
                <w:rFonts w:ascii="Calibri" w:hAnsi="Calibri" w:cs="Calibri"/>
                <w:color w:val="000000"/>
                <w:szCs w:val="22"/>
                <w:lang w:val="en-US"/>
              </w:rPr>
              <w:t>,</w:t>
            </w:r>
            <w:r w:rsidR="00DF6E82" w:rsidRPr="00AC6A82">
              <w:rPr>
                <w:rFonts w:ascii="Calibri" w:hAnsi="Calibri" w:cs="Calibri"/>
                <w:color w:val="000000"/>
                <w:szCs w:val="22"/>
              </w:rPr>
              <w:t>34</w:t>
            </w:r>
          </w:p>
        </w:tc>
        <w:tc>
          <w:tcPr>
            <w:tcW w:w="1276" w:type="dxa"/>
            <w:vAlign w:val="bottom"/>
          </w:tcPr>
          <w:p w:rsidR="00DF6E82" w:rsidRPr="00AC6A82" w:rsidRDefault="00DF6E82" w:rsidP="00DF6E82">
            <w:pPr>
              <w:spacing w:line="240" w:lineRule="auto"/>
              <w:jc w:val="right"/>
              <w:rPr>
                <w:rFonts w:ascii="Calibri" w:hAnsi="Calibri"/>
                <w:szCs w:val="22"/>
              </w:rPr>
            </w:pPr>
            <w:r w:rsidRPr="00AC6A82">
              <w:rPr>
                <w:rFonts w:ascii="Calibri" w:hAnsi="Calibri"/>
                <w:szCs w:val="22"/>
              </w:rPr>
              <w:t>27 217,11</w:t>
            </w:r>
          </w:p>
        </w:tc>
      </w:tr>
      <w:tr w:rsidR="00DF6E82" w:rsidRPr="00AC6A82" w:rsidTr="00C81D9D">
        <w:trPr>
          <w:trHeight w:val="170"/>
          <w:jc w:val="center"/>
        </w:trPr>
        <w:tc>
          <w:tcPr>
            <w:tcW w:w="3480" w:type="dxa"/>
          </w:tcPr>
          <w:p w:rsidR="00DF6E82" w:rsidRPr="00B87BE0" w:rsidRDefault="00DF6E82" w:rsidP="00D94C96">
            <w:pPr>
              <w:widowControl/>
              <w:autoSpaceDE w:val="0"/>
              <w:autoSpaceDN w:val="0"/>
              <w:adjustRightInd w:val="0"/>
              <w:spacing w:line="240" w:lineRule="auto"/>
              <w:jc w:val="left"/>
              <w:rPr>
                <w:rFonts w:ascii="Calibri" w:hAnsi="Calibri" w:cs="Calibri"/>
                <w:color w:val="000000"/>
                <w:szCs w:val="22"/>
              </w:rPr>
            </w:pPr>
            <w:r w:rsidRPr="00B87BE0">
              <w:rPr>
                <w:rFonts w:ascii="Calibri" w:hAnsi="Calibri" w:cs="Calibri"/>
                <w:color w:val="000000"/>
                <w:szCs w:val="22"/>
              </w:rPr>
              <w:t>БВП (млн. лв.)</w:t>
            </w:r>
          </w:p>
        </w:tc>
        <w:tc>
          <w:tcPr>
            <w:tcW w:w="1275" w:type="dxa"/>
          </w:tcPr>
          <w:p w:rsidR="00DF6E82" w:rsidRPr="00B87BE0" w:rsidRDefault="00DF6E82" w:rsidP="00D94C96">
            <w:pPr>
              <w:widowControl/>
              <w:autoSpaceDE w:val="0"/>
              <w:autoSpaceDN w:val="0"/>
              <w:adjustRightInd w:val="0"/>
              <w:spacing w:line="240" w:lineRule="auto"/>
              <w:jc w:val="right"/>
              <w:rPr>
                <w:rFonts w:ascii="Calibri" w:hAnsi="Calibri" w:cs="Calibri"/>
                <w:color w:val="000000"/>
                <w:szCs w:val="22"/>
              </w:rPr>
            </w:pPr>
            <w:r w:rsidRPr="00B87BE0">
              <w:rPr>
                <w:rFonts w:ascii="Calibri" w:hAnsi="Calibri" w:cs="Calibri"/>
                <w:color w:val="000000"/>
                <w:szCs w:val="22"/>
              </w:rPr>
              <w:t>92 635</w:t>
            </w:r>
          </w:p>
        </w:tc>
        <w:tc>
          <w:tcPr>
            <w:tcW w:w="1276" w:type="dxa"/>
          </w:tcPr>
          <w:p w:rsidR="00DF6E82" w:rsidRPr="00B87BE0" w:rsidRDefault="00DF6E82" w:rsidP="00D94C96">
            <w:pPr>
              <w:widowControl/>
              <w:autoSpaceDE w:val="0"/>
              <w:autoSpaceDN w:val="0"/>
              <w:adjustRightInd w:val="0"/>
              <w:spacing w:line="240" w:lineRule="auto"/>
              <w:jc w:val="right"/>
              <w:rPr>
                <w:rFonts w:ascii="Calibri" w:hAnsi="Calibri" w:cs="Calibri"/>
                <w:color w:val="000000"/>
                <w:szCs w:val="22"/>
              </w:rPr>
            </w:pPr>
            <w:r w:rsidRPr="00B87BE0">
              <w:rPr>
                <w:rFonts w:ascii="Calibri" w:hAnsi="Calibri" w:cs="Calibri"/>
                <w:color w:val="000000"/>
                <w:szCs w:val="22"/>
              </w:rPr>
              <w:t>98 631</w:t>
            </w:r>
          </w:p>
        </w:tc>
        <w:tc>
          <w:tcPr>
            <w:tcW w:w="1276" w:type="dxa"/>
            <w:vAlign w:val="bottom"/>
          </w:tcPr>
          <w:p w:rsidR="00DF6E82" w:rsidRPr="00B87BE0" w:rsidRDefault="00DF6E82" w:rsidP="00D94C96">
            <w:pPr>
              <w:spacing w:line="240" w:lineRule="auto"/>
              <w:jc w:val="right"/>
              <w:rPr>
                <w:rFonts w:ascii="Calibri" w:hAnsi="Calibri" w:cs="Calibri"/>
                <w:color w:val="000000"/>
                <w:szCs w:val="22"/>
              </w:rPr>
            </w:pPr>
            <w:r w:rsidRPr="00B87BE0">
              <w:rPr>
                <w:rFonts w:ascii="Calibri" w:hAnsi="Calibri" w:cs="Calibri"/>
                <w:color w:val="000000"/>
                <w:szCs w:val="22"/>
              </w:rPr>
              <w:t>107 987</w:t>
            </w:r>
          </w:p>
        </w:tc>
        <w:tc>
          <w:tcPr>
            <w:tcW w:w="1276" w:type="dxa"/>
            <w:vAlign w:val="bottom"/>
          </w:tcPr>
          <w:p w:rsidR="00DF6E82" w:rsidRPr="00B87BE0" w:rsidRDefault="00DF6E82" w:rsidP="00DF6E82">
            <w:pPr>
              <w:spacing w:line="240" w:lineRule="auto"/>
              <w:jc w:val="right"/>
              <w:rPr>
                <w:rFonts w:ascii="Calibri" w:hAnsi="Calibri"/>
                <w:szCs w:val="22"/>
              </w:rPr>
            </w:pPr>
            <w:r w:rsidRPr="00B87BE0">
              <w:rPr>
                <w:rFonts w:ascii="Calibri" w:hAnsi="Calibri"/>
                <w:szCs w:val="22"/>
              </w:rPr>
              <w:t>107 925</w:t>
            </w:r>
          </w:p>
        </w:tc>
      </w:tr>
      <w:tr w:rsidR="00DF6E82" w:rsidRPr="00AC6A82" w:rsidTr="00C81D9D">
        <w:trPr>
          <w:trHeight w:val="170"/>
          <w:jc w:val="center"/>
        </w:trPr>
        <w:tc>
          <w:tcPr>
            <w:tcW w:w="3480" w:type="dxa"/>
          </w:tcPr>
          <w:p w:rsidR="00DF6E82" w:rsidRPr="00AC6A82" w:rsidRDefault="00DF6E82" w:rsidP="00D94C96">
            <w:pPr>
              <w:widowControl/>
              <w:autoSpaceDE w:val="0"/>
              <w:autoSpaceDN w:val="0"/>
              <w:adjustRightInd w:val="0"/>
              <w:spacing w:line="240" w:lineRule="auto"/>
              <w:jc w:val="left"/>
              <w:rPr>
                <w:rFonts w:ascii="Calibri" w:hAnsi="Calibri" w:cs="Calibri"/>
                <w:color w:val="000000"/>
                <w:szCs w:val="22"/>
              </w:rPr>
            </w:pPr>
            <w:r w:rsidRPr="00AC6A82">
              <w:rPr>
                <w:rFonts w:ascii="Calibri" w:hAnsi="Calibri" w:cs="Calibri"/>
                <w:color w:val="000000"/>
                <w:szCs w:val="22"/>
              </w:rPr>
              <w:t>Пазарна капитализация/ БВП</w:t>
            </w:r>
          </w:p>
        </w:tc>
        <w:tc>
          <w:tcPr>
            <w:tcW w:w="1275" w:type="dxa"/>
          </w:tcPr>
          <w:p w:rsidR="00DF6E82" w:rsidRPr="00AC6A82" w:rsidRDefault="00DF6E82" w:rsidP="00D94C96">
            <w:pPr>
              <w:widowControl/>
              <w:autoSpaceDE w:val="0"/>
              <w:autoSpaceDN w:val="0"/>
              <w:adjustRightInd w:val="0"/>
              <w:spacing w:line="240" w:lineRule="auto"/>
              <w:jc w:val="right"/>
              <w:rPr>
                <w:rFonts w:ascii="Calibri" w:hAnsi="Calibri" w:cs="Calibri"/>
                <w:color w:val="000000"/>
                <w:szCs w:val="22"/>
              </w:rPr>
            </w:pPr>
            <w:r w:rsidRPr="00AC6A82">
              <w:rPr>
                <w:rFonts w:ascii="Calibri" w:hAnsi="Calibri" w:cs="Calibri"/>
                <w:color w:val="000000"/>
                <w:szCs w:val="22"/>
              </w:rPr>
              <w:t>10,45%</w:t>
            </w:r>
          </w:p>
        </w:tc>
        <w:tc>
          <w:tcPr>
            <w:tcW w:w="1276" w:type="dxa"/>
          </w:tcPr>
          <w:p w:rsidR="00DF6E82" w:rsidRPr="00AC6A82" w:rsidRDefault="00DF6E82" w:rsidP="00D94C96">
            <w:pPr>
              <w:widowControl/>
              <w:autoSpaceDE w:val="0"/>
              <w:autoSpaceDN w:val="0"/>
              <w:adjustRightInd w:val="0"/>
              <w:spacing w:line="240" w:lineRule="auto"/>
              <w:jc w:val="right"/>
              <w:rPr>
                <w:rFonts w:ascii="Calibri" w:hAnsi="Calibri" w:cs="Calibri"/>
                <w:color w:val="000000"/>
                <w:szCs w:val="22"/>
              </w:rPr>
            </w:pPr>
            <w:r w:rsidRPr="00AC6A82">
              <w:rPr>
                <w:rFonts w:ascii="Calibri" w:hAnsi="Calibri" w:cs="Calibri"/>
                <w:color w:val="000000"/>
                <w:szCs w:val="22"/>
              </w:rPr>
              <w:t>23,95%</w:t>
            </w:r>
          </w:p>
        </w:tc>
        <w:tc>
          <w:tcPr>
            <w:tcW w:w="1276" w:type="dxa"/>
            <w:vAlign w:val="center"/>
          </w:tcPr>
          <w:p w:rsidR="00DF6E82" w:rsidRPr="00AC6A82" w:rsidRDefault="00DF6E82" w:rsidP="00D94C96">
            <w:pPr>
              <w:spacing w:line="240" w:lineRule="auto"/>
              <w:jc w:val="right"/>
              <w:rPr>
                <w:rFonts w:ascii="Calibri" w:hAnsi="Calibri" w:cs="Calibri"/>
                <w:color w:val="000000"/>
                <w:szCs w:val="22"/>
              </w:rPr>
            </w:pPr>
            <w:r w:rsidRPr="00AC6A82">
              <w:rPr>
                <w:rFonts w:ascii="Calibri" w:hAnsi="Calibri" w:cs="Calibri"/>
                <w:color w:val="000000"/>
                <w:szCs w:val="22"/>
              </w:rPr>
              <w:t>24,79%</w:t>
            </w:r>
          </w:p>
        </w:tc>
        <w:tc>
          <w:tcPr>
            <w:tcW w:w="1276" w:type="dxa"/>
            <w:vAlign w:val="center"/>
          </w:tcPr>
          <w:p w:rsidR="00DF6E82" w:rsidRPr="00AC6A82" w:rsidRDefault="00DF6E82" w:rsidP="00DF6E82">
            <w:pPr>
              <w:spacing w:line="240" w:lineRule="auto"/>
              <w:jc w:val="right"/>
              <w:rPr>
                <w:rFonts w:ascii="Calibri" w:hAnsi="Calibri"/>
                <w:szCs w:val="22"/>
              </w:rPr>
            </w:pPr>
            <w:r w:rsidRPr="00AC6A82">
              <w:rPr>
                <w:rFonts w:ascii="Calibri" w:hAnsi="Calibri"/>
                <w:szCs w:val="22"/>
              </w:rPr>
              <w:t>25,22%</w:t>
            </w:r>
          </w:p>
        </w:tc>
      </w:tr>
    </w:tbl>
    <w:p w:rsidR="00CB13ED" w:rsidRPr="00AC6A82" w:rsidRDefault="00CB13ED" w:rsidP="001A50AB">
      <w:pPr>
        <w:pStyle w:val="Mainnumbers"/>
        <w:rPr>
          <w:rFonts w:ascii="Calibri" w:hAnsi="Calibri" w:cs="Calibri"/>
        </w:rPr>
      </w:pPr>
      <w:bookmarkStart w:id="22" w:name="_Toc283112105"/>
      <w:bookmarkStart w:id="23" w:name="_Toc7535422"/>
      <w:r w:rsidRPr="00AC6A82">
        <w:rPr>
          <w:rFonts w:ascii="Calibri" w:hAnsi="Calibri" w:cs="Calibri"/>
        </w:rPr>
        <w:t xml:space="preserve">Индекси на </w:t>
      </w:r>
      <w:bookmarkEnd w:id="22"/>
      <w:r w:rsidR="00636F5A" w:rsidRPr="00AC6A82">
        <w:rPr>
          <w:rFonts w:ascii="Calibri" w:hAnsi="Calibri" w:cs="Calibri"/>
        </w:rPr>
        <w:t>Българска фондова борса</w:t>
      </w:r>
      <w:bookmarkEnd w:id="23"/>
    </w:p>
    <w:p w:rsidR="0067282F" w:rsidRPr="00AC6A82" w:rsidRDefault="00095414" w:rsidP="0010327A">
      <w:pPr>
        <w:pStyle w:val="NoSpacing"/>
        <w:spacing w:line="276" w:lineRule="auto"/>
        <w:rPr>
          <w:rFonts w:ascii="Calibri" w:hAnsi="Calibri" w:cs="Calibri"/>
          <w:szCs w:val="22"/>
        </w:rPr>
      </w:pPr>
      <w:r w:rsidRPr="00AC6A82">
        <w:rPr>
          <w:rFonts w:ascii="Calibri" w:eastAsia="Calibri" w:hAnsi="Calibri" w:cs="Calibri"/>
          <w:szCs w:val="22"/>
          <w:lang w:eastAsia="en-US"/>
        </w:rPr>
        <w:t xml:space="preserve">В края на </w:t>
      </w:r>
      <w:r w:rsidR="00DF6E82" w:rsidRPr="00AC6A82">
        <w:rPr>
          <w:rFonts w:ascii="Calibri" w:eastAsia="Calibri" w:hAnsi="Calibri" w:cs="Calibri"/>
          <w:szCs w:val="22"/>
          <w:lang w:eastAsia="en-US"/>
        </w:rPr>
        <w:t xml:space="preserve">първото </w:t>
      </w:r>
      <w:r w:rsidR="00516EB7" w:rsidRPr="00AC6A82">
        <w:rPr>
          <w:rFonts w:ascii="Calibri" w:eastAsia="Calibri" w:hAnsi="Calibri" w:cs="Calibri"/>
          <w:szCs w:val="22"/>
          <w:lang w:eastAsia="en-US"/>
        </w:rPr>
        <w:t>три</w:t>
      </w:r>
      <w:r w:rsidR="00F3739A" w:rsidRPr="00AC6A82">
        <w:rPr>
          <w:rFonts w:ascii="Calibri" w:eastAsia="Calibri" w:hAnsi="Calibri" w:cs="Calibri"/>
          <w:szCs w:val="22"/>
          <w:lang w:eastAsia="en-US"/>
        </w:rPr>
        <w:t>месечие</w:t>
      </w:r>
      <w:r w:rsidR="00DF6E82" w:rsidRPr="00AC6A82">
        <w:rPr>
          <w:rFonts w:ascii="Calibri" w:eastAsia="Calibri" w:hAnsi="Calibri" w:cs="Calibri"/>
          <w:szCs w:val="22"/>
          <w:lang w:eastAsia="en-US"/>
        </w:rPr>
        <w:t xml:space="preserve"> </w:t>
      </w:r>
      <w:r w:rsidR="00C01B21" w:rsidRPr="00AC6A82">
        <w:rPr>
          <w:rFonts w:ascii="Calibri" w:eastAsia="Calibri" w:hAnsi="Calibri" w:cs="Calibri"/>
          <w:szCs w:val="22"/>
          <w:lang w:eastAsia="en-US"/>
        </w:rPr>
        <w:t xml:space="preserve">бе отбелязано </w:t>
      </w:r>
      <w:r w:rsidR="00DF6E82" w:rsidRPr="00AC6A82">
        <w:rPr>
          <w:rFonts w:ascii="Calibri" w:eastAsia="Calibri" w:hAnsi="Calibri" w:cs="Calibri"/>
          <w:szCs w:val="22"/>
          <w:lang w:eastAsia="en-US"/>
        </w:rPr>
        <w:t>разнопосочно движение</w:t>
      </w:r>
      <w:r w:rsidR="00C01B21" w:rsidRPr="00AC6A82">
        <w:rPr>
          <w:rFonts w:ascii="Calibri" w:eastAsia="Calibri" w:hAnsi="Calibri" w:cs="Calibri"/>
          <w:szCs w:val="22"/>
          <w:lang w:eastAsia="en-US"/>
        </w:rPr>
        <w:t xml:space="preserve"> в </w:t>
      </w:r>
      <w:r w:rsidR="00DB6D28" w:rsidRPr="00AC6A82">
        <w:rPr>
          <w:rFonts w:ascii="Calibri" w:eastAsia="Calibri" w:hAnsi="Calibri" w:cs="Calibri"/>
          <w:szCs w:val="22"/>
          <w:lang w:eastAsia="en-US"/>
        </w:rPr>
        <w:t xml:space="preserve">стойността </w:t>
      </w:r>
      <w:r w:rsidR="00C01B21" w:rsidRPr="00AC6A82">
        <w:rPr>
          <w:rFonts w:ascii="Calibri" w:eastAsia="Calibri" w:hAnsi="Calibri" w:cs="Calibri"/>
          <w:szCs w:val="22"/>
          <w:lang w:eastAsia="en-US"/>
        </w:rPr>
        <w:t>на индекси</w:t>
      </w:r>
      <w:r w:rsidR="00DF6E82" w:rsidRPr="00AC6A82">
        <w:rPr>
          <w:rFonts w:ascii="Calibri" w:eastAsia="Calibri" w:hAnsi="Calibri" w:cs="Calibri"/>
          <w:szCs w:val="22"/>
          <w:lang w:eastAsia="en-US"/>
        </w:rPr>
        <w:t>те</w:t>
      </w:r>
      <w:r w:rsidR="00C01B21" w:rsidRPr="00AC6A82">
        <w:rPr>
          <w:rFonts w:ascii="Calibri" w:eastAsia="Calibri" w:hAnsi="Calibri" w:cs="Calibri"/>
          <w:szCs w:val="22"/>
          <w:lang w:eastAsia="en-US"/>
        </w:rPr>
        <w:t xml:space="preserve"> на БФБ</w:t>
      </w:r>
      <w:r w:rsidR="00DF6E82" w:rsidRPr="00AC6A82">
        <w:rPr>
          <w:rFonts w:ascii="Calibri" w:eastAsia="Calibri" w:hAnsi="Calibri" w:cs="Calibri"/>
          <w:szCs w:val="22"/>
          <w:lang w:eastAsia="en-US"/>
        </w:rPr>
        <w:t xml:space="preserve"> </w:t>
      </w:r>
      <w:r w:rsidR="00A00269" w:rsidRPr="00AC6A82">
        <w:rPr>
          <w:rFonts w:ascii="Calibri" w:eastAsia="Calibri" w:hAnsi="Calibri" w:cs="Calibri"/>
          <w:szCs w:val="22"/>
          <w:lang w:eastAsia="en-US"/>
        </w:rPr>
        <w:t xml:space="preserve">спрямо началото му. </w:t>
      </w:r>
      <w:r w:rsidR="0067282F" w:rsidRPr="00AC6A82">
        <w:rPr>
          <w:rFonts w:ascii="Calibri" w:hAnsi="Calibri" w:cs="Calibri"/>
          <w:szCs w:val="22"/>
        </w:rPr>
        <w:t xml:space="preserve">Както се вижда от графиките по-долу, движението в стойностите на индексите бе сходно, единствено </w:t>
      </w:r>
      <w:r w:rsidR="004929B1" w:rsidRPr="00AC6A82">
        <w:rPr>
          <w:rFonts w:ascii="Calibri" w:hAnsi="Calibri" w:cs="Calibri"/>
          <w:szCs w:val="22"/>
        </w:rPr>
        <w:t>изменението</w:t>
      </w:r>
      <w:r w:rsidR="0067282F" w:rsidRPr="00AC6A82">
        <w:rPr>
          <w:rFonts w:ascii="Calibri" w:hAnsi="Calibri" w:cs="Calibri"/>
          <w:szCs w:val="22"/>
        </w:rPr>
        <w:t xml:space="preserve"> на BGREIT е с различна форма, което се дължи на типа дружества, съставляващи индекса.</w:t>
      </w:r>
      <w:r w:rsidR="00C01B21" w:rsidRPr="00AC6A82">
        <w:rPr>
          <w:rFonts w:ascii="Calibri" w:hAnsi="Calibri" w:cs="Calibri"/>
          <w:szCs w:val="22"/>
        </w:rPr>
        <w:t xml:space="preserve"> </w:t>
      </w:r>
      <w:r w:rsidR="00DF6E82" w:rsidRPr="00AC6A82">
        <w:rPr>
          <w:rFonts w:ascii="Calibri" w:hAnsi="Calibri" w:cs="Calibri"/>
          <w:szCs w:val="22"/>
        </w:rPr>
        <w:t>SOFIX и</w:t>
      </w:r>
      <w:r w:rsidR="00C01B21" w:rsidRPr="00AC6A82">
        <w:rPr>
          <w:rFonts w:ascii="Calibri" w:hAnsi="Calibri" w:cs="Calibri"/>
          <w:szCs w:val="22"/>
        </w:rPr>
        <w:t xml:space="preserve"> </w:t>
      </w:r>
      <w:r w:rsidR="00BE0D96" w:rsidRPr="00AC6A82">
        <w:rPr>
          <w:rFonts w:ascii="Calibri" w:hAnsi="Calibri" w:cs="Calibri"/>
          <w:szCs w:val="22"/>
        </w:rPr>
        <w:t xml:space="preserve">BGREIT </w:t>
      </w:r>
      <w:r w:rsidR="00DF6E82" w:rsidRPr="00AC6A82">
        <w:rPr>
          <w:rFonts w:ascii="Calibri" w:hAnsi="Calibri" w:cs="Calibri"/>
          <w:szCs w:val="22"/>
        </w:rPr>
        <w:t>понижиха своята стойност през първото тримесечие, докато BGTR30 и BGBX40 нараснаха</w:t>
      </w:r>
      <w:r w:rsidR="00BE0D96" w:rsidRPr="00AC6A82">
        <w:rPr>
          <w:rFonts w:ascii="Calibri" w:hAnsi="Calibri" w:cs="Calibri"/>
          <w:szCs w:val="22"/>
        </w:rPr>
        <w:t>.</w:t>
      </w:r>
    </w:p>
    <w:p w:rsidR="004D1FE8" w:rsidRPr="00AC6A82" w:rsidRDefault="0037435D" w:rsidP="0010327A">
      <w:pPr>
        <w:pStyle w:val="NoSpacing"/>
        <w:spacing w:line="276" w:lineRule="auto"/>
        <w:rPr>
          <w:rFonts w:ascii="Calibri" w:hAnsi="Calibri" w:cs="Calibri"/>
          <w:szCs w:val="22"/>
        </w:rPr>
      </w:pPr>
      <w:r w:rsidRPr="00AC6A82">
        <w:rPr>
          <w:rFonts w:ascii="Calibri" w:eastAsia="Calibri" w:hAnsi="Calibri" w:cs="Calibri"/>
          <w:szCs w:val="22"/>
          <w:lang w:eastAsia="en-US"/>
        </w:rPr>
        <w:t>Най-голям</w:t>
      </w:r>
      <w:r w:rsidR="007C048D" w:rsidRPr="00AC6A82">
        <w:rPr>
          <w:rFonts w:ascii="Calibri" w:eastAsia="Calibri" w:hAnsi="Calibri" w:cs="Calibri"/>
          <w:szCs w:val="22"/>
          <w:lang w:eastAsia="en-US"/>
        </w:rPr>
        <w:t>о</w:t>
      </w:r>
      <w:r w:rsidR="00DF6E82" w:rsidRPr="00AC6A82">
        <w:rPr>
          <w:rFonts w:ascii="Calibri" w:eastAsia="Calibri" w:hAnsi="Calibri" w:cs="Calibri"/>
          <w:szCs w:val="22"/>
          <w:lang w:eastAsia="en-US"/>
        </w:rPr>
        <w:t xml:space="preserve"> </w:t>
      </w:r>
      <w:r w:rsidR="00304480" w:rsidRPr="00AC6A82">
        <w:rPr>
          <w:rFonts w:ascii="Calibri" w:eastAsia="Calibri" w:hAnsi="Calibri" w:cs="Calibri"/>
          <w:szCs w:val="22"/>
          <w:lang w:eastAsia="en-US"/>
        </w:rPr>
        <w:t xml:space="preserve">в процентно отношение </w:t>
      </w:r>
      <w:r w:rsidRPr="00AC6A82">
        <w:rPr>
          <w:rFonts w:ascii="Calibri" w:eastAsia="Calibri" w:hAnsi="Calibri" w:cs="Calibri"/>
          <w:szCs w:val="22"/>
          <w:lang w:eastAsia="en-US"/>
        </w:rPr>
        <w:t xml:space="preserve">бе </w:t>
      </w:r>
      <w:r w:rsidR="00DF6E82" w:rsidRPr="00AC6A82">
        <w:rPr>
          <w:rFonts w:ascii="Calibri" w:eastAsia="Calibri" w:hAnsi="Calibri" w:cs="Calibri"/>
          <w:szCs w:val="22"/>
          <w:lang w:eastAsia="en-US"/>
        </w:rPr>
        <w:t xml:space="preserve">повишението </w:t>
      </w:r>
      <w:r w:rsidR="00A648BD" w:rsidRPr="00AC6A82">
        <w:rPr>
          <w:rFonts w:ascii="Calibri" w:eastAsia="Calibri" w:hAnsi="Calibri" w:cs="Calibri"/>
          <w:szCs w:val="22"/>
          <w:lang w:eastAsia="en-US"/>
        </w:rPr>
        <w:t>от</w:t>
      </w:r>
      <w:r w:rsidR="00DF6E82" w:rsidRPr="00AC6A82">
        <w:rPr>
          <w:rFonts w:ascii="Calibri" w:eastAsia="Calibri" w:hAnsi="Calibri" w:cs="Calibri"/>
          <w:szCs w:val="22"/>
          <w:lang w:eastAsia="en-US"/>
        </w:rPr>
        <w:t xml:space="preserve"> 1</w:t>
      </w:r>
      <w:r w:rsidR="007174D1" w:rsidRPr="00AC6A82">
        <w:rPr>
          <w:rFonts w:ascii="Calibri" w:eastAsia="Calibri" w:hAnsi="Calibri" w:cs="Calibri"/>
          <w:szCs w:val="22"/>
          <w:lang w:eastAsia="en-US"/>
        </w:rPr>
        <w:t>,</w:t>
      </w:r>
      <w:r w:rsidR="00A00269" w:rsidRPr="00AC6A82">
        <w:rPr>
          <w:rFonts w:ascii="Calibri" w:eastAsia="Calibri" w:hAnsi="Calibri" w:cs="Calibri"/>
          <w:szCs w:val="22"/>
          <w:lang w:eastAsia="en-US"/>
        </w:rPr>
        <w:t>9</w:t>
      </w:r>
      <w:r w:rsidR="00DF6E82" w:rsidRPr="00AC6A82">
        <w:rPr>
          <w:rFonts w:ascii="Calibri" w:eastAsia="Calibri" w:hAnsi="Calibri" w:cs="Calibri"/>
          <w:szCs w:val="22"/>
          <w:lang w:eastAsia="en-US"/>
        </w:rPr>
        <w:t>9</w:t>
      </w:r>
      <w:r w:rsidR="007174D1" w:rsidRPr="00AC6A82">
        <w:rPr>
          <w:rFonts w:ascii="Calibri" w:eastAsia="Calibri" w:hAnsi="Calibri" w:cs="Calibri"/>
          <w:szCs w:val="22"/>
          <w:lang w:eastAsia="en-US"/>
        </w:rPr>
        <w:t>% (</w:t>
      </w:r>
      <w:r w:rsidR="00DF6E82" w:rsidRPr="00AC6A82">
        <w:rPr>
          <w:rFonts w:ascii="Calibri" w:eastAsia="Calibri" w:hAnsi="Calibri" w:cs="Calibri"/>
          <w:szCs w:val="22"/>
          <w:lang w:eastAsia="en-US"/>
        </w:rPr>
        <w:t>9</w:t>
      </w:r>
      <w:r w:rsidR="007174D1" w:rsidRPr="00AC6A82">
        <w:rPr>
          <w:rFonts w:ascii="Calibri" w:eastAsia="Calibri" w:hAnsi="Calibri" w:cs="Calibri"/>
          <w:szCs w:val="22"/>
          <w:lang w:eastAsia="en-US"/>
        </w:rPr>
        <w:t>,</w:t>
      </w:r>
      <w:r w:rsidR="00DF6E82" w:rsidRPr="00AC6A82">
        <w:rPr>
          <w:rFonts w:ascii="Calibri" w:eastAsia="Calibri" w:hAnsi="Calibri" w:cs="Calibri"/>
          <w:szCs w:val="22"/>
          <w:lang w:eastAsia="en-US"/>
        </w:rPr>
        <w:t>89</w:t>
      </w:r>
      <w:r w:rsidR="007174D1" w:rsidRPr="00AC6A82">
        <w:rPr>
          <w:rFonts w:ascii="Calibri" w:eastAsia="Calibri" w:hAnsi="Calibri" w:cs="Calibri"/>
          <w:szCs w:val="22"/>
          <w:lang w:eastAsia="en-US"/>
        </w:rPr>
        <w:t xml:space="preserve"> пункта) в стойността на</w:t>
      </w:r>
      <w:r w:rsidR="00FE12A4">
        <w:rPr>
          <w:rFonts w:ascii="Calibri" w:eastAsia="Calibri" w:hAnsi="Calibri" w:cs="Calibri"/>
          <w:szCs w:val="22"/>
          <w:lang w:val="en-US" w:eastAsia="en-US"/>
        </w:rPr>
        <w:t xml:space="preserve"> </w:t>
      </w:r>
      <w:r w:rsidR="00DF6E82" w:rsidRPr="00AC6A82">
        <w:rPr>
          <w:rFonts w:ascii="Calibri" w:eastAsia="Calibri" w:hAnsi="Calibri" w:cs="Calibri"/>
          <w:szCs w:val="22"/>
          <w:lang w:eastAsia="en-US"/>
        </w:rPr>
        <w:t>BGTR30</w:t>
      </w:r>
      <w:r w:rsidR="007174D1" w:rsidRPr="00AC6A82">
        <w:rPr>
          <w:rFonts w:ascii="Calibri" w:eastAsia="Calibri" w:hAnsi="Calibri" w:cs="Calibri"/>
          <w:szCs w:val="22"/>
          <w:lang w:eastAsia="en-US"/>
        </w:rPr>
        <w:t>,</w:t>
      </w:r>
      <w:r w:rsidR="007174D1" w:rsidRPr="00AC6A82">
        <w:rPr>
          <w:rFonts w:ascii="Calibri" w:hAnsi="Calibri" w:cs="Calibri"/>
          <w:szCs w:val="22"/>
        </w:rPr>
        <w:t xml:space="preserve"> с </w:t>
      </w:r>
      <w:r w:rsidR="00DF6E82" w:rsidRPr="00AC6A82">
        <w:rPr>
          <w:rFonts w:ascii="Calibri" w:hAnsi="Calibri" w:cs="Calibri"/>
          <w:szCs w:val="22"/>
        </w:rPr>
        <w:t>0</w:t>
      </w:r>
      <w:r w:rsidR="007C048D" w:rsidRPr="00AC6A82">
        <w:rPr>
          <w:rFonts w:ascii="Calibri" w:eastAsia="Calibri" w:hAnsi="Calibri" w:cs="Calibri"/>
          <w:szCs w:val="22"/>
          <w:lang w:eastAsia="en-US"/>
        </w:rPr>
        <w:t>,</w:t>
      </w:r>
      <w:r w:rsidR="00DF6E82" w:rsidRPr="00AC6A82">
        <w:rPr>
          <w:rFonts w:ascii="Calibri" w:eastAsia="Calibri" w:hAnsi="Calibri" w:cs="Calibri"/>
          <w:szCs w:val="22"/>
          <w:lang w:eastAsia="en-US"/>
        </w:rPr>
        <w:t>31</w:t>
      </w:r>
      <w:r w:rsidR="00A648BD" w:rsidRPr="00AC6A82">
        <w:rPr>
          <w:rFonts w:ascii="Calibri" w:eastAsia="Calibri" w:hAnsi="Calibri" w:cs="Calibri"/>
          <w:szCs w:val="22"/>
          <w:lang w:eastAsia="en-US"/>
        </w:rPr>
        <w:t xml:space="preserve">% </w:t>
      </w:r>
      <w:r w:rsidR="00304480" w:rsidRPr="00AC6A82">
        <w:rPr>
          <w:rFonts w:ascii="Calibri" w:eastAsia="Calibri" w:hAnsi="Calibri" w:cs="Calibri"/>
          <w:szCs w:val="22"/>
          <w:lang w:eastAsia="en-US"/>
        </w:rPr>
        <w:t>(</w:t>
      </w:r>
      <w:r w:rsidR="00DF6E82" w:rsidRPr="00AC6A82">
        <w:rPr>
          <w:rFonts w:ascii="Calibri" w:eastAsia="Calibri" w:hAnsi="Calibri" w:cs="Calibri"/>
          <w:szCs w:val="22"/>
          <w:lang w:eastAsia="en-US"/>
        </w:rPr>
        <w:t>0</w:t>
      </w:r>
      <w:r w:rsidR="00BE0D96" w:rsidRPr="00AC6A82">
        <w:rPr>
          <w:rFonts w:ascii="Calibri" w:eastAsia="Calibri" w:hAnsi="Calibri" w:cs="Calibri"/>
          <w:szCs w:val="22"/>
          <w:lang w:eastAsia="en-US"/>
        </w:rPr>
        <w:t>.</w:t>
      </w:r>
      <w:r w:rsidR="00A00269" w:rsidRPr="00AC6A82">
        <w:rPr>
          <w:rFonts w:ascii="Calibri" w:eastAsia="Calibri" w:hAnsi="Calibri" w:cs="Calibri"/>
          <w:szCs w:val="22"/>
          <w:lang w:eastAsia="en-US"/>
        </w:rPr>
        <w:t>3</w:t>
      </w:r>
      <w:r w:rsidR="00DF6E82" w:rsidRPr="00AC6A82">
        <w:rPr>
          <w:rFonts w:ascii="Calibri" w:eastAsia="Calibri" w:hAnsi="Calibri" w:cs="Calibri"/>
          <w:szCs w:val="22"/>
          <w:lang w:eastAsia="en-US"/>
        </w:rPr>
        <w:t xml:space="preserve">6 </w:t>
      </w:r>
      <w:r w:rsidR="00304480" w:rsidRPr="00AC6A82">
        <w:rPr>
          <w:rFonts w:ascii="Calibri" w:eastAsia="Calibri" w:hAnsi="Calibri" w:cs="Calibri"/>
          <w:szCs w:val="22"/>
          <w:lang w:eastAsia="en-US"/>
        </w:rPr>
        <w:t>пункта)</w:t>
      </w:r>
      <w:r w:rsidR="00DF6E82" w:rsidRPr="00AC6A82">
        <w:rPr>
          <w:rFonts w:ascii="Calibri" w:eastAsia="Calibri" w:hAnsi="Calibri" w:cs="Calibri"/>
          <w:szCs w:val="22"/>
          <w:lang w:eastAsia="en-US"/>
        </w:rPr>
        <w:t xml:space="preserve"> се повиши </w:t>
      </w:r>
      <w:r w:rsidR="007174D1" w:rsidRPr="00AC6A82">
        <w:rPr>
          <w:rFonts w:ascii="Calibri" w:eastAsia="Calibri" w:hAnsi="Calibri" w:cs="Calibri"/>
          <w:szCs w:val="22"/>
          <w:lang w:eastAsia="en-US"/>
        </w:rPr>
        <w:t xml:space="preserve">стойността на </w:t>
      </w:r>
      <w:r w:rsidR="00DF6E82" w:rsidRPr="00AC6A82">
        <w:rPr>
          <w:rFonts w:ascii="Calibri" w:eastAsia="Calibri" w:hAnsi="Calibri" w:cs="Calibri"/>
          <w:szCs w:val="22"/>
          <w:lang w:eastAsia="en-US"/>
        </w:rPr>
        <w:t>BGBX40</w:t>
      </w:r>
      <w:r w:rsidR="007174D1" w:rsidRPr="00AC6A82">
        <w:rPr>
          <w:rFonts w:ascii="Calibri" w:eastAsia="Calibri" w:hAnsi="Calibri" w:cs="Calibri"/>
          <w:szCs w:val="22"/>
          <w:lang w:eastAsia="en-US"/>
        </w:rPr>
        <w:t xml:space="preserve">, </w:t>
      </w:r>
      <w:r w:rsidR="00DF6E82" w:rsidRPr="00AC6A82">
        <w:rPr>
          <w:rFonts w:ascii="Calibri" w:hAnsi="Calibri" w:cs="Calibri"/>
          <w:szCs w:val="22"/>
        </w:rPr>
        <w:t xml:space="preserve">с 0,36% </w:t>
      </w:r>
      <w:r w:rsidR="00AA422A" w:rsidRPr="00AC6A82">
        <w:rPr>
          <w:rFonts w:ascii="Calibri" w:hAnsi="Calibri" w:cs="Calibri"/>
          <w:szCs w:val="22"/>
        </w:rPr>
        <w:t xml:space="preserve">(0.43 пункта) </w:t>
      </w:r>
      <w:r w:rsidR="00BE0D96" w:rsidRPr="00AC6A82">
        <w:rPr>
          <w:rFonts w:ascii="Calibri" w:eastAsia="Calibri" w:hAnsi="Calibri" w:cs="Calibri"/>
          <w:szCs w:val="22"/>
          <w:lang w:eastAsia="en-US"/>
        </w:rPr>
        <w:t xml:space="preserve">спадна </w:t>
      </w:r>
      <w:r w:rsidR="00235F2F" w:rsidRPr="00AC6A82">
        <w:rPr>
          <w:rFonts w:ascii="Calibri" w:eastAsia="Calibri" w:hAnsi="Calibri" w:cs="Calibri"/>
          <w:szCs w:val="22"/>
          <w:lang w:eastAsia="en-US"/>
        </w:rPr>
        <w:t xml:space="preserve">BGREIT, а стойността на SOFIX намаля </w:t>
      </w:r>
      <w:r w:rsidR="00B11C24" w:rsidRPr="00AC6A82">
        <w:rPr>
          <w:rFonts w:ascii="Calibri" w:eastAsia="Calibri" w:hAnsi="Calibri" w:cs="Calibri"/>
          <w:szCs w:val="22"/>
          <w:lang w:eastAsia="en-US"/>
        </w:rPr>
        <w:t xml:space="preserve">с </w:t>
      </w:r>
      <w:r w:rsidR="00235F2F" w:rsidRPr="00AC6A82">
        <w:rPr>
          <w:rFonts w:ascii="Calibri" w:eastAsia="Calibri" w:hAnsi="Calibri" w:cs="Calibri"/>
          <w:szCs w:val="22"/>
          <w:lang w:eastAsia="en-US"/>
        </w:rPr>
        <w:t>1</w:t>
      </w:r>
      <w:r w:rsidR="00B11C24" w:rsidRPr="00AC6A82">
        <w:rPr>
          <w:rFonts w:ascii="Calibri" w:hAnsi="Calibri" w:cs="Calibri"/>
          <w:szCs w:val="22"/>
        </w:rPr>
        <w:t>,</w:t>
      </w:r>
      <w:r w:rsidR="00235F2F" w:rsidRPr="00AC6A82">
        <w:rPr>
          <w:rFonts w:ascii="Calibri" w:hAnsi="Calibri" w:cs="Calibri"/>
          <w:szCs w:val="22"/>
        </w:rPr>
        <w:t>78%</w:t>
      </w:r>
      <w:r w:rsidR="00B11C24" w:rsidRPr="00AC6A82">
        <w:rPr>
          <w:rFonts w:ascii="Calibri" w:hAnsi="Calibri" w:cs="Calibri"/>
          <w:szCs w:val="22"/>
        </w:rPr>
        <w:t xml:space="preserve"> (</w:t>
      </w:r>
      <w:r w:rsidR="00BE0D96" w:rsidRPr="00AC6A82">
        <w:rPr>
          <w:rFonts w:ascii="Calibri" w:hAnsi="Calibri" w:cs="Calibri"/>
          <w:szCs w:val="22"/>
        </w:rPr>
        <w:t>-</w:t>
      </w:r>
      <w:r w:rsidR="00235F2F" w:rsidRPr="00AC6A82">
        <w:rPr>
          <w:rFonts w:ascii="Calibri" w:hAnsi="Calibri" w:cs="Calibri"/>
          <w:szCs w:val="22"/>
        </w:rPr>
        <w:t>10</w:t>
      </w:r>
      <w:r w:rsidR="00B11C24" w:rsidRPr="00AC6A82">
        <w:rPr>
          <w:rFonts w:ascii="Calibri" w:hAnsi="Calibri" w:cs="Calibri"/>
          <w:szCs w:val="22"/>
        </w:rPr>
        <w:t>,</w:t>
      </w:r>
      <w:r w:rsidR="00235F2F" w:rsidRPr="00AC6A82">
        <w:rPr>
          <w:rFonts w:ascii="Calibri" w:hAnsi="Calibri" w:cs="Calibri"/>
          <w:szCs w:val="22"/>
        </w:rPr>
        <w:t>59</w:t>
      </w:r>
      <w:r w:rsidR="00B11C24" w:rsidRPr="00AC6A82">
        <w:rPr>
          <w:rFonts w:ascii="Calibri" w:hAnsi="Calibri" w:cs="Calibri"/>
          <w:szCs w:val="22"/>
        </w:rPr>
        <w:t xml:space="preserve"> пункта</w:t>
      </w:r>
      <w:r w:rsidR="007174D1" w:rsidRPr="00AC6A82">
        <w:rPr>
          <w:rFonts w:ascii="Calibri" w:hAnsi="Calibri" w:cs="Calibri"/>
          <w:szCs w:val="22"/>
        </w:rPr>
        <w:t>).</w:t>
      </w:r>
      <w:r w:rsidR="00A00269" w:rsidRPr="00AC6A82">
        <w:rPr>
          <w:rFonts w:ascii="Calibri" w:hAnsi="Calibri" w:cs="Calibri"/>
          <w:szCs w:val="22"/>
        </w:rPr>
        <w:t xml:space="preserve"> Прави впечатление, че през </w:t>
      </w:r>
      <w:r w:rsidR="00235F2F" w:rsidRPr="00AC6A82">
        <w:rPr>
          <w:rFonts w:ascii="Calibri" w:hAnsi="Calibri" w:cs="Calibri"/>
          <w:szCs w:val="22"/>
        </w:rPr>
        <w:t>Февруари и Март</w:t>
      </w:r>
      <w:r w:rsidR="00A00269" w:rsidRPr="00AC6A82">
        <w:rPr>
          <w:rFonts w:ascii="Calibri" w:hAnsi="Calibri" w:cs="Calibri"/>
          <w:szCs w:val="22"/>
        </w:rPr>
        <w:t xml:space="preserve"> имаше </w:t>
      </w:r>
      <w:r w:rsidR="00235F2F" w:rsidRPr="00AC6A82">
        <w:rPr>
          <w:rFonts w:ascii="Calibri" w:hAnsi="Calibri" w:cs="Calibri"/>
          <w:szCs w:val="22"/>
        </w:rPr>
        <w:t>възходящо</w:t>
      </w:r>
      <w:r w:rsidR="00A00269" w:rsidRPr="00AC6A82">
        <w:rPr>
          <w:rFonts w:ascii="Calibri" w:hAnsi="Calibri" w:cs="Calibri"/>
          <w:szCs w:val="22"/>
        </w:rPr>
        <w:t xml:space="preserve"> движение на индексите, </w:t>
      </w:r>
      <w:r w:rsidR="00235F2F" w:rsidRPr="00AC6A82">
        <w:rPr>
          <w:rFonts w:ascii="Calibri" w:hAnsi="Calibri" w:cs="Calibri"/>
          <w:szCs w:val="22"/>
        </w:rPr>
        <w:t>след ясно изразеното намаление в стойностите им през Януари</w:t>
      </w:r>
      <w:r w:rsidR="00A00269" w:rsidRPr="00AC6A82">
        <w:rPr>
          <w:rFonts w:ascii="Calibri" w:hAnsi="Calibri" w:cs="Calibri"/>
          <w:szCs w:val="22"/>
        </w:rPr>
        <w:t>.</w:t>
      </w:r>
    </w:p>
    <w:p w:rsidR="004D1FE8" w:rsidRPr="00AC6A82" w:rsidRDefault="004D1FE8">
      <w:pPr>
        <w:widowControl/>
        <w:spacing w:line="240" w:lineRule="auto"/>
        <w:jc w:val="left"/>
        <w:rPr>
          <w:rFonts w:ascii="Calibri" w:hAnsi="Calibri" w:cs="Calibri"/>
          <w:szCs w:val="22"/>
        </w:rPr>
      </w:pPr>
      <w:r w:rsidRPr="00AC6A82">
        <w:rPr>
          <w:rFonts w:ascii="Calibri" w:hAnsi="Calibri" w:cs="Calibri"/>
          <w:szCs w:val="22"/>
        </w:rPr>
        <w:br w:type="page"/>
      </w:r>
    </w:p>
    <w:tbl>
      <w:tblPr>
        <w:tblStyle w:val="TableGrid"/>
        <w:tblW w:w="1024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5270"/>
        <w:gridCol w:w="4972"/>
      </w:tblGrid>
      <w:tr w:rsidR="00864645" w:rsidRPr="00AC6A82" w:rsidTr="00B36B10">
        <w:trPr>
          <w:trHeight w:val="170"/>
          <w:jc w:val="center"/>
        </w:trPr>
        <w:tc>
          <w:tcPr>
            <w:tcW w:w="5270" w:type="dxa"/>
          </w:tcPr>
          <w:p w:rsidR="004047F5" w:rsidRPr="00AC6A82" w:rsidRDefault="00B11C24" w:rsidP="00235F2F">
            <w:pPr>
              <w:jc w:val="center"/>
              <w:rPr>
                <w:rFonts w:ascii="Calibri" w:hAnsi="Calibri" w:cs="Calibri"/>
                <w:b/>
              </w:rPr>
            </w:pPr>
            <w:r w:rsidRPr="00AC6A82">
              <w:rPr>
                <w:rFonts w:ascii="Calibri" w:hAnsi="Calibri" w:cs="Calibri"/>
                <w:b/>
              </w:rPr>
              <w:t xml:space="preserve">SOFIX </w:t>
            </w:r>
            <w:r w:rsidR="007174D1" w:rsidRPr="00AC6A82">
              <w:rPr>
                <w:rFonts w:ascii="Calibri" w:hAnsi="Calibri" w:cs="Calibri"/>
                <w:b/>
              </w:rPr>
              <w:t>Q</w:t>
            </w:r>
            <w:r w:rsidR="00235F2F" w:rsidRPr="00AC6A82">
              <w:rPr>
                <w:rFonts w:ascii="Calibri" w:hAnsi="Calibri" w:cs="Calibri"/>
                <w:b/>
              </w:rPr>
              <w:t>1</w:t>
            </w:r>
            <w:r w:rsidR="007756A8" w:rsidRPr="00AC6A82">
              <w:rPr>
                <w:rFonts w:ascii="Calibri" w:hAnsi="Calibri" w:cs="Calibri"/>
                <w:b/>
              </w:rPr>
              <w:t xml:space="preserve"> ‘</w:t>
            </w:r>
            <w:r w:rsidR="00235F2F" w:rsidRPr="00AC6A82">
              <w:rPr>
                <w:rFonts w:ascii="Calibri" w:hAnsi="Calibri" w:cs="Calibri"/>
                <w:b/>
              </w:rPr>
              <w:t>19</w:t>
            </w:r>
          </w:p>
        </w:tc>
        <w:tc>
          <w:tcPr>
            <w:tcW w:w="4972" w:type="dxa"/>
          </w:tcPr>
          <w:p w:rsidR="004047F5" w:rsidRPr="00AC6A82" w:rsidRDefault="007756A8" w:rsidP="00160306">
            <w:pPr>
              <w:jc w:val="center"/>
              <w:rPr>
                <w:rFonts w:ascii="Calibri" w:hAnsi="Calibri" w:cs="Calibri"/>
                <w:b/>
              </w:rPr>
            </w:pPr>
            <w:r w:rsidRPr="00AC6A82">
              <w:rPr>
                <w:rFonts w:ascii="Calibri" w:hAnsi="Calibri" w:cs="Calibri"/>
                <w:b/>
              </w:rPr>
              <w:t xml:space="preserve">BGTR30 </w:t>
            </w:r>
            <w:r w:rsidR="007174D1" w:rsidRPr="00AC6A82">
              <w:rPr>
                <w:rFonts w:ascii="Calibri" w:hAnsi="Calibri" w:cs="Calibri"/>
                <w:b/>
              </w:rPr>
              <w:t>Q</w:t>
            </w:r>
            <w:r w:rsidR="00235F2F" w:rsidRPr="00AC6A82">
              <w:rPr>
                <w:rFonts w:ascii="Calibri" w:hAnsi="Calibri" w:cs="Calibri"/>
                <w:b/>
              </w:rPr>
              <w:t>1</w:t>
            </w:r>
            <w:r w:rsidRPr="00AC6A82">
              <w:rPr>
                <w:rFonts w:ascii="Calibri" w:hAnsi="Calibri" w:cs="Calibri"/>
                <w:b/>
              </w:rPr>
              <w:t xml:space="preserve"> ‘1</w:t>
            </w:r>
            <w:r w:rsidR="00235F2F" w:rsidRPr="00AC6A82">
              <w:rPr>
                <w:rFonts w:ascii="Calibri" w:hAnsi="Calibri" w:cs="Calibri"/>
                <w:b/>
              </w:rPr>
              <w:t>9</w:t>
            </w:r>
          </w:p>
        </w:tc>
      </w:tr>
      <w:tr w:rsidR="00864645" w:rsidRPr="00AC6A82" w:rsidTr="00B36B10">
        <w:trPr>
          <w:trHeight w:val="170"/>
          <w:jc w:val="center"/>
        </w:trPr>
        <w:tc>
          <w:tcPr>
            <w:tcW w:w="5270" w:type="dxa"/>
          </w:tcPr>
          <w:p w:rsidR="004047F5" w:rsidRPr="00AC6A82" w:rsidRDefault="00235F2F" w:rsidP="001A50AB">
            <w:pPr>
              <w:rPr>
                <w:rFonts w:ascii="Calibri" w:hAnsi="Calibri" w:cs="Calibri"/>
              </w:rPr>
            </w:pPr>
            <w:r w:rsidRPr="00AC6A82">
              <w:rPr>
                <w:rFonts w:ascii="Calibri" w:hAnsi="Calibri" w:cs="Calibri"/>
                <w:noProof/>
              </w:rPr>
              <w:drawing>
                <wp:inline distT="0" distB="0" distL="0" distR="0">
                  <wp:extent cx="3212275" cy="2338391"/>
                  <wp:effectExtent l="0" t="0" r="0" b="0"/>
                  <wp:docPr id="22" name="Диаграма 6">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7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c>
          <w:tcPr>
            <w:tcW w:w="4972" w:type="dxa"/>
          </w:tcPr>
          <w:p w:rsidR="004047F5" w:rsidRPr="00AC6A82" w:rsidRDefault="00235F2F" w:rsidP="001A50AB">
            <w:pPr>
              <w:rPr>
                <w:rFonts w:ascii="Calibri" w:hAnsi="Calibri" w:cs="Calibri"/>
              </w:rPr>
            </w:pPr>
            <w:r w:rsidRPr="00AC6A82">
              <w:rPr>
                <w:rFonts w:ascii="Calibri" w:hAnsi="Calibri" w:cs="Calibri"/>
                <w:noProof/>
              </w:rPr>
              <w:drawing>
                <wp:inline distT="0" distB="0" distL="0" distR="0">
                  <wp:extent cx="3063834" cy="2339439"/>
                  <wp:effectExtent l="0" t="0" r="0" b="0"/>
                  <wp:docPr id="23" name="Диаграма 7">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7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r>
    </w:tbl>
    <w:p w:rsidR="001F6A69" w:rsidRPr="00AC6A82" w:rsidRDefault="001F6A69" w:rsidP="001A50AB">
      <w:pPr>
        <w:rPr>
          <w:rFonts w:ascii="Calibri" w:hAnsi="Calibri" w:cs="Calibri"/>
          <w:sz w:val="12"/>
          <w:szCs w:val="12"/>
        </w:rPr>
      </w:pPr>
    </w:p>
    <w:tbl>
      <w:tblPr>
        <w:tblStyle w:val="TableGrid"/>
        <w:tblW w:w="10251"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5249"/>
        <w:gridCol w:w="5002"/>
      </w:tblGrid>
      <w:tr w:rsidR="004047F5" w:rsidRPr="00AC6A82" w:rsidTr="00367F26">
        <w:trPr>
          <w:trHeight w:val="74"/>
          <w:jc w:val="center"/>
        </w:trPr>
        <w:tc>
          <w:tcPr>
            <w:tcW w:w="5249" w:type="dxa"/>
          </w:tcPr>
          <w:p w:rsidR="004047F5" w:rsidRPr="00AC6A82" w:rsidRDefault="007756A8" w:rsidP="00160306">
            <w:pPr>
              <w:jc w:val="center"/>
              <w:rPr>
                <w:rFonts w:ascii="Calibri" w:hAnsi="Calibri" w:cs="Calibri"/>
                <w:b/>
              </w:rPr>
            </w:pPr>
            <w:r w:rsidRPr="00AC6A82">
              <w:rPr>
                <w:rFonts w:ascii="Calibri" w:hAnsi="Calibri" w:cs="Calibri"/>
                <w:b/>
              </w:rPr>
              <w:t>BGBX</w:t>
            </w:r>
            <w:r w:rsidR="00731DD7" w:rsidRPr="00AC6A82">
              <w:rPr>
                <w:rFonts w:ascii="Calibri" w:hAnsi="Calibri" w:cs="Calibri"/>
                <w:b/>
              </w:rPr>
              <w:t>40</w:t>
            </w:r>
            <w:r w:rsidR="00235F2F" w:rsidRPr="00AC6A82">
              <w:rPr>
                <w:rFonts w:ascii="Calibri" w:hAnsi="Calibri" w:cs="Calibri"/>
                <w:b/>
              </w:rPr>
              <w:t xml:space="preserve"> </w:t>
            </w:r>
            <w:r w:rsidR="007174D1" w:rsidRPr="00AC6A82">
              <w:rPr>
                <w:rFonts w:ascii="Calibri" w:hAnsi="Calibri" w:cs="Calibri"/>
                <w:b/>
              </w:rPr>
              <w:t>Q</w:t>
            </w:r>
            <w:r w:rsidR="00235F2F" w:rsidRPr="00AC6A82">
              <w:rPr>
                <w:rFonts w:ascii="Calibri" w:hAnsi="Calibri" w:cs="Calibri"/>
                <w:b/>
              </w:rPr>
              <w:t>1</w:t>
            </w:r>
            <w:r w:rsidR="00FE1E9C" w:rsidRPr="00AC6A82">
              <w:rPr>
                <w:rFonts w:ascii="Calibri" w:hAnsi="Calibri" w:cs="Calibri"/>
                <w:b/>
              </w:rPr>
              <w:t xml:space="preserve"> ‘1</w:t>
            </w:r>
            <w:r w:rsidR="00235F2F" w:rsidRPr="00AC6A82">
              <w:rPr>
                <w:rFonts w:ascii="Calibri" w:hAnsi="Calibri" w:cs="Calibri"/>
                <w:b/>
              </w:rPr>
              <w:t>9</w:t>
            </w:r>
          </w:p>
        </w:tc>
        <w:tc>
          <w:tcPr>
            <w:tcW w:w="5002" w:type="dxa"/>
          </w:tcPr>
          <w:p w:rsidR="004047F5" w:rsidRPr="00AC6A82" w:rsidRDefault="007756A8" w:rsidP="00235F2F">
            <w:pPr>
              <w:jc w:val="center"/>
              <w:rPr>
                <w:rFonts w:ascii="Calibri" w:hAnsi="Calibri" w:cs="Calibri"/>
                <w:b/>
              </w:rPr>
            </w:pPr>
            <w:r w:rsidRPr="00AC6A82">
              <w:rPr>
                <w:rFonts w:ascii="Calibri" w:hAnsi="Calibri" w:cs="Calibri"/>
                <w:b/>
              </w:rPr>
              <w:t xml:space="preserve">BGREIT </w:t>
            </w:r>
            <w:r w:rsidR="007174D1" w:rsidRPr="00AC6A82">
              <w:rPr>
                <w:rFonts w:ascii="Calibri" w:hAnsi="Calibri" w:cs="Calibri"/>
                <w:b/>
              </w:rPr>
              <w:t>Q</w:t>
            </w:r>
            <w:r w:rsidR="00235F2F" w:rsidRPr="00AC6A82">
              <w:rPr>
                <w:rFonts w:ascii="Calibri" w:hAnsi="Calibri" w:cs="Calibri"/>
                <w:b/>
              </w:rPr>
              <w:t>1</w:t>
            </w:r>
            <w:r w:rsidR="00806EF6" w:rsidRPr="00AC6A82">
              <w:rPr>
                <w:rFonts w:ascii="Calibri" w:hAnsi="Calibri" w:cs="Calibri"/>
                <w:b/>
              </w:rPr>
              <w:t xml:space="preserve"> ‘1</w:t>
            </w:r>
            <w:r w:rsidR="00235F2F" w:rsidRPr="00AC6A82">
              <w:rPr>
                <w:rFonts w:ascii="Calibri" w:hAnsi="Calibri" w:cs="Calibri"/>
                <w:b/>
              </w:rPr>
              <w:t>9</w:t>
            </w:r>
          </w:p>
        </w:tc>
      </w:tr>
      <w:tr w:rsidR="004047F5" w:rsidRPr="00AC6A82" w:rsidTr="00A00269">
        <w:trPr>
          <w:jc w:val="center"/>
        </w:trPr>
        <w:tc>
          <w:tcPr>
            <w:tcW w:w="5249" w:type="dxa"/>
          </w:tcPr>
          <w:p w:rsidR="004047F5" w:rsidRPr="00AC6A82" w:rsidRDefault="00235F2F" w:rsidP="00367F26">
            <w:pPr>
              <w:jc w:val="center"/>
              <w:rPr>
                <w:rFonts w:ascii="Calibri" w:hAnsi="Calibri" w:cs="Calibri"/>
              </w:rPr>
            </w:pPr>
            <w:r w:rsidRPr="00AC6A82">
              <w:rPr>
                <w:rFonts w:ascii="Calibri" w:hAnsi="Calibri" w:cs="Calibri"/>
                <w:noProof/>
              </w:rPr>
              <w:drawing>
                <wp:inline distT="0" distB="0" distL="0" distR="0">
                  <wp:extent cx="2986644" cy="2369127"/>
                  <wp:effectExtent l="0" t="0" r="0" b="0"/>
                  <wp:docPr id="24" name="Диаграма 8">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7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c>
          <w:tcPr>
            <w:tcW w:w="5002" w:type="dxa"/>
          </w:tcPr>
          <w:p w:rsidR="004047F5" w:rsidRPr="00AC6A82" w:rsidRDefault="00235F2F" w:rsidP="00367F26">
            <w:pPr>
              <w:jc w:val="center"/>
              <w:rPr>
                <w:rFonts w:ascii="Calibri" w:hAnsi="Calibri" w:cs="Calibri"/>
              </w:rPr>
            </w:pPr>
            <w:r w:rsidRPr="00AC6A82">
              <w:rPr>
                <w:rFonts w:ascii="Calibri" w:hAnsi="Calibri" w:cs="Calibri"/>
                <w:noProof/>
              </w:rPr>
              <w:drawing>
                <wp:inline distT="0" distB="0" distL="0" distR="0">
                  <wp:extent cx="2980707" cy="2369127"/>
                  <wp:effectExtent l="0" t="0" r="0" b="0"/>
                  <wp:docPr id="25" name="Диаграма 9">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7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bl>
    <w:p w:rsidR="001A0C3E" w:rsidRPr="00AC6A82" w:rsidRDefault="001A0C3E" w:rsidP="001A50AB">
      <w:pPr>
        <w:pStyle w:val="Mainnumbers"/>
        <w:rPr>
          <w:rFonts w:ascii="Calibri" w:hAnsi="Calibri" w:cs="Calibri"/>
        </w:rPr>
      </w:pPr>
      <w:bookmarkStart w:id="24" w:name="_Toc283112107"/>
      <w:bookmarkStart w:id="25" w:name="_Toc7535423"/>
      <w:r w:rsidRPr="00AC6A82">
        <w:rPr>
          <w:rFonts w:ascii="Calibri" w:hAnsi="Calibri" w:cs="Calibri"/>
        </w:rPr>
        <w:t xml:space="preserve">Приватизация през </w:t>
      </w:r>
      <w:r w:rsidR="00415B34" w:rsidRPr="00AC6A82">
        <w:rPr>
          <w:rFonts w:ascii="Calibri" w:hAnsi="Calibri" w:cs="Calibri"/>
        </w:rPr>
        <w:t>Борсата</w:t>
      </w:r>
      <w:bookmarkEnd w:id="24"/>
      <w:bookmarkEnd w:id="25"/>
    </w:p>
    <w:p w:rsidR="00894006" w:rsidRPr="00AC6A82" w:rsidRDefault="00A4026C" w:rsidP="001A50AB">
      <w:pPr>
        <w:rPr>
          <w:rFonts w:ascii="Calibri" w:hAnsi="Calibri" w:cs="Calibri"/>
        </w:rPr>
      </w:pPr>
      <w:bookmarkStart w:id="26" w:name="_Toc283112110"/>
      <w:r w:rsidRPr="00AC6A82">
        <w:rPr>
          <w:rFonts w:ascii="Calibri" w:hAnsi="Calibri" w:cs="Calibri"/>
        </w:rPr>
        <w:t xml:space="preserve">През </w:t>
      </w:r>
      <w:r w:rsidR="00235F2F" w:rsidRPr="00AC6A82">
        <w:rPr>
          <w:rFonts w:ascii="Calibri" w:hAnsi="Calibri" w:cs="Calibri"/>
        </w:rPr>
        <w:t xml:space="preserve">първото </w:t>
      </w:r>
      <w:r w:rsidR="00367F26" w:rsidRPr="00AC6A82">
        <w:rPr>
          <w:rFonts w:ascii="Calibri" w:hAnsi="Calibri" w:cs="Calibri"/>
        </w:rPr>
        <w:t>три</w:t>
      </w:r>
      <w:r w:rsidRPr="00AC6A82">
        <w:rPr>
          <w:rFonts w:ascii="Calibri" w:hAnsi="Calibri" w:cs="Calibri"/>
        </w:rPr>
        <w:t>месечие няма регистрирани емисии на сегмент за приватизация.</w:t>
      </w:r>
    </w:p>
    <w:p w:rsidR="00E25C24" w:rsidRPr="00AC6A82" w:rsidRDefault="00326727" w:rsidP="001A50AB">
      <w:pPr>
        <w:pStyle w:val="Mainnumbers"/>
        <w:rPr>
          <w:rFonts w:ascii="Calibri" w:hAnsi="Calibri" w:cs="Calibri"/>
        </w:rPr>
      </w:pPr>
      <w:bookmarkStart w:id="27" w:name="_Toc7535424"/>
      <w:r w:rsidRPr="00AC6A82">
        <w:rPr>
          <w:rFonts w:ascii="Calibri" w:hAnsi="Calibri" w:cs="Calibri"/>
        </w:rPr>
        <w:t xml:space="preserve">Основни дейности и събития през </w:t>
      </w:r>
      <w:r w:rsidR="00BA3CC7" w:rsidRPr="00AC6A82">
        <w:rPr>
          <w:rFonts w:ascii="Calibri" w:hAnsi="Calibri" w:cs="Calibri"/>
        </w:rPr>
        <w:t>отчетното</w:t>
      </w:r>
      <w:r w:rsidR="004E221E" w:rsidRPr="00AC6A82">
        <w:rPr>
          <w:rFonts w:ascii="Calibri" w:hAnsi="Calibri" w:cs="Calibri"/>
        </w:rPr>
        <w:t xml:space="preserve"> </w:t>
      </w:r>
      <w:r w:rsidR="00E9002C" w:rsidRPr="00AC6A82">
        <w:rPr>
          <w:rFonts w:ascii="Calibri" w:hAnsi="Calibri" w:cs="Calibri"/>
        </w:rPr>
        <w:t>три</w:t>
      </w:r>
      <w:r w:rsidR="00122383" w:rsidRPr="00AC6A82">
        <w:rPr>
          <w:rFonts w:ascii="Calibri" w:hAnsi="Calibri" w:cs="Calibri"/>
        </w:rPr>
        <w:t xml:space="preserve">месечие на </w:t>
      </w:r>
      <w:r w:rsidRPr="00AC6A82">
        <w:rPr>
          <w:rFonts w:ascii="Calibri" w:hAnsi="Calibri" w:cs="Calibri"/>
        </w:rPr>
        <w:t>201</w:t>
      </w:r>
      <w:r w:rsidR="004E221E" w:rsidRPr="00AC6A82">
        <w:rPr>
          <w:rFonts w:ascii="Calibri" w:hAnsi="Calibri" w:cs="Calibri"/>
        </w:rPr>
        <w:t xml:space="preserve">9 </w:t>
      </w:r>
      <w:r w:rsidRPr="00AC6A82">
        <w:rPr>
          <w:rFonts w:ascii="Calibri" w:hAnsi="Calibri" w:cs="Calibri"/>
        </w:rPr>
        <w:t>г.</w:t>
      </w:r>
      <w:bookmarkStart w:id="28" w:name="_Toc283112115"/>
      <w:bookmarkEnd w:id="26"/>
      <w:bookmarkEnd w:id="27"/>
    </w:p>
    <w:p w:rsidR="00040C03" w:rsidRPr="00AC6A82" w:rsidRDefault="00117568" w:rsidP="003030DD">
      <w:pPr>
        <w:pStyle w:val="SubNumbers"/>
      </w:pPr>
      <w:bookmarkStart w:id="29" w:name="_Toc7535425"/>
      <w:bookmarkStart w:id="30" w:name="_Toc481069699"/>
      <w:bookmarkStart w:id="31" w:name="_Toc402281934"/>
      <w:bookmarkEnd w:id="28"/>
      <w:r w:rsidRPr="00AC6A82">
        <w:t>БФБ отличи посредниците с най-добри резултати през 2018 година</w:t>
      </w:r>
      <w:bookmarkEnd w:id="29"/>
    </w:p>
    <w:p w:rsidR="00117568" w:rsidRPr="00AC6A82" w:rsidRDefault="00117568" w:rsidP="003B4152">
      <w:pPr>
        <w:rPr>
          <w:rFonts w:ascii="Calibri" w:hAnsi="Calibri"/>
        </w:rPr>
      </w:pPr>
      <w:r w:rsidRPr="00AC6A82">
        <w:rPr>
          <w:rFonts w:ascii="Calibri" w:hAnsi="Calibri"/>
        </w:rPr>
        <w:t>Българска фондова борса отличи инвестиционните посредници, постигнали най-високи резултати през 2018 г. Броят на сделките на регулиран пазар за изминалата година е 54 341 и отбелязва спад от 47% спрямо 2017 г. На 550 040 936 лв. възлиза оборотът на БФБ през 2018 г. като това е с 28% по-малко в сравнение с предишната година.</w:t>
      </w:r>
    </w:p>
    <w:p w:rsidR="00117568" w:rsidRPr="00AC6A82" w:rsidRDefault="00117568" w:rsidP="003B4152">
      <w:pPr>
        <w:rPr>
          <w:rFonts w:ascii="Calibri" w:hAnsi="Calibri"/>
        </w:rPr>
      </w:pPr>
      <w:r w:rsidRPr="00AC6A82">
        <w:rPr>
          <w:rFonts w:ascii="Calibri" w:hAnsi="Calibri"/>
        </w:rPr>
        <w:t>На церемонията, която се провежда за 18-ти път в историята на Фондовата борса, бяха присъдени следните награди:</w:t>
      </w:r>
    </w:p>
    <w:p w:rsidR="00117568" w:rsidRPr="00AC6A82" w:rsidRDefault="00117568" w:rsidP="003B4152">
      <w:pPr>
        <w:rPr>
          <w:rFonts w:ascii="Calibri" w:hAnsi="Calibri"/>
        </w:rPr>
      </w:pPr>
      <w:r w:rsidRPr="00AC6A82">
        <w:rPr>
          <w:rFonts w:ascii="Calibri" w:hAnsi="Calibri"/>
        </w:rPr>
        <w:t>За инвестиционен посредник, сключил най-много сделки на БФБ през 2018 г.:</w:t>
      </w:r>
    </w:p>
    <w:p w:rsidR="00117568" w:rsidRPr="00AC6A82" w:rsidRDefault="00117568" w:rsidP="00117568">
      <w:pPr>
        <w:pStyle w:val="ListParagraph"/>
        <w:numPr>
          <w:ilvl w:val="0"/>
          <w:numId w:val="22"/>
        </w:numPr>
        <w:rPr>
          <w:rFonts w:ascii="Calibri" w:hAnsi="Calibri"/>
        </w:rPr>
      </w:pPr>
      <w:r w:rsidRPr="00AC6A82">
        <w:rPr>
          <w:rFonts w:ascii="Calibri" w:hAnsi="Calibri"/>
        </w:rPr>
        <w:t>1-во място: Карол АД</w:t>
      </w:r>
    </w:p>
    <w:p w:rsidR="00117568" w:rsidRPr="00AC6A82" w:rsidRDefault="00117568" w:rsidP="00117568">
      <w:pPr>
        <w:pStyle w:val="ListParagraph"/>
        <w:numPr>
          <w:ilvl w:val="0"/>
          <w:numId w:val="22"/>
        </w:numPr>
        <w:rPr>
          <w:rFonts w:ascii="Calibri" w:hAnsi="Calibri"/>
        </w:rPr>
      </w:pPr>
      <w:r w:rsidRPr="00AC6A82">
        <w:rPr>
          <w:rFonts w:ascii="Calibri" w:hAnsi="Calibri"/>
        </w:rPr>
        <w:t>2-ро място: Елана Трейдинг АД</w:t>
      </w:r>
    </w:p>
    <w:p w:rsidR="00117568" w:rsidRPr="00AC6A82" w:rsidRDefault="00117568" w:rsidP="00117568">
      <w:pPr>
        <w:pStyle w:val="ListParagraph"/>
        <w:numPr>
          <w:ilvl w:val="0"/>
          <w:numId w:val="22"/>
        </w:numPr>
        <w:rPr>
          <w:rFonts w:ascii="Calibri" w:hAnsi="Calibri"/>
        </w:rPr>
      </w:pPr>
      <w:r w:rsidRPr="00AC6A82">
        <w:rPr>
          <w:rFonts w:ascii="Calibri" w:hAnsi="Calibri"/>
        </w:rPr>
        <w:t>3-то място: БенчМарк Финанс АД</w:t>
      </w:r>
    </w:p>
    <w:p w:rsidR="00117568" w:rsidRPr="00AC6A82" w:rsidRDefault="00117568" w:rsidP="003B4152">
      <w:pPr>
        <w:rPr>
          <w:rFonts w:ascii="Calibri" w:hAnsi="Calibri"/>
        </w:rPr>
      </w:pPr>
      <w:r w:rsidRPr="00AC6A82">
        <w:rPr>
          <w:rFonts w:ascii="Calibri" w:hAnsi="Calibri"/>
        </w:rPr>
        <w:t>За инвестиционен посредник, реализирал най-висок оборот на БФБ през 2018 г.:</w:t>
      </w:r>
    </w:p>
    <w:p w:rsidR="00117568" w:rsidRPr="00AC6A82" w:rsidRDefault="00117568" w:rsidP="00117568">
      <w:pPr>
        <w:pStyle w:val="ListParagraph"/>
        <w:numPr>
          <w:ilvl w:val="0"/>
          <w:numId w:val="23"/>
        </w:numPr>
        <w:rPr>
          <w:rFonts w:ascii="Calibri" w:hAnsi="Calibri"/>
        </w:rPr>
      </w:pPr>
      <w:r w:rsidRPr="00AC6A82">
        <w:rPr>
          <w:rFonts w:ascii="Calibri" w:hAnsi="Calibri"/>
        </w:rPr>
        <w:t xml:space="preserve">1-во място: Първа Финансова Брокерска Къща ЕООД </w:t>
      </w:r>
    </w:p>
    <w:p w:rsidR="00117568" w:rsidRPr="00AC6A82" w:rsidRDefault="00117568" w:rsidP="00117568">
      <w:pPr>
        <w:pStyle w:val="ListParagraph"/>
        <w:numPr>
          <w:ilvl w:val="0"/>
          <w:numId w:val="23"/>
        </w:numPr>
        <w:rPr>
          <w:rFonts w:ascii="Calibri" w:hAnsi="Calibri"/>
        </w:rPr>
      </w:pPr>
      <w:r w:rsidRPr="00AC6A82">
        <w:rPr>
          <w:rFonts w:ascii="Calibri" w:hAnsi="Calibri"/>
        </w:rPr>
        <w:t>2-ро място: Евро - Финанс АД</w:t>
      </w:r>
    </w:p>
    <w:p w:rsidR="00117568" w:rsidRPr="00AC6A82" w:rsidRDefault="00117568" w:rsidP="00117568">
      <w:pPr>
        <w:pStyle w:val="ListParagraph"/>
        <w:numPr>
          <w:ilvl w:val="0"/>
          <w:numId w:val="23"/>
        </w:numPr>
        <w:rPr>
          <w:rFonts w:ascii="Calibri" w:hAnsi="Calibri"/>
        </w:rPr>
      </w:pPr>
      <w:r w:rsidRPr="00AC6A82">
        <w:rPr>
          <w:rFonts w:ascii="Calibri" w:hAnsi="Calibri"/>
        </w:rPr>
        <w:t>3-то място: Карол АД</w:t>
      </w:r>
    </w:p>
    <w:p w:rsidR="00117568" w:rsidRPr="00AC6A82" w:rsidRDefault="00117568" w:rsidP="003B4152">
      <w:pPr>
        <w:rPr>
          <w:rFonts w:ascii="Calibri" w:hAnsi="Calibri"/>
        </w:rPr>
      </w:pPr>
      <w:r w:rsidRPr="00AC6A82">
        <w:rPr>
          <w:rFonts w:ascii="Calibri" w:hAnsi="Calibri"/>
        </w:rPr>
        <w:t>Градус АД получи наградата за емитент с най-голям принос за развитието на капиталовия пазар през изминалата година.</w:t>
      </w:r>
    </w:p>
    <w:p w:rsidR="00117568" w:rsidRPr="00AC6A82" w:rsidRDefault="00117568" w:rsidP="003B4152">
      <w:pPr>
        <w:rPr>
          <w:rFonts w:ascii="Calibri" w:hAnsi="Calibri"/>
        </w:rPr>
      </w:pPr>
      <w:r w:rsidRPr="00AC6A82">
        <w:rPr>
          <w:rFonts w:ascii="Calibri" w:hAnsi="Calibri"/>
        </w:rPr>
        <w:t>Отличията за медии с най-голям и сериозен принос при популяризирането на капиталовия пазар през 2018 г. бяха присъдени на Bloomberg TV Bulgaria и Profit.bg.</w:t>
      </w:r>
    </w:p>
    <w:p w:rsidR="003B4152" w:rsidRPr="00AC6A82" w:rsidRDefault="00117568" w:rsidP="003B4152">
      <w:pPr>
        <w:rPr>
          <w:rFonts w:ascii="Calibri" w:hAnsi="Calibri" w:cs="Calibri"/>
        </w:rPr>
      </w:pPr>
      <w:r w:rsidRPr="00AC6A82">
        <w:rPr>
          <w:rFonts w:ascii="Calibri" w:hAnsi="Calibri"/>
        </w:rPr>
        <w:t>Народният представител Делян Добрев беше отличен за личност с най-голям принос за развитието на капиталовия пазар през изминалата година.</w:t>
      </w:r>
    </w:p>
    <w:p w:rsidR="00117568" w:rsidRPr="00AC6A82" w:rsidRDefault="00117568" w:rsidP="00117568">
      <w:pPr>
        <w:pStyle w:val="SubNumbers"/>
      </w:pPr>
      <w:bookmarkStart w:id="32" w:name="_Toc7535426"/>
      <w:r w:rsidRPr="00AC6A82">
        <w:t>Българска фондова борса обяви новите си стипендианти</w:t>
      </w:r>
      <w:bookmarkEnd w:id="32"/>
    </w:p>
    <w:p w:rsidR="00117568" w:rsidRPr="00AC6A82" w:rsidRDefault="00117568" w:rsidP="0064287B">
      <w:pPr>
        <w:rPr>
          <w:rFonts w:ascii="Calibri" w:hAnsi="Calibri"/>
        </w:rPr>
      </w:pPr>
      <w:r w:rsidRPr="00AC6A82">
        <w:rPr>
          <w:rFonts w:ascii="Calibri" w:hAnsi="Calibri"/>
        </w:rPr>
        <w:t>Българска фондова борса обяви победителите в петото издание на конкурса за CFA стипендии. Това са: Слави Колев, работещ в ИТ сектора и Михаил Димитров, студент в Икономическия университет в гр. Варна.</w:t>
      </w:r>
    </w:p>
    <w:p w:rsidR="00117568" w:rsidRPr="00AC6A82" w:rsidRDefault="00117568" w:rsidP="0064287B">
      <w:pPr>
        <w:rPr>
          <w:rFonts w:ascii="Calibri" w:hAnsi="Calibri"/>
        </w:rPr>
      </w:pPr>
      <w:r w:rsidRPr="00AC6A82">
        <w:rPr>
          <w:rFonts w:ascii="Calibri" w:hAnsi="Calibri"/>
        </w:rPr>
        <w:t>БФБ ще подпомогне двамата при явяването на изпит за първо ниво на професионалната акредитация Chartered Financial Analyst (CFA) като покрие таксите им за регистрация за изпита.</w:t>
      </w:r>
    </w:p>
    <w:p w:rsidR="00117568" w:rsidRPr="00AC6A82" w:rsidRDefault="00117568" w:rsidP="0064287B">
      <w:pPr>
        <w:rPr>
          <w:rFonts w:ascii="Calibri" w:hAnsi="Calibri"/>
        </w:rPr>
      </w:pPr>
      <w:r w:rsidRPr="00AC6A82">
        <w:rPr>
          <w:rFonts w:ascii="Calibri" w:hAnsi="Calibri"/>
        </w:rPr>
        <w:t xml:space="preserve">Конкурсът се провежда за пета година и премина през два етапа – подбор по документи на кандидатите и изпит. В конкурса участваха 14 души, сред които възпитаници на Висшето училище по застраховане и финанси, Икономическия университет в гр. Варна, Нов български университет, Сити Юнивърсити, Стопанската академия в гр. Свищов, Техническия университет, Университета за национално и световно стопанство и работещи вече във финансовата и технологична сфера. </w:t>
      </w:r>
    </w:p>
    <w:p w:rsidR="00117568" w:rsidRPr="00AC6A82" w:rsidRDefault="00117568" w:rsidP="0064287B">
      <w:pPr>
        <w:rPr>
          <w:rFonts w:ascii="Calibri" w:hAnsi="Calibri"/>
        </w:rPr>
      </w:pPr>
      <w:r w:rsidRPr="00AC6A82">
        <w:rPr>
          <w:rFonts w:ascii="Calibri" w:hAnsi="Calibri"/>
        </w:rPr>
        <w:t>12 кандидата бяха одобрени за явяване на изпита, който отново се проведе в партньорство с обучителната компания Kaplan Schweser. Избраните стипендианти постигнаха най-висок резултат на изпита.</w:t>
      </w:r>
    </w:p>
    <w:p w:rsidR="003B4152" w:rsidRPr="00AC6A82" w:rsidRDefault="00117568" w:rsidP="0064287B">
      <w:pPr>
        <w:rPr>
          <w:rFonts w:ascii="Calibri" w:hAnsi="Calibri" w:cs="Calibri"/>
        </w:rPr>
      </w:pPr>
      <w:r w:rsidRPr="00AC6A82">
        <w:rPr>
          <w:rFonts w:ascii="Calibri" w:hAnsi="Calibri"/>
        </w:rPr>
        <w:t>Конкурсът е част от образователните инициативи, с които БФБ подпомага развитието на младите финансови специалисти в България.</w:t>
      </w:r>
    </w:p>
    <w:p w:rsidR="003B4152" w:rsidRPr="00AC6A82" w:rsidRDefault="00C94F07" w:rsidP="003030DD">
      <w:pPr>
        <w:pStyle w:val="SubNumbers"/>
      </w:pPr>
      <w:bookmarkStart w:id="33" w:name="_Toc7535427"/>
      <w:r w:rsidRPr="00AC6A82">
        <w:t>БФБ изрази пълната си подкрепа за публикуваната от МФ концепция за личните сметки</w:t>
      </w:r>
      <w:bookmarkEnd w:id="33"/>
    </w:p>
    <w:p w:rsidR="00117568" w:rsidRPr="00AC6A82" w:rsidRDefault="00117568" w:rsidP="00117568">
      <w:pPr>
        <w:rPr>
          <w:rFonts w:ascii="Calibri" w:hAnsi="Calibri" w:cs="Calibri"/>
        </w:rPr>
      </w:pPr>
      <w:r w:rsidRPr="00AC6A82">
        <w:rPr>
          <w:rFonts w:ascii="Calibri" w:hAnsi="Calibri" w:cs="Calibri"/>
        </w:rPr>
        <w:t>Българска фондова борса изрази пълната си подкрепа за публикуваната от Министерството на финансите концепция за личните сметки на физически и юридически лица, водени от „Централен Депозитар“ АД в Регистър А (т.н. „спящи” акции) и заложените в нея мерки.</w:t>
      </w:r>
    </w:p>
    <w:p w:rsidR="00117568" w:rsidRPr="00AC6A82" w:rsidRDefault="00117568" w:rsidP="00117568">
      <w:pPr>
        <w:rPr>
          <w:rFonts w:ascii="Calibri" w:hAnsi="Calibri" w:cs="Calibri"/>
        </w:rPr>
      </w:pPr>
      <w:r w:rsidRPr="00AC6A82">
        <w:rPr>
          <w:rFonts w:ascii="Calibri" w:hAnsi="Calibri" w:cs="Calibri"/>
        </w:rPr>
        <w:t>БФБ е готова да подкрепи всяко конструктивно решение на въпроса със „спящите“ акции, както и да участва в дискусии и експертни обсъждания, свързани с различните аспекти на поставения проблем, така че да бъде намерено адекватно и удовлетворително решение. БФБ припомни, че преди повече от две години с приемането на Стратегията за развитие на капиталовия пазар от над 15 организации е постигнато принципно съгласие за активизиране на акциите, придобити в резултат на масовата приватизация, намиращи се в „спящи“ (неактивни сметки). В тази връзка Борсата не счита за конструктивен подхода на тези организации, които сега отхвърлят предложенията в Концепцията без да предлагат възможно алтернативно решение.</w:t>
      </w:r>
    </w:p>
    <w:p w:rsidR="00117568" w:rsidRPr="00AC6A82" w:rsidRDefault="00117568" w:rsidP="00117568">
      <w:pPr>
        <w:rPr>
          <w:rFonts w:ascii="Calibri" w:hAnsi="Calibri" w:cs="Calibri"/>
        </w:rPr>
      </w:pPr>
      <w:r w:rsidRPr="00AC6A82">
        <w:rPr>
          <w:rFonts w:ascii="Calibri" w:hAnsi="Calibri" w:cs="Calibri"/>
        </w:rPr>
        <w:t>Сред най-важните положителни ефекти, които очаква БФБ след одобрението на мерките от Концепцията са: по-голяма ангажираност на миноритарните акционери в публичните компании, както и на мениджмънта на компаниите към тези акционери, и най-вече реална възможност на голяма част от миноритарните акционери да получават разпределяните от компаниите дивиденти.</w:t>
      </w:r>
    </w:p>
    <w:p w:rsidR="00117568" w:rsidRPr="00AC6A82" w:rsidRDefault="00117568" w:rsidP="00117568">
      <w:pPr>
        <w:rPr>
          <w:rFonts w:ascii="Calibri" w:hAnsi="Calibri" w:cs="Calibri"/>
        </w:rPr>
      </w:pPr>
      <w:r w:rsidRPr="00AC6A82">
        <w:rPr>
          <w:rFonts w:ascii="Calibri" w:hAnsi="Calibri" w:cs="Calibri"/>
        </w:rPr>
        <w:t>БФБ призова отново всички заинтересовани страни за провеждане на конструктивен диалог в търсенето на решение на идентифицираните от предложената Концепция проблеми, тъй като счита че отлагането му би довело до задълбочаване на проблемите и увеличаване броя на лицата, които реално не упражняват правата си като акционери в съответните компании.</w:t>
      </w:r>
    </w:p>
    <w:p w:rsidR="003B4152" w:rsidRPr="00AC6A82" w:rsidRDefault="00117568" w:rsidP="00117568">
      <w:pPr>
        <w:rPr>
          <w:rFonts w:ascii="Calibri" w:hAnsi="Calibri" w:cs="Calibri"/>
        </w:rPr>
      </w:pPr>
      <w:r w:rsidRPr="00AC6A82">
        <w:rPr>
          <w:rFonts w:ascii="Calibri" w:hAnsi="Calibri" w:cs="Calibri"/>
        </w:rPr>
        <w:t>В израз на волята си за намиране на удовлетворително решение на въпроса със „спящите“ акции, БФБ заявява, че ще подкрепи инициативата на Централен депозитар еднократното прехвърляне на такива акции да става безплатно за притежателите им.</w:t>
      </w:r>
    </w:p>
    <w:p w:rsidR="00C94F07" w:rsidRPr="00AC6A82" w:rsidRDefault="00C94F07" w:rsidP="00C94F07">
      <w:pPr>
        <w:pStyle w:val="SubNumbers"/>
      </w:pPr>
      <w:bookmarkStart w:id="34" w:name="_Toc7535428"/>
      <w:r w:rsidRPr="00AC6A82">
        <w:t>БФБ преустановява поддр</w:t>
      </w:r>
      <w:r w:rsidR="00FE12A4">
        <w:t>ъжката на системата COBOS от 24</w:t>
      </w:r>
      <w:r w:rsidR="00FE12A4">
        <w:rPr>
          <w:lang w:val="en-US"/>
        </w:rPr>
        <w:t>.</w:t>
      </w:r>
      <w:r w:rsidRPr="00AC6A82">
        <w:t>06</w:t>
      </w:r>
      <w:r w:rsidR="00FE12A4">
        <w:rPr>
          <w:lang w:val="en-US"/>
        </w:rPr>
        <w:t>.</w:t>
      </w:r>
      <w:r w:rsidRPr="00AC6A82">
        <w:t>2019</w:t>
      </w:r>
      <w:bookmarkEnd w:id="34"/>
    </w:p>
    <w:p w:rsidR="00C94F07" w:rsidRPr="00AC6A82" w:rsidRDefault="00C94F07" w:rsidP="00C94F07">
      <w:pPr>
        <w:rPr>
          <w:rFonts w:ascii="Calibri" w:hAnsi="Calibri" w:cs="Calibri"/>
        </w:rPr>
      </w:pPr>
      <w:r w:rsidRPr="00AC6A82">
        <w:rPr>
          <w:rFonts w:ascii="Calibri" w:hAnsi="Calibri" w:cs="Calibri"/>
        </w:rPr>
        <w:t>На свое заседание Съветът на директорите на БФБ взе решение за прекратяване на експлоатацията на Client Order-Book Online System (COBOS), считано от датата на миграция към Xetra T7 като платформа за т</w:t>
      </w:r>
      <w:r w:rsidR="00FE12A4">
        <w:rPr>
          <w:rFonts w:ascii="Calibri" w:hAnsi="Calibri" w:cs="Calibri"/>
        </w:rPr>
        <w:t>ърговия на борсата, а именно 24</w:t>
      </w:r>
      <w:r w:rsidR="00FE12A4">
        <w:rPr>
          <w:rFonts w:ascii="Calibri" w:hAnsi="Calibri" w:cs="Calibri"/>
          <w:lang w:val="en-US"/>
        </w:rPr>
        <w:t>.</w:t>
      </w:r>
      <w:r w:rsidRPr="00AC6A82">
        <w:rPr>
          <w:rFonts w:ascii="Calibri" w:hAnsi="Calibri" w:cs="Calibri"/>
        </w:rPr>
        <w:t>06</w:t>
      </w:r>
      <w:r w:rsidR="00FE12A4">
        <w:rPr>
          <w:rFonts w:ascii="Calibri" w:hAnsi="Calibri" w:cs="Calibri"/>
          <w:lang w:val="en-US"/>
        </w:rPr>
        <w:t>.</w:t>
      </w:r>
      <w:r w:rsidRPr="00AC6A82">
        <w:rPr>
          <w:rFonts w:ascii="Calibri" w:hAnsi="Calibri" w:cs="Calibri"/>
        </w:rPr>
        <w:t>2019.</w:t>
      </w:r>
    </w:p>
    <w:p w:rsidR="00C94F07" w:rsidRPr="00AC6A82" w:rsidRDefault="00C94F07" w:rsidP="00C94F07">
      <w:pPr>
        <w:rPr>
          <w:rFonts w:ascii="Calibri" w:hAnsi="Calibri" w:cs="Calibri"/>
        </w:rPr>
      </w:pPr>
      <w:r w:rsidRPr="00AC6A82">
        <w:rPr>
          <w:rFonts w:ascii="Calibri" w:hAnsi="Calibri" w:cs="Calibri"/>
        </w:rPr>
        <w:t>Системата COBOS е интернет-базирано приложение, разработено с цел въвеждане на поръчки за сключване на сделки от клиенти на борсовите членове. Като такова, графичният потребителският интерфейс бе разработен през 2003 година въз основа на продукта Adobe Flash, който към днешна дата вече не се поддържа от множество интернет браузъри, като вероятно в близко бъдеще ще бъде изцяло изоставена като технология. От няколко години Adobe Flash не се поддържа и от мобилни устройства. За да продължи функционирането на приложението, се налага цялостно разработване на графичния потребителския интерфейс въз основа на друг продукт. Същевременно, миграцията на платформата за търговия налага и цялостно пренаписване на съобщенията, въз основа на които работи COBOS, а не само на графичния интерфейс, тъй като комуникационният протокол на Xetra Clasic, не се поддържа от новото поколение на платформата Xetra T7.</w:t>
      </w:r>
    </w:p>
    <w:p w:rsidR="00C94F07" w:rsidRPr="00AC6A82" w:rsidRDefault="00C94F07" w:rsidP="00C94F07">
      <w:pPr>
        <w:rPr>
          <w:rFonts w:ascii="Calibri" w:hAnsi="Calibri" w:cs="Calibri"/>
        </w:rPr>
      </w:pPr>
      <w:r w:rsidRPr="00AC6A82">
        <w:rPr>
          <w:rFonts w:ascii="Calibri" w:hAnsi="Calibri" w:cs="Calibri"/>
        </w:rPr>
        <w:t>Предвид силно намалелият брой издадени клиентски сертификати, Съветът на директорите счита за неуместно и финансово необосновано да се влагат парични и човешки ресурси в разработването на нова система за електронно подаване на поръчки, към която да бъдат прехвърлени малкия брой настоящи клиенти на COBOS.</w:t>
      </w:r>
    </w:p>
    <w:p w:rsidR="00C94F07" w:rsidRPr="00AC6A82" w:rsidRDefault="00C94F07" w:rsidP="00C94F07">
      <w:pPr>
        <w:rPr>
          <w:rFonts w:ascii="Calibri" w:hAnsi="Calibri" w:cs="Calibri"/>
        </w:rPr>
      </w:pPr>
      <w:r w:rsidRPr="00AC6A82">
        <w:rPr>
          <w:rFonts w:ascii="Calibri" w:hAnsi="Calibri" w:cs="Calibri"/>
        </w:rPr>
        <w:t>Борсата отчита важната роля, която платформата COBOS изигра за улесняването на достъпа на инвеститорите до капиталовите пазари, но още при самия й старт през 2003 г. обяви, че тя е предназначена да запълни празнината до разработването на собствени платформи от инвестиционните посредници. Доколкото една голяма част от клиентите на COBOS през годините се прехвърлиха към подобни системи, Съветът на директорите на БФБ счита, че тя изпълни основната си функция, за която беше създадена, съответно оттук нататък липсва целесъобразност от продължаващата й поддръжка.</w:t>
      </w:r>
    </w:p>
    <w:p w:rsidR="003B4152" w:rsidRPr="00AC6A82" w:rsidRDefault="00117568" w:rsidP="003030DD">
      <w:pPr>
        <w:pStyle w:val="SubNumbers"/>
      </w:pPr>
      <w:bookmarkStart w:id="35" w:name="_Toc7535429"/>
      <w:r w:rsidRPr="00AC6A82">
        <w:t>Над 50 малки и средни фирми участваха в първия по рода си семинар организиран от БФБ, ИАНМСП и БАЛИП</w:t>
      </w:r>
      <w:bookmarkEnd w:id="35"/>
    </w:p>
    <w:p w:rsidR="003B4152" w:rsidRPr="00AC6A82" w:rsidRDefault="00117568" w:rsidP="003B4152">
      <w:pPr>
        <w:rPr>
          <w:rFonts w:ascii="Calibri" w:hAnsi="Calibri" w:cs="Calibri"/>
        </w:rPr>
      </w:pPr>
      <w:r w:rsidRPr="00AC6A82">
        <w:rPr>
          <w:rFonts w:ascii="Calibri" w:hAnsi="Calibri" w:cs="Calibri"/>
        </w:rPr>
        <w:t>Представители на над 50 малки и средни компании участваха в първия по рода си семинар организиран от Българска фондова борса, Изпълнителна агенция за насърчаване на малките и средни предприятия (ИАНМСП) и Българска асоциация на лицензираните инвестиционни посредници (БАЛИП). Семинарът е част от програмата на трите организации за подпомагане развитието на МСП в страната ни. По време на събитието компаниите се запознаха с начините, по които могат да ползват капиталовия пазар като източник за финансиране на бизнеса си.</w:t>
      </w:r>
    </w:p>
    <w:p w:rsidR="003B4152" w:rsidRPr="00AC6A82" w:rsidRDefault="00117568" w:rsidP="00117568">
      <w:pPr>
        <w:pStyle w:val="SubNumbers"/>
      </w:pPr>
      <w:bookmarkStart w:id="36" w:name="_Toc7535430"/>
      <w:r w:rsidRPr="00AC6A82">
        <w:t>Българска фондова борса одобри първата компания - съветник за Пазара за растеж на МСП</w:t>
      </w:r>
      <w:bookmarkEnd w:id="36"/>
    </w:p>
    <w:p w:rsidR="00117568" w:rsidRPr="00AC6A82" w:rsidRDefault="00117568" w:rsidP="00117568">
      <w:pPr>
        <w:rPr>
          <w:rFonts w:ascii="Calibri" w:hAnsi="Calibri" w:cs="Calibri"/>
        </w:rPr>
      </w:pPr>
      <w:r w:rsidRPr="00AC6A82">
        <w:rPr>
          <w:rFonts w:ascii="Calibri" w:hAnsi="Calibri" w:cs="Calibri"/>
        </w:rPr>
        <w:t>Българска фондова борса одобри първата компания – съветник за Пазара за растеж на МСП BEAM. Това е инвестиционният посредник Авал Ин. Той ще консултира и подпомага малки и средни компании в процеса им по листване на Пазара за растеж и в живота им като търгувани компании след това. Авал Ин оперира на капиталовия пазар в страната ни 25 години.</w:t>
      </w:r>
    </w:p>
    <w:p w:rsidR="00117568" w:rsidRPr="00AC6A82" w:rsidRDefault="00117568" w:rsidP="00117568">
      <w:pPr>
        <w:rPr>
          <w:rFonts w:ascii="Calibri" w:hAnsi="Calibri" w:cs="Calibri"/>
        </w:rPr>
      </w:pPr>
      <w:r w:rsidRPr="00AC6A82">
        <w:rPr>
          <w:rFonts w:ascii="Calibri" w:hAnsi="Calibri" w:cs="Calibri"/>
        </w:rPr>
        <w:t>Специалните съветници участват активно в подготовката на необходимите документи за допускане до пазар BEAM, така че компаниите да са в съответствие с правилата за дейността на пазара и с приложимото законодателство. Активното взаимодействие между съветниците и компаниите продължава и след самото листване с консултации относно задълженията по разкриване на информация и представяне на финансови отчети. Всяка компания, която иска да набира капитал на пазара BEAM e необходимо да сключи договор с един одобрен от БФБ съветник за срок от поне две години.</w:t>
      </w:r>
    </w:p>
    <w:p w:rsidR="003B4152" w:rsidRPr="00AC6A82" w:rsidRDefault="00117568" w:rsidP="00117568">
      <w:pPr>
        <w:rPr>
          <w:rFonts w:ascii="Calibri" w:hAnsi="Calibri" w:cs="Calibri"/>
        </w:rPr>
      </w:pPr>
      <w:r w:rsidRPr="00AC6A82">
        <w:rPr>
          <w:rFonts w:ascii="Calibri" w:hAnsi="Calibri" w:cs="Calibri"/>
        </w:rPr>
        <w:t>Към съветниците има сериозни изисквания по отношение компетентността и опита им при операциите на финансовите пазари. Съветниците са обичайно компании, които извършват някои от следните дейности: инвестиционни услуги; бизнес консултации; одиторски или данъчни услуги; изготвяне на оценки; финансов и правен анализ; консултации по сделки за сливания, придобивания или преструктуриране.</w:t>
      </w:r>
      <w:r w:rsidR="003B4152" w:rsidRPr="00AC6A82">
        <w:rPr>
          <w:rFonts w:ascii="Calibri" w:hAnsi="Calibri" w:cs="Calibri"/>
        </w:rPr>
        <w:t>.</w:t>
      </w:r>
    </w:p>
    <w:p w:rsidR="003B4152" w:rsidRPr="00AC6A82" w:rsidRDefault="00117568" w:rsidP="003030DD">
      <w:pPr>
        <w:pStyle w:val="SubNumbers"/>
      </w:pPr>
      <w:bookmarkStart w:id="37" w:name="_Toc7535431"/>
      <w:r w:rsidRPr="00AC6A82">
        <w:t>БФБ и ELITE подписаха Меморандум за създаване на гъвкава екосистема от проспериращи МСП в България</w:t>
      </w:r>
      <w:bookmarkEnd w:id="37"/>
    </w:p>
    <w:p w:rsidR="00117568" w:rsidRPr="00AC6A82" w:rsidRDefault="0066500E" w:rsidP="00117568">
      <w:pPr>
        <w:rPr>
          <w:rFonts w:ascii="Calibri" w:hAnsi="Calibri" w:cs="Calibri"/>
        </w:rPr>
      </w:pPr>
      <w:r w:rsidRPr="00AC6A82">
        <w:rPr>
          <w:rFonts w:ascii="Calibri" w:hAnsi="Calibri" w:cs="Calibri"/>
        </w:rPr>
        <w:t>Българска фондова борса</w:t>
      </w:r>
      <w:r w:rsidR="00117568" w:rsidRPr="00AC6A82">
        <w:rPr>
          <w:rFonts w:ascii="Calibri" w:hAnsi="Calibri" w:cs="Calibri"/>
        </w:rPr>
        <w:t xml:space="preserve"> и програма ELITE на Лондонската фондова борса подписаха Меморандум за разбирателство за създаване на гъвкава екосистема на проспериращи МСП в България. Меморандумът обхваща инициативата за обучение и стимулиране на най-динамичните и амбициозни МСП в България да проучат всички съществуващи възможности в световен мащаб за набиране на капитал за инвестиране в техния растеж. Документът беше подписан официално от Иван Такев, изпълнителен директор на БФБ.</w:t>
      </w:r>
    </w:p>
    <w:p w:rsidR="00117568" w:rsidRPr="00AC6A82" w:rsidRDefault="00117568" w:rsidP="00117568">
      <w:pPr>
        <w:rPr>
          <w:rFonts w:ascii="Calibri" w:hAnsi="Calibri" w:cs="Calibri"/>
        </w:rPr>
      </w:pPr>
      <w:r w:rsidRPr="00AC6A82">
        <w:rPr>
          <w:rFonts w:ascii="Calibri" w:hAnsi="Calibri" w:cs="Calibri"/>
        </w:rPr>
        <w:t>Церемонията по подписването се състоя пред представители на над 30 от най-динамични български компании, които участваха в първия стратегически семинар, проведен по инициативата на Меморандума. Сред компаниите, представляващи различни сектори на българската икономика, бяха такива като: Accedia, Avtomotor Corporation/Citroen, Bestamed, Eurosped, Eurovending, HeleCloud, Kuminiano Fruit, Mobile Alternative Communications, NET1, RBL Food Bulgaria, Sport Depot, TaxiMe, Vaptech и др.</w:t>
      </w:r>
    </w:p>
    <w:p w:rsidR="00117568" w:rsidRPr="00AC6A82" w:rsidRDefault="00117568" w:rsidP="00117568">
      <w:pPr>
        <w:rPr>
          <w:rFonts w:ascii="Calibri" w:hAnsi="Calibri" w:cs="Calibri"/>
        </w:rPr>
      </w:pPr>
      <w:r w:rsidRPr="00AC6A82">
        <w:rPr>
          <w:rFonts w:ascii="Calibri" w:hAnsi="Calibri" w:cs="Calibri"/>
        </w:rPr>
        <w:t>Семинарът беше реализиран в партньорство с UniCredit Bulbank.</w:t>
      </w:r>
    </w:p>
    <w:p w:rsidR="003B4152" w:rsidRPr="00AC6A82" w:rsidRDefault="00117568" w:rsidP="00117568">
      <w:pPr>
        <w:rPr>
          <w:rFonts w:ascii="Calibri" w:hAnsi="Calibri" w:cs="Calibri"/>
        </w:rPr>
      </w:pPr>
      <w:r w:rsidRPr="00AC6A82">
        <w:rPr>
          <w:rFonts w:ascii="Calibri" w:hAnsi="Calibri" w:cs="Calibri"/>
        </w:rPr>
        <w:t>Семинарът беше посветен на възможностите за финансиране на растежа на компаниите. Сред основните теми на форума бяха: различни модели на финансиране за растеж; възможности за финансиране от публични и частни капиталови пазари; стратегическо мислене зад избора на възможности за финансиране; използване на дигитални финансови иновации за свързване на компаниите с наличния капитал; успешни истории на български компании, признати в годишното издание на LSEG „1000 компании, които да вдъхновят Европа”; ползи и отговорности на публичното дружество и споделяне на най-добри практики</w:t>
      </w:r>
      <w:r w:rsidR="0066500E" w:rsidRPr="00AC6A82">
        <w:rPr>
          <w:rFonts w:ascii="Calibri" w:hAnsi="Calibri" w:cs="Calibri"/>
        </w:rPr>
        <w:t xml:space="preserve"> от </w:t>
      </w:r>
      <w:r w:rsidR="00FE12A4" w:rsidRPr="00AC6A82">
        <w:rPr>
          <w:rFonts w:ascii="Calibri" w:hAnsi="Calibri" w:cs="Calibri"/>
        </w:rPr>
        <w:t>българска</w:t>
      </w:r>
      <w:r w:rsidR="0066500E" w:rsidRPr="00AC6A82">
        <w:rPr>
          <w:rFonts w:ascii="Calibri" w:hAnsi="Calibri" w:cs="Calibri"/>
        </w:rPr>
        <w:t xml:space="preserve"> публична компания</w:t>
      </w:r>
      <w:r w:rsidR="003B4152" w:rsidRPr="00AC6A82">
        <w:rPr>
          <w:rFonts w:ascii="Calibri" w:hAnsi="Calibri" w:cs="Calibri"/>
        </w:rPr>
        <w:t>.</w:t>
      </w:r>
    </w:p>
    <w:p w:rsidR="0066500E" w:rsidRPr="00AC6A82" w:rsidRDefault="0066500E" w:rsidP="0066500E">
      <w:pPr>
        <w:pStyle w:val="SubNumbers"/>
      </w:pPr>
      <w:bookmarkStart w:id="38" w:name="_Toc7535432"/>
      <w:r w:rsidRPr="00AC6A82">
        <w:t>Ученици дадоха официален старт на търговията на БФБ като част от инициативата Global Money Week</w:t>
      </w:r>
      <w:bookmarkEnd w:id="38"/>
    </w:p>
    <w:p w:rsidR="0066500E" w:rsidRPr="00AC6A82" w:rsidRDefault="0066500E" w:rsidP="0066500E">
      <w:pPr>
        <w:rPr>
          <w:rFonts w:ascii="Calibri" w:hAnsi="Calibri" w:cs="Calibri"/>
        </w:rPr>
      </w:pPr>
      <w:r w:rsidRPr="00AC6A82">
        <w:rPr>
          <w:rFonts w:ascii="Calibri" w:hAnsi="Calibri" w:cs="Calibri"/>
        </w:rPr>
        <w:t>Ученици от 7 клас на 30-то СОУ „Братя Миладинови“ в гр. София откриха тържествено търговската сесия на Българска фондова борса, като част от световната инициатива за повишаване финансовата грамотност на младите хора Global Money Week (Глобална седмица на парите). Младежите разгледаха Борсата и се запознаха отблизо с дейността й. Представители на ръководството на БФБ изнесоха лекции пред учениците за историята на институцията и ролята на капиталовия пазар за икономическото развитие на страната ни.</w:t>
      </w:r>
    </w:p>
    <w:p w:rsidR="0066500E" w:rsidRPr="00AC6A82" w:rsidRDefault="0066500E" w:rsidP="0066500E">
      <w:pPr>
        <w:rPr>
          <w:rFonts w:ascii="Calibri" w:hAnsi="Calibri" w:cs="Calibri"/>
        </w:rPr>
      </w:pPr>
      <w:r w:rsidRPr="00AC6A82">
        <w:rPr>
          <w:rFonts w:ascii="Calibri" w:hAnsi="Calibri" w:cs="Calibri"/>
        </w:rPr>
        <w:t>Българска фондова борса се включва за четвърти път в глобалната инициативата, която тази година се провежда в седмицата 25 - 31 март и е под надслов „Learn. Save. Earn.” („Учи. Спестявай. Печели.“). В рамките на седмицата младежите от цял свят научават повече за това какво представляват парите, как да спестяват, как да намерят най-доброто работно място и да развият своя предприемачески усет.</w:t>
      </w:r>
    </w:p>
    <w:p w:rsidR="0066500E" w:rsidRPr="00AC6A82" w:rsidRDefault="0066500E" w:rsidP="0066500E">
      <w:pPr>
        <w:rPr>
          <w:rFonts w:ascii="Calibri" w:hAnsi="Calibri" w:cs="Calibri"/>
        </w:rPr>
      </w:pPr>
      <w:r w:rsidRPr="00AC6A82">
        <w:rPr>
          <w:rFonts w:ascii="Calibri" w:hAnsi="Calibri" w:cs="Calibri"/>
        </w:rPr>
        <w:t>Стотици международни компании, финансови институции и над 50 фондови борси се включват ежегодно в Global Money Week. Тази година повече от 32 милиона млади хора от 169 страни участват в над 310 000 различни активности по време на инициативата.</w:t>
      </w:r>
    </w:p>
    <w:p w:rsidR="0047355D" w:rsidRPr="00AC6A82" w:rsidRDefault="0066500E" w:rsidP="0066500E">
      <w:pPr>
        <w:rPr>
          <w:rFonts w:ascii="Calibri" w:hAnsi="Calibri" w:cs="Calibri"/>
        </w:rPr>
      </w:pPr>
      <w:r w:rsidRPr="00AC6A82">
        <w:rPr>
          <w:rFonts w:ascii="Calibri" w:hAnsi="Calibri" w:cs="Calibri"/>
        </w:rPr>
        <w:t>Global Money Week се организира от международната фондация Child &amp; Youth Finance International, като събитията в нея се провеждат с подкрепата на Европейския парламент, Европейската комисия и Световната младежка асамблея</w:t>
      </w:r>
      <w:r w:rsidR="003B4152" w:rsidRPr="00AC6A82">
        <w:rPr>
          <w:rFonts w:ascii="Calibri" w:hAnsi="Calibri" w:cs="Calibri"/>
        </w:rPr>
        <w:t>.</w:t>
      </w:r>
      <w:bookmarkEnd w:id="30"/>
      <w:bookmarkEnd w:id="31"/>
    </w:p>
    <w:p w:rsidR="0066500E" w:rsidRPr="00AC6A82" w:rsidRDefault="0066500E" w:rsidP="0066500E">
      <w:pPr>
        <w:pStyle w:val="SubNumbers"/>
      </w:pPr>
      <w:bookmarkStart w:id="39" w:name="_Toc7535433"/>
      <w:r w:rsidRPr="00AC6A82">
        <w:t>Промяна в индексите, изчислявани от БФБ</w:t>
      </w:r>
      <w:bookmarkEnd w:id="39"/>
    </w:p>
    <w:p w:rsidR="0066500E" w:rsidRPr="00AC6A82" w:rsidRDefault="0066500E" w:rsidP="0066500E">
      <w:pPr>
        <w:rPr>
          <w:rFonts w:ascii="Calibri" w:hAnsi="Calibri"/>
        </w:rPr>
      </w:pPr>
      <w:r w:rsidRPr="00AC6A82">
        <w:rPr>
          <w:rFonts w:ascii="Calibri" w:hAnsi="Calibri"/>
        </w:rPr>
        <w:t>На основание чл. 15, т. 4 и чл. 29, т. 1 от Правилата за изчисляване на индекси на БФБ, считано от 31.01.2019 г., от базата на индекса BGBX40 бе изключена емисията акции на Свилоза АД-Свищов (3MZ) и на основание чл. 15, т. 4, чл. 30 и чл. 31, бе добавена емисия акции на Северкооп Гъмза Холдинг АД-София (6S4).</w:t>
      </w:r>
    </w:p>
    <w:p w:rsidR="0066500E" w:rsidRPr="00AC6A82" w:rsidRDefault="0066500E" w:rsidP="0066500E">
      <w:pPr>
        <w:rPr>
          <w:rFonts w:ascii="Calibri" w:hAnsi="Calibri" w:cs="Calibri"/>
        </w:rPr>
      </w:pPr>
    </w:p>
    <w:p w:rsidR="0066500E" w:rsidRPr="00AC6A82" w:rsidRDefault="0066500E" w:rsidP="0066500E">
      <w:pPr>
        <w:rPr>
          <w:rFonts w:ascii="Calibri" w:hAnsi="Calibri" w:cs="Calibri"/>
        </w:rPr>
      </w:pPr>
      <w:r w:rsidRPr="00AC6A82">
        <w:rPr>
          <w:rFonts w:ascii="Calibri" w:hAnsi="Calibri" w:cs="Calibri"/>
        </w:rPr>
        <w:t>На проведено на 06.03.2019 г. заседание на Съвета на директорите на БФБ бяха взети следните решения:</w:t>
      </w:r>
    </w:p>
    <w:p w:rsidR="0066500E" w:rsidRPr="00AC6A82" w:rsidRDefault="0066500E" w:rsidP="0066500E">
      <w:pPr>
        <w:rPr>
          <w:rFonts w:ascii="Calibri" w:hAnsi="Calibri" w:cs="Calibri"/>
        </w:rPr>
      </w:pPr>
      <w:r w:rsidRPr="00AC6A82">
        <w:rPr>
          <w:rFonts w:ascii="Calibri" w:hAnsi="Calibri" w:cs="Calibri"/>
        </w:rPr>
        <w:t>От базата на SOFIX бяха изключени следните емисии:</w:t>
      </w:r>
    </w:p>
    <w:p w:rsidR="0066500E" w:rsidRPr="00AC6A82" w:rsidRDefault="0066500E" w:rsidP="0066500E">
      <w:pPr>
        <w:pStyle w:val="ListParagraph"/>
        <w:numPr>
          <w:ilvl w:val="0"/>
          <w:numId w:val="25"/>
        </w:numPr>
        <w:rPr>
          <w:rFonts w:ascii="Calibri" w:hAnsi="Calibri" w:cs="Calibri"/>
        </w:rPr>
      </w:pPr>
      <w:r w:rsidRPr="00AC6A82">
        <w:rPr>
          <w:rFonts w:ascii="Calibri" w:hAnsi="Calibri" w:cs="Calibri"/>
        </w:rPr>
        <w:t>5MB Монбат АД-София</w:t>
      </w:r>
    </w:p>
    <w:p w:rsidR="0066500E" w:rsidRPr="00AC6A82" w:rsidRDefault="0066500E" w:rsidP="0066500E">
      <w:pPr>
        <w:pStyle w:val="ListParagraph"/>
        <w:numPr>
          <w:ilvl w:val="0"/>
          <w:numId w:val="25"/>
        </w:numPr>
        <w:rPr>
          <w:rFonts w:ascii="Calibri" w:hAnsi="Calibri" w:cs="Calibri"/>
        </w:rPr>
      </w:pPr>
      <w:r w:rsidRPr="00AC6A82">
        <w:rPr>
          <w:rFonts w:ascii="Calibri" w:hAnsi="Calibri" w:cs="Calibri"/>
        </w:rPr>
        <w:t>6AB Албена АД-к.к. Албена</w:t>
      </w:r>
    </w:p>
    <w:p w:rsidR="0066500E" w:rsidRPr="00AC6A82" w:rsidRDefault="0066500E" w:rsidP="0066500E">
      <w:pPr>
        <w:pStyle w:val="ListParagraph"/>
        <w:numPr>
          <w:ilvl w:val="0"/>
          <w:numId w:val="25"/>
        </w:numPr>
        <w:rPr>
          <w:rFonts w:ascii="Calibri" w:hAnsi="Calibri" w:cs="Calibri"/>
        </w:rPr>
      </w:pPr>
      <w:r w:rsidRPr="00AC6A82">
        <w:rPr>
          <w:rFonts w:ascii="Calibri" w:hAnsi="Calibri" w:cs="Calibri"/>
        </w:rPr>
        <w:t>T57 Трейс груп холд АД-София</w:t>
      </w:r>
    </w:p>
    <w:p w:rsidR="0066500E" w:rsidRPr="00AC6A82" w:rsidRDefault="0066500E" w:rsidP="0066500E">
      <w:pPr>
        <w:rPr>
          <w:rFonts w:ascii="Calibri" w:hAnsi="Calibri" w:cs="Calibri"/>
        </w:rPr>
      </w:pPr>
      <w:r w:rsidRPr="00AC6A82">
        <w:rPr>
          <w:rFonts w:ascii="Calibri" w:hAnsi="Calibri" w:cs="Calibri"/>
        </w:rPr>
        <w:t>и на тяхно място бяха добавени:</w:t>
      </w:r>
    </w:p>
    <w:p w:rsidR="0066500E" w:rsidRPr="00AC6A82" w:rsidRDefault="0066500E" w:rsidP="0066500E">
      <w:pPr>
        <w:pStyle w:val="ListParagraph"/>
        <w:numPr>
          <w:ilvl w:val="0"/>
          <w:numId w:val="26"/>
        </w:numPr>
        <w:jc w:val="left"/>
        <w:rPr>
          <w:rFonts w:ascii="Calibri" w:hAnsi="Calibri" w:cs="Calibri"/>
        </w:rPr>
      </w:pPr>
      <w:r w:rsidRPr="00AC6A82">
        <w:rPr>
          <w:rFonts w:ascii="Calibri" w:hAnsi="Calibri" w:cs="Calibri"/>
        </w:rPr>
        <w:t>GR6 Градус АД-Стара Загора</w:t>
      </w:r>
    </w:p>
    <w:p w:rsidR="0066500E" w:rsidRPr="00AC6A82" w:rsidRDefault="0066500E" w:rsidP="0066500E">
      <w:pPr>
        <w:pStyle w:val="ListParagraph"/>
        <w:numPr>
          <w:ilvl w:val="0"/>
          <w:numId w:val="26"/>
        </w:numPr>
        <w:jc w:val="left"/>
        <w:rPr>
          <w:rFonts w:ascii="Calibri" w:hAnsi="Calibri" w:cs="Calibri"/>
        </w:rPr>
      </w:pPr>
      <w:r w:rsidRPr="00AC6A82">
        <w:rPr>
          <w:rFonts w:ascii="Calibri" w:hAnsi="Calibri" w:cs="Calibri"/>
        </w:rPr>
        <w:t>4ID Индустриален Холдинг България АД-София</w:t>
      </w:r>
    </w:p>
    <w:p w:rsidR="0066500E" w:rsidRPr="00AC6A82" w:rsidRDefault="0066500E" w:rsidP="0066500E">
      <w:pPr>
        <w:pStyle w:val="ListParagraph"/>
        <w:numPr>
          <w:ilvl w:val="0"/>
          <w:numId w:val="26"/>
        </w:numPr>
        <w:jc w:val="left"/>
        <w:rPr>
          <w:rFonts w:ascii="Calibri" w:hAnsi="Calibri" w:cs="Calibri"/>
        </w:rPr>
      </w:pPr>
      <w:r w:rsidRPr="00AC6A82">
        <w:rPr>
          <w:rFonts w:ascii="Calibri" w:hAnsi="Calibri" w:cs="Calibri"/>
        </w:rPr>
        <w:t>5DOV Доверие Обединен Холдинг АД-София</w:t>
      </w:r>
    </w:p>
    <w:p w:rsidR="0066500E" w:rsidRPr="00AC6A82" w:rsidRDefault="0066500E" w:rsidP="0066500E">
      <w:pPr>
        <w:rPr>
          <w:rFonts w:ascii="Calibri" w:hAnsi="Calibri" w:cs="Calibri"/>
        </w:rPr>
      </w:pPr>
    </w:p>
    <w:p w:rsidR="0066500E" w:rsidRPr="00AC6A82" w:rsidRDefault="0066500E" w:rsidP="0066500E">
      <w:pPr>
        <w:rPr>
          <w:rFonts w:ascii="Calibri" w:hAnsi="Calibri" w:cs="Calibri"/>
        </w:rPr>
      </w:pPr>
      <w:r w:rsidRPr="00AC6A82">
        <w:rPr>
          <w:rFonts w:ascii="Calibri" w:hAnsi="Calibri" w:cs="Calibri"/>
        </w:rPr>
        <w:t>От базата на BGBX40 бяха извадени следните емисии:</w:t>
      </w:r>
    </w:p>
    <w:p w:rsidR="0066500E" w:rsidRPr="00AC6A82" w:rsidRDefault="0066500E" w:rsidP="0066500E">
      <w:pPr>
        <w:pStyle w:val="ListParagraph"/>
        <w:numPr>
          <w:ilvl w:val="0"/>
          <w:numId w:val="27"/>
        </w:numPr>
        <w:rPr>
          <w:rFonts w:ascii="Calibri" w:hAnsi="Calibri" w:cs="Calibri"/>
        </w:rPr>
      </w:pPr>
      <w:r w:rsidRPr="00AC6A82">
        <w:rPr>
          <w:rFonts w:ascii="Calibri" w:hAnsi="Calibri" w:cs="Calibri"/>
        </w:rPr>
        <w:t>4L4 Лавена АД-Шумен</w:t>
      </w:r>
    </w:p>
    <w:p w:rsidR="0066500E" w:rsidRPr="00AC6A82" w:rsidRDefault="0066500E" w:rsidP="0066500E">
      <w:pPr>
        <w:pStyle w:val="ListParagraph"/>
        <w:numPr>
          <w:ilvl w:val="0"/>
          <w:numId w:val="27"/>
        </w:numPr>
        <w:rPr>
          <w:rFonts w:ascii="Calibri" w:hAnsi="Calibri" w:cs="Calibri"/>
        </w:rPr>
      </w:pPr>
      <w:r w:rsidRPr="00AC6A82">
        <w:rPr>
          <w:rFonts w:ascii="Calibri" w:hAnsi="Calibri" w:cs="Calibri"/>
        </w:rPr>
        <w:t>57E ЕМКА АД-Севлиево</w:t>
      </w:r>
    </w:p>
    <w:p w:rsidR="0066500E" w:rsidRPr="00AC6A82" w:rsidRDefault="0066500E" w:rsidP="0066500E">
      <w:pPr>
        <w:pStyle w:val="ListParagraph"/>
        <w:numPr>
          <w:ilvl w:val="0"/>
          <w:numId w:val="27"/>
        </w:numPr>
        <w:rPr>
          <w:rFonts w:ascii="Calibri" w:hAnsi="Calibri" w:cs="Calibri"/>
        </w:rPr>
      </w:pPr>
      <w:r w:rsidRPr="00AC6A82">
        <w:rPr>
          <w:rFonts w:ascii="Calibri" w:hAnsi="Calibri" w:cs="Calibri"/>
        </w:rPr>
        <w:t>5BP Билборд АД-София</w:t>
      </w:r>
    </w:p>
    <w:p w:rsidR="0066500E" w:rsidRPr="00AC6A82" w:rsidRDefault="0066500E" w:rsidP="0066500E">
      <w:pPr>
        <w:pStyle w:val="ListParagraph"/>
        <w:numPr>
          <w:ilvl w:val="0"/>
          <w:numId w:val="27"/>
        </w:numPr>
        <w:rPr>
          <w:rFonts w:ascii="Calibri" w:hAnsi="Calibri" w:cs="Calibri"/>
        </w:rPr>
      </w:pPr>
      <w:r w:rsidRPr="00AC6A82">
        <w:rPr>
          <w:rFonts w:ascii="Calibri" w:hAnsi="Calibri" w:cs="Calibri"/>
        </w:rPr>
        <w:t>5BR Параходство Българско речно плаване АД-Русе</w:t>
      </w:r>
    </w:p>
    <w:p w:rsidR="0066500E" w:rsidRPr="00AC6A82" w:rsidRDefault="0066500E" w:rsidP="0066500E">
      <w:pPr>
        <w:pStyle w:val="ListParagraph"/>
        <w:numPr>
          <w:ilvl w:val="0"/>
          <w:numId w:val="27"/>
        </w:numPr>
        <w:rPr>
          <w:rFonts w:ascii="Calibri" w:hAnsi="Calibri" w:cs="Calibri"/>
        </w:rPr>
      </w:pPr>
      <w:r w:rsidRPr="00AC6A82">
        <w:rPr>
          <w:rFonts w:ascii="Calibri" w:hAnsi="Calibri" w:cs="Calibri"/>
        </w:rPr>
        <w:t>6AM Алкомет АД-Шумен</w:t>
      </w:r>
    </w:p>
    <w:p w:rsidR="0066500E" w:rsidRPr="00AC6A82" w:rsidRDefault="0066500E" w:rsidP="0066500E">
      <w:pPr>
        <w:pStyle w:val="ListParagraph"/>
        <w:numPr>
          <w:ilvl w:val="0"/>
          <w:numId w:val="27"/>
        </w:numPr>
        <w:rPr>
          <w:rFonts w:ascii="Calibri" w:hAnsi="Calibri" w:cs="Calibri"/>
        </w:rPr>
      </w:pPr>
      <w:r w:rsidRPr="00AC6A82">
        <w:rPr>
          <w:rFonts w:ascii="Calibri" w:hAnsi="Calibri" w:cs="Calibri"/>
        </w:rPr>
        <w:t>6F3 ФеърПлей Пропъртис АДСИЦ-София</w:t>
      </w:r>
    </w:p>
    <w:p w:rsidR="0066500E" w:rsidRPr="00AC6A82" w:rsidRDefault="0066500E" w:rsidP="0066500E">
      <w:pPr>
        <w:rPr>
          <w:rFonts w:ascii="Calibri" w:hAnsi="Calibri" w:cs="Calibri"/>
        </w:rPr>
      </w:pPr>
      <w:r w:rsidRPr="00AC6A82">
        <w:rPr>
          <w:rFonts w:ascii="Calibri" w:hAnsi="Calibri" w:cs="Calibri"/>
        </w:rPr>
        <w:t>и на тяхно място бяха добавени:</w:t>
      </w:r>
    </w:p>
    <w:p w:rsidR="0066500E" w:rsidRPr="00AC6A82" w:rsidRDefault="0066500E" w:rsidP="0066500E">
      <w:pPr>
        <w:pStyle w:val="ListParagraph"/>
        <w:numPr>
          <w:ilvl w:val="0"/>
          <w:numId w:val="28"/>
        </w:numPr>
        <w:rPr>
          <w:rFonts w:ascii="Calibri" w:hAnsi="Calibri" w:cs="Calibri"/>
        </w:rPr>
      </w:pPr>
      <w:r w:rsidRPr="00AC6A82">
        <w:rPr>
          <w:rFonts w:ascii="Calibri" w:hAnsi="Calibri" w:cs="Calibri"/>
        </w:rPr>
        <w:t>GR6 Градус АД-Стара Загора</w:t>
      </w:r>
    </w:p>
    <w:p w:rsidR="0066500E" w:rsidRPr="00AC6A82" w:rsidRDefault="0066500E" w:rsidP="0066500E">
      <w:pPr>
        <w:pStyle w:val="ListParagraph"/>
        <w:numPr>
          <w:ilvl w:val="0"/>
          <w:numId w:val="28"/>
        </w:numPr>
        <w:rPr>
          <w:rFonts w:ascii="Calibri" w:hAnsi="Calibri" w:cs="Calibri"/>
        </w:rPr>
      </w:pPr>
      <w:r w:rsidRPr="00AC6A82">
        <w:rPr>
          <w:rFonts w:ascii="Calibri" w:hAnsi="Calibri" w:cs="Calibri"/>
        </w:rPr>
        <w:t>4HS Холдинг Света София АД-София</w:t>
      </w:r>
    </w:p>
    <w:p w:rsidR="0066500E" w:rsidRPr="00AC6A82" w:rsidRDefault="0066500E" w:rsidP="0066500E">
      <w:pPr>
        <w:pStyle w:val="ListParagraph"/>
        <w:numPr>
          <w:ilvl w:val="0"/>
          <w:numId w:val="28"/>
        </w:numPr>
        <w:rPr>
          <w:rFonts w:ascii="Calibri" w:hAnsi="Calibri" w:cs="Calibri"/>
        </w:rPr>
      </w:pPr>
      <w:r w:rsidRPr="00AC6A82">
        <w:rPr>
          <w:rFonts w:ascii="Calibri" w:hAnsi="Calibri" w:cs="Calibri"/>
        </w:rPr>
        <w:t>5AX Актив Пропъртис АДСИЦ-Пловдив</w:t>
      </w:r>
    </w:p>
    <w:p w:rsidR="0066500E" w:rsidRPr="00AC6A82" w:rsidRDefault="0066500E" w:rsidP="0066500E">
      <w:pPr>
        <w:pStyle w:val="ListParagraph"/>
        <w:numPr>
          <w:ilvl w:val="0"/>
          <w:numId w:val="28"/>
        </w:numPr>
        <w:rPr>
          <w:rFonts w:ascii="Calibri" w:hAnsi="Calibri" w:cs="Calibri"/>
        </w:rPr>
      </w:pPr>
      <w:r w:rsidRPr="00AC6A82">
        <w:rPr>
          <w:rFonts w:ascii="Calibri" w:hAnsi="Calibri" w:cs="Calibri"/>
        </w:rPr>
        <w:t>4O1 Проучване и добив на нефт и газ АД-София</w:t>
      </w:r>
    </w:p>
    <w:p w:rsidR="0066500E" w:rsidRPr="00AC6A82" w:rsidRDefault="0066500E" w:rsidP="0066500E">
      <w:pPr>
        <w:pStyle w:val="ListParagraph"/>
        <w:numPr>
          <w:ilvl w:val="0"/>
          <w:numId w:val="28"/>
        </w:numPr>
        <w:rPr>
          <w:rFonts w:ascii="Calibri" w:hAnsi="Calibri" w:cs="Calibri"/>
        </w:rPr>
      </w:pPr>
      <w:r w:rsidRPr="00AC6A82">
        <w:rPr>
          <w:rFonts w:ascii="Calibri" w:hAnsi="Calibri" w:cs="Calibri"/>
        </w:rPr>
        <w:t>1VX Велграф Асет Мениджмънт АД-София</w:t>
      </w:r>
    </w:p>
    <w:p w:rsidR="0066500E" w:rsidRPr="00AC6A82" w:rsidRDefault="0066500E" w:rsidP="0066500E">
      <w:pPr>
        <w:pStyle w:val="ListParagraph"/>
        <w:numPr>
          <w:ilvl w:val="0"/>
          <w:numId w:val="28"/>
        </w:numPr>
        <w:rPr>
          <w:rFonts w:ascii="Calibri" w:hAnsi="Calibri" w:cs="Calibri"/>
        </w:rPr>
      </w:pPr>
      <w:r w:rsidRPr="00AC6A82">
        <w:rPr>
          <w:rFonts w:ascii="Calibri" w:hAnsi="Calibri" w:cs="Calibri"/>
        </w:rPr>
        <w:t>GTH Инвестиционна Компания Галата АД-Варна</w:t>
      </w:r>
    </w:p>
    <w:p w:rsidR="0066500E" w:rsidRPr="00AC6A82" w:rsidRDefault="0066500E" w:rsidP="0066500E">
      <w:pPr>
        <w:rPr>
          <w:rFonts w:ascii="Calibri" w:hAnsi="Calibri" w:cs="Calibri"/>
        </w:rPr>
      </w:pPr>
    </w:p>
    <w:p w:rsidR="0066500E" w:rsidRPr="00AC6A82" w:rsidRDefault="0066500E" w:rsidP="0066500E">
      <w:pPr>
        <w:rPr>
          <w:rFonts w:ascii="Calibri" w:hAnsi="Calibri" w:cs="Calibri"/>
        </w:rPr>
      </w:pPr>
      <w:r w:rsidRPr="00AC6A82">
        <w:rPr>
          <w:rFonts w:ascii="Calibri" w:hAnsi="Calibri" w:cs="Calibri"/>
        </w:rPr>
        <w:t xml:space="preserve">От базата на BGREIT беше извадена емисията на </w:t>
      </w:r>
      <w:r w:rsidR="00C94F07" w:rsidRPr="00AC6A82">
        <w:rPr>
          <w:rFonts w:ascii="Calibri" w:hAnsi="Calibri" w:cs="Calibri"/>
        </w:rPr>
        <w:t xml:space="preserve">5BD </w:t>
      </w:r>
      <w:r w:rsidRPr="00AC6A82">
        <w:rPr>
          <w:rFonts w:ascii="Calibri" w:hAnsi="Calibri" w:cs="Calibri"/>
        </w:rPr>
        <w:t xml:space="preserve">Булленд инвестмънтс АДСИЦ-София и на нейно място беше добавена емисията на </w:t>
      </w:r>
      <w:r w:rsidR="00C94F07" w:rsidRPr="00AC6A82">
        <w:rPr>
          <w:rFonts w:ascii="Calibri" w:hAnsi="Calibri" w:cs="Calibri"/>
        </w:rPr>
        <w:t xml:space="preserve">5AX </w:t>
      </w:r>
      <w:r w:rsidRPr="00AC6A82">
        <w:rPr>
          <w:rFonts w:ascii="Calibri" w:hAnsi="Calibri" w:cs="Calibri"/>
        </w:rPr>
        <w:t>Актив Пропъртис АДСИЦ-Пловдив.</w:t>
      </w:r>
    </w:p>
    <w:p w:rsidR="0066500E" w:rsidRPr="00AC6A82" w:rsidRDefault="0066500E" w:rsidP="0066500E">
      <w:pPr>
        <w:rPr>
          <w:rFonts w:ascii="Calibri" w:hAnsi="Calibri" w:cs="Calibri"/>
        </w:rPr>
      </w:pPr>
    </w:p>
    <w:p w:rsidR="0066500E" w:rsidRPr="00AC6A82" w:rsidRDefault="0066500E" w:rsidP="0066500E">
      <w:pPr>
        <w:rPr>
          <w:rFonts w:ascii="Calibri" w:hAnsi="Calibri" w:cs="Calibri"/>
        </w:rPr>
      </w:pPr>
      <w:r w:rsidRPr="00AC6A82">
        <w:rPr>
          <w:rFonts w:ascii="Calibri" w:hAnsi="Calibri" w:cs="Calibri"/>
        </w:rPr>
        <w:t>От базата на BGTR30 бяха извадени следните емисии:</w:t>
      </w:r>
    </w:p>
    <w:p w:rsidR="0066500E" w:rsidRPr="00AC6A82" w:rsidRDefault="0066500E" w:rsidP="00C94F07">
      <w:pPr>
        <w:pStyle w:val="ListParagraph"/>
        <w:numPr>
          <w:ilvl w:val="0"/>
          <w:numId w:val="29"/>
        </w:numPr>
        <w:rPr>
          <w:rFonts w:ascii="Calibri" w:hAnsi="Calibri" w:cs="Calibri"/>
        </w:rPr>
      </w:pPr>
      <w:r w:rsidRPr="00AC6A82">
        <w:rPr>
          <w:rFonts w:ascii="Calibri" w:hAnsi="Calibri" w:cs="Calibri"/>
        </w:rPr>
        <w:t>3NB Неохим АД-Димитровград</w:t>
      </w:r>
    </w:p>
    <w:p w:rsidR="0066500E" w:rsidRPr="00AC6A82" w:rsidRDefault="0066500E" w:rsidP="00C94F07">
      <w:pPr>
        <w:pStyle w:val="ListParagraph"/>
        <w:numPr>
          <w:ilvl w:val="0"/>
          <w:numId w:val="29"/>
        </w:numPr>
        <w:rPr>
          <w:rFonts w:ascii="Calibri" w:hAnsi="Calibri" w:cs="Calibri"/>
        </w:rPr>
      </w:pPr>
      <w:r w:rsidRPr="00AC6A82">
        <w:rPr>
          <w:rFonts w:ascii="Calibri" w:hAnsi="Calibri" w:cs="Calibri"/>
        </w:rPr>
        <w:t>3NJ Св. Св. Константин и Елена Холдинг АД-Варна</w:t>
      </w:r>
    </w:p>
    <w:p w:rsidR="0066500E" w:rsidRPr="00AC6A82" w:rsidRDefault="0066500E" w:rsidP="00C94F07">
      <w:pPr>
        <w:pStyle w:val="ListParagraph"/>
        <w:numPr>
          <w:ilvl w:val="0"/>
          <w:numId w:val="29"/>
        </w:numPr>
        <w:rPr>
          <w:rFonts w:ascii="Calibri" w:hAnsi="Calibri" w:cs="Calibri"/>
        </w:rPr>
      </w:pPr>
      <w:r w:rsidRPr="00AC6A82">
        <w:rPr>
          <w:rFonts w:ascii="Calibri" w:hAnsi="Calibri" w:cs="Calibri"/>
        </w:rPr>
        <w:t>4HE Хидравлични елементи и системи АД-Ямбол</w:t>
      </w:r>
    </w:p>
    <w:p w:rsidR="0066500E" w:rsidRPr="00AC6A82" w:rsidRDefault="0066500E" w:rsidP="00C94F07">
      <w:pPr>
        <w:pStyle w:val="ListParagraph"/>
        <w:numPr>
          <w:ilvl w:val="0"/>
          <w:numId w:val="29"/>
        </w:numPr>
        <w:rPr>
          <w:rFonts w:ascii="Calibri" w:hAnsi="Calibri" w:cs="Calibri"/>
        </w:rPr>
      </w:pPr>
      <w:r w:rsidRPr="00AC6A82">
        <w:rPr>
          <w:rFonts w:ascii="Calibri" w:hAnsi="Calibri" w:cs="Calibri"/>
        </w:rPr>
        <w:t>4I8 Индустриален Капитал Холдинг АД-София</w:t>
      </w:r>
    </w:p>
    <w:p w:rsidR="0066500E" w:rsidRPr="00AC6A82" w:rsidRDefault="0066500E" w:rsidP="00C94F07">
      <w:pPr>
        <w:pStyle w:val="ListParagraph"/>
        <w:numPr>
          <w:ilvl w:val="0"/>
          <w:numId w:val="29"/>
        </w:numPr>
        <w:rPr>
          <w:rFonts w:ascii="Calibri" w:hAnsi="Calibri" w:cs="Calibri"/>
        </w:rPr>
      </w:pPr>
      <w:r w:rsidRPr="00AC6A82">
        <w:rPr>
          <w:rFonts w:ascii="Calibri" w:hAnsi="Calibri" w:cs="Calibri"/>
        </w:rPr>
        <w:t>4KX Корадо-България АД-Стражица</w:t>
      </w:r>
    </w:p>
    <w:p w:rsidR="0066500E" w:rsidRPr="00AC6A82" w:rsidRDefault="0066500E" w:rsidP="00C94F07">
      <w:pPr>
        <w:pStyle w:val="ListParagraph"/>
        <w:numPr>
          <w:ilvl w:val="0"/>
          <w:numId w:val="29"/>
        </w:numPr>
        <w:rPr>
          <w:rFonts w:ascii="Calibri" w:hAnsi="Calibri" w:cs="Calibri"/>
        </w:rPr>
      </w:pPr>
      <w:r w:rsidRPr="00AC6A82">
        <w:rPr>
          <w:rFonts w:ascii="Calibri" w:hAnsi="Calibri" w:cs="Calibri"/>
        </w:rPr>
        <w:t>5CP ТБ Тексим Банк АД-София</w:t>
      </w:r>
    </w:p>
    <w:p w:rsidR="0066500E" w:rsidRPr="00AC6A82" w:rsidRDefault="0066500E" w:rsidP="00C94F07">
      <w:pPr>
        <w:pStyle w:val="ListParagraph"/>
        <w:numPr>
          <w:ilvl w:val="0"/>
          <w:numId w:val="29"/>
        </w:numPr>
        <w:rPr>
          <w:rFonts w:ascii="Calibri" w:hAnsi="Calibri" w:cs="Calibri"/>
        </w:rPr>
      </w:pPr>
      <w:r w:rsidRPr="00AC6A82">
        <w:rPr>
          <w:rFonts w:ascii="Calibri" w:hAnsi="Calibri" w:cs="Calibri"/>
        </w:rPr>
        <w:t>6S7 Синергон Холдинг АД-София</w:t>
      </w:r>
    </w:p>
    <w:p w:rsidR="0066500E" w:rsidRPr="00AC6A82" w:rsidRDefault="0066500E" w:rsidP="00C94F07">
      <w:pPr>
        <w:pStyle w:val="ListParagraph"/>
        <w:numPr>
          <w:ilvl w:val="0"/>
          <w:numId w:val="29"/>
        </w:numPr>
        <w:rPr>
          <w:rFonts w:ascii="Calibri" w:hAnsi="Calibri" w:cs="Calibri"/>
        </w:rPr>
      </w:pPr>
      <w:r w:rsidRPr="00AC6A82">
        <w:rPr>
          <w:rFonts w:ascii="Calibri" w:hAnsi="Calibri" w:cs="Calibri"/>
        </w:rPr>
        <w:t>A72 Агрия Груп Холдинг АД-Варна</w:t>
      </w:r>
    </w:p>
    <w:p w:rsidR="0066500E" w:rsidRPr="00AC6A82" w:rsidRDefault="0066500E" w:rsidP="00C94F07">
      <w:pPr>
        <w:pStyle w:val="ListParagraph"/>
        <w:numPr>
          <w:ilvl w:val="0"/>
          <w:numId w:val="29"/>
        </w:numPr>
        <w:rPr>
          <w:rFonts w:ascii="Calibri" w:hAnsi="Calibri" w:cs="Calibri"/>
        </w:rPr>
      </w:pPr>
      <w:r w:rsidRPr="00AC6A82">
        <w:rPr>
          <w:rFonts w:ascii="Calibri" w:hAnsi="Calibri" w:cs="Calibri"/>
        </w:rPr>
        <w:t>EHN Синтетика АД-София</w:t>
      </w:r>
    </w:p>
    <w:p w:rsidR="0066500E" w:rsidRPr="00AC6A82" w:rsidRDefault="0066500E" w:rsidP="00C94F07">
      <w:pPr>
        <w:pStyle w:val="ListParagraph"/>
        <w:numPr>
          <w:ilvl w:val="0"/>
          <w:numId w:val="29"/>
        </w:numPr>
        <w:rPr>
          <w:rFonts w:ascii="Calibri" w:hAnsi="Calibri" w:cs="Calibri"/>
        </w:rPr>
      </w:pPr>
      <w:r w:rsidRPr="00AC6A82">
        <w:rPr>
          <w:rFonts w:ascii="Calibri" w:hAnsi="Calibri" w:cs="Calibri"/>
        </w:rPr>
        <w:t>T57 Трейс груп холд АД-София</w:t>
      </w:r>
    </w:p>
    <w:p w:rsidR="0066500E" w:rsidRPr="00AC6A82" w:rsidRDefault="0066500E" w:rsidP="0066500E">
      <w:pPr>
        <w:rPr>
          <w:rFonts w:ascii="Calibri" w:hAnsi="Calibri" w:cs="Calibri"/>
        </w:rPr>
      </w:pPr>
      <w:r w:rsidRPr="00AC6A82">
        <w:rPr>
          <w:rFonts w:ascii="Calibri" w:hAnsi="Calibri" w:cs="Calibri"/>
        </w:rPr>
        <w:t>и на тяхно място бяха добавени:</w:t>
      </w:r>
    </w:p>
    <w:p w:rsidR="0066500E" w:rsidRPr="00AC6A82" w:rsidRDefault="0066500E" w:rsidP="00C94F07">
      <w:pPr>
        <w:pStyle w:val="ListParagraph"/>
        <w:numPr>
          <w:ilvl w:val="0"/>
          <w:numId w:val="30"/>
        </w:numPr>
        <w:rPr>
          <w:rFonts w:ascii="Calibri" w:hAnsi="Calibri" w:cs="Calibri"/>
        </w:rPr>
      </w:pPr>
      <w:r w:rsidRPr="00AC6A82">
        <w:rPr>
          <w:rFonts w:ascii="Calibri" w:hAnsi="Calibri" w:cs="Calibri"/>
        </w:rPr>
        <w:t>1VX Велграф Асет Мениджмънт АД-София</w:t>
      </w:r>
    </w:p>
    <w:p w:rsidR="0066500E" w:rsidRPr="00AC6A82" w:rsidRDefault="0066500E" w:rsidP="00C94F07">
      <w:pPr>
        <w:pStyle w:val="ListParagraph"/>
        <w:numPr>
          <w:ilvl w:val="0"/>
          <w:numId w:val="30"/>
        </w:numPr>
        <w:rPr>
          <w:rFonts w:ascii="Calibri" w:hAnsi="Calibri" w:cs="Calibri"/>
        </w:rPr>
      </w:pPr>
      <w:r w:rsidRPr="00AC6A82">
        <w:rPr>
          <w:rFonts w:ascii="Calibri" w:hAnsi="Calibri" w:cs="Calibri"/>
        </w:rPr>
        <w:t>GR6 Градус АД-Стара Загора</w:t>
      </w:r>
    </w:p>
    <w:p w:rsidR="0066500E" w:rsidRPr="00AC6A82" w:rsidRDefault="0066500E" w:rsidP="00C94F07">
      <w:pPr>
        <w:pStyle w:val="ListParagraph"/>
        <w:numPr>
          <w:ilvl w:val="0"/>
          <w:numId w:val="30"/>
        </w:numPr>
        <w:rPr>
          <w:rFonts w:ascii="Calibri" w:hAnsi="Calibri" w:cs="Calibri"/>
        </w:rPr>
      </w:pPr>
      <w:r w:rsidRPr="00AC6A82">
        <w:rPr>
          <w:rFonts w:ascii="Calibri" w:hAnsi="Calibri" w:cs="Calibri"/>
        </w:rPr>
        <w:t>4HS Холдинг Света София АД-София</w:t>
      </w:r>
    </w:p>
    <w:p w:rsidR="0066500E" w:rsidRPr="00AC6A82" w:rsidRDefault="0066500E" w:rsidP="00C94F07">
      <w:pPr>
        <w:pStyle w:val="ListParagraph"/>
        <w:numPr>
          <w:ilvl w:val="0"/>
          <w:numId w:val="30"/>
        </w:numPr>
        <w:rPr>
          <w:rFonts w:ascii="Calibri" w:hAnsi="Calibri" w:cs="Calibri"/>
        </w:rPr>
      </w:pPr>
      <w:r w:rsidRPr="00AC6A82">
        <w:rPr>
          <w:rFonts w:ascii="Calibri" w:hAnsi="Calibri" w:cs="Calibri"/>
        </w:rPr>
        <w:t>GTH Инвестиционна Компания Галата АД-Варна</w:t>
      </w:r>
    </w:p>
    <w:p w:rsidR="0066500E" w:rsidRPr="00AC6A82" w:rsidRDefault="0066500E" w:rsidP="00C94F07">
      <w:pPr>
        <w:pStyle w:val="ListParagraph"/>
        <w:numPr>
          <w:ilvl w:val="0"/>
          <w:numId w:val="30"/>
        </w:numPr>
        <w:rPr>
          <w:rFonts w:ascii="Calibri" w:hAnsi="Calibri" w:cs="Calibri"/>
        </w:rPr>
      </w:pPr>
      <w:r w:rsidRPr="00AC6A82">
        <w:rPr>
          <w:rFonts w:ascii="Calibri" w:hAnsi="Calibri" w:cs="Calibri"/>
        </w:rPr>
        <w:t>58E Химснаб България АД-София</w:t>
      </w:r>
    </w:p>
    <w:p w:rsidR="0066500E" w:rsidRPr="00AC6A82" w:rsidRDefault="0066500E" w:rsidP="00C94F07">
      <w:pPr>
        <w:pStyle w:val="ListParagraph"/>
        <w:numPr>
          <w:ilvl w:val="0"/>
          <w:numId w:val="30"/>
        </w:numPr>
        <w:rPr>
          <w:rFonts w:ascii="Calibri" w:hAnsi="Calibri" w:cs="Calibri"/>
        </w:rPr>
      </w:pPr>
      <w:r w:rsidRPr="00AC6A82">
        <w:rPr>
          <w:rFonts w:ascii="Calibri" w:hAnsi="Calibri" w:cs="Calibri"/>
        </w:rPr>
        <w:t>6R2 Родна Земя Холдинг АД-Добрич</w:t>
      </w:r>
    </w:p>
    <w:p w:rsidR="0066500E" w:rsidRPr="00AC6A82" w:rsidRDefault="0066500E" w:rsidP="00C94F07">
      <w:pPr>
        <w:pStyle w:val="ListParagraph"/>
        <w:numPr>
          <w:ilvl w:val="0"/>
          <w:numId w:val="30"/>
        </w:numPr>
        <w:rPr>
          <w:rFonts w:ascii="Calibri" w:hAnsi="Calibri" w:cs="Calibri"/>
        </w:rPr>
      </w:pPr>
      <w:r w:rsidRPr="00AC6A82">
        <w:rPr>
          <w:rFonts w:ascii="Calibri" w:hAnsi="Calibri" w:cs="Calibri"/>
        </w:rPr>
        <w:t>6S4 Северкооп Гъмза Холдинг АД-София</w:t>
      </w:r>
    </w:p>
    <w:p w:rsidR="0066500E" w:rsidRPr="00AC6A82" w:rsidRDefault="0066500E" w:rsidP="00C94F07">
      <w:pPr>
        <w:pStyle w:val="ListParagraph"/>
        <w:numPr>
          <w:ilvl w:val="0"/>
          <w:numId w:val="30"/>
        </w:numPr>
        <w:rPr>
          <w:rFonts w:ascii="Calibri" w:hAnsi="Calibri" w:cs="Calibri"/>
        </w:rPr>
      </w:pPr>
      <w:r w:rsidRPr="00AC6A82">
        <w:rPr>
          <w:rFonts w:ascii="Calibri" w:hAnsi="Calibri" w:cs="Calibri"/>
        </w:rPr>
        <w:t>5H4 Болкан енд Сий Пропъртис АДСИЦ-Варна</w:t>
      </w:r>
    </w:p>
    <w:p w:rsidR="0066500E" w:rsidRPr="00AC6A82" w:rsidRDefault="0066500E" w:rsidP="00C94F07">
      <w:pPr>
        <w:pStyle w:val="ListParagraph"/>
        <w:numPr>
          <w:ilvl w:val="0"/>
          <w:numId w:val="30"/>
        </w:numPr>
        <w:rPr>
          <w:rFonts w:ascii="Calibri" w:hAnsi="Calibri" w:cs="Calibri"/>
        </w:rPr>
      </w:pPr>
      <w:r w:rsidRPr="00AC6A82">
        <w:rPr>
          <w:rFonts w:ascii="Calibri" w:hAnsi="Calibri" w:cs="Calibri"/>
        </w:rPr>
        <w:t>94G 235 Холдингс АД-София</w:t>
      </w:r>
    </w:p>
    <w:p w:rsidR="0066500E" w:rsidRPr="00AC6A82" w:rsidRDefault="0066500E" w:rsidP="00C94F07">
      <w:pPr>
        <w:pStyle w:val="ListParagraph"/>
        <w:numPr>
          <w:ilvl w:val="0"/>
          <w:numId w:val="30"/>
        </w:numPr>
        <w:rPr>
          <w:rFonts w:ascii="Calibri" w:hAnsi="Calibri" w:cs="Calibri"/>
        </w:rPr>
      </w:pPr>
      <w:r w:rsidRPr="00AC6A82">
        <w:rPr>
          <w:rFonts w:ascii="Calibri" w:hAnsi="Calibri" w:cs="Calibri"/>
        </w:rPr>
        <w:t>5AX Актив Пропъртис АДСИЦ-Пловдив</w:t>
      </w:r>
    </w:p>
    <w:p w:rsidR="0066500E" w:rsidRPr="00AC6A82" w:rsidRDefault="0066500E" w:rsidP="0066500E">
      <w:pPr>
        <w:rPr>
          <w:rFonts w:ascii="Calibri" w:hAnsi="Calibri" w:cs="Calibri"/>
        </w:rPr>
      </w:pPr>
      <w:r w:rsidRPr="00AC6A82">
        <w:rPr>
          <w:rFonts w:ascii="Calibri" w:hAnsi="Calibri" w:cs="Calibri"/>
        </w:rPr>
        <w:t>Решенията за промяна в базата на индексите влязоха в сила, считано от 18.03.2019г.</w:t>
      </w:r>
    </w:p>
    <w:p w:rsidR="004F60F1" w:rsidRPr="00AC6A82" w:rsidRDefault="004F60F1" w:rsidP="003030DD">
      <w:pPr>
        <w:pStyle w:val="SubNumbers"/>
      </w:pPr>
      <w:bookmarkStart w:id="40" w:name="_Toc394323724"/>
      <w:bookmarkStart w:id="41" w:name="_Toc7535434"/>
      <w:r w:rsidRPr="00AC6A82">
        <w:t>Търговия със собствени акции на Борсата</w:t>
      </w:r>
      <w:bookmarkEnd w:id="40"/>
      <w:bookmarkEnd w:id="41"/>
    </w:p>
    <w:tbl>
      <w:tblPr>
        <w:tblStyle w:val="TableGrid"/>
        <w:tblpPr w:leftFromText="142" w:rightFromText="142" w:vertAnchor="text" w:horzAnchor="margin" w:tblpXSpec="right" w:tblpY="58"/>
        <w:tblOverlap w:val="never"/>
        <w:tblW w:w="637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79"/>
      </w:tblGrid>
      <w:tr w:rsidR="004F60F1" w:rsidRPr="00AC6A82" w:rsidTr="00867F06">
        <w:trPr>
          <w:cantSplit/>
          <w:jc w:val="right"/>
        </w:trPr>
        <w:tc>
          <w:tcPr>
            <w:tcW w:w="6379" w:type="dxa"/>
          </w:tcPr>
          <w:p w:rsidR="00ED6D17" w:rsidRPr="00AC6A82" w:rsidRDefault="00E42E29" w:rsidP="001A50AB">
            <w:pPr>
              <w:rPr>
                <w:rFonts w:ascii="Calibri" w:hAnsi="Calibri" w:cs="Calibri"/>
              </w:rPr>
            </w:pPr>
            <w:r w:rsidRPr="00AC6A82">
              <w:rPr>
                <w:rFonts w:ascii="Calibri" w:hAnsi="Calibri" w:cs="Calibri"/>
              </w:rPr>
              <w:t>Графика 6</w:t>
            </w:r>
            <w:r w:rsidR="00507F4B" w:rsidRPr="00AC6A82">
              <w:rPr>
                <w:rFonts w:ascii="Calibri" w:hAnsi="Calibri" w:cs="Calibri"/>
              </w:rPr>
              <w:t>а</w:t>
            </w:r>
            <w:r w:rsidR="004F60F1" w:rsidRPr="00AC6A82">
              <w:rPr>
                <w:rFonts w:ascii="Calibri" w:hAnsi="Calibri" w:cs="Calibri"/>
              </w:rPr>
              <w:t xml:space="preserve">: Движение на цената и оборот с акциите на „БФБ“ АД през периода </w:t>
            </w:r>
            <w:r w:rsidR="00507F4B" w:rsidRPr="00AC6A82">
              <w:rPr>
                <w:rFonts w:ascii="Calibri" w:hAnsi="Calibri" w:cs="Calibri"/>
              </w:rPr>
              <w:t xml:space="preserve">(по сесии) </w:t>
            </w:r>
            <w:r w:rsidR="004F60F1" w:rsidRPr="00AC6A82">
              <w:rPr>
                <w:rFonts w:ascii="Calibri" w:hAnsi="Calibri" w:cs="Calibri"/>
              </w:rPr>
              <w:t>и сравнение</w:t>
            </w:r>
          </w:p>
        </w:tc>
      </w:tr>
      <w:tr w:rsidR="004F60F1" w:rsidRPr="00AC6A82" w:rsidTr="008B2F60">
        <w:trPr>
          <w:cantSplit/>
          <w:trHeight w:val="4058"/>
          <w:jc w:val="right"/>
        </w:trPr>
        <w:tc>
          <w:tcPr>
            <w:tcW w:w="6379" w:type="dxa"/>
          </w:tcPr>
          <w:p w:rsidR="004F60F1" w:rsidRPr="00AC6A82" w:rsidRDefault="007D5D98" w:rsidP="001A50AB">
            <w:pPr>
              <w:rPr>
                <w:rFonts w:ascii="Calibri" w:hAnsi="Calibri" w:cs="Calibri"/>
                <w:sz w:val="20"/>
                <w:szCs w:val="20"/>
              </w:rPr>
            </w:pPr>
            <w:r w:rsidRPr="00AC6A82">
              <w:rPr>
                <w:rFonts w:ascii="Calibri" w:hAnsi="Calibri" w:cs="Calibri"/>
                <w:noProof/>
                <w:sz w:val="20"/>
                <w:szCs w:val="20"/>
              </w:rPr>
              <w:drawing>
                <wp:inline distT="0" distB="0" distL="0" distR="0">
                  <wp:extent cx="3859480" cy="3141023"/>
                  <wp:effectExtent l="0" t="0" r="0" b="0"/>
                  <wp:docPr id="1" name="Диаграма 1">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A424E073-C2EE-4619-ADE7-52515E4068E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r>
    </w:tbl>
    <w:p w:rsidR="00E21643" w:rsidRPr="00AC6A82" w:rsidRDefault="00BD0E6E" w:rsidP="001A50AB">
      <w:pPr>
        <w:rPr>
          <w:rFonts w:ascii="Calibri" w:hAnsi="Calibri" w:cs="Calibri"/>
        </w:rPr>
      </w:pPr>
      <w:r w:rsidRPr="00AC6A82">
        <w:rPr>
          <w:rFonts w:ascii="Calibri" w:hAnsi="Calibri" w:cs="Calibri"/>
        </w:rPr>
        <w:t>Търговията със собствени</w:t>
      </w:r>
      <w:r w:rsidR="007756A8" w:rsidRPr="00AC6A82">
        <w:rPr>
          <w:rFonts w:ascii="Calibri" w:hAnsi="Calibri" w:cs="Calibri"/>
        </w:rPr>
        <w:t xml:space="preserve"> акции на „</w:t>
      </w:r>
      <w:r w:rsidR="00C4001C" w:rsidRPr="00AC6A82">
        <w:rPr>
          <w:rFonts w:ascii="Calibri" w:hAnsi="Calibri" w:cs="Calibri"/>
        </w:rPr>
        <w:t>Българска фондова борса</w:t>
      </w:r>
      <w:r w:rsidR="00C86E20" w:rsidRPr="00AC6A82">
        <w:rPr>
          <w:rFonts w:ascii="Calibri" w:hAnsi="Calibri" w:cs="Calibri"/>
        </w:rPr>
        <w:t>“ АД (борсов код BSO)</w:t>
      </w:r>
      <w:r w:rsidR="001A600B" w:rsidRPr="00AC6A82">
        <w:rPr>
          <w:rFonts w:ascii="Calibri" w:hAnsi="Calibri" w:cs="Calibri"/>
        </w:rPr>
        <w:t xml:space="preserve"> бе </w:t>
      </w:r>
      <w:r w:rsidR="00D907C7" w:rsidRPr="00AC6A82">
        <w:rPr>
          <w:rFonts w:ascii="Calibri" w:hAnsi="Calibri" w:cs="Calibri"/>
        </w:rPr>
        <w:t xml:space="preserve">с </w:t>
      </w:r>
      <w:r w:rsidR="001C2914" w:rsidRPr="00AC6A82">
        <w:rPr>
          <w:rFonts w:ascii="Calibri" w:hAnsi="Calibri" w:cs="Calibri"/>
        </w:rPr>
        <w:t>по-ниска</w:t>
      </w:r>
      <w:r w:rsidR="007D5D98" w:rsidRPr="00AC6A82">
        <w:rPr>
          <w:rFonts w:ascii="Calibri" w:hAnsi="Calibri" w:cs="Calibri"/>
          <w:lang w:val="en-US"/>
        </w:rPr>
        <w:t xml:space="preserve"> </w:t>
      </w:r>
      <w:r w:rsidR="000B135B" w:rsidRPr="00AC6A82">
        <w:rPr>
          <w:rFonts w:ascii="Calibri" w:hAnsi="Calibri" w:cs="Calibri"/>
        </w:rPr>
        <w:t>активн</w:t>
      </w:r>
      <w:r w:rsidR="00D907C7" w:rsidRPr="00AC6A82">
        <w:rPr>
          <w:rFonts w:ascii="Calibri" w:hAnsi="Calibri" w:cs="Calibri"/>
        </w:rPr>
        <w:t>ост</w:t>
      </w:r>
      <w:r w:rsidR="001A600B" w:rsidRPr="00AC6A82">
        <w:rPr>
          <w:rFonts w:ascii="Calibri" w:hAnsi="Calibri" w:cs="Calibri"/>
        </w:rPr>
        <w:t xml:space="preserve">, </w:t>
      </w:r>
      <w:r w:rsidR="001C2914" w:rsidRPr="00AC6A82">
        <w:rPr>
          <w:rFonts w:ascii="Calibri" w:hAnsi="Calibri" w:cs="Calibri"/>
        </w:rPr>
        <w:t xml:space="preserve">отколкото през предходното </w:t>
      </w:r>
      <w:r w:rsidR="00CB522F" w:rsidRPr="00AC6A82">
        <w:rPr>
          <w:rFonts w:ascii="Calibri" w:hAnsi="Calibri" w:cs="Calibri"/>
        </w:rPr>
        <w:t xml:space="preserve">четвърто </w:t>
      </w:r>
      <w:r w:rsidR="001C2914" w:rsidRPr="00AC6A82">
        <w:rPr>
          <w:rFonts w:ascii="Calibri" w:hAnsi="Calibri" w:cs="Calibri"/>
        </w:rPr>
        <w:t>тримесечие. С</w:t>
      </w:r>
      <w:r w:rsidR="001A600B" w:rsidRPr="00AC6A82">
        <w:rPr>
          <w:rFonts w:ascii="Calibri" w:hAnsi="Calibri" w:cs="Calibri"/>
        </w:rPr>
        <w:t xml:space="preserve">редната цена </w:t>
      </w:r>
      <w:r w:rsidR="000B2CDF" w:rsidRPr="00AC6A82">
        <w:rPr>
          <w:rFonts w:ascii="Calibri" w:hAnsi="Calibri" w:cs="Calibri"/>
        </w:rPr>
        <w:t xml:space="preserve">през </w:t>
      </w:r>
      <w:r w:rsidR="005925DE" w:rsidRPr="00AC6A82">
        <w:rPr>
          <w:rFonts w:ascii="Calibri" w:hAnsi="Calibri" w:cs="Calibri"/>
        </w:rPr>
        <w:t>три</w:t>
      </w:r>
      <w:r w:rsidR="000B2CDF" w:rsidRPr="00AC6A82">
        <w:rPr>
          <w:rFonts w:ascii="Calibri" w:hAnsi="Calibri" w:cs="Calibri"/>
        </w:rPr>
        <w:t xml:space="preserve">месечието </w:t>
      </w:r>
      <w:r w:rsidR="001A600B" w:rsidRPr="00AC6A82">
        <w:rPr>
          <w:rFonts w:ascii="Calibri" w:hAnsi="Calibri" w:cs="Calibri"/>
        </w:rPr>
        <w:t xml:space="preserve">беше </w:t>
      </w:r>
      <w:r w:rsidR="00FE0A16" w:rsidRPr="00AC6A82">
        <w:rPr>
          <w:rFonts w:ascii="Calibri" w:hAnsi="Calibri" w:cs="Calibri"/>
        </w:rPr>
        <w:t>5</w:t>
      </w:r>
      <w:r w:rsidR="00507F4B" w:rsidRPr="00AC6A82">
        <w:rPr>
          <w:rFonts w:ascii="Calibri" w:hAnsi="Calibri" w:cs="Calibri"/>
        </w:rPr>
        <w:t>,</w:t>
      </w:r>
      <w:r w:rsidR="00CB522F" w:rsidRPr="00AC6A82">
        <w:rPr>
          <w:rFonts w:ascii="Calibri" w:hAnsi="Calibri" w:cs="Calibri"/>
        </w:rPr>
        <w:t xml:space="preserve">458 </w:t>
      </w:r>
      <w:r w:rsidR="001A600B" w:rsidRPr="00AC6A82">
        <w:rPr>
          <w:rFonts w:ascii="Calibri" w:hAnsi="Calibri" w:cs="Calibri"/>
        </w:rPr>
        <w:t>лв</w:t>
      </w:r>
      <w:r w:rsidR="00E542DB" w:rsidRPr="00AC6A82">
        <w:rPr>
          <w:rFonts w:ascii="Calibri" w:hAnsi="Calibri" w:cs="Calibri"/>
        </w:rPr>
        <w:t>.</w:t>
      </w:r>
      <w:r w:rsidR="001D0429" w:rsidRPr="00AC6A82">
        <w:rPr>
          <w:rFonts w:ascii="Calibri" w:hAnsi="Calibri" w:cs="Calibri"/>
        </w:rPr>
        <w:t xml:space="preserve"> за акция</w:t>
      </w:r>
      <w:r w:rsidR="00C86E20" w:rsidRPr="00AC6A82">
        <w:rPr>
          <w:rFonts w:ascii="Calibri" w:hAnsi="Calibri" w:cs="Calibri"/>
        </w:rPr>
        <w:t xml:space="preserve">. </w:t>
      </w:r>
      <w:r w:rsidR="007756A8" w:rsidRPr="00AC6A82">
        <w:rPr>
          <w:rFonts w:ascii="Calibri" w:hAnsi="Calibri" w:cs="Calibri"/>
        </w:rPr>
        <w:t xml:space="preserve">Цената в края на </w:t>
      </w:r>
      <w:r w:rsidR="005925DE" w:rsidRPr="00AC6A82">
        <w:rPr>
          <w:rFonts w:ascii="Calibri" w:hAnsi="Calibri" w:cs="Calibri"/>
        </w:rPr>
        <w:t>три</w:t>
      </w:r>
      <w:r w:rsidR="000B2CDF" w:rsidRPr="00AC6A82">
        <w:rPr>
          <w:rFonts w:ascii="Calibri" w:hAnsi="Calibri" w:cs="Calibri"/>
        </w:rPr>
        <w:t>месечието</w:t>
      </w:r>
      <w:r w:rsidR="007756A8" w:rsidRPr="00AC6A82">
        <w:rPr>
          <w:rFonts w:ascii="Calibri" w:hAnsi="Calibri" w:cs="Calibri"/>
        </w:rPr>
        <w:t xml:space="preserve"> се </w:t>
      </w:r>
      <w:r w:rsidR="00CB522F" w:rsidRPr="00AC6A82">
        <w:rPr>
          <w:rFonts w:ascii="Calibri" w:hAnsi="Calibri" w:cs="Calibri"/>
        </w:rPr>
        <w:t>повиши</w:t>
      </w:r>
      <w:r w:rsidR="007756A8" w:rsidRPr="00AC6A82">
        <w:rPr>
          <w:rFonts w:ascii="Calibri" w:hAnsi="Calibri" w:cs="Calibri"/>
        </w:rPr>
        <w:t xml:space="preserve"> спрямо тази в началото с 0</w:t>
      </w:r>
      <w:r w:rsidR="00E67BB0" w:rsidRPr="00AC6A82">
        <w:rPr>
          <w:rFonts w:ascii="Calibri" w:hAnsi="Calibri" w:cs="Calibri"/>
        </w:rPr>
        <w:t>,</w:t>
      </w:r>
      <w:r w:rsidR="00CB522F" w:rsidRPr="00AC6A82">
        <w:rPr>
          <w:rFonts w:ascii="Calibri" w:hAnsi="Calibri" w:cs="Calibri"/>
        </w:rPr>
        <w:t>1</w:t>
      </w:r>
      <w:r w:rsidR="005925DE" w:rsidRPr="00AC6A82">
        <w:rPr>
          <w:rFonts w:ascii="Calibri" w:hAnsi="Calibri" w:cs="Calibri"/>
        </w:rPr>
        <w:t>5</w:t>
      </w:r>
      <w:r w:rsidR="007756A8" w:rsidRPr="00AC6A82">
        <w:rPr>
          <w:rFonts w:ascii="Calibri" w:hAnsi="Calibri" w:cs="Calibri"/>
        </w:rPr>
        <w:t xml:space="preserve"> лв</w:t>
      </w:r>
      <w:r w:rsidR="00E542DB" w:rsidRPr="00AC6A82">
        <w:rPr>
          <w:rFonts w:ascii="Calibri" w:hAnsi="Calibri" w:cs="Calibri"/>
        </w:rPr>
        <w:t>.</w:t>
      </w:r>
      <w:r w:rsidR="007756A8" w:rsidRPr="00AC6A82">
        <w:rPr>
          <w:rFonts w:ascii="Calibri" w:hAnsi="Calibri" w:cs="Calibri"/>
        </w:rPr>
        <w:t xml:space="preserve"> за акция или </w:t>
      </w:r>
      <w:r w:rsidR="00CB522F" w:rsidRPr="00AC6A82">
        <w:rPr>
          <w:rFonts w:ascii="Calibri" w:hAnsi="Calibri" w:cs="Calibri"/>
        </w:rPr>
        <w:t>2</w:t>
      </w:r>
      <w:r w:rsidR="00461D63" w:rsidRPr="00AC6A82">
        <w:rPr>
          <w:rFonts w:ascii="Calibri" w:hAnsi="Calibri" w:cs="Calibri"/>
        </w:rPr>
        <w:t>,7</w:t>
      </w:r>
      <w:r w:rsidR="00CB522F" w:rsidRPr="00AC6A82">
        <w:rPr>
          <w:rFonts w:ascii="Calibri" w:hAnsi="Calibri" w:cs="Calibri"/>
        </w:rPr>
        <w:t>8</w:t>
      </w:r>
      <w:r w:rsidR="007756A8" w:rsidRPr="00AC6A82">
        <w:rPr>
          <w:rFonts w:ascii="Calibri" w:hAnsi="Calibri" w:cs="Calibri"/>
        </w:rPr>
        <w:t>%</w:t>
      </w:r>
      <w:r w:rsidR="009065D1" w:rsidRPr="00AC6A82">
        <w:rPr>
          <w:rFonts w:ascii="Calibri" w:hAnsi="Calibri" w:cs="Calibri"/>
        </w:rPr>
        <w:t xml:space="preserve"> (от </w:t>
      </w:r>
      <w:r w:rsidR="00CB522F" w:rsidRPr="00AC6A82">
        <w:rPr>
          <w:rFonts w:ascii="Calibri" w:hAnsi="Calibri" w:cs="Calibri"/>
        </w:rPr>
        <w:t>5</w:t>
      </w:r>
      <w:r w:rsidR="009065D1" w:rsidRPr="00AC6A82">
        <w:rPr>
          <w:rFonts w:ascii="Calibri" w:hAnsi="Calibri" w:cs="Calibri"/>
        </w:rPr>
        <w:t>,</w:t>
      </w:r>
      <w:r w:rsidR="00CB522F" w:rsidRPr="00AC6A82">
        <w:rPr>
          <w:rFonts w:ascii="Calibri" w:hAnsi="Calibri" w:cs="Calibri"/>
        </w:rPr>
        <w:t>40</w:t>
      </w:r>
      <w:r w:rsidR="009065D1" w:rsidRPr="00AC6A82">
        <w:rPr>
          <w:rFonts w:ascii="Calibri" w:hAnsi="Calibri" w:cs="Calibri"/>
        </w:rPr>
        <w:t xml:space="preserve"> лева за акция цена на затваряне на </w:t>
      </w:r>
      <w:r w:rsidR="001C2914" w:rsidRPr="00AC6A82">
        <w:rPr>
          <w:rFonts w:ascii="Calibri" w:hAnsi="Calibri" w:cs="Calibri"/>
        </w:rPr>
        <w:t>28</w:t>
      </w:r>
      <w:r w:rsidR="00CB522F" w:rsidRPr="00AC6A82">
        <w:rPr>
          <w:rFonts w:ascii="Calibri" w:hAnsi="Calibri" w:cs="Calibri"/>
        </w:rPr>
        <w:t xml:space="preserve"> декември</w:t>
      </w:r>
      <w:r w:rsidR="009065D1" w:rsidRPr="00AC6A82">
        <w:rPr>
          <w:rFonts w:ascii="Calibri" w:hAnsi="Calibri" w:cs="Calibri"/>
        </w:rPr>
        <w:t xml:space="preserve"> до </w:t>
      </w:r>
      <w:r w:rsidR="001C2914" w:rsidRPr="00AC6A82">
        <w:rPr>
          <w:rFonts w:ascii="Calibri" w:hAnsi="Calibri" w:cs="Calibri"/>
        </w:rPr>
        <w:t>5</w:t>
      </w:r>
      <w:r w:rsidR="009065D1" w:rsidRPr="00AC6A82">
        <w:rPr>
          <w:rFonts w:ascii="Calibri" w:hAnsi="Calibri" w:cs="Calibri"/>
        </w:rPr>
        <w:t>,</w:t>
      </w:r>
      <w:r w:rsidR="00CB522F" w:rsidRPr="00AC6A82">
        <w:rPr>
          <w:rFonts w:ascii="Calibri" w:hAnsi="Calibri" w:cs="Calibri"/>
        </w:rPr>
        <w:t>55</w:t>
      </w:r>
      <w:r w:rsidR="009065D1" w:rsidRPr="00AC6A82">
        <w:rPr>
          <w:rFonts w:ascii="Calibri" w:hAnsi="Calibri" w:cs="Calibri"/>
        </w:rPr>
        <w:t xml:space="preserve"> лева з</w:t>
      </w:r>
      <w:r w:rsidR="00E21643" w:rsidRPr="00AC6A82">
        <w:rPr>
          <w:rFonts w:ascii="Calibri" w:hAnsi="Calibri" w:cs="Calibri"/>
        </w:rPr>
        <w:t xml:space="preserve">а акция цена при затваряне на </w:t>
      </w:r>
      <w:r w:rsidR="00CB522F" w:rsidRPr="00AC6A82">
        <w:rPr>
          <w:rFonts w:ascii="Calibri" w:hAnsi="Calibri" w:cs="Calibri"/>
        </w:rPr>
        <w:t>31 март</w:t>
      </w:r>
      <w:r w:rsidR="009065D1" w:rsidRPr="00AC6A82">
        <w:rPr>
          <w:rFonts w:ascii="Calibri" w:hAnsi="Calibri" w:cs="Calibri"/>
        </w:rPr>
        <w:t>)</w:t>
      </w:r>
      <w:r w:rsidR="007756A8" w:rsidRPr="00AC6A82">
        <w:rPr>
          <w:rFonts w:ascii="Calibri" w:hAnsi="Calibri" w:cs="Calibri"/>
        </w:rPr>
        <w:t xml:space="preserve">. Минималната цена за периода беше </w:t>
      </w:r>
      <w:r w:rsidR="00CB522F" w:rsidRPr="00AC6A82">
        <w:rPr>
          <w:rFonts w:ascii="Calibri" w:hAnsi="Calibri" w:cs="Calibri"/>
        </w:rPr>
        <w:t>5</w:t>
      </w:r>
      <w:r w:rsidR="00476B64" w:rsidRPr="00AC6A82">
        <w:rPr>
          <w:rFonts w:ascii="Calibri" w:hAnsi="Calibri" w:cs="Calibri"/>
        </w:rPr>
        <w:t>,</w:t>
      </w:r>
      <w:r w:rsidR="00CB522F" w:rsidRPr="00AC6A82">
        <w:rPr>
          <w:rFonts w:ascii="Calibri" w:hAnsi="Calibri" w:cs="Calibri"/>
        </w:rPr>
        <w:t>1</w:t>
      </w:r>
      <w:r w:rsidR="00461D63" w:rsidRPr="00AC6A82">
        <w:rPr>
          <w:rFonts w:ascii="Calibri" w:hAnsi="Calibri" w:cs="Calibri"/>
        </w:rPr>
        <w:t>0</w:t>
      </w:r>
      <w:r w:rsidR="007756A8" w:rsidRPr="00AC6A82">
        <w:rPr>
          <w:rFonts w:ascii="Calibri" w:hAnsi="Calibri" w:cs="Calibri"/>
        </w:rPr>
        <w:t xml:space="preserve"> лева за акция, а максималната </w:t>
      </w:r>
      <w:r w:rsidR="00CB522F" w:rsidRPr="00AC6A82">
        <w:rPr>
          <w:rFonts w:ascii="Calibri" w:hAnsi="Calibri" w:cs="Calibri"/>
        </w:rPr>
        <w:t>5</w:t>
      </w:r>
      <w:r w:rsidR="00E67BB0" w:rsidRPr="00AC6A82">
        <w:rPr>
          <w:rFonts w:ascii="Calibri" w:hAnsi="Calibri" w:cs="Calibri"/>
        </w:rPr>
        <w:t>,</w:t>
      </w:r>
      <w:r w:rsidR="00CB522F" w:rsidRPr="00AC6A82">
        <w:rPr>
          <w:rFonts w:ascii="Calibri" w:hAnsi="Calibri" w:cs="Calibri"/>
        </w:rPr>
        <w:t>9</w:t>
      </w:r>
      <w:r w:rsidR="00461D63" w:rsidRPr="00AC6A82">
        <w:rPr>
          <w:rFonts w:ascii="Calibri" w:hAnsi="Calibri" w:cs="Calibri"/>
        </w:rPr>
        <w:t>0</w:t>
      </w:r>
      <w:r w:rsidR="00CB522F" w:rsidRPr="00AC6A82">
        <w:rPr>
          <w:rFonts w:ascii="Calibri" w:hAnsi="Calibri" w:cs="Calibri"/>
        </w:rPr>
        <w:t xml:space="preserve"> </w:t>
      </w:r>
      <w:r w:rsidR="007756A8" w:rsidRPr="00AC6A82">
        <w:rPr>
          <w:rFonts w:ascii="Calibri" w:hAnsi="Calibri" w:cs="Calibri"/>
        </w:rPr>
        <w:t>лв</w:t>
      </w:r>
      <w:r w:rsidR="00E542DB" w:rsidRPr="00AC6A82">
        <w:rPr>
          <w:rFonts w:ascii="Calibri" w:hAnsi="Calibri" w:cs="Calibri"/>
        </w:rPr>
        <w:t>.</w:t>
      </w:r>
      <w:r w:rsidR="007756A8" w:rsidRPr="00AC6A82">
        <w:rPr>
          <w:rFonts w:ascii="Calibri" w:hAnsi="Calibri" w:cs="Calibri"/>
        </w:rPr>
        <w:t xml:space="preserve"> за акция. Общо бяха прехвърлени </w:t>
      </w:r>
      <w:r w:rsidR="00CB522F" w:rsidRPr="00AC6A82">
        <w:rPr>
          <w:rFonts w:ascii="Calibri" w:hAnsi="Calibri" w:cs="Calibri"/>
        </w:rPr>
        <w:t xml:space="preserve">54 644 </w:t>
      </w:r>
      <w:r w:rsidR="007756A8" w:rsidRPr="00AC6A82">
        <w:rPr>
          <w:rFonts w:ascii="Calibri" w:hAnsi="Calibri" w:cs="Calibri"/>
        </w:rPr>
        <w:t xml:space="preserve">лота в </w:t>
      </w:r>
      <w:r w:rsidR="00CB522F" w:rsidRPr="00AC6A82">
        <w:rPr>
          <w:rFonts w:ascii="Calibri" w:hAnsi="Calibri" w:cs="Calibri"/>
        </w:rPr>
        <w:t xml:space="preserve">245 </w:t>
      </w:r>
      <w:r w:rsidR="00304075" w:rsidRPr="00AC6A82">
        <w:rPr>
          <w:rFonts w:ascii="Calibri" w:hAnsi="Calibri" w:cs="Calibri"/>
          <w:szCs w:val="22"/>
        </w:rPr>
        <w:t xml:space="preserve">сделки, оборотът бе </w:t>
      </w:r>
      <w:r w:rsidR="00CB522F" w:rsidRPr="00AC6A82">
        <w:rPr>
          <w:rFonts w:ascii="Calibri" w:hAnsi="Calibri"/>
          <w:color w:val="000000"/>
          <w:szCs w:val="22"/>
        </w:rPr>
        <w:t>298</w:t>
      </w:r>
      <w:r w:rsidR="00E6128C">
        <w:rPr>
          <w:rFonts w:ascii="Calibri" w:hAnsi="Calibri"/>
          <w:color w:val="000000"/>
          <w:szCs w:val="22"/>
        </w:rPr>
        <w:t> </w:t>
      </w:r>
      <w:r w:rsidR="00CB522F" w:rsidRPr="00AC6A82">
        <w:rPr>
          <w:rFonts w:ascii="Calibri" w:hAnsi="Calibri"/>
          <w:color w:val="000000"/>
          <w:szCs w:val="22"/>
        </w:rPr>
        <w:t>262</w:t>
      </w:r>
      <w:r w:rsidR="00E6128C">
        <w:rPr>
          <w:rFonts w:ascii="Calibri" w:hAnsi="Calibri"/>
          <w:color w:val="000000"/>
          <w:szCs w:val="22"/>
          <w:lang w:val="en-US"/>
        </w:rPr>
        <w:t xml:space="preserve"> </w:t>
      </w:r>
      <w:r w:rsidR="007756A8" w:rsidRPr="00AC6A82">
        <w:rPr>
          <w:rFonts w:ascii="Calibri" w:hAnsi="Calibri" w:cs="Calibri"/>
          <w:szCs w:val="22"/>
        </w:rPr>
        <w:t xml:space="preserve">лв., което в сравнение с прехвърлените през </w:t>
      </w:r>
      <w:r w:rsidR="00CB522F" w:rsidRPr="00AC6A82">
        <w:rPr>
          <w:rFonts w:ascii="Calibri" w:hAnsi="Calibri" w:cs="Calibri"/>
          <w:szCs w:val="22"/>
        </w:rPr>
        <w:t xml:space="preserve">четвъртото </w:t>
      </w:r>
      <w:r w:rsidR="005925DE" w:rsidRPr="00AC6A82">
        <w:rPr>
          <w:rFonts w:ascii="Calibri" w:hAnsi="Calibri" w:cs="Calibri"/>
          <w:szCs w:val="22"/>
        </w:rPr>
        <w:t>тримесечие</w:t>
      </w:r>
      <w:r w:rsidR="00CB522F" w:rsidRPr="00AC6A82">
        <w:rPr>
          <w:rFonts w:ascii="Calibri" w:hAnsi="Calibri" w:cs="Calibri"/>
          <w:szCs w:val="22"/>
        </w:rPr>
        <w:t xml:space="preserve"> </w:t>
      </w:r>
      <w:r w:rsidR="00CB522F" w:rsidRPr="00AC6A82">
        <w:rPr>
          <w:rFonts w:ascii="Calibri" w:hAnsi="Calibri" w:cs="Calibri"/>
        </w:rPr>
        <w:t xml:space="preserve">174 673 </w:t>
      </w:r>
      <w:r w:rsidR="00F15FE4" w:rsidRPr="00AC6A82">
        <w:rPr>
          <w:rFonts w:ascii="Calibri" w:hAnsi="Calibri" w:cs="Calibri"/>
        </w:rPr>
        <w:t xml:space="preserve">лота в </w:t>
      </w:r>
      <w:r w:rsidR="00CB522F" w:rsidRPr="00AC6A82">
        <w:rPr>
          <w:rFonts w:ascii="Calibri" w:hAnsi="Calibri" w:cs="Calibri"/>
        </w:rPr>
        <w:t xml:space="preserve">261 </w:t>
      </w:r>
      <w:r w:rsidR="00F15FE4" w:rsidRPr="00AC6A82">
        <w:rPr>
          <w:rFonts w:ascii="Calibri" w:hAnsi="Calibri" w:cs="Calibri"/>
          <w:szCs w:val="22"/>
        </w:rPr>
        <w:t xml:space="preserve">сделки и оборот от </w:t>
      </w:r>
      <w:r w:rsidR="00CB522F" w:rsidRPr="00AC6A82">
        <w:rPr>
          <w:rFonts w:ascii="Calibri" w:hAnsi="Calibri" w:cs="Calibri"/>
          <w:szCs w:val="22"/>
        </w:rPr>
        <w:t xml:space="preserve">927 895 </w:t>
      </w:r>
      <w:r w:rsidR="00F15FE4" w:rsidRPr="00AC6A82">
        <w:rPr>
          <w:rFonts w:ascii="Calibri" w:hAnsi="Calibri" w:cs="Calibri"/>
          <w:szCs w:val="22"/>
        </w:rPr>
        <w:t>лв</w:t>
      </w:r>
      <w:r w:rsidR="00E542DB" w:rsidRPr="00AC6A82">
        <w:rPr>
          <w:rFonts w:ascii="Calibri" w:hAnsi="Calibri" w:cs="Calibri"/>
        </w:rPr>
        <w:t>.</w:t>
      </w:r>
      <w:r w:rsidR="007756A8" w:rsidRPr="00AC6A82">
        <w:rPr>
          <w:rFonts w:ascii="Calibri" w:hAnsi="Calibri" w:cs="Calibri"/>
        </w:rPr>
        <w:t xml:space="preserve"> представлява </w:t>
      </w:r>
      <w:r w:rsidR="00FA6B11" w:rsidRPr="00AC6A82">
        <w:rPr>
          <w:rFonts w:ascii="Calibri" w:hAnsi="Calibri" w:cs="Calibri"/>
        </w:rPr>
        <w:t>намаление</w:t>
      </w:r>
      <w:r w:rsidR="00CB522F" w:rsidRPr="00AC6A82">
        <w:rPr>
          <w:rFonts w:ascii="Calibri" w:hAnsi="Calibri" w:cs="Calibri"/>
        </w:rPr>
        <w:t xml:space="preserve"> </w:t>
      </w:r>
      <w:r w:rsidR="007756A8" w:rsidRPr="00AC6A82">
        <w:rPr>
          <w:rFonts w:ascii="Calibri" w:hAnsi="Calibri" w:cs="Calibri"/>
        </w:rPr>
        <w:t xml:space="preserve">в прехвърления обем </w:t>
      </w:r>
      <w:r w:rsidR="00F8155C" w:rsidRPr="00AC6A82">
        <w:rPr>
          <w:rFonts w:ascii="Calibri" w:hAnsi="Calibri" w:cs="Calibri"/>
        </w:rPr>
        <w:t>с</w:t>
      </w:r>
      <w:r w:rsidR="00AD7760" w:rsidRPr="00AC6A82">
        <w:rPr>
          <w:rFonts w:ascii="Calibri" w:hAnsi="Calibri" w:cs="Calibri"/>
        </w:rPr>
        <w:t xml:space="preserve"> </w:t>
      </w:r>
      <w:r w:rsidR="00CB522F" w:rsidRPr="00AC6A82">
        <w:rPr>
          <w:rFonts w:ascii="Calibri" w:hAnsi="Calibri" w:cs="Calibri"/>
        </w:rPr>
        <w:t>68</w:t>
      </w:r>
      <w:r w:rsidR="009065D1" w:rsidRPr="00AC6A82">
        <w:rPr>
          <w:rFonts w:ascii="Calibri" w:hAnsi="Calibri" w:cs="Calibri"/>
        </w:rPr>
        <w:t xml:space="preserve">%, </w:t>
      </w:r>
      <w:r w:rsidR="00AD7760" w:rsidRPr="00AC6A82">
        <w:rPr>
          <w:rFonts w:ascii="Calibri" w:hAnsi="Calibri" w:cs="Calibri"/>
        </w:rPr>
        <w:t>спад</w:t>
      </w:r>
      <w:r w:rsidR="00C17272" w:rsidRPr="00AC6A82">
        <w:rPr>
          <w:rFonts w:ascii="Calibri" w:hAnsi="Calibri" w:cs="Calibri"/>
        </w:rPr>
        <w:t xml:space="preserve"> на </w:t>
      </w:r>
      <w:r w:rsidR="00E67BB0" w:rsidRPr="00AC6A82">
        <w:rPr>
          <w:rFonts w:ascii="Calibri" w:hAnsi="Calibri" w:cs="Calibri"/>
        </w:rPr>
        <w:t xml:space="preserve">оборота с </w:t>
      </w:r>
      <w:r w:rsidR="00CB522F" w:rsidRPr="00AC6A82">
        <w:rPr>
          <w:rFonts w:ascii="Calibri" w:hAnsi="Calibri" w:cs="Calibri"/>
        </w:rPr>
        <w:t>69</w:t>
      </w:r>
      <w:r w:rsidR="00E67BB0" w:rsidRPr="00AC6A82">
        <w:rPr>
          <w:rFonts w:ascii="Calibri" w:hAnsi="Calibri" w:cs="Calibri"/>
        </w:rPr>
        <w:t xml:space="preserve">% и </w:t>
      </w:r>
      <w:r w:rsidR="00CB522F" w:rsidRPr="00AC6A82">
        <w:rPr>
          <w:rFonts w:ascii="Calibri" w:hAnsi="Calibri" w:cs="Calibri"/>
        </w:rPr>
        <w:t xml:space="preserve">намаление </w:t>
      </w:r>
      <w:r w:rsidR="00C17272" w:rsidRPr="00AC6A82">
        <w:rPr>
          <w:rFonts w:ascii="Calibri" w:hAnsi="Calibri" w:cs="Calibri"/>
        </w:rPr>
        <w:t>в</w:t>
      </w:r>
      <w:r w:rsidR="00CB522F" w:rsidRPr="00AC6A82">
        <w:rPr>
          <w:rFonts w:ascii="Calibri" w:hAnsi="Calibri" w:cs="Calibri"/>
        </w:rPr>
        <w:t xml:space="preserve"> </w:t>
      </w:r>
      <w:r w:rsidR="007756A8" w:rsidRPr="00AC6A82">
        <w:rPr>
          <w:rFonts w:ascii="Calibri" w:hAnsi="Calibri" w:cs="Calibri"/>
        </w:rPr>
        <w:t xml:space="preserve">броя сделки от </w:t>
      </w:r>
      <w:r w:rsidR="00CB522F" w:rsidRPr="00AC6A82">
        <w:rPr>
          <w:rFonts w:ascii="Calibri" w:hAnsi="Calibri" w:cs="Calibri"/>
        </w:rPr>
        <w:t>6</w:t>
      </w:r>
      <w:r w:rsidR="007756A8" w:rsidRPr="00AC6A82">
        <w:rPr>
          <w:rFonts w:ascii="Calibri" w:hAnsi="Calibri" w:cs="Calibri"/>
        </w:rPr>
        <w:t xml:space="preserve">%. Търговия имаше в </w:t>
      </w:r>
      <w:r w:rsidR="00AD7760" w:rsidRPr="00AC6A82">
        <w:rPr>
          <w:rFonts w:ascii="Calibri" w:hAnsi="Calibri" w:cs="Calibri"/>
        </w:rPr>
        <w:t>4</w:t>
      </w:r>
      <w:r w:rsidR="00CB522F" w:rsidRPr="00AC6A82">
        <w:rPr>
          <w:rFonts w:ascii="Calibri" w:hAnsi="Calibri" w:cs="Calibri"/>
        </w:rPr>
        <w:t>6</w:t>
      </w:r>
      <w:r w:rsidR="007756A8" w:rsidRPr="00AC6A82">
        <w:rPr>
          <w:rFonts w:ascii="Calibri" w:hAnsi="Calibri" w:cs="Calibri"/>
        </w:rPr>
        <w:t xml:space="preserve"> от общо </w:t>
      </w:r>
      <w:r w:rsidR="00AD7760" w:rsidRPr="00AC6A82">
        <w:rPr>
          <w:rFonts w:ascii="Calibri" w:hAnsi="Calibri" w:cs="Calibri"/>
        </w:rPr>
        <w:t>62</w:t>
      </w:r>
      <w:r w:rsidR="00E21643" w:rsidRPr="00AC6A82">
        <w:rPr>
          <w:rFonts w:ascii="Calibri" w:hAnsi="Calibri" w:cs="Calibri"/>
        </w:rPr>
        <w:t xml:space="preserve"> сесии за периода.</w:t>
      </w:r>
    </w:p>
    <w:tbl>
      <w:tblPr>
        <w:tblStyle w:val="TableGrid"/>
        <w:tblpPr w:leftFromText="142" w:rightFromText="142" w:vertAnchor="text" w:horzAnchor="margin" w:tblpXSpec="right" w:tblpY="58"/>
        <w:tblOverlap w:val="never"/>
        <w:tblW w:w="6379" w:type="dxa"/>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70" w:type="dxa"/>
          <w:right w:w="70" w:type="dxa"/>
        </w:tblCellMar>
        <w:tblLook w:val="04A0" w:firstRow="1" w:lastRow="0" w:firstColumn="1" w:lastColumn="0" w:noHBand="0" w:noVBand="1"/>
      </w:tblPr>
      <w:tblGrid>
        <w:gridCol w:w="6379"/>
      </w:tblGrid>
      <w:tr w:rsidR="001042CE" w:rsidRPr="00AC6A82" w:rsidTr="00867F06">
        <w:trPr>
          <w:cantSplit/>
          <w:jc w:val="right"/>
        </w:trPr>
        <w:tc>
          <w:tcPr>
            <w:tcW w:w="6379" w:type="dxa"/>
          </w:tcPr>
          <w:p w:rsidR="001042CE" w:rsidRPr="00AC6A82" w:rsidRDefault="001042CE" w:rsidP="001A50AB">
            <w:pPr>
              <w:rPr>
                <w:rFonts w:ascii="Calibri" w:hAnsi="Calibri" w:cs="Calibri"/>
              </w:rPr>
            </w:pPr>
            <w:r w:rsidRPr="00AC6A82">
              <w:rPr>
                <w:rFonts w:ascii="Calibri" w:hAnsi="Calibri" w:cs="Calibri"/>
              </w:rPr>
              <w:t>Графика 6б: Движение на цената и оборота с акциите на „БФБ“ АД през периода (сделка по сделка)</w:t>
            </w:r>
          </w:p>
        </w:tc>
      </w:tr>
      <w:tr w:rsidR="001042CE" w:rsidRPr="00AC6A82" w:rsidTr="008B2F60">
        <w:tblPrEx>
          <w:tblCellMar>
            <w:left w:w="108" w:type="dxa"/>
            <w:right w:w="108" w:type="dxa"/>
          </w:tblCellMar>
        </w:tblPrEx>
        <w:trPr>
          <w:cantSplit/>
          <w:jc w:val="right"/>
        </w:trPr>
        <w:tc>
          <w:tcPr>
            <w:tcW w:w="6379" w:type="dxa"/>
          </w:tcPr>
          <w:p w:rsidR="001042CE" w:rsidRPr="00AC6A82" w:rsidRDefault="00CB522F" w:rsidP="008B2F60">
            <w:pPr>
              <w:jc w:val="center"/>
              <w:rPr>
                <w:rFonts w:ascii="Calibri" w:hAnsi="Calibri" w:cs="Calibri"/>
              </w:rPr>
            </w:pPr>
            <w:r w:rsidRPr="00AC6A82">
              <w:rPr>
                <w:rFonts w:ascii="Calibri" w:hAnsi="Calibri" w:cs="Calibri"/>
                <w:noProof/>
              </w:rPr>
              <w:drawing>
                <wp:inline distT="0" distB="0" distL="0" distR="0">
                  <wp:extent cx="3942608" cy="2743200"/>
                  <wp:effectExtent l="19050" t="0" r="742" b="0"/>
                  <wp:docPr id="5" name="Диаграма 2">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9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bl>
    <w:p w:rsidR="00C80C0B" w:rsidRPr="00AC6A82" w:rsidRDefault="007756A8" w:rsidP="001A50AB">
      <w:pPr>
        <w:rPr>
          <w:rFonts w:ascii="Calibri" w:hAnsi="Calibri" w:cs="Calibri"/>
        </w:rPr>
      </w:pPr>
      <w:r w:rsidRPr="00AC6A82">
        <w:rPr>
          <w:rFonts w:ascii="Calibri" w:hAnsi="Calibri" w:cs="Calibri"/>
        </w:rPr>
        <w:t xml:space="preserve">Таблица 11А показва сравнение с показателите за </w:t>
      </w:r>
      <w:r w:rsidR="00714C0B" w:rsidRPr="00AC6A82">
        <w:rPr>
          <w:rFonts w:ascii="Calibri" w:hAnsi="Calibri" w:cs="Calibri"/>
        </w:rPr>
        <w:t>предходното</w:t>
      </w:r>
      <w:r w:rsidR="00CB522F" w:rsidRPr="00AC6A82">
        <w:rPr>
          <w:rFonts w:ascii="Calibri" w:hAnsi="Calibri" w:cs="Calibri"/>
        </w:rPr>
        <w:t xml:space="preserve"> четвърто </w:t>
      </w:r>
      <w:r w:rsidR="00C17272" w:rsidRPr="00AC6A82">
        <w:rPr>
          <w:rFonts w:ascii="Calibri" w:hAnsi="Calibri" w:cs="Calibri"/>
        </w:rPr>
        <w:t>тримесечие</w:t>
      </w:r>
      <w:r w:rsidR="009065D1" w:rsidRPr="00AC6A82">
        <w:rPr>
          <w:rFonts w:ascii="Calibri" w:hAnsi="Calibri" w:cs="Calibri"/>
        </w:rPr>
        <w:t xml:space="preserve"> н</w:t>
      </w:r>
      <w:r w:rsidR="00FB264D" w:rsidRPr="00AC6A82">
        <w:rPr>
          <w:rFonts w:ascii="Calibri" w:hAnsi="Calibri" w:cs="Calibri"/>
        </w:rPr>
        <w:t>а 201</w:t>
      </w:r>
      <w:r w:rsidR="00C17272" w:rsidRPr="00AC6A82">
        <w:rPr>
          <w:rFonts w:ascii="Calibri" w:hAnsi="Calibri" w:cs="Calibri"/>
        </w:rPr>
        <w:t>8</w:t>
      </w:r>
      <w:r w:rsidRPr="00AC6A82">
        <w:rPr>
          <w:rFonts w:ascii="Calibri" w:hAnsi="Calibri" w:cs="Calibri"/>
        </w:rPr>
        <w:t xml:space="preserve"> г. </w:t>
      </w:r>
      <w:r w:rsidR="0095652D" w:rsidRPr="00AC6A82">
        <w:rPr>
          <w:rFonts w:ascii="Calibri" w:hAnsi="Calibri" w:cs="Calibri"/>
        </w:rPr>
        <w:t>При сравнение</w:t>
      </w:r>
      <w:r w:rsidR="00CB522F" w:rsidRPr="00AC6A82">
        <w:rPr>
          <w:rFonts w:ascii="Calibri" w:hAnsi="Calibri" w:cs="Calibri"/>
        </w:rPr>
        <w:t xml:space="preserve"> </w:t>
      </w:r>
      <w:r w:rsidR="00F54976" w:rsidRPr="00AC6A82">
        <w:rPr>
          <w:rFonts w:ascii="Calibri" w:hAnsi="Calibri" w:cs="Calibri"/>
        </w:rPr>
        <w:t xml:space="preserve">на </w:t>
      </w:r>
      <w:r w:rsidR="00714C0B" w:rsidRPr="00AC6A82">
        <w:rPr>
          <w:rFonts w:ascii="Calibri" w:hAnsi="Calibri" w:cs="Calibri"/>
        </w:rPr>
        <w:t xml:space="preserve">двете </w:t>
      </w:r>
      <w:r w:rsidR="00C17272" w:rsidRPr="00AC6A82">
        <w:rPr>
          <w:rFonts w:ascii="Calibri" w:hAnsi="Calibri" w:cs="Calibri"/>
        </w:rPr>
        <w:t>три</w:t>
      </w:r>
      <w:r w:rsidR="000B2CDF" w:rsidRPr="00AC6A82">
        <w:rPr>
          <w:rFonts w:ascii="Calibri" w:hAnsi="Calibri" w:cs="Calibri"/>
        </w:rPr>
        <w:t>месечия</w:t>
      </w:r>
      <w:r w:rsidR="00714C0B" w:rsidRPr="00AC6A82">
        <w:rPr>
          <w:rFonts w:ascii="Calibri" w:hAnsi="Calibri" w:cs="Calibri"/>
        </w:rPr>
        <w:t xml:space="preserve"> се забелязва </w:t>
      </w:r>
      <w:r w:rsidR="00C479CA" w:rsidRPr="00AC6A82">
        <w:rPr>
          <w:rFonts w:ascii="Calibri" w:hAnsi="Calibri" w:cs="Calibri"/>
        </w:rPr>
        <w:t>намаление</w:t>
      </w:r>
      <w:r w:rsidR="00CB522F" w:rsidRPr="00AC6A82">
        <w:rPr>
          <w:rFonts w:ascii="Calibri" w:hAnsi="Calibri" w:cs="Calibri"/>
        </w:rPr>
        <w:t xml:space="preserve"> </w:t>
      </w:r>
      <w:r w:rsidR="0054382D" w:rsidRPr="00AC6A82">
        <w:rPr>
          <w:rFonts w:ascii="Calibri" w:hAnsi="Calibri" w:cs="Calibri"/>
        </w:rPr>
        <w:t>на</w:t>
      </w:r>
      <w:r w:rsidR="00F54976" w:rsidRPr="00AC6A82">
        <w:rPr>
          <w:rFonts w:ascii="Calibri" w:hAnsi="Calibri" w:cs="Calibri"/>
        </w:rPr>
        <w:t xml:space="preserve"> всички показатели на търговията </w:t>
      </w:r>
      <w:r w:rsidR="000B2CDF" w:rsidRPr="00AC6A82">
        <w:rPr>
          <w:rFonts w:ascii="Calibri" w:hAnsi="Calibri" w:cs="Calibri"/>
        </w:rPr>
        <w:t xml:space="preserve">през всеки от месеците </w:t>
      </w:r>
      <w:r w:rsidR="0095652D" w:rsidRPr="00AC6A82">
        <w:rPr>
          <w:rFonts w:ascii="Calibri" w:hAnsi="Calibri" w:cs="Calibri"/>
        </w:rPr>
        <w:t>спрямо</w:t>
      </w:r>
      <w:r w:rsidR="00F15FE4" w:rsidRPr="00AC6A82">
        <w:rPr>
          <w:rFonts w:ascii="Calibri" w:hAnsi="Calibri" w:cs="Calibri"/>
        </w:rPr>
        <w:t xml:space="preserve"> съответния на предходното</w:t>
      </w:r>
      <w:r w:rsidR="000B2CDF" w:rsidRPr="00AC6A82">
        <w:rPr>
          <w:rFonts w:ascii="Calibri" w:hAnsi="Calibri" w:cs="Calibri"/>
        </w:rPr>
        <w:t xml:space="preserve">, </w:t>
      </w:r>
      <w:r w:rsidR="0054382D" w:rsidRPr="00AC6A82">
        <w:rPr>
          <w:rFonts w:ascii="Calibri" w:hAnsi="Calibri" w:cs="Calibri"/>
        </w:rPr>
        <w:t xml:space="preserve">като прави впечатление </w:t>
      </w:r>
      <w:r w:rsidR="00521D18" w:rsidRPr="00AC6A82">
        <w:rPr>
          <w:rFonts w:ascii="Calibri" w:hAnsi="Calibri" w:cs="Calibri"/>
        </w:rPr>
        <w:t xml:space="preserve">спадът през </w:t>
      </w:r>
      <w:r w:rsidR="00C479CA" w:rsidRPr="00AC6A82">
        <w:rPr>
          <w:rFonts w:ascii="Calibri" w:hAnsi="Calibri" w:cs="Calibri"/>
        </w:rPr>
        <w:t>март</w:t>
      </w:r>
      <w:r w:rsidR="00521D18" w:rsidRPr="00AC6A82">
        <w:rPr>
          <w:rFonts w:ascii="Calibri" w:hAnsi="Calibri" w:cs="Calibri"/>
        </w:rPr>
        <w:t xml:space="preserve"> спрямо </w:t>
      </w:r>
      <w:r w:rsidR="00C479CA" w:rsidRPr="00AC6A82">
        <w:rPr>
          <w:rFonts w:ascii="Calibri" w:hAnsi="Calibri" w:cs="Calibri"/>
        </w:rPr>
        <w:t>декември, който беше доста активен по отношение на търговията</w:t>
      </w:r>
      <w:r w:rsidR="0054382D" w:rsidRPr="00AC6A82">
        <w:rPr>
          <w:rFonts w:ascii="Calibri" w:hAnsi="Calibri" w:cs="Calibri"/>
        </w:rPr>
        <w:t>.</w:t>
      </w:r>
    </w:p>
    <w:p w:rsidR="00F15FE4" w:rsidRPr="00AC6A82" w:rsidRDefault="007756A8" w:rsidP="001A50AB">
      <w:pPr>
        <w:rPr>
          <w:rFonts w:ascii="Calibri" w:hAnsi="Calibri" w:cs="Calibri"/>
        </w:rPr>
      </w:pPr>
      <w:r w:rsidRPr="00AC6A82">
        <w:rPr>
          <w:rFonts w:ascii="Calibri" w:hAnsi="Calibri" w:cs="Calibri"/>
        </w:rPr>
        <w:t xml:space="preserve">Таблица 11Б показва сравнение по месеци спрямо предходния месец. </w:t>
      </w:r>
      <w:r w:rsidR="0054382D" w:rsidRPr="00AC6A82">
        <w:rPr>
          <w:rFonts w:ascii="Calibri" w:hAnsi="Calibri" w:cs="Calibri"/>
        </w:rPr>
        <w:t xml:space="preserve">Движението тук </w:t>
      </w:r>
      <w:r w:rsidR="00C479CA" w:rsidRPr="00AC6A82">
        <w:rPr>
          <w:rFonts w:ascii="Calibri" w:hAnsi="Calibri" w:cs="Calibri"/>
        </w:rPr>
        <w:t>също</w:t>
      </w:r>
      <w:r w:rsidR="0054382D" w:rsidRPr="00AC6A82">
        <w:rPr>
          <w:rFonts w:ascii="Calibri" w:hAnsi="Calibri" w:cs="Calibri"/>
        </w:rPr>
        <w:t xml:space="preserve"> </w:t>
      </w:r>
      <w:r w:rsidR="00C479CA" w:rsidRPr="00AC6A82">
        <w:rPr>
          <w:rFonts w:ascii="Calibri" w:hAnsi="Calibri" w:cs="Calibri"/>
        </w:rPr>
        <w:t>е низходящо</w:t>
      </w:r>
      <w:r w:rsidR="0054382D" w:rsidRPr="00AC6A82">
        <w:rPr>
          <w:rFonts w:ascii="Calibri" w:hAnsi="Calibri" w:cs="Calibri"/>
        </w:rPr>
        <w:t xml:space="preserve">, като </w:t>
      </w:r>
      <w:r w:rsidR="00521D18" w:rsidRPr="00AC6A82">
        <w:rPr>
          <w:rFonts w:ascii="Calibri" w:hAnsi="Calibri" w:cs="Calibri"/>
        </w:rPr>
        <w:t xml:space="preserve">прави впечатление, че </w:t>
      </w:r>
      <w:r w:rsidR="00796886" w:rsidRPr="00AC6A82">
        <w:rPr>
          <w:rFonts w:ascii="Calibri" w:hAnsi="Calibri" w:cs="Calibri"/>
        </w:rPr>
        <w:t xml:space="preserve">за разлика от предходното, </w:t>
      </w:r>
      <w:r w:rsidR="00ED3CC3" w:rsidRPr="00AC6A82">
        <w:rPr>
          <w:rFonts w:ascii="Calibri" w:hAnsi="Calibri" w:cs="Calibri"/>
        </w:rPr>
        <w:t>оборотът</w:t>
      </w:r>
      <w:r w:rsidR="0054382D" w:rsidRPr="00AC6A82">
        <w:rPr>
          <w:rFonts w:ascii="Calibri" w:hAnsi="Calibri" w:cs="Calibri"/>
        </w:rPr>
        <w:t xml:space="preserve"> през </w:t>
      </w:r>
      <w:r w:rsidR="00C479CA" w:rsidRPr="00AC6A82">
        <w:rPr>
          <w:rFonts w:ascii="Calibri" w:hAnsi="Calibri" w:cs="Calibri"/>
        </w:rPr>
        <w:t>първото</w:t>
      </w:r>
      <w:r w:rsidR="00521D18" w:rsidRPr="00AC6A82">
        <w:rPr>
          <w:rFonts w:ascii="Calibri" w:hAnsi="Calibri" w:cs="Calibri"/>
        </w:rPr>
        <w:t xml:space="preserve"> тримесечие на </w:t>
      </w:r>
      <w:r w:rsidR="00C479CA" w:rsidRPr="00AC6A82">
        <w:rPr>
          <w:rFonts w:ascii="Calibri" w:hAnsi="Calibri" w:cs="Calibri"/>
        </w:rPr>
        <w:t>2019</w:t>
      </w:r>
      <w:r w:rsidR="00ED3CC3" w:rsidRPr="00AC6A82">
        <w:rPr>
          <w:rFonts w:ascii="Calibri" w:hAnsi="Calibri" w:cs="Calibri"/>
        </w:rPr>
        <w:t xml:space="preserve"> година</w:t>
      </w:r>
      <w:r w:rsidR="00521D18" w:rsidRPr="00AC6A82">
        <w:rPr>
          <w:rFonts w:ascii="Calibri" w:hAnsi="Calibri" w:cs="Calibri"/>
        </w:rPr>
        <w:t xml:space="preserve"> </w:t>
      </w:r>
      <w:r w:rsidR="00C479CA" w:rsidRPr="00AC6A82">
        <w:rPr>
          <w:rFonts w:ascii="Calibri" w:hAnsi="Calibri" w:cs="Calibri"/>
        </w:rPr>
        <w:t>намалява</w:t>
      </w:r>
      <w:r w:rsidR="00521D18" w:rsidRPr="00AC6A82">
        <w:rPr>
          <w:rFonts w:ascii="Calibri" w:hAnsi="Calibri" w:cs="Calibri"/>
        </w:rPr>
        <w:t xml:space="preserve"> с всеки изминал месец</w:t>
      </w:r>
      <w:r w:rsidR="00ED3CC3" w:rsidRPr="00AC6A82">
        <w:rPr>
          <w:rFonts w:ascii="Calibri" w:hAnsi="Calibri" w:cs="Calibri"/>
        </w:rPr>
        <w:t>.</w:t>
      </w:r>
      <w:r w:rsidR="00C479CA" w:rsidRPr="00AC6A82">
        <w:rPr>
          <w:rFonts w:ascii="Calibri" w:hAnsi="Calibri" w:cs="Calibri"/>
        </w:rPr>
        <w:t xml:space="preserve"> </w:t>
      </w:r>
      <w:r w:rsidR="00F15FE4" w:rsidRPr="00AC6A82">
        <w:rPr>
          <w:rFonts w:ascii="Calibri" w:hAnsi="Calibri" w:cs="Calibri"/>
        </w:rPr>
        <w:br w:type="page"/>
      </w:r>
    </w:p>
    <w:p w:rsidR="00C479CA" w:rsidRPr="00AC6A82" w:rsidRDefault="004F60F1" w:rsidP="001A50AB">
      <w:pPr>
        <w:rPr>
          <w:rFonts w:ascii="Calibri" w:hAnsi="Calibri" w:cs="Calibri"/>
        </w:rPr>
      </w:pPr>
      <w:r w:rsidRPr="00AC6A82">
        <w:rPr>
          <w:rFonts w:ascii="Calibri" w:hAnsi="Calibri" w:cs="Calibri"/>
        </w:rPr>
        <w:t>Таблица 11А: Обем, оборо</w:t>
      </w:r>
      <w:r w:rsidR="0080029D" w:rsidRPr="00AC6A82">
        <w:rPr>
          <w:rFonts w:ascii="Calibri" w:hAnsi="Calibri" w:cs="Calibri"/>
        </w:rPr>
        <w:t>т и брой сделки с акции на БФБ</w:t>
      </w:r>
      <w:r w:rsidRPr="00AC6A82">
        <w:rPr>
          <w:rFonts w:ascii="Calibri" w:hAnsi="Calibri" w:cs="Calibri"/>
        </w:rPr>
        <w:t xml:space="preserve"> – сравнение</w:t>
      </w:r>
      <w:r w:rsidR="00C479CA" w:rsidRPr="00AC6A82">
        <w:rPr>
          <w:rFonts w:ascii="Calibri" w:hAnsi="Calibri" w:cs="Calibri"/>
        </w:rPr>
        <w:t xml:space="preserve"> със съответния месец на предходния период</w:t>
      </w:r>
    </w:p>
    <w:tbl>
      <w:tblPr>
        <w:tblW w:w="10331" w:type="dxa"/>
        <w:jc w:val="center"/>
        <w:tblCellMar>
          <w:left w:w="70" w:type="dxa"/>
          <w:right w:w="70" w:type="dxa"/>
        </w:tblCellMar>
        <w:tblLook w:val="04A0" w:firstRow="1" w:lastRow="0" w:firstColumn="1" w:lastColumn="0" w:noHBand="0" w:noVBand="1"/>
      </w:tblPr>
      <w:tblGrid>
        <w:gridCol w:w="1494"/>
        <w:gridCol w:w="971"/>
        <w:gridCol w:w="1964"/>
        <w:gridCol w:w="946"/>
        <w:gridCol w:w="2122"/>
        <w:gridCol w:w="881"/>
        <w:gridCol w:w="1953"/>
      </w:tblGrid>
      <w:tr w:rsidR="00C479CA" w:rsidRPr="00AC6A82" w:rsidTr="00C479CA">
        <w:trPr>
          <w:trHeight w:val="170"/>
          <w:jc w:val="center"/>
        </w:trPr>
        <w:tc>
          <w:tcPr>
            <w:tcW w:w="1494" w:type="dxa"/>
            <w:tcBorders>
              <w:top w:val="single" w:sz="4" w:space="0" w:color="auto"/>
              <w:left w:val="single" w:sz="4" w:space="0" w:color="auto"/>
              <w:bottom w:val="single" w:sz="4" w:space="0" w:color="auto"/>
              <w:right w:val="single" w:sz="4" w:space="0" w:color="auto"/>
            </w:tcBorders>
            <w:shd w:val="clear" w:color="000000" w:fill="4F81BD"/>
            <w:noWrap/>
            <w:tcMar>
              <w:left w:w="28" w:type="dxa"/>
              <w:right w:w="28" w:type="dxa"/>
            </w:tcMar>
            <w:hideMark/>
          </w:tcPr>
          <w:p w:rsidR="00C479CA" w:rsidRPr="00AC6A82" w:rsidRDefault="00C479CA" w:rsidP="00C479CA">
            <w:pPr>
              <w:widowControl/>
              <w:spacing w:line="240" w:lineRule="auto"/>
              <w:jc w:val="center"/>
              <w:rPr>
                <w:rFonts w:ascii="Calibri" w:hAnsi="Calibri"/>
                <w:color w:val="FFFFFF"/>
                <w:szCs w:val="22"/>
              </w:rPr>
            </w:pPr>
            <w:r w:rsidRPr="00AC6A82">
              <w:rPr>
                <w:rFonts w:ascii="Calibri" w:hAnsi="Calibri"/>
                <w:color w:val="FFFFFF"/>
                <w:szCs w:val="22"/>
              </w:rPr>
              <w:t>Месец</w:t>
            </w:r>
          </w:p>
        </w:tc>
        <w:tc>
          <w:tcPr>
            <w:tcW w:w="971"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C479CA" w:rsidRPr="00AC6A82" w:rsidRDefault="00C479CA" w:rsidP="00C479CA">
            <w:pPr>
              <w:widowControl/>
              <w:spacing w:line="240" w:lineRule="auto"/>
              <w:jc w:val="center"/>
              <w:rPr>
                <w:rFonts w:ascii="Calibri" w:hAnsi="Calibri"/>
                <w:color w:val="FFFFFF"/>
                <w:szCs w:val="22"/>
              </w:rPr>
            </w:pPr>
            <w:r w:rsidRPr="00AC6A82">
              <w:rPr>
                <w:rFonts w:ascii="Calibri" w:hAnsi="Calibri"/>
                <w:color w:val="FFFFFF"/>
                <w:szCs w:val="22"/>
              </w:rPr>
              <w:t>Обем лотове</w:t>
            </w:r>
          </w:p>
        </w:tc>
        <w:tc>
          <w:tcPr>
            <w:tcW w:w="1964"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C479CA" w:rsidRPr="00AC6A82" w:rsidRDefault="00C479CA" w:rsidP="00C479CA">
            <w:pPr>
              <w:widowControl/>
              <w:spacing w:line="240" w:lineRule="auto"/>
              <w:jc w:val="center"/>
              <w:rPr>
                <w:rFonts w:ascii="Calibri" w:hAnsi="Calibri"/>
                <w:color w:val="FFFFFF"/>
                <w:szCs w:val="22"/>
              </w:rPr>
            </w:pPr>
            <w:r w:rsidRPr="00AC6A82">
              <w:rPr>
                <w:rFonts w:ascii="Calibri" w:hAnsi="Calibri"/>
                <w:color w:val="FFFFFF"/>
                <w:szCs w:val="22"/>
              </w:rPr>
              <w:t>% промяна спрямо съответния месец на Q4 '18</w:t>
            </w:r>
          </w:p>
        </w:tc>
        <w:tc>
          <w:tcPr>
            <w:tcW w:w="946"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C479CA" w:rsidRPr="00AC6A82" w:rsidRDefault="00C479CA" w:rsidP="00C479CA">
            <w:pPr>
              <w:widowControl/>
              <w:spacing w:line="240" w:lineRule="auto"/>
              <w:jc w:val="center"/>
              <w:rPr>
                <w:rFonts w:ascii="Calibri" w:hAnsi="Calibri"/>
                <w:color w:val="FFFFFF"/>
                <w:szCs w:val="22"/>
              </w:rPr>
            </w:pPr>
            <w:r w:rsidRPr="00AC6A82">
              <w:rPr>
                <w:rFonts w:ascii="Calibri" w:hAnsi="Calibri"/>
                <w:color w:val="FFFFFF"/>
                <w:szCs w:val="22"/>
              </w:rPr>
              <w:t>Оборот</w:t>
            </w:r>
          </w:p>
        </w:tc>
        <w:tc>
          <w:tcPr>
            <w:tcW w:w="2122"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C479CA" w:rsidRPr="00AC6A82" w:rsidRDefault="00C479CA" w:rsidP="00C479CA">
            <w:pPr>
              <w:widowControl/>
              <w:spacing w:line="240" w:lineRule="auto"/>
              <w:jc w:val="center"/>
              <w:rPr>
                <w:rFonts w:ascii="Calibri" w:hAnsi="Calibri"/>
                <w:color w:val="FFFFFF"/>
                <w:szCs w:val="22"/>
              </w:rPr>
            </w:pPr>
            <w:r w:rsidRPr="00AC6A82">
              <w:rPr>
                <w:rFonts w:ascii="Calibri" w:hAnsi="Calibri"/>
                <w:color w:val="FFFFFF"/>
                <w:szCs w:val="22"/>
              </w:rPr>
              <w:t>% промяна спрямо съответния месец на Q4 '18</w:t>
            </w:r>
          </w:p>
        </w:tc>
        <w:tc>
          <w:tcPr>
            <w:tcW w:w="881"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C479CA" w:rsidRPr="00AC6A82" w:rsidRDefault="00C479CA" w:rsidP="00C479CA">
            <w:pPr>
              <w:widowControl/>
              <w:spacing w:line="240" w:lineRule="auto"/>
              <w:jc w:val="center"/>
              <w:rPr>
                <w:rFonts w:ascii="Calibri" w:hAnsi="Calibri"/>
                <w:color w:val="FFFFFF"/>
                <w:szCs w:val="22"/>
              </w:rPr>
            </w:pPr>
            <w:r w:rsidRPr="00AC6A82">
              <w:rPr>
                <w:rFonts w:ascii="Calibri" w:hAnsi="Calibri"/>
                <w:color w:val="FFFFFF"/>
                <w:szCs w:val="22"/>
              </w:rPr>
              <w:t>Брой сделки</w:t>
            </w:r>
          </w:p>
        </w:tc>
        <w:tc>
          <w:tcPr>
            <w:tcW w:w="1953"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C479CA" w:rsidRPr="00AC6A82" w:rsidRDefault="00C479CA" w:rsidP="00C479CA">
            <w:pPr>
              <w:widowControl/>
              <w:spacing w:line="240" w:lineRule="auto"/>
              <w:jc w:val="center"/>
              <w:rPr>
                <w:rFonts w:ascii="Calibri" w:hAnsi="Calibri"/>
                <w:color w:val="FFFFFF"/>
                <w:szCs w:val="22"/>
              </w:rPr>
            </w:pPr>
            <w:r w:rsidRPr="00AC6A82">
              <w:rPr>
                <w:rFonts w:ascii="Calibri" w:hAnsi="Calibri"/>
                <w:color w:val="FFFFFF"/>
                <w:szCs w:val="22"/>
              </w:rPr>
              <w:t>% промяна спрямо съответния месец на Q4 '18</w:t>
            </w:r>
          </w:p>
        </w:tc>
      </w:tr>
      <w:tr w:rsidR="00C479CA" w:rsidRPr="00AC6A82" w:rsidTr="00C479CA">
        <w:trPr>
          <w:trHeight w:val="170"/>
          <w:jc w:val="center"/>
        </w:trPr>
        <w:tc>
          <w:tcPr>
            <w:tcW w:w="1494"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октомври '18</w:t>
            </w:r>
          </w:p>
        </w:tc>
        <w:tc>
          <w:tcPr>
            <w:tcW w:w="97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29 564</w:t>
            </w:r>
          </w:p>
        </w:tc>
        <w:tc>
          <w:tcPr>
            <w:tcW w:w="196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 </w:t>
            </w:r>
          </w:p>
        </w:tc>
        <w:tc>
          <w:tcPr>
            <w:tcW w:w="94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173 080</w:t>
            </w:r>
          </w:p>
        </w:tc>
        <w:tc>
          <w:tcPr>
            <w:tcW w:w="2122"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 </w:t>
            </w:r>
          </w:p>
        </w:tc>
        <w:tc>
          <w:tcPr>
            <w:tcW w:w="88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68</w:t>
            </w:r>
          </w:p>
        </w:tc>
        <w:tc>
          <w:tcPr>
            <w:tcW w:w="1953"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 </w:t>
            </w:r>
          </w:p>
        </w:tc>
      </w:tr>
      <w:tr w:rsidR="00C479CA" w:rsidRPr="00AC6A82" w:rsidTr="00C479CA">
        <w:trPr>
          <w:trHeight w:val="170"/>
          <w:jc w:val="center"/>
        </w:trPr>
        <w:tc>
          <w:tcPr>
            <w:tcW w:w="1494"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ноември '18</w:t>
            </w:r>
          </w:p>
        </w:tc>
        <w:tc>
          <w:tcPr>
            <w:tcW w:w="97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67 041</w:t>
            </w:r>
          </w:p>
        </w:tc>
        <w:tc>
          <w:tcPr>
            <w:tcW w:w="196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 </w:t>
            </w:r>
          </w:p>
        </w:tc>
        <w:tc>
          <w:tcPr>
            <w:tcW w:w="94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344 804</w:t>
            </w:r>
          </w:p>
        </w:tc>
        <w:tc>
          <w:tcPr>
            <w:tcW w:w="2122"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 </w:t>
            </w:r>
          </w:p>
        </w:tc>
        <w:tc>
          <w:tcPr>
            <w:tcW w:w="88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116</w:t>
            </w:r>
          </w:p>
        </w:tc>
        <w:tc>
          <w:tcPr>
            <w:tcW w:w="1953"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 </w:t>
            </w:r>
          </w:p>
        </w:tc>
      </w:tr>
      <w:tr w:rsidR="00C479CA" w:rsidRPr="00AC6A82" w:rsidTr="00C479CA">
        <w:trPr>
          <w:trHeight w:val="170"/>
          <w:jc w:val="center"/>
        </w:trPr>
        <w:tc>
          <w:tcPr>
            <w:tcW w:w="1494"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декември '18</w:t>
            </w:r>
          </w:p>
        </w:tc>
        <w:tc>
          <w:tcPr>
            <w:tcW w:w="97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78 168</w:t>
            </w:r>
          </w:p>
        </w:tc>
        <w:tc>
          <w:tcPr>
            <w:tcW w:w="196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 </w:t>
            </w:r>
          </w:p>
        </w:tc>
        <w:tc>
          <w:tcPr>
            <w:tcW w:w="94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410 611</w:t>
            </w:r>
          </w:p>
        </w:tc>
        <w:tc>
          <w:tcPr>
            <w:tcW w:w="2122"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 </w:t>
            </w:r>
          </w:p>
        </w:tc>
        <w:tc>
          <w:tcPr>
            <w:tcW w:w="88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78</w:t>
            </w:r>
          </w:p>
        </w:tc>
        <w:tc>
          <w:tcPr>
            <w:tcW w:w="1953"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 </w:t>
            </w:r>
          </w:p>
        </w:tc>
      </w:tr>
      <w:tr w:rsidR="00C479CA" w:rsidRPr="00AC6A82" w:rsidTr="00C479CA">
        <w:trPr>
          <w:trHeight w:val="170"/>
          <w:jc w:val="center"/>
        </w:trPr>
        <w:tc>
          <w:tcPr>
            <w:tcW w:w="1494"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януари '19</w:t>
            </w:r>
          </w:p>
        </w:tc>
        <w:tc>
          <w:tcPr>
            <w:tcW w:w="97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30 374</w:t>
            </w:r>
          </w:p>
        </w:tc>
        <w:tc>
          <w:tcPr>
            <w:tcW w:w="196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2,74%</w:t>
            </w:r>
          </w:p>
        </w:tc>
        <w:tc>
          <w:tcPr>
            <w:tcW w:w="94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159 889</w:t>
            </w:r>
          </w:p>
        </w:tc>
        <w:tc>
          <w:tcPr>
            <w:tcW w:w="2122"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-7,62%</w:t>
            </w:r>
          </w:p>
        </w:tc>
        <w:tc>
          <w:tcPr>
            <w:tcW w:w="88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107</w:t>
            </w:r>
          </w:p>
        </w:tc>
        <w:tc>
          <w:tcPr>
            <w:tcW w:w="1953"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57,35%</w:t>
            </w:r>
          </w:p>
        </w:tc>
      </w:tr>
      <w:tr w:rsidR="00C479CA" w:rsidRPr="00AC6A82" w:rsidTr="00C479CA">
        <w:trPr>
          <w:trHeight w:val="170"/>
          <w:jc w:val="center"/>
        </w:trPr>
        <w:tc>
          <w:tcPr>
            <w:tcW w:w="1494"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февруари '19</w:t>
            </w:r>
          </w:p>
        </w:tc>
        <w:tc>
          <w:tcPr>
            <w:tcW w:w="97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22 168</w:t>
            </w:r>
          </w:p>
        </w:tc>
        <w:tc>
          <w:tcPr>
            <w:tcW w:w="196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-66,93%</w:t>
            </w:r>
          </w:p>
        </w:tc>
        <w:tc>
          <w:tcPr>
            <w:tcW w:w="94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126 652</w:t>
            </w:r>
          </w:p>
        </w:tc>
        <w:tc>
          <w:tcPr>
            <w:tcW w:w="2122"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-63,27%</w:t>
            </w:r>
          </w:p>
        </w:tc>
        <w:tc>
          <w:tcPr>
            <w:tcW w:w="88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103</w:t>
            </w:r>
          </w:p>
        </w:tc>
        <w:tc>
          <w:tcPr>
            <w:tcW w:w="1953"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-11,21%</w:t>
            </w:r>
          </w:p>
        </w:tc>
      </w:tr>
      <w:tr w:rsidR="00C479CA" w:rsidRPr="00AC6A82" w:rsidTr="00C479CA">
        <w:trPr>
          <w:trHeight w:val="170"/>
          <w:jc w:val="center"/>
        </w:trPr>
        <w:tc>
          <w:tcPr>
            <w:tcW w:w="1494"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март '19</w:t>
            </w:r>
          </w:p>
        </w:tc>
        <w:tc>
          <w:tcPr>
            <w:tcW w:w="97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2 102</w:t>
            </w:r>
          </w:p>
        </w:tc>
        <w:tc>
          <w:tcPr>
            <w:tcW w:w="196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-97,31%</w:t>
            </w:r>
          </w:p>
        </w:tc>
        <w:tc>
          <w:tcPr>
            <w:tcW w:w="94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11 721</w:t>
            </w:r>
          </w:p>
        </w:tc>
        <w:tc>
          <w:tcPr>
            <w:tcW w:w="2122"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-97,15%</w:t>
            </w:r>
          </w:p>
        </w:tc>
        <w:tc>
          <w:tcPr>
            <w:tcW w:w="88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16</w:t>
            </w:r>
          </w:p>
        </w:tc>
        <w:tc>
          <w:tcPr>
            <w:tcW w:w="1953"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-79,49%</w:t>
            </w:r>
          </w:p>
        </w:tc>
      </w:tr>
    </w:tbl>
    <w:p w:rsidR="00C479CA" w:rsidRPr="00AC6A82" w:rsidRDefault="004F60F1" w:rsidP="00C01AC8">
      <w:pPr>
        <w:spacing w:before="240"/>
        <w:rPr>
          <w:rFonts w:ascii="Calibri" w:hAnsi="Calibri" w:cs="Calibri"/>
        </w:rPr>
      </w:pPr>
      <w:r w:rsidRPr="00AC6A82">
        <w:rPr>
          <w:rFonts w:ascii="Calibri" w:hAnsi="Calibri" w:cs="Calibri"/>
        </w:rPr>
        <w:t>Таблица 11Б: Обем, о</w:t>
      </w:r>
      <w:r w:rsidR="0080029D" w:rsidRPr="00AC6A82">
        <w:rPr>
          <w:rFonts w:ascii="Calibri" w:hAnsi="Calibri" w:cs="Calibri"/>
        </w:rPr>
        <w:t>борот и брой сделки с акции на БФБ</w:t>
      </w:r>
      <w:r w:rsidRPr="00AC6A82">
        <w:rPr>
          <w:rFonts w:ascii="Calibri" w:hAnsi="Calibri" w:cs="Calibri"/>
        </w:rPr>
        <w:t xml:space="preserve"> – сравнение</w:t>
      </w:r>
      <w:r w:rsidR="00C479CA" w:rsidRPr="00AC6A82">
        <w:rPr>
          <w:rFonts w:ascii="Calibri" w:hAnsi="Calibri" w:cs="Calibri"/>
        </w:rPr>
        <w:t xml:space="preserve"> с предходния месец</w:t>
      </w:r>
    </w:p>
    <w:tbl>
      <w:tblPr>
        <w:tblW w:w="10456" w:type="dxa"/>
        <w:jc w:val="center"/>
        <w:tblCellMar>
          <w:left w:w="70" w:type="dxa"/>
          <w:right w:w="70" w:type="dxa"/>
        </w:tblCellMar>
        <w:tblLook w:val="04A0" w:firstRow="1" w:lastRow="0" w:firstColumn="1" w:lastColumn="0" w:noHBand="0" w:noVBand="1"/>
      </w:tblPr>
      <w:tblGrid>
        <w:gridCol w:w="1536"/>
        <w:gridCol w:w="1000"/>
        <w:gridCol w:w="2106"/>
        <w:gridCol w:w="1034"/>
        <w:gridCol w:w="1925"/>
        <w:gridCol w:w="911"/>
        <w:gridCol w:w="1944"/>
      </w:tblGrid>
      <w:tr w:rsidR="00C479CA" w:rsidRPr="00AC6A82" w:rsidTr="00C479CA">
        <w:trPr>
          <w:trHeight w:val="170"/>
          <w:jc w:val="center"/>
        </w:trPr>
        <w:tc>
          <w:tcPr>
            <w:tcW w:w="1536" w:type="dxa"/>
            <w:tcBorders>
              <w:top w:val="single" w:sz="4" w:space="0" w:color="auto"/>
              <w:left w:val="single" w:sz="4" w:space="0" w:color="auto"/>
              <w:bottom w:val="single" w:sz="4" w:space="0" w:color="auto"/>
              <w:right w:val="single" w:sz="4" w:space="0" w:color="auto"/>
            </w:tcBorders>
            <w:shd w:val="clear" w:color="000000" w:fill="4F81BD"/>
            <w:tcMar>
              <w:left w:w="28" w:type="dxa"/>
              <w:right w:w="28" w:type="dxa"/>
            </w:tcMar>
            <w:hideMark/>
          </w:tcPr>
          <w:p w:rsidR="00C479CA" w:rsidRPr="00AC6A82" w:rsidRDefault="00C479CA" w:rsidP="00C479CA">
            <w:pPr>
              <w:widowControl/>
              <w:spacing w:line="240" w:lineRule="auto"/>
              <w:jc w:val="center"/>
              <w:rPr>
                <w:rFonts w:ascii="Calibri" w:hAnsi="Calibri"/>
                <w:color w:val="FFFFFF"/>
                <w:szCs w:val="22"/>
              </w:rPr>
            </w:pPr>
            <w:r w:rsidRPr="00AC6A82">
              <w:rPr>
                <w:rFonts w:ascii="Calibri" w:hAnsi="Calibri"/>
                <w:color w:val="FFFFFF"/>
                <w:szCs w:val="22"/>
              </w:rPr>
              <w:t>Месец</w:t>
            </w:r>
          </w:p>
        </w:tc>
        <w:tc>
          <w:tcPr>
            <w:tcW w:w="1000"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C479CA" w:rsidRPr="00AC6A82" w:rsidRDefault="00C479CA" w:rsidP="00C479CA">
            <w:pPr>
              <w:widowControl/>
              <w:spacing w:line="240" w:lineRule="auto"/>
              <w:jc w:val="center"/>
              <w:rPr>
                <w:rFonts w:ascii="Calibri" w:hAnsi="Calibri"/>
                <w:color w:val="FFFFFF"/>
                <w:szCs w:val="22"/>
              </w:rPr>
            </w:pPr>
            <w:r w:rsidRPr="00AC6A82">
              <w:rPr>
                <w:rFonts w:ascii="Calibri" w:hAnsi="Calibri"/>
                <w:color w:val="FFFFFF"/>
                <w:szCs w:val="22"/>
              </w:rPr>
              <w:t>Обем лотове</w:t>
            </w:r>
          </w:p>
        </w:tc>
        <w:tc>
          <w:tcPr>
            <w:tcW w:w="2106"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C479CA" w:rsidRPr="00AC6A82" w:rsidRDefault="00C479CA" w:rsidP="00C479CA">
            <w:pPr>
              <w:widowControl/>
              <w:spacing w:line="240" w:lineRule="auto"/>
              <w:jc w:val="center"/>
              <w:rPr>
                <w:rFonts w:ascii="Calibri" w:hAnsi="Calibri"/>
                <w:color w:val="FFFFFF"/>
                <w:szCs w:val="22"/>
              </w:rPr>
            </w:pPr>
            <w:r w:rsidRPr="00AC6A82">
              <w:rPr>
                <w:rFonts w:ascii="Calibri" w:hAnsi="Calibri"/>
                <w:color w:val="FFFFFF"/>
                <w:szCs w:val="22"/>
              </w:rPr>
              <w:t>% промяна спрямо предходния месец</w:t>
            </w:r>
          </w:p>
        </w:tc>
        <w:tc>
          <w:tcPr>
            <w:tcW w:w="1034"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C479CA" w:rsidRPr="00AC6A82" w:rsidRDefault="00C479CA" w:rsidP="00C479CA">
            <w:pPr>
              <w:widowControl/>
              <w:spacing w:line="240" w:lineRule="auto"/>
              <w:jc w:val="center"/>
              <w:rPr>
                <w:rFonts w:ascii="Calibri" w:hAnsi="Calibri"/>
                <w:color w:val="FFFFFF"/>
                <w:szCs w:val="22"/>
              </w:rPr>
            </w:pPr>
            <w:r w:rsidRPr="00AC6A82">
              <w:rPr>
                <w:rFonts w:ascii="Calibri" w:hAnsi="Calibri"/>
                <w:color w:val="FFFFFF"/>
                <w:szCs w:val="22"/>
              </w:rPr>
              <w:t>Оборот</w:t>
            </w:r>
          </w:p>
        </w:tc>
        <w:tc>
          <w:tcPr>
            <w:tcW w:w="1925"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C479CA" w:rsidRPr="00AC6A82" w:rsidRDefault="00C479CA" w:rsidP="00C479CA">
            <w:pPr>
              <w:widowControl/>
              <w:spacing w:line="240" w:lineRule="auto"/>
              <w:jc w:val="center"/>
              <w:rPr>
                <w:rFonts w:ascii="Calibri" w:hAnsi="Calibri"/>
                <w:color w:val="FFFFFF"/>
                <w:szCs w:val="22"/>
              </w:rPr>
            </w:pPr>
            <w:r w:rsidRPr="00AC6A82">
              <w:rPr>
                <w:rFonts w:ascii="Calibri" w:hAnsi="Calibri"/>
                <w:color w:val="FFFFFF"/>
                <w:szCs w:val="22"/>
              </w:rPr>
              <w:t>% промяна спрямо предходния месец</w:t>
            </w:r>
          </w:p>
        </w:tc>
        <w:tc>
          <w:tcPr>
            <w:tcW w:w="911"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C479CA" w:rsidRPr="00AC6A82" w:rsidRDefault="00C479CA" w:rsidP="00C479CA">
            <w:pPr>
              <w:widowControl/>
              <w:spacing w:line="240" w:lineRule="auto"/>
              <w:jc w:val="center"/>
              <w:rPr>
                <w:rFonts w:ascii="Calibri" w:hAnsi="Calibri"/>
                <w:color w:val="FFFFFF"/>
                <w:szCs w:val="22"/>
              </w:rPr>
            </w:pPr>
            <w:r w:rsidRPr="00AC6A82">
              <w:rPr>
                <w:rFonts w:ascii="Calibri" w:hAnsi="Calibri"/>
                <w:color w:val="FFFFFF"/>
                <w:szCs w:val="22"/>
              </w:rPr>
              <w:t>Брой сделки</w:t>
            </w:r>
          </w:p>
        </w:tc>
        <w:tc>
          <w:tcPr>
            <w:tcW w:w="1944" w:type="dxa"/>
            <w:tcBorders>
              <w:top w:val="single" w:sz="4" w:space="0" w:color="auto"/>
              <w:left w:val="nil"/>
              <w:bottom w:val="single" w:sz="4" w:space="0" w:color="auto"/>
              <w:right w:val="single" w:sz="4" w:space="0" w:color="auto"/>
            </w:tcBorders>
            <w:shd w:val="clear" w:color="000000" w:fill="4F81BD"/>
            <w:tcMar>
              <w:left w:w="28" w:type="dxa"/>
              <w:right w:w="28" w:type="dxa"/>
            </w:tcMar>
            <w:hideMark/>
          </w:tcPr>
          <w:p w:rsidR="00C479CA" w:rsidRPr="00AC6A82" w:rsidRDefault="00C479CA" w:rsidP="00C479CA">
            <w:pPr>
              <w:widowControl/>
              <w:spacing w:line="240" w:lineRule="auto"/>
              <w:jc w:val="center"/>
              <w:rPr>
                <w:rFonts w:ascii="Calibri" w:hAnsi="Calibri"/>
                <w:color w:val="FFFFFF"/>
                <w:szCs w:val="22"/>
              </w:rPr>
            </w:pPr>
            <w:r w:rsidRPr="00AC6A82">
              <w:rPr>
                <w:rFonts w:ascii="Calibri" w:hAnsi="Calibri"/>
                <w:color w:val="FFFFFF"/>
                <w:szCs w:val="22"/>
              </w:rPr>
              <w:t>% промяна спрямо предходния месец</w:t>
            </w:r>
          </w:p>
        </w:tc>
      </w:tr>
      <w:tr w:rsidR="00C479CA" w:rsidRPr="00AC6A82" w:rsidTr="00C479CA">
        <w:trPr>
          <w:trHeight w:val="170"/>
          <w:jc w:val="center"/>
        </w:trPr>
        <w:tc>
          <w:tcPr>
            <w:tcW w:w="153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октомври '18</w:t>
            </w:r>
          </w:p>
        </w:tc>
        <w:tc>
          <w:tcPr>
            <w:tcW w:w="100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29 564</w:t>
            </w:r>
          </w:p>
        </w:tc>
        <w:tc>
          <w:tcPr>
            <w:tcW w:w="210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 </w:t>
            </w:r>
          </w:p>
        </w:tc>
        <w:tc>
          <w:tcPr>
            <w:tcW w:w="10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173 080</w:t>
            </w:r>
          </w:p>
        </w:tc>
        <w:tc>
          <w:tcPr>
            <w:tcW w:w="1925"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 </w:t>
            </w:r>
          </w:p>
        </w:tc>
        <w:tc>
          <w:tcPr>
            <w:tcW w:w="91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68</w:t>
            </w:r>
          </w:p>
        </w:tc>
        <w:tc>
          <w:tcPr>
            <w:tcW w:w="194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 </w:t>
            </w:r>
          </w:p>
        </w:tc>
      </w:tr>
      <w:tr w:rsidR="00C479CA" w:rsidRPr="00AC6A82" w:rsidTr="00C479CA">
        <w:trPr>
          <w:trHeight w:val="170"/>
          <w:jc w:val="center"/>
        </w:trPr>
        <w:tc>
          <w:tcPr>
            <w:tcW w:w="153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ноември '18</w:t>
            </w:r>
          </w:p>
        </w:tc>
        <w:tc>
          <w:tcPr>
            <w:tcW w:w="100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67 041</w:t>
            </w:r>
          </w:p>
        </w:tc>
        <w:tc>
          <w:tcPr>
            <w:tcW w:w="210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126,77%</w:t>
            </w:r>
          </w:p>
        </w:tc>
        <w:tc>
          <w:tcPr>
            <w:tcW w:w="10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344 804</w:t>
            </w:r>
          </w:p>
        </w:tc>
        <w:tc>
          <w:tcPr>
            <w:tcW w:w="1925"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99,22%</w:t>
            </w:r>
          </w:p>
        </w:tc>
        <w:tc>
          <w:tcPr>
            <w:tcW w:w="91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116</w:t>
            </w:r>
          </w:p>
        </w:tc>
        <w:tc>
          <w:tcPr>
            <w:tcW w:w="194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70,59%</w:t>
            </w:r>
          </w:p>
        </w:tc>
      </w:tr>
      <w:tr w:rsidR="00C479CA" w:rsidRPr="00AC6A82" w:rsidTr="00C479CA">
        <w:trPr>
          <w:trHeight w:val="170"/>
          <w:jc w:val="center"/>
        </w:trPr>
        <w:tc>
          <w:tcPr>
            <w:tcW w:w="153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декември '18</w:t>
            </w:r>
          </w:p>
        </w:tc>
        <w:tc>
          <w:tcPr>
            <w:tcW w:w="100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78 168</w:t>
            </w:r>
          </w:p>
        </w:tc>
        <w:tc>
          <w:tcPr>
            <w:tcW w:w="210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16,60%</w:t>
            </w:r>
          </w:p>
        </w:tc>
        <w:tc>
          <w:tcPr>
            <w:tcW w:w="10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410 611</w:t>
            </w:r>
          </w:p>
        </w:tc>
        <w:tc>
          <w:tcPr>
            <w:tcW w:w="1925"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19,09%</w:t>
            </w:r>
          </w:p>
        </w:tc>
        <w:tc>
          <w:tcPr>
            <w:tcW w:w="91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78</w:t>
            </w:r>
          </w:p>
        </w:tc>
        <w:tc>
          <w:tcPr>
            <w:tcW w:w="194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-32,76%</w:t>
            </w:r>
          </w:p>
        </w:tc>
      </w:tr>
      <w:tr w:rsidR="00C479CA" w:rsidRPr="00AC6A82" w:rsidTr="00C479CA">
        <w:trPr>
          <w:trHeight w:val="170"/>
          <w:jc w:val="center"/>
        </w:trPr>
        <w:tc>
          <w:tcPr>
            <w:tcW w:w="153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януари '19</w:t>
            </w:r>
          </w:p>
        </w:tc>
        <w:tc>
          <w:tcPr>
            <w:tcW w:w="100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30 374</w:t>
            </w:r>
          </w:p>
        </w:tc>
        <w:tc>
          <w:tcPr>
            <w:tcW w:w="210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-61,14%</w:t>
            </w:r>
          </w:p>
        </w:tc>
        <w:tc>
          <w:tcPr>
            <w:tcW w:w="10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159 889</w:t>
            </w:r>
          </w:p>
        </w:tc>
        <w:tc>
          <w:tcPr>
            <w:tcW w:w="1925"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-61,06%</w:t>
            </w:r>
          </w:p>
        </w:tc>
        <w:tc>
          <w:tcPr>
            <w:tcW w:w="91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107</w:t>
            </w:r>
          </w:p>
        </w:tc>
        <w:tc>
          <w:tcPr>
            <w:tcW w:w="194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37,18%</w:t>
            </w:r>
          </w:p>
        </w:tc>
      </w:tr>
      <w:tr w:rsidR="00C479CA" w:rsidRPr="00AC6A82" w:rsidTr="00C479CA">
        <w:trPr>
          <w:trHeight w:val="170"/>
          <w:jc w:val="center"/>
        </w:trPr>
        <w:tc>
          <w:tcPr>
            <w:tcW w:w="153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февруари '19</w:t>
            </w:r>
          </w:p>
        </w:tc>
        <w:tc>
          <w:tcPr>
            <w:tcW w:w="100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22 168</w:t>
            </w:r>
          </w:p>
        </w:tc>
        <w:tc>
          <w:tcPr>
            <w:tcW w:w="210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-27,02%</w:t>
            </w:r>
          </w:p>
        </w:tc>
        <w:tc>
          <w:tcPr>
            <w:tcW w:w="10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126 652</w:t>
            </w:r>
          </w:p>
        </w:tc>
        <w:tc>
          <w:tcPr>
            <w:tcW w:w="1925"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-20,79%</w:t>
            </w:r>
          </w:p>
        </w:tc>
        <w:tc>
          <w:tcPr>
            <w:tcW w:w="91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103</w:t>
            </w:r>
          </w:p>
        </w:tc>
        <w:tc>
          <w:tcPr>
            <w:tcW w:w="194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-3,74%</w:t>
            </w:r>
          </w:p>
        </w:tc>
      </w:tr>
      <w:tr w:rsidR="00C479CA" w:rsidRPr="00AC6A82" w:rsidTr="00C479CA">
        <w:trPr>
          <w:trHeight w:val="170"/>
          <w:jc w:val="center"/>
        </w:trPr>
        <w:tc>
          <w:tcPr>
            <w:tcW w:w="1536" w:type="dxa"/>
            <w:tcBorders>
              <w:top w:val="nil"/>
              <w:left w:val="single" w:sz="4" w:space="0" w:color="auto"/>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left"/>
              <w:rPr>
                <w:rFonts w:ascii="Calibri" w:hAnsi="Calibri"/>
                <w:color w:val="000000"/>
                <w:szCs w:val="22"/>
              </w:rPr>
            </w:pPr>
            <w:r w:rsidRPr="00AC6A82">
              <w:rPr>
                <w:rFonts w:ascii="Calibri" w:hAnsi="Calibri"/>
                <w:color w:val="000000"/>
                <w:szCs w:val="22"/>
              </w:rPr>
              <w:t>март '19</w:t>
            </w:r>
          </w:p>
        </w:tc>
        <w:tc>
          <w:tcPr>
            <w:tcW w:w="1000"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2 102</w:t>
            </w:r>
          </w:p>
        </w:tc>
        <w:tc>
          <w:tcPr>
            <w:tcW w:w="2106"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-90,52%</w:t>
            </w:r>
          </w:p>
        </w:tc>
        <w:tc>
          <w:tcPr>
            <w:tcW w:w="103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11 721</w:t>
            </w:r>
          </w:p>
        </w:tc>
        <w:tc>
          <w:tcPr>
            <w:tcW w:w="1925"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-90,75%</w:t>
            </w:r>
          </w:p>
        </w:tc>
        <w:tc>
          <w:tcPr>
            <w:tcW w:w="911"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16</w:t>
            </w:r>
          </w:p>
        </w:tc>
        <w:tc>
          <w:tcPr>
            <w:tcW w:w="1944" w:type="dxa"/>
            <w:tcBorders>
              <w:top w:val="nil"/>
              <w:left w:val="nil"/>
              <w:bottom w:val="single" w:sz="4" w:space="0" w:color="auto"/>
              <w:right w:val="single" w:sz="4" w:space="0" w:color="auto"/>
            </w:tcBorders>
            <w:shd w:val="clear" w:color="auto" w:fill="auto"/>
            <w:noWrap/>
            <w:tcMar>
              <w:left w:w="28" w:type="dxa"/>
              <w:right w:w="28" w:type="dxa"/>
            </w:tcMar>
            <w:vAlign w:val="bottom"/>
            <w:hideMark/>
          </w:tcPr>
          <w:p w:rsidR="00C479CA" w:rsidRPr="00AC6A82" w:rsidRDefault="00C479CA" w:rsidP="00C479CA">
            <w:pPr>
              <w:widowControl/>
              <w:spacing w:line="240" w:lineRule="auto"/>
              <w:jc w:val="right"/>
              <w:rPr>
                <w:rFonts w:ascii="Calibri" w:hAnsi="Calibri"/>
                <w:color w:val="000000"/>
                <w:szCs w:val="22"/>
              </w:rPr>
            </w:pPr>
            <w:r w:rsidRPr="00AC6A82">
              <w:rPr>
                <w:rFonts w:ascii="Calibri" w:hAnsi="Calibri"/>
                <w:color w:val="000000"/>
                <w:szCs w:val="22"/>
              </w:rPr>
              <w:t>-84,47%</w:t>
            </w:r>
          </w:p>
        </w:tc>
      </w:tr>
    </w:tbl>
    <w:p w:rsidR="00015501" w:rsidRPr="00AC6A82" w:rsidRDefault="004F60F1" w:rsidP="003030DD">
      <w:pPr>
        <w:pStyle w:val="SubNumbers"/>
      </w:pPr>
      <w:bookmarkStart w:id="42" w:name="_Toc394323725"/>
      <w:bookmarkStart w:id="43" w:name="_Ref425843611"/>
      <w:bookmarkStart w:id="44" w:name="_Toc7535435"/>
      <w:r w:rsidRPr="00AC6A82">
        <w:t>Индекс CGIX</w:t>
      </w:r>
      <w:bookmarkEnd w:id="42"/>
      <w:bookmarkEnd w:id="43"/>
      <w:bookmarkEnd w:id="44"/>
    </w:p>
    <w:tbl>
      <w:tblPr>
        <w:tblStyle w:val="TableGrid"/>
        <w:tblpPr w:leftFromText="141" w:rightFromText="141" w:vertAnchor="text" w:tblpY="1"/>
        <w:tblOverlap w:val="never"/>
        <w:tblW w:w="53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387"/>
      </w:tblGrid>
      <w:tr w:rsidR="005D078A" w:rsidRPr="00AC6A82" w:rsidTr="00796886">
        <w:tc>
          <w:tcPr>
            <w:tcW w:w="5387" w:type="dxa"/>
          </w:tcPr>
          <w:p w:rsidR="005D078A" w:rsidRPr="00AC6A82" w:rsidRDefault="00C479CA" w:rsidP="005D078A">
            <w:pPr>
              <w:pStyle w:val="NoSpacing"/>
              <w:jc w:val="center"/>
              <w:rPr>
                <w:rFonts w:ascii="Calibri" w:hAnsi="Calibri" w:cs="Calibri"/>
                <w:sz w:val="12"/>
                <w:szCs w:val="12"/>
              </w:rPr>
            </w:pPr>
            <w:r w:rsidRPr="00AC6A82">
              <w:rPr>
                <w:rFonts w:ascii="Calibri" w:hAnsi="Calibri" w:cs="Calibri"/>
                <w:noProof/>
                <w:sz w:val="12"/>
                <w:szCs w:val="12"/>
              </w:rPr>
              <w:drawing>
                <wp:inline distT="0" distB="0" distL="0" distR="0">
                  <wp:extent cx="3098223" cy="2137558"/>
                  <wp:effectExtent l="19050" t="0" r="0" b="0"/>
                  <wp:docPr id="6" name="Диаграма 3">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7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r>
    </w:tbl>
    <w:p w:rsidR="00CE6D2C" w:rsidRPr="00AC6A82" w:rsidRDefault="00CE6D2C" w:rsidP="00CE6D2C">
      <w:pPr>
        <w:rPr>
          <w:rFonts w:ascii="Calibri" w:hAnsi="Calibri" w:cs="Calibri"/>
        </w:rPr>
      </w:pPr>
      <w:bookmarkStart w:id="45" w:name="_Toc394323726"/>
      <w:r w:rsidRPr="00AC6A82">
        <w:rPr>
          <w:rFonts w:ascii="Calibri" w:hAnsi="Calibri" w:cs="Calibri"/>
        </w:rPr>
        <w:t xml:space="preserve">Стойността на индекса CGIX се понижи от </w:t>
      </w:r>
      <w:r w:rsidR="00B42435" w:rsidRPr="00AC6A82">
        <w:rPr>
          <w:rFonts w:ascii="Calibri" w:hAnsi="Calibri" w:cs="Calibri"/>
        </w:rPr>
        <w:t>155</w:t>
      </w:r>
      <w:r w:rsidRPr="00AC6A82">
        <w:rPr>
          <w:rFonts w:ascii="Calibri" w:hAnsi="Calibri" w:cs="Calibri"/>
        </w:rPr>
        <w:t>,</w:t>
      </w:r>
      <w:r w:rsidR="00B42435" w:rsidRPr="00AC6A82">
        <w:rPr>
          <w:rFonts w:ascii="Calibri" w:hAnsi="Calibri" w:cs="Calibri"/>
        </w:rPr>
        <w:t>17</w:t>
      </w:r>
      <w:r w:rsidRPr="00AC6A82">
        <w:rPr>
          <w:rFonts w:ascii="Calibri" w:hAnsi="Calibri" w:cs="Calibri"/>
        </w:rPr>
        <w:t xml:space="preserve"> до </w:t>
      </w:r>
      <w:r w:rsidR="00B42435" w:rsidRPr="00AC6A82">
        <w:rPr>
          <w:rFonts w:ascii="Calibri" w:hAnsi="Calibri" w:cs="Calibri"/>
        </w:rPr>
        <w:t>149</w:t>
      </w:r>
      <w:r w:rsidRPr="00AC6A82">
        <w:rPr>
          <w:rFonts w:ascii="Calibri" w:hAnsi="Calibri" w:cs="Calibri"/>
        </w:rPr>
        <w:t>,</w:t>
      </w:r>
      <w:r w:rsidR="00B42435" w:rsidRPr="00AC6A82">
        <w:rPr>
          <w:rFonts w:ascii="Calibri" w:hAnsi="Calibri" w:cs="Calibri"/>
        </w:rPr>
        <w:t>41</w:t>
      </w:r>
      <w:r w:rsidRPr="00AC6A82">
        <w:rPr>
          <w:rFonts w:ascii="Calibri" w:hAnsi="Calibri" w:cs="Calibri"/>
        </w:rPr>
        <w:t xml:space="preserve"> пункта през </w:t>
      </w:r>
      <w:r w:rsidR="005D078A" w:rsidRPr="00AC6A82">
        <w:rPr>
          <w:rFonts w:ascii="Calibri" w:hAnsi="Calibri" w:cs="Calibri"/>
        </w:rPr>
        <w:t>три</w:t>
      </w:r>
      <w:r w:rsidRPr="00AC6A82">
        <w:rPr>
          <w:rFonts w:ascii="Calibri" w:hAnsi="Calibri" w:cs="Calibri"/>
        </w:rPr>
        <w:t xml:space="preserve">месечието, което представлява спад от </w:t>
      </w:r>
      <w:r w:rsidR="00B42435" w:rsidRPr="00AC6A82">
        <w:rPr>
          <w:rFonts w:ascii="Calibri" w:hAnsi="Calibri" w:cs="Calibri"/>
        </w:rPr>
        <w:t>5</w:t>
      </w:r>
      <w:r w:rsidRPr="00AC6A82">
        <w:rPr>
          <w:rFonts w:ascii="Calibri" w:hAnsi="Calibri" w:cs="Calibri"/>
        </w:rPr>
        <w:t>,</w:t>
      </w:r>
      <w:r w:rsidR="00B42435" w:rsidRPr="00AC6A82">
        <w:rPr>
          <w:rFonts w:ascii="Calibri" w:hAnsi="Calibri" w:cs="Calibri"/>
        </w:rPr>
        <w:t>76</w:t>
      </w:r>
      <w:r w:rsidRPr="00AC6A82">
        <w:rPr>
          <w:rFonts w:ascii="Calibri" w:hAnsi="Calibri" w:cs="Calibri"/>
        </w:rPr>
        <w:t xml:space="preserve"> пункта или </w:t>
      </w:r>
      <w:r w:rsidR="00B42435" w:rsidRPr="00AC6A82">
        <w:rPr>
          <w:rFonts w:ascii="Calibri" w:hAnsi="Calibri" w:cs="Calibri"/>
        </w:rPr>
        <w:t>3</w:t>
      </w:r>
      <w:r w:rsidRPr="00AC6A82">
        <w:rPr>
          <w:rFonts w:ascii="Calibri" w:hAnsi="Calibri" w:cs="Calibri"/>
        </w:rPr>
        <w:t>,</w:t>
      </w:r>
      <w:r w:rsidR="00B42435" w:rsidRPr="00AC6A82">
        <w:rPr>
          <w:rFonts w:ascii="Calibri" w:hAnsi="Calibri" w:cs="Calibri"/>
        </w:rPr>
        <w:t>71</w:t>
      </w:r>
      <w:r w:rsidRPr="00AC6A82">
        <w:rPr>
          <w:rFonts w:ascii="Calibri" w:hAnsi="Calibri" w:cs="Calibri"/>
        </w:rPr>
        <w:t xml:space="preserve">%. Както се вижда и от графиката, </w:t>
      </w:r>
      <w:r w:rsidR="005D078A" w:rsidRPr="00AC6A82">
        <w:rPr>
          <w:rFonts w:ascii="Calibri" w:hAnsi="Calibri" w:cs="Calibri"/>
        </w:rPr>
        <w:t>тримесечието</w:t>
      </w:r>
      <w:r w:rsidR="00C479CA" w:rsidRPr="00AC6A82">
        <w:rPr>
          <w:rFonts w:ascii="Calibri" w:hAnsi="Calibri" w:cs="Calibri"/>
        </w:rPr>
        <w:t xml:space="preserve"> </w:t>
      </w:r>
      <w:r w:rsidR="005D078A" w:rsidRPr="00AC6A82">
        <w:rPr>
          <w:rFonts w:ascii="Calibri" w:hAnsi="Calibri" w:cs="Calibri"/>
        </w:rPr>
        <w:t>се характеризира</w:t>
      </w:r>
      <w:r w:rsidR="00B42435" w:rsidRPr="00AC6A82">
        <w:rPr>
          <w:rFonts w:ascii="Calibri" w:hAnsi="Calibri" w:cs="Calibri"/>
        </w:rPr>
        <w:t>ше</w:t>
      </w:r>
      <w:r w:rsidR="005D078A" w:rsidRPr="00AC6A82">
        <w:rPr>
          <w:rFonts w:ascii="Calibri" w:hAnsi="Calibri" w:cs="Calibri"/>
        </w:rPr>
        <w:t xml:space="preserve"> с понижение</w:t>
      </w:r>
      <w:r w:rsidR="00E6128C">
        <w:rPr>
          <w:rFonts w:ascii="Calibri" w:hAnsi="Calibri" w:cs="Calibri"/>
          <w:lang w:val="en-US"/>
        </w:rPr>
        <w:t xml:space="preserve"> </w:t>
      </w:r>
      <w:r w:rsidR="00E6128C">
        <w:rPr>
          <w:rFonts w:ascii="Calibri" w:hAnsi="Calibri" w:cs="Calibri"/>
        </w:rPr>
        <w:t>през януари</w:t>
      </w:r>
      <w:r w:rsidR="005D078A" w:rsidRPr="00AC6A82">
        <w:rPr>
          <w:rFonts w:ascii="Calibri" w:hAnsi="Calibri" w:cs="Calibri"/>
        </w:rPr>
        <w:t xml:space="preserve">, </w:t>
      </w:r>
      <w:r w:rsidR="00B42435" w:rsidRPr="00AC6A82">
        <w:rPr>
          <w:rFonts w:ascii="Calibri" w:hAnsi="Calibri" w:cs="Calibri"/>
        </w:rPr>
        <w:t xml:space="preserve">възходящо </w:t>
      </w:r>
      <w:r w:rsidR="00E6128C" w:rsidRPr="00AC6A82">
        <w:rPr>
          <w:rFonts w:ascii="Calibri" w:hAnsi="Calibri" w:cs="Calibri"/>
        </w:rPr>
        <w:t>движение</w:t>
      </w:r>
      <w:r w:rsidR="00B42435" w:rsidRPr="00AC6A82">
        <w:rPr>
          <w:rFonts w:ascii="Calibri" w:hAnsi="Calibri" w:cs="Calibri"/>
        </w:rPr>
        <w:t xml:space="preserve"> през февруари и спад през март</w:t>
      </w:r>
      <w:r w:rsidR="005D078A" w:rsidRPr="00AC6A82">
        <w:rPr>
          <w:rFonts w:ascii="Calibri" w:hAnsi="Calibri" w:cs="Calibri"/>
        </w:rPr>
        <w:t>.</w:t>
      </w:r>
      <w:r w:rsidRPr="00AC6A82">
        <w:rPr>
          <w:rFonts w:ascii="Calibri" w:hAnsi="Calibri" w:cs="Calibri"/>
        </w:rPr>
        <w:t xml:space="preserve"> Най-ниската стойност на CGIX през </w:t>
      </w:r>
      <w:r w:rsidR="005D078A" w:rsidRPr="00AC6A82">
        <w:rPr>
          <w:rFonts w:ascii="Calibri" w:hAnsi="Calibri" w:cs="Calibri"/>
        </w:rPr>
        <w:t>три</w:t>
      </w:r>
      <w:r w:rsidRPr="00AC6A82">
        <w:rPr>
          <w:rFonts w:ascii="Calibri" w:hAnsi="Calibri" w:cs="Calibri"/>
        </w:rPr>
        <w:t xml:space="preserve">месечието беше </w:t>
      </w:r>
      <w:r w:rsidR="005D078A" w:rsidRPr="00AC6A82">
        <w:rPr>
          <w:rFonts w:ascii="Calibri" w:hAnsi="Calibri" w:cs="Calibri"/>
        </w:rPr>
        <w:t xml:space="preserve">на </w:t>
      </w:r>
      <w:r w:rsidR="00B42435" w:rsidRPr="00AC6A82">
        <w:rPr>
          <w:rFonts w:ascii="Calibri" w:hAnsi="Calibri" w:cs="Calibri"/>
        </w:rPr>
        <w:t>16 януари</w:t>
      </w:r>
      <w:r w:rsidR="00796886" w:rsidRPr="00AC6A82">
        <w:rPr>
          <w:rFonts w:ascii="Calibri" w:hAnsi="Calibri" w:cs="Calibri"/>
        </w:rPr>
        <w:t xml:space="preserve"> </w:t>
      </w:r>
      <w:r w:rsidR="005D078A" w:rsidRPr="00AC6A82">
        <w:rPr>
          <w:rFonts w:ascii="Calibri" w:hAnsi="Calibri" w:cs="Calibri"/>
        </w:rPr>
        <w:t xml:space="preserve">и бе </w:t>
      </w:r>
      <w:r w:rsidR="00B42435" w:rsidRPr="00AC6A82">
        <w:rPr>
          <w:rFonts w:ascii="Calibri" w:hAnsi="Calibri" w:cs="Calibri"/>
        </w:rPr>
        <w:t>148</w:t>
      </w:r>
      <w:r w:rsidR="005D078A" w:rsidRPr="00AC6A82">
        <w:rPr>
          <w:rFonts w:ascii="Calibri" w:hAnsi="Calibri" w:cs="Calibri"/>
        </w:rPr>
        <w:t>,</w:t>
      </w:r>
      <w:r w:rsidR="00B42435" w:rsidRPr="00AC6A82">
        <w:rPr>
          <w:rFonts w:ascii="Calibri" w:hAnsi="Calibri" w:cs="Calibri"/>
        </w:rPr>
        <w:t>36</w:t>
      </w:r>
      <w:r w:rsidR="005D078A" w:rsidRPr="00AC6A82">
        <w:rPr>
          <w:rFonts w:ascii="Calibri" w:hAnsi="Calibri" w:cs="Calibri"/>
        </w:rPr>
        <w:t xml:space="preserve"> пункта</w:t>
      </w:r>
      <w:r w:rsidRPr="00AC6A82">
        <w:rPr>
          <w:rFonts w:ascii="Calibri" w:hAnsi="Calibri" w:cs="Calibri"/>
        </w:rPr>
        <w:t xml:space="preserve">, а най-високата бе </w:t>
      </w:r>
      <w:r w:rsidR="00B42435" w:rsidRPr="00AC6A82">
        <w:rPr>
          <w:rFonts w:ascii="Calibri" w:hAnsi="Calibri" w:cs="Calibri"/>
        </w:rPr>
        <w:t>на 25 февруари и достигна 157</w:t>
      </w:r>
      <w:r w:rsidRPr="00AC6A82">
        <w:rPr>
          <w:rFonts w:ascii="Calibri" w:hAnsi="Calibri" w:cs="Calibri"/>
        </w:rPr>
        <w:t>,</w:t>
      </w:r>
      <w:r w:rsidR="00B42435" w:rsidRPr="00AC6A82">
        <w:rPr>
          <w:rFonts w:ascii="Calibri" w:hAnsi="Calibri" w:cs="Calibri"/>
        </w:rPr>
        <w:t>53</w:t>
      </w:r>
      <w:r w:rsidRPr="00AC6A82">
        <w:rPr>
          <w:rFonts w:ascii="Calibri" w:hAnsi="Calibri" w:cs="Calibri"/>
        </w:rPr>
        <w:t xml:space="preserve"> пункта.</w:t>
      </w:r>
    </w:p>
    <w:p w:rsidR="004F60F1" w:rsidRPr="00AC6A82" w:rsidRDefault="004F60F1" w:rsidP="003030DD">
      <w:pPr>
        <w:pStyle w:val="SubNumbers"/>
      </w:pPr>
      <w:bookmarkStart w:id="46" w:name="_Toc7535436"/>
      <w:r w:rsidRPr="00AC6A82">
        <w:t>Корпоративно управление</w:t>
      </w:r>
      <w:bookmarkEnd w:id="45"/>
      <w:bookmarkEnd w:id="46"/>
    </w:p>
    <w:p w:rsidR="00BB7206" w:rsidRPr="00AC6A82" w:rsidRDefault="00BB7206" w:rsidP="001A50AB">
      <w:pPr>
        <w:rPr>
          <w:rFonts w:ascii="Calibri" w:hAnsi="Calibri" w:cs="Calibri"/>
        </w:rPr>
      </w:pPr>
      <w:bookmarkStart w:id="47" w:name="_Toc283112121"/>
      <w:r w:rsidRPr="00AC6A82">
        <w:rPr>
          <w:rFonts w:ascii="Calibri" w:hAnsi="Calibri" w:cs="Calibri"/>
        </w:rPr>
        <w:t xml:space="preserve">Във връзка със законовите задължения на </w:t>
      </w:r>
      <w:r w:rsidR="00150F52" w:rsidRPr="00AC6A82">
        <w:rPr>
          <w:rFonts w:ascii="Calibri" w:hAnsi="Calibri" w:cs="Calibri"/>
        </w:rPr>
        <w:t>Българска фондова борса</w:t>
      </w:r>
      <w:r w:rsidRPr="00AC6A82">
        <w:rPr>
          <w:rFonts w:ascii="Calibri" w:hAnsi="Calibri" w:cs="Calibri"/>
        </w:rPr>
        <w:t xml:space="preserve"> в качеството й на публично дружество, през </w:t>
      </w:r>
      <w:r w:rsidR="00DD5826" w:rsidRPr="00AC6A82">
        <w:rPr>
          <w:rFonts w:ascii="Calibri" w:hAnsi="Calibri" w:cs="Calibri"/>
        </w:rPr>
        <w:t>четвъртото</w:t>
      </w:r>
      <w:r w:rsidR="005D078A" w:rsidRPr="00AC6A82">
        <w:rPr>
          <w:rFonts w:ascii="Calibri" w:hAnsi="Calibri" w:cs="Calibri"/>
        </w:rPr>
        <w:t>три</w:t>
      </w:r>
      <w:r w:rsidR="00FE2402" w:rsidRPr="00AC6A82">
        <w:rPr>
          <w:rFonts w:ascii="Calibri" w:hAnsi="Calibri" w:cs="Calibri"/>
        </w:rPr>
        <w:t>месечие на 201</w:t>
      </w:r>
      <w:r w:rsidR="00CE6D2C" w:rsidRPr="00AC6A82">
        <w:rPr>
          <w:rFonts w:ascii="Calibri" w:hAnsi="Calibri" w:cs="Calibri"/>
        </w:rPr>
        <w:t>8</w:t>
      </w:r>
      <w:r w:rsidRPr="00AC6A82">
        <w:rPr>
          <w:rFonts w:ascii="Calibri" w:hAnsi="Calibri" w:cs="Calibri"/>
        </w:rPr>
        <w:t xml:space="preserve"> година </w:t>
      </w:r>
      <w:r w:rsidR="005D078A" w:rsidRPr="00AC6A82">
        <w:rPr>
          <w:rFonts w:ascii="Calibri" w:hAnsi="Calibri" w:cs="Calibri"/>
        </w:rPr>
        <w:t>Б</w:t>
      </w:r>
      <w:r w:rsidRPr="00AC6A82">
        <w:rPr>
          <w:rFonts w:ascii="Calibri" w:hAnsi="Calibri" w:cs="Calibri"/>
        </w:rPr>
        <w:t>орсата оповести пред публичността и изпрати в Комисията за финансов надзор следната информация:</w:t>
      </w:r>
    </w:p>
    <w:p w:rsidR="00B42435" w:rsidRPr="00AC6A82" w:rsidRDefault="009F4F03" w:rsidP="00B42435">
      <w:pPr>
        <w:pStyle w:val="ListParagraph"/>
        <w:numPr>
          <w:ilvl w:val="0"/>
          <w:numId w:val="10"/>
        </w:numPr>
        <w:rPr>
          <w:rFonts w:ascii="Calibri" w:hAnsi="Calibri" w:cs="Calibri"/>
        </w:rPr>
      </w:pPr>
      <w:bookmarkStart w:id="48" w:name="_Hlk536445665"/>
      <w:r w:rsidRPr="00AC6A82">
        <w:rPr>
          <w:rFonts w:ascii="Calibri" w:hAnsi="Calibri" w:cs="Calibri"/>
        </w:rPr>
        <w:t>28.01.2019 г - Тримесечен отчет за четвърто тримесечие на 2018г.;</w:t>
      </w:r>
    </w:p>
    <w:p w:rsidR="00B42435" w:rsidRPr="00AC6A82" w:rsidRDefault="009F4F03" w:rsidP="00B42435">
      <w:pPr>
        <w:pStyle w:val="ListParagraph"/>
        <w:numPr>
          <w:ilvl w:val="0"/>
          <w:numId w:val="10"/>
        </w:numPr>
        <w:rPr>
          <w:rFonts w:ascii="Calibri" w:hAnsi="Calibri" w:cs="Calibri"/>
        </w:rPr>
      </w:pPr>
      <w:r w:rsidRPr="00AC6A82">
        <w:rPr>
          <w:rFonts w:ascii="Calibri" w:hAnsi="Calibri" w:cs="Calibri"/>
        </w:rPr>
        <w:t xml:space="preserve">27.02.2019 г. - </w:t>
      </w:r>
      <w:r w:rsidR="00B42435" w:rsidRPr="00AC6A82">
        <w:rPr>
          <w:rFonts w:ascii="Calibri" w:hAnsi="Calibri" w:cs="Calibri"/>
        </w:rPr>
        <w:t>Тримесечен консолидиран отчет за четвърто тримесечие на 2018</w:t>
      </w:r>
      <w:r w:rsidRPr="00AC6A82">
        <w:rPr>
          <w:rFonts w:ascii="Calibri" w:hAnsi="Calibri" w:cs="Calibri"/>
        </w:rPr>
        <w:t xml:space="preserve"> </w:t>
      </w:r>
      <w:r w:rsidR="00B42435" w:rsidRPr="00AC6A82">
        <w:rPr>
          <w:rFonts w:ascii="Calibri" w:hAnsi="Calibri" w:cs="Calibri"/>
        </w:rPr>
        <w:t>г.</w:t>
      </w:r>
      <w:r w:rsidRPr="00AC6A82">
        <w:rPr>
          <w:rFonts w:ascii="Calibri" w:hAnsi="Calibri" w:cs="Calibri"/>
        </w:rPr>
        <w:t>;</w:t>
      </w:r>
    </w:p>
    <w:p w:rsidR="001B28EB" w:rsidRPr="00AC6A82" w:rsidRDefault="009F4F03" w:rsidP="00B42435">
      <w:pPr>
        <w:pStyle w:val="ListParagraph"/>
        <w:numPr>
          <w:ilvl w:val="0"/>
          <w:numId w:val="10"/>
        </w:numPr>
        <w:rPr>
          <w:rFonts w:ascii="Calibri" w:hAnsi="Calibri" w:cs="Calibri"/>
        </w:rPr>
      </w:pPr>
      <w:r w:rsidRPr="00AC6A82">
        <w:rPr>
          <w:rFonts w:ascii="Calibri" w:hAnsi="Calibri" w:cs="Calibri"/>
        </w:rPr>
        <w:t>29.03.2019 г. - Годишен отчет за 2018 г.</w:t>
      </w:r>
    </w:p>
    <w:bookmarkEnd w:id="48"/>
    <w:p w:rsidR="003B2497" w:rsidRPr="00AC6A82" w:rsidRDefault="00BB7206" w:rsidP="001B28EB">
      <w:pPr>
        <w:rPr>
          <w:rFonts w:ascii="Calibri" w:hAnsi="Calibri" w:cs="Calibri"/>
        </w:rPr>
      </w:pPr>
      <w:r w:rsidRPr="00AC6A82">
        <w:rPr>
          <w:rFonts w:ascii="Calibri" w:hAnsi="Calibri" w:cs="Calibri"/>
        </w:rPr>
        <w:t>Финансовите отчети на дружеството и новините бяха оповестени едновременно на български и английски език.</w:t>
      </w:r>
    </w:p>
    <w:p w:rsidR="00326727" w:rsidRPr="00AC6A82" w:rsidRDefault="00326727" w:rsidP="001A50AB">
      <w:pPr>
        <w:pStyle w:val="Mainnumbers"/>
        <w:rPr>
          <w:rFonts w:ascii="Calibri" w:hAnsi="Calibri" w:cs="Calibri"/>
        </w:rPr>
      </w:pPr>
      <w:bookmarkStart w:id="49" w:name="_Toc7535437"/>
      <w:r w:rsidRPr="00AC6A82">
        <w:rPr>
          <w:rFonts w:ascii="Calibri" w:hAnsi="Calibri" w:cs="Calibri"/>
        </w:rPr>
        <w:t>Информационни технологии</w:t>
      </w:r>
      <w:bookmarkEnd w:id="47"/>
      <w:bookmarkEnd w:id="49"/>
    </w:p>
    <w:p w:rsidR="00BB7206" w:rsidRPr="00AC6A82" w:rsidRDefault="00BB7206" w:rsidP="003030DD">
      <w:pPr>
        <w:pStyle w:val="SubNumbers"/>
      </w:pPr>
      <w:bookmarkStart w:id="50" w:name="_Toc307235653"/>
      <w:bookmarkStart w:id="51" w:name="_Toc402281944"/>
      <w:bookmarkStart w:id="52" w:name="_Toc7535438"/>
      <w:bookmarkStart w:id="53" w:name="_Toc283112122"/>
      <w:r w:rsidRPr="00AC6A82">
        <w:t>Информационни продукти</w:t>
      </w:r>
      <w:bookmarkEnd w:id="50"/>
      <w:bookmarkEnd w:id="51"/>
      <w:bookmarkEnd w:id="52"/>
    </w:p>
    <w:p w:rsidR="004101F6" w:rsidRPr="004101F6" w:rsidRDefault="004101F6" w:rsidP="004101F6">
      <w:pPr>
        <w:rPr>
          <w:rFonts w:ascii="Calibri" w:hAnsi="Calibri" w:cs="Calibri"/>
        </w:rPr>
      </w:pPr>
      <w:r w:rsidRPr="004101F6">
        <w:rPr>
          <w:rFonts w:ascii="Calibri" w:hAnsi="Calibri" w:cs="Calibri"/>
        </w:rPr>
        <w:t>През първото тримесичие на 2019 г. , дейността на дирекция ИТ беше насочена основно към подготовка стартиране тестове на обновената версия на търговската</w:t>
      </w:r>
      <w:r w:rsidR="00E61F3F">
        <w:rPr>
          <w:rFonts w:ascii="Calibri" w:hAnsi="Calibri" w:cs="Calibri"/>
        </w:rPr>
        <w:t xml:space="preserve"> </w:t>
      </w:r>
      <w:r w:rsidRPr="004101F6">
        <w:rPr>
          <w:rFonts w:ascii="Calibri" w:hAnsi="Calibri" w:cs="Calibri"/>
        </w:rPr>
        <w:t>система Т7.</w:t>
      </w:r>
    </w:p>
    <w:p w:rsidR="004101F6" w:rsidRPr="004101F6" w:rsidRDefault="004101F6" w:rsidP="004101F6">
      <w:pPr>
        <w:rPr>
          <w:rFonts w:ascii="Calibri" w:hAnsi="Calibri" w:cs="Calibri"/>
        </w:rPr>
      </w:pPr>
      <w:r w:rsidRPr="004101F6">
        <w:rPr>
          <w:rFonts w:ascii="Calibri" w:hAnsi="Calibri" w:cs="Calibri"/>
        </w:rPr>
        <w:t>Беше извършена преконфигурация на двата основни маршрутизатура и свързаност за предоставяне на новите тестови услуги за платформа Т7.</w:t>
      </w:r>
    </w:p>
    <w:p w:rsidR="004101F6" w:rsidRPr="004101F6" w:rsidRDefault="004101F6" w:rsidP="004101F6">
      <w:pPr>
        <w:rPr>
          <w:rFonts w:ascii="Calibri" w:hAnsi="Calibri" w:cs="Calibri"/>
        </w:rPr>
      </w:pPr>
      <w:r w:rsidRPr="004101F6">
        <w:rPr>
          <w:rFonts w:ascii="Calibri" w:hAnsi="Calibri" w:cs="Calibri"/>
        </w:rPr>
        <w:t>Предстои подмяна на съществуващата VPN over Internet свързаност с втора наета линия.</w:t>
      </w:r>
    </w:p>
    <w:p w:rsidR="004101F6" w:rsidRPr="004101F6" w:rsidRDefault="004101F6" w:rsidP="004101F6">
      <w:pPr>
        <w:rPr>
          <w:rFonts w:ascii="Calibri" w:hAnsi="Calibri" w:cs="Calibri"/>
        </w:rPr>
      </w:pPr>
      <w:r w:rsidRPr="004101F6">
        <w:rPr>
          <w:rFonts w:ascii="Calibri" w:hAnsi="Calibri" w:cs="Calibri"/>
        </w:rPr>
        <w:t>Настроени бяха достъпа и услугите на посредниците</w:t>
      </w:r>
      <w:r>
        <w:rPr>
          <w:rFonts w:ascii="Calibri" w:hAnsi="Calibri" w:cs="Calibri"/>
          <w:lang w:val="en-US"/>
        </w:rPr>
        <w:t>,</w:t>
      </w:r>
      <w:r>
        <w:rPr>
          <w:rFonts w:ascii="Calibri" w:hAnsi="Calibri" w:cs="Calibri"/>
        </w:rPr>
        <w:t xml:space="preserve"> които</w:t>
      </w:r>
      <w:r w:rsidRPr="004101F6">
        <w:rPr>
          <w:rFonts w:ascii="Calibri" w:hAnsi="Calibri" w:cs="Calibri"/>
        </w:rPr>
        <w:t xml:space="preserve"> разработв</w:t>
      </w:r>
      <w:r>
        <w:rPr>
          <w:rFonts w:ascii="Calibri" w:hAnsi="Calibri" w:cs="Calibri"/>
        </w:rPr>
        <w:t>ат</w:t>
      </w:r>
      <w:r w:rsidRPr="004101F6">
        <w:rPr>
          <w:rFonts w:ascii="Calibri" w:hAnsi="Calibri" w:cs="Calibri"/>
        </w:rPr>
        <w:t xml:space="preserve"> собствени платформи, </w:t>
      </w:r>
      <w:r>
        <w:rPr>
          <w:rFonts w:ascii="Calibri" w:hAnsi="Calibri" w:cs="Calibri"/>
        </w:rPr>
        <w:t xml:space="preserve">а </w:t>
      </w:r>
      <w:r w:rsidRPr="004101F6">
        <w:rPr>
          <w:rFonts w:ascii="Calibri" w:hAnsi="Calibri" w:cs="Calibri"/>
        </w:rPr>
        <w:t>на останалите беше осигурен достъп до Web базирано GUI.</w:t>
      </w:r>
    </w:p>
    <w:p w:rsidR="00BF0976" w:rsidRPr="00AC6A82" w:rsidRDefault="004101F6" w:rsidP="004101F6">
      <w:pPr>
        <w:rPr>
          <w:rFonts w:ascii="Calibri" w:hAnsi="Calibri" w:cs="Calibri"/>
        </w:rPr>
      </w:pPr>
      <w:r w:rsidRPr="004101F6">
        <w:rPr>
          <w:rFonts w:ascii="Calibri" w:hAnsi="Calibri" w:cs="Calibri"/>
        </w:rPr>
        <w:t>В края на периода беше проведено целодневно обучение съвместно с колеги от Дойче Б</w:t>
      </w:r>
      <w:r>
        <w:rPr>
          <w:rFonts w:ascii="Calibri" w:hAnsi="Calibri" w:cs="Calibri"/>
        </w:rPr>
        <w:t>ь</w:t>
      </w:r>
      <w:r w:rsidRPr="004101F6">
        <w:rPr>
          <w:rFonts w:ascii="Calibri" w:hAnsi="Calibri" w:cs="Calibri"/>
        </w:rPr>
        <w:t>орсе на всички инвестиционни посредници.</w:t>
      </w:r>
    </w:p>
    <w:p w:rsidR="00BB7206" w:rsidRPr="00AC6A82" w:rsidRDefault="00BB7206" w:rsidP="003030DD">
      <w:pPr>
        <w:pStyle w:val="SubNumbers"/>
      </w:pPr>
      <w:bookmarkStart w:id="54" w:name="_Toc402281945"/>
      <w:bookmarkStart w:id="55" w:name="_Toc7535439"/>
      <w:bookmarkStart w:id="56" w:name="_Toc283112128"/>
      <w:bookmarkEnd w:id="53"/>
      <w:r w:rsidRPr="00AC6A82">
        <w:t>COBOS</w:t>
      </w:r>
      <w:bookmarkEnd w:id="54"/>
      <w:bookmarkEnd w:id="55"/>
    </w:p>
    <w:p w:rsidR="00BB7206" w:rsidRPr="00AC6A82" w:rsidRDefault="00BB7206" w:rsidP="001A50AB">
      <w:pPr>
        <w:rPr>
          <w:rFonts w:ascii="Calibri" w:hAnsi="Calibri" w:cs="Calibri"/>
        </w:rPr>
      </w:pPr>
      <w:r w:rsidRPr="00AC6A82">
        <w:rPr>
          <w:rFonts w:ascii="Calibri" w:hAnsi="Calibri" w:cs="Calibri"/>
        </w:rPr>
        <w:t xml:space="preserve">Системата COBOS, разработена от експерти на </w:t>
      </w:r>
      <w:r w:rsidR="00636F5A" w:rsidRPr="00AC6A82">
        <w:rPr>
          <w:rFonts w:ascii="Calibri" w:hAnsi="Calibri" w:cs="Calibri"/>
        </w:rPr>
        <w:t>Българска фондова б</w:t>
      </w:r>
      <w:r w:rsidR="00C4001C" w:rsidRPr="00AC6A82">
        <w:rPr>
          <w:rFonts w:ascii="Calibri" w:hAnsi="Calibri" w:cs="Calibri"/>
        </w:rPr>
        <w:t>орса</w:t>
      </w:r>
      <w:r w:rsidRPr="00AC6A82">
        <w:rPr>
          <w:rFonts w:ascii="Calibri" w:hAnsi="Calibri" w:cs="Calibri"/>
        </w:rPr>
        <w:t>, бе стартирана през 2003 г. с идеята да се предостави възможност на инвеститорите за електронно подаване на поръчки към инвестиционните посредници. Улесняването на инвестиционният процес, което COBOS осигурява, е от значение и за привличането на повече инвеститори на българския капиталов пазар.</w:t>
      </w:r>
    </w:p>
    <w:p w:rsidR="00BB7206" w:rsidRPr="00AC6A82" w:rsidRDefault="00BB7206" w:rsidP="001A50AB">
      <w:pPr>
        <w:rPr>
          <w:rFonts w:ascii="Calibri" w:hAnsi="Calibri" w:cs="Calibri"/>
        </w:rPr>
      </w:pPr>
      <w:r w:rsidRPr="00AC6A82">
        <w:rPr>
          <w:rFonts w:ascii="Calibri" w:hAnsi="Calibri" w:cs="Calibri"/>
        </w:rPr>
        <w:t xml:space="preserve">В края на отчетното </w:t>
      </w:r>
      <w:r w:rsidR="00E6153D" w:rsidRPr="00AC6A82">
        <w:rPr>
          <w:rFonts w:ascii="Calibri" w:hAnsi="Calibri" w:cs="Calibri"/>
        </w:rPr>
        <w:t>три</w:t>
      </w:r>
      <w:r w:rsidRPr="00AC6A82">
        <w:rPr>
          <w:rFonts w:ascii="Calibri" w:hAnsi="Calibri" w:cs="Calibri"/>
        </w:rPr>
        <w:t xml:space="preserve">месечие броят на клиентите на системата COBOS намаля с </w:t>
      </w:r>
      <w:r w:rsidR="00BB55BB">
        <w:rPr>
          <w:rFonts w:ascii="Calibri" w:hAnsi="Calibri" w:cs="Calibri"/>
        </w:rPr>
        <w:t>10</w:t>
      </w:r>
      <w:r w:rsidR="00730F1D" w:rsidRPr="00AC6A82">
        <w:rPr>
          <w:rFonts w:ascii="Calibri" w:hAnsi="Calibri" w:cs="Calibri"/>
        </w:rPr>
        <w:t>,</w:t>
      </w:r>
      <w:r w:rsidR="00BB55BB">
        <w:rPr>
          <w:rFonts w:ascii="Calibri" w:hAnsi="Calibri" w:cs="Calibri"/>
        </w:rPr>
        <w:t>6</w:t>
      </w:r>
      <w:r w:rsidRPr="00AC6A82">
        <w:rPr>
          <w:rFonts w:ascii="Calibri" w:hAnsi="Calibri" w:cs="Calibri"/>
        </w:rPr>
        <w:t xml:space="preserve">% в сравнение </w:t>
      </w:r>
      <w:r w:rsidRPr="00BB55BB">
        <w:rPr>
          <w:rFonts w:ascii="Calibri" w:hAnsi="Calibri" w:cs="Calibri"/>
        </w:rPr>
        <w:t xml:space="preserve">с </w:t>
      </w:r>
      <w:r w:rsidR="00730F1D" w:rsidRPr="00BB55BB">
        <w:rPr>
          <w:rFonts w:ascii="Calibri" w:hAnsi="Calibri" w:cs="Calibri"/>
        </w:rPr>
        <w:t xml:space="preserve">края на </w:t>
      </w:r>
      <w:r w:rsidR="00E6153D" w:rsidRPr="00BB55BB">
        <w:rPr>
          <w:rFonts w:ascii="Calibri" w:hAnsi="Calibri" w:cs="Calibri"/>
        </w:rPr>
        <w:t>предходното</w:t>
      </w:r>
      <w:r w:rsidR="00FE2402" w:rsidRPr="00BB55BB">
        <w:rPr>
          <w:rFonts w:ascii="Calibri" w:hAnsi="Calibri" w:cs="Calibri"/>
        </w:rPr>
        <w:t xml:space="preserve">. Към </w:t>
      </w:r>
      <w:r w:rsidR="00730F1D" w:rsidRPr="00BB55BB">
        <w:rPr>
          <w:rFonts w:ascii="Calibri" w:hAnsi="Calibri" w:cs="Calibri"/>
        </w:rPr>
        <w:t>3</w:t>
      </w:r>
      <w:r w:rsidR="004A1D59" w:rsidRPr="00BB55BB">
        <w:rPr>
          <w:rFonts w:ascii="Calibri" w:hAnsi="Calibri" w:cs="Calibri"/>
        </w:rPr>
        <w:t>1</w:t>
      </w:r>
      <w:r w:rsidRPr="00BB55BB">
        <w:rPr>
          <w:rFonts w:ascii="Calibri" w:hAnsi="Calibri" w:cs="Calibri"/>
        </w:rPr>
        <w:t>.</w:t>
      </w:r>
      <w:r w:rsidR="009F4F03" w:rsidRPr="00BB55BB">
        <w:rPr>
          <w:rFonts w:ascii="Calibri" w:hAnsi="Calibri" w:cs="Calibri"/>
        </w:rPr>
        <w:t>03</w:t>
      </w:r>
      <w:r w:rsidRPr="00BB55BB">
        <w:rPr>
          <w:rFonts w:ascii="Calibri" w:hAnsi="Calibri" w:cs="Calibri"/>
        </w:rPr>
        <w:t>.201</w:t>
      </w:r>
      <w:r w:rsidR="009F4F03" w:rsidRPr="00BB55BB">
        <w:rPr>
          <w:rFonts w:ascii="Calibri" w:hAnsi="Calibri" w:cs="Calibri"/>
        </w:rPr>
        <w:t>9</w:t>
      </w:r>
      <w:r w:rsidRPr="00BB55BB">
        <w:rPr>
          <w:rFonts w:ascii="Calibri" w:hAnsi="Calibri" w:cs="Calibri"/>
        </w:rPr>
        <w:t xml:space="preserve"> активните клиенти </w:t>
      </w:r>
      <w:r w:rsidR="00DE4AFD" w:rsidRPr="00BB55BB">
        <w:rPr>
          <w:rFonts w:ascii="Calibri" w:hAnsi="Calibri" w:cs="Calibri"/>
        </w:rPr>
        <w:t>бяха</w:t>
      </w:r>
      <w:r w:rsidR="009F4F03" w:rsidRPr="00BB55BB">
        <w:rPr>
          <w:rFonts w:ascii="Calibri" w:hAnsi="Calibri" w:cs="Calibri"/>
        </w:rPr>
        <w:t xml:space="preserve"> </w:t>
      </w:r>
      <w:r w:rsidR="00BB55BB" w:rsidRPr="00BB55BB">
        <w:rPr>
          <w:rFonts w:ascii="Calibri" w:hAnsi="Calibri" w:cs="Calibri"/>
          <w:lang w:val="en-US"/>
        </w:rPr>
        <w:t>143</w:t>
      </w:r>
      <w:r w:rsidRPr="00BB55BB">
        <w:rPr>
          <w:rFonts w:ascii="Calibri" w:hAnsi="Calibri" w:cs="Calibri"/>
        </w:rPr>
        <w:t xml:space="preserve">, а </w:t>
      </w:r>
      <w:r w:rsidR="00E6153D" w:rsidRPr="00BB55BB">
        <w:rPr>
          <w:rFonts w:ascii="Calibri" w:hAnsi="Calibri" w:cs="Calibri"/>
        </w:rPr>
        <w:t xml:space="preserve">към </w:t>
      </w:r>
      <w:r w:rsidR="009F4F03" w:rsidRPr="00BB55BB">
        <w:rPr>
          <w:rFonts w:ascii="Calibri" w:hAnsi="Calibri" w:cs="Calibri"/>
        </w:rPr>
        <w:t>31.12.2018</w:t>
      </w:r>
      <w:r w:rsidR="004A1D59" w:rsidRPr="00BB55BB">
        <w:rPr>
          <w:rFonts w:ascii="Calibri" w:hAnsi="Calibri" w:cs="Calibri"/>
        </w:rPr>
        <w:t xml:space="preserve"> те бяха </w:t>
      </w:r>
      <w:r w:rsidR="009F4F03" w:rsidRPr="00BB55BB">
        <w:rPr>
          <w:rFonts w:ascii="Calibri" w:hAnsi="Calibri" w:cs="Calibri"/>
        </w:rPr>
        <w:t>160</w:t>
      </w:r>
      <w:r w:rsidR="00315E3D" w:rsidRPr="00BB55BB">
        <w:rPr>
          <w:rFonts w:ascii="Calibri" w:hAnsi="Calibri" w:cs="Calibri"/>
        </w:rPr>
        <w:t xml:space="preserve">. </w:t>
      </w:r>
      <w:r w:rsidRPr="00BB55BB">
        <w:rPr>
          <w:rFonts w:ascii="Calibri" w:hAnsi="Calibri" w:cs="Calibri"/>
        </w:rPr>
        <w:t xml:space="preserve">Чрез системата </w:t>
      </w:r>
      <w:r w:rsidR="00880590" w:rsidRPr="00BB55BB">
        <w:rPr>
          <w:rFonts w:ascii="Calibri" w:hAnsi="Calibri" w:cs="Calibri"/>
        </w:rPr>
        <w:t>бяха</w:t>
      </w:r>
      <w:r w:rsidRPr="00BB55BB">
        <w:rPr>
          <w:rFonts w:ascii="Calibri" w:hAnsi="Calibri" w:cs="Calibri"/>
        </w:rPr>
        <w:t xml:space="preserve"> подадени</w:t>
      </w:r>
      <w:r w:rsidR="009F4F03" w:rsidRPr="00BB55BB">
        <w:rPr>
          <w:rFonts w:ascii="Calibri" w:hAnsi="Calibri" w:cs="Calibri"/>
        </w:rPr>
        <w:t xml:space="preserve"> </w:t>
      </w:r>
      <w:r w:rsidR="00BB55BB" w:rsidRPr="00BB55BB">
        <w:rPr>
          <w:rFonts w:ascii="Calibri" w:hAnsi="Calibri" w:cs="Calibri"/>
          <w:lang w:val="en-US"/>
        </w:rPr>
        <w:t xml:space="preserve">3 812 </w:t>
      </w:r>
      <w:r w:rsidR="006A3E67" w:rsidRPr="00BB55BB">
        <w:rPr>
          <w:rFonts w:ascii="Calibri" w:hAnsi="Calibri" w:cs="Calibri"/>
        </w:rPr>
        <w:t xml:space="preserve">нареждания </w:t>
      </w:r>
      <w:r w:rsidR="000D34BF" w:rsidRPr="00BB55BB">
        <w:rPr>
          <w:rFonts w:ascii="Calibri" w:hAnsi="Calibri" w:cs="Calibri"/>
        </w:rPr>
        <w:t>(</w:t>
      </w:r>
      <w:r w:rsidR="00235E39" w:rsidRPr="00BB55BB">
        <w:rPr>
          <w:rFonts w:ascii="Calibri" w:hAnsi="Calibri" w:cs="Calibri"/>
        </w:rPr>
        <w:t>спад от</w:t>
      </w:r>
      <w:r w:rsidR="00BB55BB" w:rsidRPr="00BB55BB">
        <w:rPr>
          <w:rFonts w:ascii="Calibri" w:hAnsi="Calibri" w:cs="Calibri"/>
          <w:lang w:val="en-US"/>
        </w:rPr>
        <w:t xml:space="preserve"> 6</w:t>
      </w:r>
      <w:r w:rsidR="009105C0" w:rsidRPr="00BB55BB">
        <w:rPr>
          <w:rFonts w:ascii="Calibri" w:hAnsi="Calibri" w:cs="Calibri"/>
        </w:rPr>
        <w:t>,</w:t>
      </w:r>
      <w:r w:rsidR="004A1D59" w:rsidRPr="00BB55BB">
        <w:rPr>
          <w:rFonts w:ascii="Calibri" w:hAnsi="Calibri" w:cs="Calibri"/>
        </w:rPr>
        <w:t>5</w:t>
      </w:r>
      <w:r w:rsidR="00081381" w:rsidRPr="00BB55BB">
        <w:rPr>
          <w:rFonts w:ascii="Calibri" w:hAnsi="Calibri" w:cs="Calibri"/>
        </w:rPr>
        <w:t>%</w:t>
      </w:r>
      <w:r w:rsidR="00DB60B9" w:rsidRPr="00BB55BB">
        <w:rPr>
          <w:rFonts w:ascii="Calibri" w:hAnsi="Calibri" w:cs="Calibri"/>
        </w:rPr>
        <w:t xml:space="preserve"> в броя поръчки</w:t>
      </w:r>
      <w:r w:rsidR="000D34BF" w:rsidRPr="00BB55BB">
        <w:rPr>
          <w:rFonts w:ascii="Calibri" w:hAnsi="Calibri" w:cs="Calibri"/>
        </w:rPr>
        <w:t xml:space="preserve">), сключени бяха </w:t>
      </w:r>
      <w:r w:rsidR="00BB55BB" w:rsidRPr="00BB55BB">
        <w:rPr>
          <w:rFonts w:ascii="Calibri" w:hAnsi="Calibri" w:cs="Calibri"/>
          <w:lang w:val="en-US"/>
        </w:rPr>
        <w:t xml:space="preserve">2 209 </w:t>
      </w:r>
      <w:r w:rsidR="000D34BF" w:rsidRPr="00BB55BB">
        <w:rPr>
          <w:rFonts w:ascii="Calibri" w:hAnsi="Calibri" w:cs="Calibri"/>
        </w:rPr>
        <w:t>сделки (</w:t>
      </w:r>
      <w:r w:rsidR="00BB55BB" w:rsidRPr="00BB55BB">
        <w:rPr>
          <w:rFonts w:ascii="Calibri" w:hAnsi="Calibri" w:cs="Calibri"/>
        </w:rPr>
        <w:t>спад</w:t>
      </w:r>
      <w:r w:rsidR="00BB55BB" w:rsidRPr="00BB55BB">
        <w:rPr>
          <w:rFonts w:ascii="Calibri" w:hAnsi="Calibri" w:cs="Calibri"/>
          <w:lang w:val="en-US"/>
        </w:rPr>
        <w:t xml:space="preserve"> </w:t>
      </w:r>
      <w:r w:rsidR="004A1D59" w:rsidRPr="00BB55BB">
        <w:rPr>
          <w:rFonts w:ascii="Calibri" w:hAnsi="Calibri" w:cs="Calibri"/>
        </w:rPr>
        <w:t>на броя сделки от</w:t>
      </w:r>
      <w:r w:rsidR="009F4F03" w:rsidRPr="00BB55BB">
        <w:rPr>
          <w:rFonts w:ascii="Calibri" w:hAnsi="Calibri" w:cs="Calibri"/>
        </w:rPr>
        <w:t xml:space="preserve"> </w:t>
      </w:r>
      <w:r w:rsidR="00BB55BB" w:rsidRPr="00BB55BB">
        <w:rPr>
          <w:rFonts w:ascii="Calibri" w:hAnsi="Calibri" w:cs="Calibri"/>
        </w:rPr>
        <w:t>12</w:t>
      </w:r>
      <w:r w:rsidR="009105C0" w:rsidRPr="00BB55BB">
        <w:rPr>
          <w:rFonts w:ascii="Calibri" w:hAnsi="Calibri" w:cs="Calibri"/>
        </w:rPr>
        <w:t>,</w:t>
      </w:r>
      <w:r w:rsidR="00BB55BB" w:rsidRPr="00BB55BB">
        <w:rPr>
          <w:rFonts w:ascii="Calibri" w:hAnsi="Calibri" w:cs="Calibri"/>
        </w:rPr>
        <w:t>9</w:t>
      </w:r>
      <w:r w:rsidR="00081381" w:rsidRPr="00BB55BB">
        <w:rPr>
          <w:rFonts w:ascii="Calibri" w:hAnsi="Calibri" w:cs="Calibri"/>
        </w:rPr>
        <w:t>%</w:t>
      </w:r>
      <w:r w:rsidR="000D34BF" w:rsidRPr="00BB55BB">
        <w:rPr>
          <w:rFonts w:ascii="Calibri" w:hAnsi="Calibri" w:cs="Calibri"/>
        </w:rPr>
        <w:t xml:space="preserve">) на стойност </w:t>
      </w:r>
      <w:r w:rsidR="00BB55BB" w:rsidRPr="00BB55BB">
        <w:rPr>
          <w:rFonts w:ascii="Calibri" w:hAnsi="Calibri" w:cs="Calibri"/>
        </w:rPr>
        <w:t xml:space="preserve">4 868 173 </w:t>
      </w:r>
      <w:r w:rsidR="000D34BF" w:rsidRPr="00BB55BB">
        <w:rPr>
          <w:rFonts w:ascii="Calibri" w:hAnsi="Calibri" w:cs="Calibri"/>
        </w:rPr>
        <w:t>лева</w:t>
      </w:r>
      <w:r w:rsidR="00CE28B8" w:rsidRPr="00BB55BB">
        <w:rPr>
          <w:rFonts w:ascii="Calibri" w:hAnsi="Calibri" w:cs="Calibri"/>
        </w:rPr>
        <w:t xml:space="preserve"> (</w:t>
      </w:r>
      <w:r w:rsidR="00BB55BB" w:rsidRPr="00BB55BB">
        <w:rPr>
          <w:rFonts w:ascii="Calibri" w:hAnsi="Calibri" w:cs="Calibri"/>
        </w:rPr>
        <w:t xml:space="preserve">спад </w:t>
      </w:r>
      <w:r w:rsidR="004A1D59" w:rsidRPr="00BB55BB">
        <w:rPr>
          <w:rFonts w:ascii="Calibri" w:hAnsi="Calibri" w:cs="Calibri"/>
        </w:rPr>
        <w:t xml:space="preserve">от </w:t>
      </w:r>
      <w:r w:rsidR="00BB55BB" w:rsidRPr="00BB55BB">
        <w:rPr>
          <w:rFonts w:ascii="Calibri" w:hAnsi="Calibri" w:cs="Calibri"/>
        </w:rPr>
        <w:t>68</w:t>
      </w:r>
      <w:r w:rsidR="00081381" w:rsidRPr="00BB55BB">
        <w:rPr>
          <w:rFonts w:ascii="Calibri" w:hAnsi="Calibri" w:cs="Calibri"/>
        </w:rPr>
        <w:t>%</w:t>
      </w:r>
      <w:r w:rsidR="00CE28B8" w:rsidRPr="00BB55BB">
        <w:rPr>
          <w:rFonts w:ascii="Calibri" w:hAnsi="Calibri" w:cs="Calibri"/>
        </w:rPr>
        <w:t>)</w:t>
      </w:r>
      <w:r w:rsidR="000D34BF" w:rsidRPr="00BB55BB">
        <w:rPr>
          <w:rFonts w:ascii="Calibri" w:hAnsi="Calibri" w:cs="Calibri"/>
        </w:rPr>
        <w:t>.</w:t>
      </w:r>
      <w:r w:rsidR="009F4F03" w:rsidRPr="00BB55BB">
        <w:rPr>
          <w:rFonts w:ascii="Calibri" w:hAnsi="Calibri" w:cs="Calibri"/>
        </w:rPr>
        <w:t xml:space="preserve"> </w:t>
      </w:r>
      <w:r w:rsidR="00FE2402" w:rsidRPr="00BB55BB">
        <w:rPr>
          <w:rFonts w:ascii="Calibri" w:hAnsi="Calibri" w:cs="Calibri"/>
        </w:rPr>
        <w:t>За сравнение</w:t>
      </w:r>
      <w:r w:rsidR="00756AD6" w:rsidRPr="00BB55BB">
        <w:rPr>
          <w:rFonts w:ascii="Calibri" w:hAnsi="Calibri" w:cs="Calibri"/>
        </w:rPr>
        <w:t>,</w:t>
      </w:r>
      <w:r w:rsidR="00FE2402" w:rsidRPr="00BB55BB">
        <w:rPr>
          <w:rFonts w:ascii="Calibri" w:hAnsi="Calibri" w:cs="Calibri"/>
        </w:rPr>
        <w:t xml:space="preserve"> през </w:t>
      </w:r>
      <w:r w:rsidR="009F4F03" w:rsidRPr="00BB55BB">
        <w:rPr>
          <w:rFonts w:ascii="Calibri" w:hAnsi="Calibri" w:cs="Calibri"/>
        </w:rPr>
        <w:t>четвъртото</w:t>
      </w:r>
      <w:r w:rsidR="00E6153D" w:rsidRPr="00BB55BB">
        <w:rPr>
          <w:rFonts w:ascii="Calibri" w:hAnsi="Calibri" w:cs="Calibri"/>
        </w:rPr>
        <w:t xml:space="preserve"> три</w:t>
      </w:r>
      <w:r w:rsidR="00880590" w:rsidRPr="00BB55BB">
        <w:rPr>
          <w:rFonts w:ascii="Calibri" w:hAnsi="Calibri" w:cs="Calibri"/>
        </w:rPr>
        <w:t>месечие бяха подадени</w:t>
      </w:r>
      <w:r w:rsidR="009F4F03" w:rsidRPr="00BB55BB">
        <w:rPr>
          <w:rFonts w:ascii="Calibri" w:hAnsi="Calibri" w:cs="Calibri"/>
        </w:rPr>
        <w:t xml:space="preserve"> 4 077 </w:t>
      </w:r>
      <w:r w:rsidR="000D34BF" w:rsidRPr="00BB55BB">
        <w:rPr>
          <w:rFonts w:ascii="Calibri" w:hAnsi="Calibri" w:cs="Calibri"/>
        </w:rPr>
        <w:t xml:space="preserve">нареждания и </w:t>
      </w:r>
      <w:r w:rsidR="00880590" w:rsidRPr="00BB55BB">
        <w:rPr>
          <w:rFonts w:ascii="Calibri" w:hAnsi="Calibri" w:cs="Calibri"/>
        </w:rPr>
        <w:t>сключени</w:t>
      </w:r>
      <w:r w:rsidR="009F4F03" w:rsidRPr="00BB55BB">
        <w:rPr>
          <w:rFonts w:ascii="Calibri" w:hAnsi="Calibri" w:cs="Calibri"/>
        </w:rPr>
        <w:t xml:space="preserve"> </w:t>
      </w:r>
      <w:r w:rsidR="00E61F3F">
        <w:rPr>
          <w:rFonts w:ascii="Calibri" w:hAnsi="Calibri" w:cs="Calibri"/>
        </w:rPr>
        <w:t xml:space="preserve">2 535 </w:t>
      </w:r>
      <w:r w:rsidR="000D34BF" w:rsidRPr="00BB55BB">
        <w:rPr>
          <w:rFonts w:ascii="Calibri" w:hAnsi="Calibri" w:cs="Calibri"/>
        </w:rPr>
        <w:t>сделки</w:t>
      </w:r>
      <w:r w:rsidR="009F4F03" w:rsidRPr="00BB55BB">
        <w:rPr>
          <w:rFonts w:ascii="Calibri" w:hAnsi="Calibri" w:cs="Calibri"/>
        </w:rPr>
        <w:t xml:space="preserve"> </w:t>
      </w:r>
      <w:r w:rsidRPr="00BB55BB">
        <w:rPr>
          <w:rFonts w:ascii="Calibri" w:hAnsi="Calibri" w:cs="Calibri"/>
        </w:rPr>
        <w:t>на стойност</w:t>
      </w:r>
      <w:r w:rsidRPr="00AC6A82">
        <w:rPr>
          <w:rFonts w:ascii="Calibri" w:hAnsi="Calibri" w:cs="Calibri"/>
        </w:rPr>
        <w:t xml:space="preserve"> </w:t>
      </w:r>
      <w:bookmarkStart w:id="57" w:name="_Hlk7534758"/>
      <w:r w:rsidR="009F4F03" w:rsidRPr="00AC6A82">
        <w:rPr>
          <w:rFonts w:ascii="Calibri" w:hAnsi="Calibri" w:cs="Calibri"/>
        </w:rPr>
        <w:t xml:space="preserve">15 193 492 </w:t>
      </w:r>
      <w:bookmarkEnd w:id="57"/>
      <w:r w:rsidRPr="00AC6A82">
        <w:rPr>
          <w:rFonts w:ascii="Calibri" w:hAnsi="Calibri" w:cs="Calibri"/>
        </w:rPr>
        <w:t>лева.</w:t>
      </w:r>
    </w:p>
    <w:p w:rsidR="00BB7206" w:rsidRPr="00AC6A82" w:rsidRDefault="00BB7206" w:rsidP="001A50AB">
      <w:pPr>
        <w:pStyle w:val="Mainnumbers"/>
        <w:rPr>
          <w:rFonts w:ascii="Calibri" w:hAnsi="Calibri" w:cs="Calibri"/>
        </w:rPr>
      </w:pPr>
      <w:bookmarkStart w:id="58" w:name="_Toc402281946"/>
      <w:bookmarkStart w:id="59" w:name="_Toc7535440"/>
      <w:bookmarkStart w:id="60" w:name="_Toc373332382"/>
      <w:bookmarkStart w:id="61" w:name="_Toc283112129"/>
      <w:bookmarkEnd w:id="56"/>
      <w:r w:rsidRPr="00AC6A82">
        <w:rPr>
          <w:rFonts w:ascii="Calibri" w:hAnsi="Calibri" w:cs="Calibri"/>
        </w:rPr>
        <w:t>Международна дейност</w:t>
      </w:r>
      <w:bookmarkEnd w:id="58"/>
      <w:bookmarkEnd w:id="59"/>
    </w:p>
    <w:p w:rsidR="006E7D54" w:rsidRPr="00BB55BB" w:rsidRDefault="006E7D54" w:rsidP="00BB55BB">
      <w:pPr>
        <w:rPr>
          <w:rFonts w:ascii="Calibri" w:hAnsi="Calibri" w:cs="Calibri"/>
        </w:rPr>
      </w:pPr>
      <w:r w:rsidRPr="00BB55BB">
        <w:rPr>
          <w:rFonts w:ascii="Calibri" w:hAnsi="Calibri" w:cs="Calibri"/>
        </w:rPr>
        <w:t>Иван Такев, изпълнителен директор на Българска фондова борса</w:t>
      </w:r>
      <w:r w:rsidR="00BB55BB" w:rsidRPr="00BB55BB">
        <w:rPr>
          <w:rFonts w:ascii="Calibri" w:hAnsi="Calibri" w:cs="Calibri"/>
        </w:rPr>
        <w:t>,</w:t>
      </w:r>
      <w:r w:rsidRPr="00BB55BB">
        <w:rPr>
          <w:rFonts w:ascii="Calibri" w:hAnsi="Calibri" w:cs="Calibri"/>
        </w:rPr>
        <w:t xml:space="preserve"> участва в </w:t>
      </w:r>
      <w:r w:rsidR="00BB55BB" w:rsidRPr="00BB55BB">
        <w:rPr>
          <w:rFonts w:ascii="Calibri" w:hAnsi="Calibri" w:cs="Calibri"/>
        </w:rPr>
        <w:t>провелия се в пери</w:t>
      </w:r>
      <w:r w:rsidR="00BB55BB">
        <w:rPr>
          <w:rFonts w:ascii="Calibri" w:hAnsi="Calibri" w:cs="Calibri"/>
        </w:rPr>
        <w:t>о</w:t>
      </w:r>
      <w:r w:rsidR="00BB55BB" w:rsidRPr="00BB55BB">
        <w:rPr>
          <w:rFonts w:ascii="Calibri" w:hAnsi="Calibri" w:cs="Calibri"/>
        </w:rPr>
        <w:t xml:space="preserve">да 25-27 февруари в Бейрут, Ливан </w:t>
      </w:r>
      <w:r w:rsidR="00BB55BB" w:rsidRPr="00BB55BB">
        <w:rPr>
          <w:rFonts w:ascii="Calibri" w:hAnsi="Calibri" w:cs="Calibri"/>
          <w:lang w:val="en-US"/>
        </w:rPr>
        <w:t>World Exchange Congress</w:t>
      </w:r>
      <w:r w:rsidR="00BB55BB" w:rsidRPr="00BB55BB">
        <w:rPr>
          <w:rFonts w:ascii="Calibri" w:hAnsi="Calibri" w:cs="Calibri"/>
        </w:rPr>
        <w:t>,</w:t>
      </w:r>
      <w:r w:rsidR="00BB55BB" w:rsidRPr="00BB55BB">
        <w:rPr>
          <w:rFonts w:ascii="Calibri" w:hAnsi="Calibri" w:cs="Calibri"/>
          <w:lang w:val="en-US"/>
        </w:rPr>
        <w:t xml:space="preserve"> </w:t>
      </w:r>
      <w:r w:rsidR="00BB55BB" w:rsidRPr="00BB55BB">
        <w:rPr>
          <w:rFonts w:ascii="Calibri" w:hAnsi="Calibri" w:cs="Calibri"/>
        </w:rPr>
        <w:t xml:space="preserve">където участва в панела </w:t>
      </w:r>
      <w:r w:rsidR="00BB55BB" w:rsidRPr="00BB55BB">
        <w:rPr>
          <w:rFonts w:ascii="Calibri" w:hAnsi="Calibri" w:cs="Calibri"/>
          <w:lang w:val="en-US"/>
        </w:rPr>
        <w:t>Which technologies hold the most potential for capital market development?</w:t>
      </w:r>
    </w:p>
    <w:p w:rsidR="006C79E6" w:rsidRPr="00AC6A82" w:rsidRDefault="00690D22" w:rsidP="001A50AB">
      <w:pPr>
        <w:pStyle w:val="Mainnumbers"/>
        <w:rPr>
          <w:rFonts w:ascii="Calibri" w:hAnsi="Calibri" w:cs="Calibri"/>
        </w:rPr>
      </w:pPr>
      <w:bookmarkStart w:id="62" w:name="_Toc373332383"/>
      <w:bookmarkStart w:id="63" w:name="_Toc7535441"/>
      <w:bookmarkEnd w:id="60"/>
      <w:r w:rsidRPr="00AC6A82">
        <w:rPr>
          <w:rFonts w:ascii="Calibri" w:hAnsi="Calibri" w:cs="Calibri"/>
        </w:rPr>
        <w:t xml:space="preserve">Основни рискове и несигурности, пред които е изправена </w:t>
      </w:r>
      <w:bookmarkEnd w:id="62"/>
      <w:r w:rsidR="002D5AEB" w:rsidRPr="00AC6A82">
        <w:rPr>
          <w:rFonts w:ascii="Calibri" w:hAnsi="Calibri" w:cs="Calibri"/>
        </w:rPr>
        <w:t>„</w:t>
      </w:r>
      <w:r w:rsidR="0019107B" w:rsidRPr="00AC6A82">
        <w:rPr>
          <w:rFonts w:ascii="Calibri" w:hAnsi="Calibri" w:cs="Calibri"/>
        </w:rPr>
        <w:t>Българска фондова борса</w:t>
      </w:r>
      <w:r w:rsidR="002D5AEB" w:rsidRPr="00AC6A82">
        <w:rPr>
          <w:rFonts w:ascii="Calibri" w:hAnsi="Calibri" w:cs="Calibri"/>
        </w:rPr>
        <w:t>“ АД</w:t>
      </w:r>
      <w:bookmarkEnd w:id="63"/>
    </w:p>
    <w:p w:rsidR="00062DD2" w:rsidRPr="00AC6A82" w:rsidRDefault="00062DD2" w:rsidP="001A50AB">
      <w:pPr>
        <w:rPr>
          <w:rFonts w:ascii="Calibri" w:hAnsi="Calibri" w:cs="Calibri"/>
        </w:rPr>
      </w:pPr>
      <w:r w:rsidRPr="00AC6A82">
        <w:rPr>
          <w:rFonts w:ascii="Calibri" w:hAnsi="Calibri" w:cs="Calibri"/>
        </w:rPr>
        <w:t xml:space="preserve">Като лицензиран пазарен оператор </w:t>
      </w:r>
      <w:r w:rsidR="00C4001C" w:rsidRPr="00AC6A82">
        <w:rPr>
          <w:rFonts w:ascii="Calibri" w:hAnsi="Calibri" w:cs="Calibri"/>
        </w:rPr>
        <w:t xml:space="preserve">Българска фондова борса </w:t>
      </w:r>
      <w:r w:rsidRPr="00AC6A82">
        <w:rPr>
          <w:rFonts w:ascii="Calibri" w:hAnsi="Calibri" w:cs="Calibri"/>
        </w:rPr>
        <w:t>организира дейността и операциите на регулирания пазар съобразно изискванията на закона и актовете по прилагането му. Организацията и управлението на БФБ се извършват въз основа на правилник за дейността, който се приема от Съвета на директорите на Борсата и се одобрява от Комисията за финансов надзор. Правилник</w:t>
      </w:r>
      <w:r w:rsidR="00165B8B" w:rsidRPr="00AC6A82">
        <w:rPr>
          <w:rFonts w:ascii="Calibri" w:hAnsi="Calibri" w:cs="Calibri"/>
        </w:rPr>
        <w:t>ът</w:t>
      </w:r>
      <w:r w:rsidRPr="00AC6A82">
        <w:rPr>
          <w:rFonts w:ascii="Calibri" w:hAnsi="Calibri" w:cs="Calibri"/>
        </w:rPr>
        <w:t xml:space="preserve"> за дейността на </w:t>
      </w:r>
      <w:r w:rsidR="00C4001C" w:rsidRPr="00AC6A82">
        <w:rPr>
          <w:rFonts w:ascii="Calibri" w:hAnsi="Calibri" w:cs="Calibri"/>
        </w:rPr>
        <w:t xml:space="preserve">Българска фондова борса </w:t>
      </w:r>
      <w:r w:rsidRPr="00AC6A82">
        <w:rPr>
          <w:rFonts w:ascii="Calibri" w:hAnsi="Calibri" w:cs="Calibri"/>
        </w:rPr>
        <w:t>урежда всички аспекти от дейността на дружеството, в т.ч. и:</w:t>
      </w:r>
    </w:p>
    <w:p w:rsidR="00062DD2" w:rsidRPr="00AC6A82" w:rsidRDefault="00062DD2" w:rsidP="001A50AB">
      <w:pPr>
        <w:pStyle w:val="ListParagraph"/>
        <w:numPr>
          <w:ilvl w:val="0"/>
          <w:numId w:val="3"/>
        </w:numPr>
        <w:rPr>
          <w:rFonts w:ascii="Calibri" w:hAnsi="Calibri" w:cs="Calibri"/>
        </w:rPr>
      </w:pPr>
      <w:r w:rsidRPr="00AC6A82">
        <w:rPr>
          <w:rFonts w:ascii="Calibri" w:hAnsi="Calibri" w:cs="Calibri"/>
        </w:rPr>
        <w:t xml:space="preserve">идентифицирането на възможните заплахи и рискове, които биха могли да причинят потенциални загуби и прекъсване на процесите на търговия, осигурявани, осъществявани и поддържани от Борсата; </w:t>
      </w:r>
    </w:p>
    <w:p w:rsidR="00062DD2" w:rsidRPr="00AC6A82" w:rsidRDefault="00062DD2" w:rsidP="001A50AB">
      <w:pPr>
        <w:pStyle w:val="ListParagraph"/>
        <w:numPr>
          <w:ilvl w:val="0"/>
          <w:numId w:val="3"/>
        </w:numPr>
        <w:rPr>
          <w:rFonts w:ascii="Calibri" w:hAnsi="Calibri" w:cs="Calibri"/>
        </w:rPr>
      </w:pPr>
      <w:r w:rsidRPr="00AC6A82">
        <w:rPr>
          <w:rFonts w:ascii="Calibri" w:hAnsi="Calibri" w:cs="Calibri"/>
        </w:rPr>
        <w:t xml:space="preserve">средствата за контрол и управление на идентифицираните заплахи и рискове; </w:t>
      </w:r>
    </w:p>
    <w:p w:rsidR="00062DD2" w:rsidRPr="00AC6A82" w:rsidRDefault="00062DD2" w:rsidP="001A50AB">
      <w:pPr>
        <w:pStyle w:val="ListParagraph"/>
        <w:numPr>
          <w:ilvl w:val="0"/>
          <w:numId w:val="3"/>
        </w:numPr>
        <w:rPr>
          <w:rFonts w:ascii="Calibri" w:hAnsi="Calibri" w:cs="Calibri"/>
        </w:rPr>
      </w:pPr>
      <w:r w:rsidRPr="00AC6A82">
        <w:rPr>
          <w:rFonts w:ascii="Calibri" w:hAnsi="Calibri" w:cs="Calibri"/>
        </w:rPr>
        <w:t>разпределението на отговорностите между служителите на Борсата във връзка с Управлението на рисковете.</w:t>
      </w:r>
    </w:p>
    <w:p w:rsidR="00062DD2" w:rsidRPr="00AC6A82" w:rsidRDefault="00062DD2" w:rsidP="001A50AB">
      <w:pPr>
        <w:rPr>
          <w:rFonts w:ascii="Calibri" w:hAnsi="Calibri" w:cs="Calibri"/>
        </w:rPr>
      </w:pPr>
      <w:r w:rsidRPr="00AC6A82">
        <w:rPr>
          <w:rFonts w:ascii="Calibri" w:hAnsi="Calibri" w:cs="Calibri"/>
        </w:rPr>
        <w:t xml:space="preserve">Основните видове рискове, относими към дейността </w:t>
      </w:r>
      <w:r w:rsidR="00165B8B" w:rsidRPr="00AC6A82">
        <w:rPr>
          <w:rFonts w:ascii="Calibri" w:hAnsi="Calibri" w:cs="Calibri"/>
        </w:rPr>
        <w:t xml:space="preserve">на </w:t>
      </w:r>
      <w:r w:rsidRPr="00AC6A82">
        <w:rPr>
          <w:rFonts w:ascii="Calibri" w:hAnsi="Calibri" w:cs="Calibri"/>
        </w:rPr>
        <w:t>дружеството и политиката по тяхното управление са регламентирани в част VІ - Правила за управление на риска от Правилника за дейността на БФБ.</w:t>
      </w:r>
    </w:p>
    <w:p w:rsidR="00062DD2" w:rsidRPr="00AC6A82" w:rsidRDefault="00062DD2" w:rsidP="001A50AB">
      <w:pPr>
        <w:rPr>
          <w:rFonts w:ascii="Calibri" w:hAnsi="Calibri" w:cs="Calibri"/>
        </w:rPr>
      </w:pPr>
      <w:r w:rsidRPr="00AC6A82">
        <w:rPr>
          <w:rFonts w:ascii="Calibri" w:hAnsi="Calibri" w:cs="Calibri"/>
        </w:rPr>
        <w:t xml:space="preserve">Политиката по управлението на рисковете се прилага интегрирано и съобразно с всички останали политики и принципи, регламентирани във вътрешните актове на </w:t>
      </w:r>
      <w:r w:rsidR="00C4001C" w:rsidRPr="00AC6A82">
        <w:rPr>
          <w:rFonts w:ascii="Calibri" w:hAnsi="Calibri" w:cs="Calibri"/>
        </w:rPr>
        <w:t>Българска фондова борса</w:t>
      </w:r>
      <w:r w:rsidRPr="00AC6A82">
        <w:rPr>
          <w:rFonts w:ascii="Calibri" w:hAnsi="Calibri" w:cs="Calibri"/>
        </w:rPr>
        <w:t>. Правилата за управление на риска на БФБ документират мерките и процедурите по установяване, управление и оценка на рисковете, свързани с дейността на Борсата по реда на чл. 86, ал. 1, т. 3 от Закона за пазарите на финансови инструменти.</w:t>
      </w:r>
    </w:p>
    <w:p w:rsidR="00062DD2" w:rsidRPr="00AC6A82" w:rsidRDefault="00062DD2" w:rsidP="001A50AB">
      <w:pPr>
        <w:rPr>
          <w:rFonts w:ascii="Calibri" w:hAnsi="Calibri" w:cs="Calibri"/>
        </w:rPr>
      </w:pPr>
    </w:p>
    <w:p w:rsidR="00062DD2" w:rsidRPr="00AC6A82" w:rsidRDefault="00062DD2" w:rsidP="001A50AB">
      <w:pPr>
        <w:rPr>
          <w:rFonts w:ascii="Calibri" w:hAnsi="Calibri" w:cs="Calibri"/>
        </w:rPr>
      </w:pPr>
      <w:r w:rsidRPr="00AC6A82">
        <w:rPr>
          <w:rFonts w:ascii="Calibri" w:hAnsi="Calibri" w:cs="Calibri"/>
        </w:rPr>
        <w:t xml:space="preserve">Правилата за управление на риска на </w:t>
      </w:r>
      <w:r w:rsidR="00C4001C" w:rsidRPr="00AC6A82">
        <w:rPr>
          <w:rFonts w:ascii="Calibri" w:hAnsi="Calibri" w:cs="Calibri"/>
        </w:rPr>
        <w:t xml:space="preserve">Българска фондова борса </w:t>
      </w:r>
      <w:r w:rsidRPr="00AC6A82">
        <w:rPr>
          <w:rFonts w:ascii="Calibri" w:hAnsi="Calibri" w:cs="Calibri"/>
        </w:rPr>
        <w:t>дефинират следните видове рискове, свързани с дейностите, процедурите и системите на дружеството:</w:t>
      </w:r>
    </w:p>
    <w:p w:rsidR="00062DD2" w:rsidRPr="00AC6A82" w:rsidRDefault="00062DD2" w:rsidP="001A50AB">
      <w:pPr>
        <w:rPr>
          <w:rFonts w:ascii="Calibri" w:hAnsi="Calibri" w:cs="Calibri"/>
        </w:rPr>
      </w:pPr>
    </w:p>
    <w:p w:rsidR="00062DD2" w:rsidRPr="00AC6A82" w:rsidRDefault="00062DD2" w:rsidP="001A50AB">
      <w:pPr>
        <w:rPr>
          <w:rFonts w:ascii="Calibri" w:hAnsi="Calibri" w:cs="Calibri"/>
        </w:rPr>
      </w:pPr>
      <w:r w:rsidRPr="00AC6A82">
        <w:rPr>
          <w:rFonts w:ascii="Calibri" w:hAnsi="Calibri" w:cs="Calibri"/>
        </w:rPr>
        <w:t xml:space="preserve">1. </w:t>
      </w:r>
      <w:r w:rsidRPr="00AC6A82">
        <w:rPr>
          <w:rFonts w:ascii="Calibri" w:hAnsi="Calibri" w:cs="Calibri"/>
          <w:b/>
        </w:rPr>
        <w:t>Вътрешни</w:t>
      </w:r>
      <w:r w:rsidRPr="00AC6A82">
        <w:rPr>
          <w:rFonts w:ascii="Calibri" w:hAnsi="Calibri" w:cs="Calibri"/>
        </w:rPr>
        <w:t xml:space="preserve"> - свързани с организацията на работа на Борсата, представляващи: </w:t>
      </w:r>
    </w:p>
    <w:p w:rsidR="00062DD2" w:rsidRPr="00AC6A82" w:rsidRDefault="00062DD2" w:rsidP="001A50AB">
      <w:pPr>
        <w:rPr>
          <w:rFonts w:ascii="Calibri" w:hAnsi="Calibri" w:cs="Calibri"/>
        </w:rPr>
      </w:pPr>
      <w:r w:rsidRPr="00AC6A82">
        <w:rPr>
          <w:rFonts w:ascii="Calibri" w:hAnsi="Calibri" w:cs="Calibri"/>
        </w:rPr>
        <w:t xml:space="preserve">а) Рискове, свързани с процесите; </w:t>
      </w:r>
    </w:p>
    <w:p w:rsidR="00062DD2" w:rsidRPr="00AC6A82" w:rsidRDefault="00062DD2" w:rsidP="001A50AB">
      <w:pPr>
        <w:rPr>
          <w:rFonts w:ascii="Calibri" w:hAnsi="Calibri" w:cs="Calibri"/>
        </w:rPr>
      </w:pPr>
      <w:r w:rsidRPr="00AC6A82">
        <w:rPr>
          <w:rFonts w:ascii="Calibri" w:hAnsi="Calibri" w:cs="Calibri"/>
        </w:rPr>
        <w:t>- рискове, свързани с изпълнението на основните функции на Борсата</w:t>
      </w:r>
    </w:p>
    <w:p w:rsidR="00062DD2" w:rsidRPr="00AC6A82" w:rsidRDefault="00062DD2" w:rsidP="001A50AB">
      <w:pPr>
        <w:rPr>
          <w:rFonts w:ascii="Calibri" w:hAnsi="Calibri" w:cs="Calibri"/>
        </w:rPr>
      </w:pPr>
      <w:r w:rsidRPr="00AC6A82">
        <w:rPr>
          <w:rFonts w:ascii="Calibri" w:hAnsi="Calibri" w:cs="Calibri"/>
        </w:rPr>
        <w:t>- рискове, свързани с предлаганите услуги и</w:t>
      </w:r>
    </w:p>
    <w:p w:rsidR="00062DD2" w:rsidRPr="00AC6A82" w:rsidRDefault="00062DD2" w:rsidP="001A50AB">
      <w:pPr>
        <w:rPr>
          <w:rFonts w:ascii="Calibri" w:hAnsi="Calibri" w:cs="Calibri"/>
        </w:rPr>
      </w:pPr>
      <w:r w:rsidRPr="00AC6A82">
        <w:rPr>
          <w:rFonts w:ascii="Calibri" w:hAnsi="Calibri" w:cs="Calibri"/>
        </w:rPr>
        <w:t>- проектни рискове</w:t>
      </w:r>
    </w:p>
    <w:p w:rsidR="00062DD2" w:rsidRPr="00AC6A82" w:rsidRDefault="00062DD2" w:rsidP="001A50AB">
      <w:pPr>
        <w:rPr>
          <w:rFonts w:ascii="Calibri" w:hAnsi="Calibri" w:cs="Calibri"/>
        </w:rPr>
      </w:pPr>
    </w:p>
    <w:p w:rsidR="00062DD2" w:rsidRPr="00AC6A82" w:rsidRDefault="00062DD2" w:rsidP="001A50AB">
      <w:pPr>
        <w:rPr>
          <w:rFonts w:ascii="Calibri" w:hAnsi="Calibri" w:cs="Calibri"/>
        </w:rPr>
      </w:pPr>
      <w:r w:rsidRPr="00AC6A82">
        <w:rPr>
          <w:rFonts w:ascii="Calibri" w:hAnsi="Calibri" w:cs="Calibri"/>
        </w:rPr>
        <w:t xml:space="preserve">б) Рискове, свързани със системите; </w:t>
      </w:r>
    </w:p>
    <w:p w:rsidR="00062DD2" w:rsidRPr="00AC6A82" w:rsidRDefault="00062DD2" w:rsidP="001A50AB">
      <w:pPr>
        <w:rPr>
          <w:rFonts w:ascii="Calibri" w:hAnsi="Calibri" w:cs="Calibri"/>
        </w:rPr>
      </w:pPr>
      <w:r w:rsidRPr="00AC6A82">
        <w:rPr>
          <w:rFonts w:ascii="Calibri" w:hAnsi="Calibri" w:cs="Calibri"/>
        </w:rPr>
        <w:t>- пълна или частична недостоверност и пропуск в пълнотата на данните;</w:t>
      </w:r>
    </w:p>
    <w:p w:rsidR="00062DD2" w:rsidRPr="00AC6A82" w:rsidRDefault="00062DD2" w:rsidP="001A50AB">
      <w:pPr>
        <w:rPr>
          <w:rFonts w:ascii="Calibri" w:hAnsi="Calibri" w:cs="Calibri"/>
        </w:rPr>
      </w:pPr>
      <w:r w:rsidRPr="00AC6A82">
        <w:rPr>
          <w:rFonts w:ascii="Calibri" w:hAnsi="Calibri" w:cs="Calibri"/>
        </w:rPr>
        <w:t>- последващо проявление на проблемите с достоверността и пълнотата на данните;</w:t>
      </w:r>
    </w:p>
    <w:p w:rsidR="00062DD2" w:rsidRPr="00AC6A82" w:rsidRDefault="00062DD2" w:rsidP="001A50AB">
      <w:pPr>
        <w:rPr>
          <w:rFonts w:ascii="Calibri" w:hAnsi="Calibri" w:cs="Calibri"/>
        </w:rPr>
      </w:pPr>
      <w:r w:rsidRPr="00AC6A82">
        <w:rPr>
          <w:rFonts w:ascii="Calibri" w:hAnsi="Calibri" w:cs="Calibri"/>
        </w:rPr>
        <w:t>- липса на прецизност в методите на обработка</w:t>
      </w:r>
    </w:p>
    <w:p w:rsidR="00062DD2" w:rsidRPr="00AC6A82" w:rsidRDefault="00062DD2" w:rsidP="001A50AB">
      <w:pPr>
        <w:rPr>
          <w:rFonts w:ascii="Calibri" w:hAnsi="Calibri" w:cs="Calibri"/>
        </w:rPr>
      </w:pPr>
      <w:r w:rsidRPr="00AC6A82">
        <w:rPr>
          <w:rFonts w:ascii="Calibri" w:hAnsi="Calibri" w:cs="Calibri"/>
        </w:rPr>
        <w:t>- грешки на софтуерни продукти;</w:t>
      </w:r>
    </w:p>
    <w:p w:rsidR="00062DD2" w:rsidRPr="00AC6A82" w:rsidRDefault="00062DD2" w:rsidP="001A50AB">
      <w:pPr>
        <w:rPr>
          <w:rFonts w:ascii="Calibri" w:hAnsi="Calibri" w:cs="Calibri"/>
        </w:rPr>
      </w:pPr>
      <w:r w:rsidRPr="00AC6A82">
        <w:rPr>
          <w:rFonts w:ascii="Calibri" w:hAnsi="Calibri" w:cs="Calibri"/>
        </w:rPr>
        <w:t>- несъвършенство на използваните технологии;</w:t>
      </w:r>
    </w:p>
    <w:p w:rsidR="00062DD2" w:rsidRPr="00AC6A82" w:rsidRDefault="00062DD2" w:rsidP="001A50AB">
      <w:pPr>
        <w:rPr>
          <w:rFonts w:ascii="Calibri" w:hAnsi="Calibri" w:cs="Calibri"/>
        </w:rPr>
      </w:pPr>
      <w:r w:rsidRPr="00AC6A82">
        <w:rPr>
          <w:rFonts w:ascii="Calibri" w:hAnsi="Calibri" w:cs="Calibri"/>
        </w:rPr>
        <w:t>- срив на системата на регулирания пазар, информационните и комуникационни системи.</w:t>
      </w:r>
    </w:p>
    <w:p w:rsidR="00062DD2" w:rsidRPr="00AC6A82" w:rsidRDefault="00062DD2" w:rsidP="001A50AB">
      <w:pPr>
        <w:rPr>
          <w:rFonts w:ascii="Calibri" w:hAnsi="Calibri" w:cs="Calibri"/>
        </w:rPr>
      </w:pPr>
      <w:r w:rsidRPr="00AC6A82">
        <w:rPr>
          <w:rFonts w:ascii="Calibri" w:hAnsi="Calibri" w:cs="Calibri"/>
        </w:rPr>
        <w:t xml:space="preserve">в) Рискове, свързани с персонала; </w:t>
      </w:r>
    </w:p>
    <w:p w:rsidR="00062DD2" w:rsidRPr="00AC6A82" w:rsidRDefault="00062DD2" w:rsidP="001A50AB">
      <w:pPr>
        <w:rPr>
          <w:rFonts w:ascii="Calibri" w:hAnsi="Calibri" w:cs="Calibri"/>
        </w:rPr>
      </w:pPr>
      <w:r w:rsidRPr="00AC6A82">
        <w:rPr>
          <w:rFonts w:ascii="Calibri" w:hAnsi="Calibri" w:cs="Calibri"/>
        </w:rPr>
        <w:t xml:space="preserve">- напускане на ключови служители; </w:t>
      </w:r>
    </w:p>
    <w:p w:rsidR="00062DD2" w:rsidRPr="00AC6A82" w:rsidRDefault="00062DD2" w:rsidP="001A50AB">
      <w:pPr>
        <w:rPr>
          <w:rFonts w:ascii="Calibri" w:hAnsi="Calibri" w:cs="Calibri"/>
        </w:rPr>
      </w:pPr>
      <w:r w:rsidRPr="00AC6A82">
        <w:rPr>
          <w:rFonts w:ascii="Calibri" w:hAnsi="Calibri" w:cs="Calibri"/>
        </w:rPr>
        <w:t xml:space="preserve">- недобросъвестно поведение от страна на служителите на Борсата; </w:t>
      </w:r>
    </w:p>
    <w:p w:rsidR="00062DD2" w:rsidRPr="00AC6A82" w:rsidRDefault="00062DD2" w:rsidP="001A50AB">
      <w:pPr>
        <w:rPr>
          <w:rFonts w:ascii="Calibri" w:hAnsi="Calibri" w:cs="Calibri"/>
        </w:rPr>
      </w:pPr>
      <w:r w:rsidRPr="00AC6A82">
        <w:rPr>
          <w:rFonts w:ascii="Calibri" w:hAnsi="Calibri" w:cs="Calibri"/>
        </w:rPr>
        <w:t xml:space="preserve">- недостатъчна квалификация и липса на подготовка на лицата, работещи по договор за Борсата; </w:t>
      </w:r>
    </w:p>
    <w:p w:rsidR="00062DD2" w:rsidRPr="00AC6A82" w:rsidRDefault="00062DD2" w:rsidP="001A50AB">
      <w:pPr>
        <w:rPr>
          <w:rFonts w:ascii="Calibri" w:hAnsi="Calibri" w:cs="Calibri"/>
        </w:rPr>
      </w:pPr>
      <w:r w:rsidRPr="00AC6A82">
        <w:rPr>
          <w:rFonts w:ascii="Calibri" w:hAnsi="Calibri" w:cs="Calibri"/>
        </w:rPr>
        <w:t xml:space="preserve">- неблагоприятни изменения в трудовото законодателство; </w:t>
      </w:r>
    </w:p>
    <w:p w:rsidR="00062DD2" w:rsidRPr="00AC6A82" w:rsidRDefault="00062DD2" w:rsidP="001A50AB">
      <w:pPr>
        <w:rPr>
          <w:rFonts w:ascii="Calibri" w:hAnsi="Calibri" w:cs="Calibri"/>
        </w:rPr>
      </w:pPr>
      <w:r w:rsidRPr="00AC6A82">
        <w:rPr>
          <w:rFonts w:ascii="Calibri" w:hAnsi="Calibri" w:cs="Calibri"/>
        </w:rPr>
        <w:t xml:space="preserve">- неосигурена безопасност на трудовата среда; </w:t>
      </w:r>
    </w:p>
    <w:p w:rsidR="00062DD2" w:rsidRPr="00AC6A82" w:rsidRDefault="00062DD2" w:rsidP="001A50AB">
      <w:pPr>
        <w:rPr>
          <w:rFonts w:ascii="Calibri" w:hAnsi="Calibri" w:cs="Calibri"/>
        </w:rPr>
      </w:pPr>
      <w:r w:rsidRPr="00AC6A82">
        <w:rPr>
          <w:rFonts w:ascii="Calibri" w:hAnsi="Calibri" w:cs="Calibri"/>
        </w:rPr>
        <w:t xml:space="preserve">- недостатъчна или неадекватна мотивация на служителите; </w:t>
      </w:r>
    </w:p>
    <w:p w:rsidR="00B42AAA" w:rsidRPr="00AC6A82" w:rsidRDefault="00062DD2" w:rsidP="001A50AB">
      <w:pPr>
        <w:rPr>
          <w:rFonts w:ascii="Calibri" w:hAnsi="Calibri" w:cs="Calibri"/>
        </w:rPr>
      </w:pPr>
      <w:r w:rsidRPr="00AC6A82">
        <w:rPr>
          <w:rFonts w:ascii="Calibri" w:hAnsi="Calibri" w:cs="Calibri"/>
        </w:rPr>
        <w:t xml:space="preserve">- честа смяна на заетите служители, водеща до невъзможност за адекватно изпълнение на функциите. </w:t>
      </w:r>
    </w:p>
    <w:p w:rsidR="00062DD2" w:rsidRPr="00AC6A82" w:rsidRDefault="00062DD2" w:rsidP="001A50AB">
      <w:pPr>
        <w:rPr>
          <w:rFonts w:ascii="Calibri" w:hAnsi="Calibri" w:cs="Calibri"/>
        </w:rPr>
      </w:pPr>
      <w:r w:rsidRPr="00AC6A82">
        <w:rPr>
          <w:rFonts w:ascii="Calibri" w:hAnsi="Calibri" w:cs="Calibri"/>
        </w:rPr>
        <w:t xml:space="preserve">2. </w:t>
      </w:r>
      <w:r w:rsidRPr="00AC6A82">
        <w:rPr>
          <w:rFonts w:ascii="Calibri" w:hAnsi="Calibri" w:cs="Calibri"/>
          <w:b/>
        </w:rPr>
        <w:t>Външни</w:t>
      </w:r>
      <w:r w:rsidRPr="00AC6A82">
        <w:rPr>
          <w:rFonts w:ascii="Calibri" w:hAnsi="Calibri" w:cs="Calibri"/>
        </w:rPr>
        <w:t xml:space="preserve"> - свързани с макроикономически, политически и други фактори, които оказват и/или могат да окажат влияние върху дейността на Борсата, например:</w:t>
      </w:r>
    </w:p>
    <w:p w:rsidR="00062DD2" w:rsidRPr="00AC6A82" w:rsidRDefault="00062DD2" w:rsidP="001A50AB">
      <w:pPr>
        <w:rPr>
          <w:rFonts w:ascii="Calibri" w:hAnsi="Calibri" w:cs="Calibri"/>
        </w:rPr>
      </w:pPr>
      <w:r w:rsidRPr="00AC6A82">
        <w:rPr>
          <w:rFonts w:ascii="Calibri" w:hAnsi="Calibri" w:cs="Calibri"/>
        </w:rPr>
        <w:t>- Неблагоприятни промени в нормативната уредба</w:t>
      </w:r>
    </w:p>
    <w:p w:rsidR="00062DD2" w:rsidRPr="00AC6A82" w:rsidRDefault="00062DD2" w:rsidP="001A50AB">
      <w:pPr>
        <w:rPr>
          <w:rFonts w:ascii="Calibri" w:hAnsi="Calibri" w:cs="Calibri"/>
        </w:rPr>
      </w:pPr>
      <w:r w:rsidRPr="00AC6A82">
        <w:rPr>
          <w:rFonts w:ascii="Calibri" w:hAnsi="Calibri" w:cs="Calibri"/>
        </w:rPr>
        <w:t>- Рискове, свързани с прехвърлянето на важни дейности на трета страна – изпълнител</w:t>
      </w:r>
    </w:p>
    <w:p w:rsidR="00062DD2" w:rsidRPr="00AC6A82" w:rsidRDefault="00062DD2" w:rsidP="001A50AB">
      <w:pPr>
        <w:rPr>
          <w:rFonts w:ascii="Calibri" w:hAnsi="Calibri" w:cs="Calibri"/>
        </w:rPr>
      </w:pPr>
      <w:r w:rsidRPr="00AC6A82">
        <w:rPr>
          <w:rFonts w:ascii="Calibri" w:hAnsi="Calibri" w:cs="Calibri"/>
        </w:rPr>
        <w:t>- Политически изменения</w:t>
      </w:r>
    </w:p>
    <w:p w:rsidR="00062DD2" w:rsidRPr="00AC6A82" w:rsidRDefault="00062DD2" w:rsidP="001A50AB">
      <w:pPr>
        <w:rPr>
          <w:rFonts w:ascii="Calibri" w:hAnsi="Calibri" w:cs="Calibri"/>
        </w:rPr>
      </w:pPr>
      <w:r w:rsidRPr="00AC6A82">
        <w:rPr>
          <w:rFonts w:ascii="Calibri" w:hAnsi="Calibri" w:cs="Calibri"/>
        </w:rPr>
        <w:t>- Изменения в данъчната уредба</w:t>
      </w:r>
    </w:p>
    <w:p w:rsidR="00062DD2" w:rsidRPr="00AC6A82" w:rsidRDefault="00062DD2" w:rsidP="001A50AB">
      <w:pPr>
        <w:rPr>
          <w:rFonts w:ascii="Calibri" w:hAnsi="Calibri" w:cs="Calibri"/>
        </w:rPr>
      </w:pPr>
      <w:r w:rsidRPr="00AC6A82">
        <w:rPr>
          <w:rFonts w:ascii="Calibri" w:hAnsi="Calibri" w:cs="Calibri"/>
        </w:rPr>
        <w:t>- Рискове от физическо вмешателство.</w:t>
      </w:r>
    </w:p>
    <w:p w:rsidR="00062DD2" w:rsidRPr="00AC6A82" w:rsidRDefault="00062DD2" w:rsidP="001A50AB">
      <w:pPr>
        <w:rPr>
          <w:rFonts w:ascii="Calibri" w:hAnsi="Calibri" w:cs="Calibri"/>
        </w:rPr>
      </w:pPr>
    </w:p>
    <w:p w:rsidR="00062DD2" w:rsidRPr="00AC6A82" w:rsidRDefault="00062DD2" w:rsidP="001A50AB">
      <w:pPr>
        <w:rPr>
          <w:rFonts w:ascii="Calibri" w:hAnsi="Calibri" w:cs="Calibri"/>
        </w:rPr>
      </w:pPr>
      <w:r w:rsidRPr="00AC6A82">
        <w:rPr>
          <w:rFonts w:ascii="Calibri" w:hAnsi="Calibri" w:cs="Calibri"/>
        </w:rPr>
        <w:t xml:space="preserve">3. </w:t>
      </w:r>
      <w:r w:rsidRPr="00AC6A82">
        <w:rPr>
          <w:rFonts w:ascii="Calibri" w:hAnsi="Calibri" w:cs="Calibri"/>
          <w:b/>
        </w:rPr>
        <w:t xml:space="preserve">Други рискове, свързани с дейността на </w:t>
      </w:r>
      <w:r w:rsidR="00C4001C" w:rsidRPr="00AC6A82">
        <w:rPr>
          <w:rFonts w:ascii="Calibri" w:hAnsi="Calibri" w:cs="Calibri"/>
          <w:b/>
        </w:rPr>
        <w:t xml:space="preserve">Българска фондова борса </w:t>
      </w:r>
      <w:r w:rsidRPr="00AC6A82">
        <w:rPr>
          <w:rFonts w:ascii="Calibri" w:hAnsi="Calibri" w:cs="Calibri"/>
        </w:rPr>
        <w:t>– други рискове, свързани с предлаганите услуги, неидентифицирани в правилата за управление на риска на БФБ</w:t>
      </w:r>
      <w:r w:rsidR="00150F52" w:rsidRPr="00AC6A82">
        <w:rPr>
          <w:rFonts w:ascii="Calibri" w:hAnsi="Calibri" w:cs="Calibri"/>
        </w:rPr>
        <w:t>.</w:t>
      </w:r>
    </w:p>
    <w:p w:rsidR="00062DD2" w:rsidRPr="00AC6A82" w:rsidRDefault="00062DD2" w:rsidP="001A50AB">
      <w:pPr>
        <w:rPr>
          <w:rFonts w:ascii="Calibri" w:hAnsi="Calibri" w:cs="Calibri"/>
        </w:rPr>
      </w:pPr>
      <w:r w:rsidRPr="00AC6A82">
        <w:rPr>
          <w:rFonts w:ascii="Calibri" w:hAnsi="Calibri" w:cs="Calibri"/>
        </w:rPr>
        <w:t>- Пазарен риск</w:t>
      </w:r>
    </w:p>
    <w:p w:rsidR="00062DD2" w:rsidRPr="00AC6A82" w:rsidRDefault="00062DD2" w:rsidP="001A50AB">
      <w:pPr>
        <w:rPr>
          <w:rFonts w:ascii="Calibri" w:hAnsi="Calibri" w:cs="Calibri"/>
        </w:rPr>
      </w:pPr>
      <w:r w:rsidRPr="00AC6A82">
        <w:rPr>
          <w:rFonts w:ascii="Calibri" w:hAnsi="Calibri" w:cs="Calibri"/>
        </w:rPr>
        <w:t>- Ценови риск</w:t>
      </w:r>
    </w:p>
    <w:p w:rsidR="00062DD2" w:rsidRPr="00AC6A82" w:rsidRDefault="00062DD2" w:rsidP="001A50AB">
      <w:pPr>
        <w:rPr>
          <w:rFonts w:ascii="Calibri" w:hAnsi="Calibri" w:cs="Calibri"/>
        </w:rPr>
      </w:pPr>
      <w:r w:rsidRPr="00AC6A82">
        <w:rPr>
          <w:rFonts w:ascii="Calibri" w:hAnsi="Calibri" w:cs="Calibri"/>
        </w:rPr>
        <w:t>- Валутен риск</w:t>
      </w:r>
    </w:p>
    <w:p w:rsidR="00062DD2" w:rsidRPr="00AC6A82" w:rsidRDefault="00062DD2" w:rsidP="001A50AB">
      <w:pPr>
        <w:rPr>
          <w:rFonts w:ascii="Calibri" w:hAnsi="Calibri" w:cs="Calibri"/>
        </w:rPr>
      </w:pPr>
      <w:r w:rsidRPr="00AC6A82">
        <w:rPr>
          <w:rFonts w:ascii="Calibri" w:hAnsi="Calibri" w:cs="Calibri"/>
        </w:rPr>
        <w:t xml:space="preserve">- Лихвен риск </w:t>
      </w:r>
    </w:p>
    <w:p w:rsidR="00062DD2" w:rsidRPr="00AC6A82" w:rsidRDefault="00062DD2" w:rsidP="001A50AB">
      <w:pPr>
        <w:rPr>
          <w:rFonts w:ascii="Calibri" w:hAnsi="Calibri" w:cs="Calibri"/>
        </w:rPr>
      </w:pPr>
      <w:r w:rsidRPr="00AC6A82">
        <w:rPr>
          <w:rFonts w:ascii="Calibri" w:hAnsi="Calibri" w:cs="Calibri"/>
        </w:rPr>
        <w:t>- Ликвиден риск</w:t>
      </w:r>
    </w:p>
    <w:p w:rsidR="00062DD2" w:rsidRPr="00AC6A82" w:rsidRDefault="00062DD2" w:rsidP="001A50AB">
      <w:pPr>
        <w:rPr>
          <w:rFonts w:ascii="Calibri" w:hAnsi="Calibri" w:cs="Calibri"/>
        </w:rPr>
      </w:pPr>
      <w:r w:rsidRPr="00AC6A82">
        <w:rPr>
          <w:rFonts w:ascii="Calibri" w:hAnsi="Calibri" w:cs="Calibri"/>
        </w:rPr>
        <w:t xml:space="preserve">4. </w:t>
      </w:r>
      <w:r w:rsidRPr="00AC6A82">
        <w:rPr>
          <w:rFonts w:ascii="Calibri" w:hAnsi="Calibri" w:cs="Calibri"/>
          <w:b/>
        </w:rPr>
        <w:t>Общи (систематични) рискове</w:t>
      </w:r>
      <w:r w:rsidRPr="00AC6A82">
        <w:rPr>
          <w:rFonts w:ascii="Calibri" w:hAnsi="Calibri" w:cs="Calibri"/>
        </w:rPr>
        <w:t xml:space="preserve"> - Общите рискове произтичат от възможни промени в цялостната икономическа система и по-конкретно, промяна на условията на финансовите пазари. Те не могат да се диверсифицират, тъй като на тях са изложени всички стопански субекти в страната. </w:t>
      </w:r>
    </w:p>
    <w:p w:rsidR="00062DD2" w:rsidRPr="00AC6A82" w:rsidRDefault="00062DD2" w:rsidP="001A50AB">
      <w:pPr>
        <w:rPr>
          <w:rFonts w:ascii="Calibri" w:hAnsi="Calibri" w:cs="Calibri"/>
        </w:rPr>
      </w:pPr>
      <w:r w:rsidRPr="00AC6A82">
        <w:rPr>
          <w:rFonts w:ascii="Calibri" w:hAnsi="Calibri" w:cs="Calibri"/>
        </w:rPr>
        <w:t>- Кредитен риск</w:t>
      </w:r>
    </w:p>
    <w:p w:rsidR="00062DD2" w:rsidRPr="00AC6A82" w:rsidRDefault="00062DD2" w:rsidP="001A50AB">
      <w:pPr>
        <w:rPr>
          <w:rFonts w:ascii="Calibri" w:hAnsi="Calibri" w:cs="Calibri"/>
        </w:rPr>
      </w:pPr>
      <w:r w:rsidRPr="00AC6A82">
        <w:rPr>
          <w:rFonts w:ascii="Calibri" w:hAnsi="Calibri" w:cs="Calibri"/>
        </w:rPr>
        <w:t>- Икономически растеж и външна задлъжнялост</w:t>
      </w:r>
    </w:p>
    <w:p w:rsidR="00062DD2" w:rsidRPr="00AC6A82" w:rsidRDefault="00062DD2" w:rsidP="001A50AB">
      <w:pPr>
        <w:rPr>
          <w:rFonts w:ascii="Calibri" w:hAnsi="Calibri" w:cs="Calibri"/>
        </w:rPr>
      </w:pPr>
      <w:r w:rsidRPr="00AC6A82">
        <w:rPr>
          <w:rFonts w:ascii="Calibri" w:hAnsi="Calibri" w:cs="Calibri"/>
        </w:rPr>
        <w:t>- Инфлационен риск</w:t>
      </w:r>
    </w:p>
    <w:p w:rsidR="00062DD2" w:rsidRPr="00AC6A82" w:rsidRDefault="00062DD2" w:rsidP="001A50AB">
      <w:pPr>
        <w:rPr>
          <w:rFonts w:ascii="Calibri" w:hAnsi="Calibri" w:cs="Calibri"/>
        </w:rPr>
      </w:pPr>
      <w:r w:rsidRPr="00AC6A82">
        <w:rPr>
          <w:rFonts w:ascii="Calibri" w:hAnsi="Calibri" w:cs="Calibri"/>
        </w:rPr>
        <w:t>- Безработица</w:t>
      </w:r>
    </w:p>
    <w:p w:rsidR="00062DD2" w:rsidRPr="00AC6A82" w:rsidRDefault="00062DD2" w:rsidP="001A50AB">
      <w:pPr>
        <w:rPr>
          <w:rFonts w:ascii="Calibri" w:hAnsi="Calibri" w:cs="Calibri"/>
        </w:rPr>
      </w:pPr>
      <w:r w:rsidRPr="00AC6A82">
        <w:rPr>
          <w:rFonts w:ascii="Calibri" w:hAnsi="Calibri" w:cs="Calibri"/>
        </w:rPr>
        <w:t>- Валутен риск и валутен борд</w:t>
      </w:r>
    </w:p>
    <w:p w:rsidR="00062DD2" w:rsidRPr="00AC6A82" w:rsidRDefault="00062DD2" w:rsidP="001A50AB">
      <w:pPr>
        <w:rPr>
          <w:rFonts w:ascii="Calibri" w:hAnsi="Calibri" w:cs="Calibri"/>
        </w:rPr>
      </w:pPr>
      <w:r w:rsidRPr="00AC6A82">
        <w:rPr>
          <w:rFonts w:ascii="Calibri" w:hAnsi="Calibri" w:cs="Calibri"/>
        </w:rPr>
        <w:t>- Лихвен риск</w:t>
      </w:r>
    </w:p>
    <w:p w:rsidR="00062DD2" w:rsidRPr="00AC6A82" w:rsidRDefault="00062DD2" w:rsidP="001A50AB">
      <w:pPr>
        <w:rPr>
          <w:rFonts w:ascii="Calibri" w:hAnsi="Calibri" w:cs="Calibri"/>
        </w:rPr>
      </w:pPr>
      <w:r w:rsidRPr="00AC6A82">
        <w:rPr>
          <w:rFonts w:ascii="Calibri" w:hAnsi="Calibri" w:cs="Calibri"/>
        </w:rPr>
        <w:t>- Данъчно облагане</w:t>
      </w:r>
    </w:p>
    <w:p w:rsidR="00062DD2" w:rsidRPr="00AC6A82" w:rsidRDefault="00062DD2" w:rsidP="001A50AB">
      <w:pPr>
        <w:rPr>
          <w:rFonts w:ascii="Calibri" w:hAnsi="Calibri" w:cs="Calibri"/>
        </w:rPr>
      </w:pPr>
      <w:r w:rsidRPr="00AC6A82">
        <w:rPr>
          <w:rFonts w:ascii="Calibri" w:hAnsi="Calibri" w:cs="Calibri"/>
        </w:rPr>
        <w:t>- Други системни рискове</w:t>
      </w:r>
    </w:p>
    <w:p w:rsidR="00062DD2" w:rsidRPr="00AC6A82" w:rsidRDefault="00062DD2" w:rsidP="001A50AB">
      <w:pPr>
        <w:rPr>
          <w:rFonts w:ascii="Calibri" w:hAnsi="Calibri" w:cs="Calibri"/>
        </w:rPr>
      </w:pPr>
    </w:p>
    <w:p w:rsidR="00B42AAA" w:rsidRPr="00AC6A82" w:rsidRDefault="00062DD2" w:rsidP="001A50AB">
      <w:pPr>
        <w:rPr>
          <w:rFonts w:ascii="Calibri" w:hAnsi="Calibri" w:cs="Calibri"/>
        </w:rPr>
      </w:pPr>
      <w:r w:rsidRPr="00AC6A82">
        <w:rPr>
          <w:rFonts w:ascii="Calibri" w:hAnsi="Calibri" w:cs="Calibri"/>
        </w:rPr>
        <w:t>Подробно описание на рисковете, характерни за дейността на</w:t>
      </w:r>
      <w:r w:rsidR="00636F5A" w:rsidRPr="00AC6A82">
        <w:rPr>
          <w:rFonts w:ascii="Calibri" w:hAnsi="Calibri" w:cs="Calibri"/>
        </w:rPr>
        <w:t>Българска фондова бор</w:t>
      </w:r>
      <w:r w:rsidR="00C4001C" w:rsidRPr="00AC6A82">
        <w:rPr>
          <w:rFonts w:ascii="Calibri" w:hAnsi="Calibri" w:cs="Calibri"/>
        </w:rPr>
        <w:t>са</w:t>
      </w:r>
      <w:r w:rsidRPr="00AC6A82">
        <w:rPr>
          <w:rFonts w:ascii="Calibri" w:hAnsi="Calibri" w:cs="Calibri"/>
        </w:rPr>
        <w:t>, е представено в т. 4 „Рискови фактори” от регистрационния документ (стр. 12 – 24), пр</w:t>
      </w:r>
      <w:r w:rsidR="00165B8B" w:rsidRPr="00AC6A82">
        <w:rPr>
          <w:rFonts w:ascii="Calibri" w:hAnsi="Calibri" w:cs="Calibri"/>
        </w:rPr>
        <w:t>едставляващ Част І от одобрения</w:t>
      </w:r>
      <w:r w:rsidRPr="00AC6A82">
        <w:rPr>
          <w:rFonts w:ascii="Calibri" w:hAnsi="Calibri" w:cs="Calibri"/>
        </w:rPr>
        <w:t xml:space="preserve"> от </w:t>
      </w:r>
      <w:r w:rsidR="00150F52" w:rsidRPr="00AC6A82">
        <w:rPr>
          <w:rFonts w:ascii="Calibri" w:hAnsi="Calibri" w:cs="Calibri"/>
        </w:rPr>
        <w:t>Комисията за</w:t>
      </w:r>
      <w:r w:rsidRPr="00AC6A82">
        <w:rPr>
          <w:rFonts w:ascii="Calibri" w:hAnsi="Calibri" w:cs="Calibri"/>
        </w:rPr>
        <w:t xml:space="preserve"> финансов надзор проспект с решение № 816 – ПД/15.12.2010 г. за допускане на акциите на БФБ до търговия на регулиран пазар. Проспектът може да бъде намерен на интернет страницата на </w:t>
      </w:r>
      <w:r w:rsidR="00C4001C" w:rsidRPr="00AC6A82">
        <w:rPr>
          <w:rFonts w:ascii="Calibri" w:hAnsi="Calibri" w:cs="Calibri"/>
        </w:rPr>
        <w:t xml:space="preserve">Българска фондова борса </w:t>
      </w:r>
      <w:r w:rsidR="00E6128C">
        <w:rPr>
          <w:rFonts w:ascii="Calibri" w:hAnsi="Calibri" w:cs="Calibri"/>
        </w:rPr>
        <w:t xml:space="preserve">в секция </w:t>
      </w:r>
      <w:r w:rsidR="00E6128C" w:rsidRPr="00E6128C">
        <w:rPr>
          <w:rFonts w:ascii="Calibri" w:hAnsi="Calibri" w:cs="Calibri"/>
        </w:rPr>
        <w:t>Връзки с инвеститорите -&gt; Права на акционерите</w:t>
      </w:r>
      <w:r w:rsidRPr="00AC6A82">
        <w:rPr>
          <w:rFonts w:ascii="Calibri" w:hAnsi="Calibri" w:cs="Calibri"/>
        </w:rPr>
        <w:t>.</w:t>
      </w:r>
    </w:p>
    <w:p w:rsidR="00B42AAA" w:rsidRPr="00AC6A82" w:rsidRDefault="00B42AAA" w:rsidP="001A50AB">
      <w:pPr>
        <w:rPr>
          <w:rFonts w:ascii="Calibri" w:hAnsi="Calibri" w:cs="Calibri"/>
        </w:rPr>
      </w:pPr>
      <w:r w:rsidRPr="00AC6A82">
        <w:rPr>
          <w:rFonts w:ascii="Calibri" w:hAnsi="Calibri" w:cs="Calibri"/>
        </w:rPr>
        <w:br w:type="page"/>
      </w:r>
    </w:p>
    <w:p w:rsidR="008C47C4" w:rsidRPr="00AC6A82" w:rsidRDefault="008C47C4" w:rsidP="001A50AB">
      <w:pPr>
        <w:pStyle w:val="Mainnumbers"/>
        <w:rPr>
          <w:rFonts w:ascii="Calibri" w:hAnsi="Calibri" w:cs="Calibri"/>
        </w:rPr>
      </w:pPr>
      <w:bookmarkStart w:id="64" w:name="_Toc7535442"/>
      <w:r w:rsidRPr="00AC6A82">
        <w:rPr>
          <w:rFonts w:ascii="Calibri" w:hAnsi="Calibri" w:cs="Calibri"/>
        </w:rPr>
        <w:t xml:space="preserve">Акционерна структура на </w:t>
      </w:r>
      <w:bookmarkEnd w:id="61"/>
      <w:r w:rsidR="00636F5A" w:rsidRPr="00AC6A82">
        <w:rPr>
          <w:rFonts w:ascii="Calibri" w:hAnsi="Calibri" w:cs="Calibri"/>
        </w:rPr>
        <w:t>Българска фондова борса</w:t>
      </w:r>
      <w:bookmarkEnd w:id="64"/>
    </w:p>
    <w:p w:rsidR="009272B2" w:rsidRPr="00AC6A82" w:rsidRDefault="009272B2" w:rsidP="001A50AB">
      <w:pPr>
        <w:rPr>
          <w:rFonts w:ascii="Calibri" w:hAnsi="Calibri" w:cs="Calibri"/>
        </w:rPr>
      </w:pPr>
      <w:r w:rsidRPr="00AC6A82">
        <w:rPr>
          <w:rFonts w:ascii="Calibri" w:hAnsi="Calibri" w:cs="Calibri"/>
        </w:rPr>
        <w:t xml:space="preserve">Съгласно направена справка, към </w:t>
      </w:r>
      <w:r w:rsidR="00B828AE" w:rsidRPr="00AC6A82">
        <w:rPr>
          <w:rFonts w:ascii="Calibri" w:hAnsi="Calibri" w:cs="Calibri"/>
        </w:rPr>
        <w:t>3</w:t>
      </w:r>
      <w:r w:rsidR="004A1D59" w:rsidRPr="00AC6A82">
        <w:rPr>
          <w:rFonts w:ascii="Calibri" w:hAnsi="Calibri" w:cs="Calibri"/>
        </w:rPr>
        <w:t>1</w:t>
      </w:r>
      <w:r w:rsidR="009F4F03" w:rsidRPr="00AC6A82">
        <w:rPr>
          <w:rFonts w:ascii="Calibri" w:hAnsi="Calibri" w:cs="Calibri"/>
        </w:rPr>
        <w:t xml:space="preserve"> март</w:t>
      </w:r>
      <w:r w:rsidR="004A1D59" w:rsidRPr="00AC6A82">
        <w:rPr>
          <w:rFonts w:ascii="Calibri" w:hAnsi="Calibri" w:cs="Calibri"/>
        </w:rPr>
        <w:t xml:space="preserve"> </w:t>
      </w:r>
      <w:r w:rsidRPr="00AC6A82">
        <w:rPr>
          <w:rFonts w:ascii="Calibri" w:hAnsi="Calibri" w:cs="Calibri"/>
        </w:rPr>
        <w:t>201</w:t>
      </w:r>
      <w:r w:rsidR="009F4F03" w:rsidRPr="00AC6A82">
        <w:rPr>
          <w:rFonts w:ascii="Calibri" w:hAnsi="Calibri" w:cs="Calibri"/>
        </w:rPr>
        <w:t>9</w:t>
      </w:r>
      <w:r w:rsidRPr="00AC6A82">
        <w:rPr>
          <w:rFonts w:ascii="Calibri" w:hAnsi="Calibri" w:cs="Calibri"/>
        </w:rPr>
        <w:t xml:space="preserve"> г. акционерният състав на Борсата е концентриран в четири основни вида лица, както следва:</w:t>
      </w:r>
    </w:p>
    <w:p w:rsidR="004A1D59" w:rsidRPr="00AC6A82" w:rsidRDefault="0064218C" w:rsidP="004A770C">
      <w:pPr>
        <w:pStyle w:val="a1"/>
        <w:spacing w:before="240"/>
        <w:jc w:val="left"/>
        <w:rPr>
          <w:rFonts w:ascii="Calibri" w:hAnsi="Calibri" w:cs="Calibri"/>
          <w:b/>
          <w:i w:val="0"/>
        </w:rPr>
      </w:pPr>
      <w:r w:rsidRPr="00AC6A82">
        <w:rPr>
          <w:rFonts w:ascii="Calibri" w:hAnsi="Calibri" w:cs="Calibri"/>
          <w:b/>
          <w:i w:val="0"/>
        </w:rPr>
        <w:t xml:space="preserve">Таблица 12. Акционерна структура към </w:t>
      </w:r>
      <w:r w:rsidR="004A1D59" w:rsidRPr="00AC6A82">
        <w:rPr>
          <w:rFonts w:ascii="Calibri" w:hAnsi="Calibri" w:cs="Calibri"/>
          <w:b/>
          <w:i w:val="0"/>
        </w:rPr>
        <w:t>31</w:t>
      </w:r>
      <w:r w:rsidRPr="00AC6A82">
        <w:rPr>
          <w:rFonts w:ascii="Calibri" w:hAnsi="Calibri" w:cs="Calibri"/>
          <w:b/>
          <w:i w:val="0"/>
        </w:rPr>
        <w:t>.</w:t>
      </w:r>
      <w:r w:rsidR="009F4F03" w:rsidRPr="00AC6A82">
        <w:rPr>
          <w:rFonts w:ascii="Calibri" w:hAnsi="Calibri" w:cs="Calibri"/>
          <w:b/>
          <w:i w:val="0"/>
        </w:rPr>
        <w:t>03</w:t>
      </w:r>
      <w:r w:rsidRPr="00AC6A82">
        <w:rPr>
          <w:rFonts w:ascii="Calibri" w:hAnsi="Calibri" w:cs="Calibri"/>
          <w:b/>
          <w:i w:val="0"/>
        </w:rPr>
        <w:t>.201</w:t>
      </w:r>
      <w:r w:rsidR="009F4F03" w:rsidRPr="00AC6A82">
        <w:rPr>
          <w:rFonts w:ascii="Calibri" w:hAnsi="Calibri" w:cs="Calibri"/>
          <w:b/>
          <w:i w:val="0"/>
        </w:rPr>
        <w:t>9</w:t>
      </w:r>
      <w:r w:rsidR="00AD5F5B" w:rsidRPr="00AC6A82">
        <w:rPr>
          <w:rFonts w:ascii="Calibri" w:hAnsi="Calibri" w:cs="Calibri"/>
          <w:b/>
          <w:i w:val="0"/>
        </w:rPr>
        <w:t xml:space="preserve"> г.</w:t>
      </w:r>
    </w:p>
    <w:tbl>
      <w:tblPr>
        <w:tblW w:w="73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60"/>
        <w:gridCol w:w="1780"/>
        <w:gridCol w:w="940"/>
      </w:tblGrid>
      <w:tr w:rsidR="004A1D59" w:rsidRPr="001E5CCD" w:rsidTr="001E5CCD">
        <w:trPr>
          <w:trHeight w:val="294"/>
          <w:jc w:val="center"/>
        </w:trPr>
        <w:tc>
          <w:tcPr>
            <w:tcW w:w="4660" w:type="dxa"/>
            <w:shd w:val="clear" w:color="000000" w:fill="538DD5"/>
            <w:noWrap/>
            <w:tcMar>
              <w:left w:w="57" w:type="dxa"/>
              <w:right w:w="28" w:type="dxa"/>
            </w:tcMar>
            <w:hideMark/>
          </w:tcPr>
          <w:p w:rsidR="004A1D59" w:rsidRPr="001E5CCD" w:rsidRDefault="004A1D59" w:rsidP="001E5CCD">
            <w:pPr>
              <w:widowControl/>
              <w:spacing w:line="240" w:lineRule="auto"/>
              <w:jc w:val="center"/>
              <w:rPr>
                <w:rFonts w:ascii="Calibri" w:hAnsi="Calibri" w:cs="Calibri"/>
                <w:b/>
                <w:bCs/>
                <w:color w:val="FFFFFF"/>
                <w:szCs w:val="22"/>
                <w:lang w:val="en-US" w:eastAsia="en-US"/>
              </w:rPr>
            </w:pPr>
            <w:r w:rsidRPr="001E5CCD">
              <w:rPr>
                <w:rFonts w:ascii="Calibri" w:hAnsi="Calibri" w:cs="Calibri"/>
                <w:b/>
                <w:bCs/>
                <w:color w:val="FFFFFF"/>
                <w:szCs w:val="22"/>
                <w:lang w:eastAsia="en-US"/>
              </w:rPr>
              <w:t>Вид</w:t>
            </w:r>
          </w:p>
        </w:tc>
        <w:tc>
          <w:tcPr>
            <w:tcW w:w="1780" w:type="dxa"/>
            <w:shd w:val="clear" w:color="000000" w:fill="538DD5"/>
            <w:noWrap/>
            <w:tcMar>
              <w:left w:w="57" w:type="dxa"/>
              <w:right w:w="28" w:type="dxa"/>
            </w:tcMar>
            <w:hideMark/>
          </w:tcPr>
          <w:p w:rsidR="004A1D59" w:rsidRPr="001E5CCD" w:rsidRDefault="004A1D59" w:rsidP="001E5CCD">
            <w:pPr>
              <w:widowControl/>
              <w:spacing w:line="240" w:lineRule="auto"/>
              <w:jc w:val="center"/>
              <w:rPr>
                <w:rFonts w:ascii="Calibri" w:hAnsi="Calibri" w:cs="Calibri"/>
                <w:b/>
                <w:bCs/>
                <w:color w:val="FFFFFF"/>
                <w:szCs w:val="22"/>
                <w:lang w:eastAsia="en-US"/>
              </w:rPr>
            </w:pPr>
            <w:r w:rsidRPr="001E5CCD">
              <w:rPr>
                <w:rFonts w:ascii="Calibri" w:hAnsi="Calibri" w:cs="Calibri"/>
                <w:b/>
                <w:bCs/>
                <w:color w:val="FFFFFF"/>
                <w:szCs w:val="22"/>
                <w:lang w:eastAsia="en-US"/>
              </w:rPr>
              <w:t>Брой акции</w:t>
            </w:r>
          </w:p>
        </w:tc>
        <w:tc>
          <w:tcPr>
            <w:tcW w:w="940" w:type="dxa"/>
            <w:shd w:val="clear" w:color="000000" w:fill="538DD5"/>
            <w:noWrap/>
            <w:tcMar>
              <w:left w:w="57" w:type="dxa"/>
              <w:right w:w="28" w:type="dxa"/>
            </w:tcMar>
            <w:hideMark/>
          </w:tcPr>
          <w:p w:rsidR="004A1D59" w:rsidRPr="001E5CCD" w:rsidRDefault="004A1D59" w:rsidP="001E5CCD">
            <w:pPr>
              <w:widowControl/>
              <w:spacing w:line="240" w:lineRule="auto"/>
              <w:jc w:val="center"/>
              <w:rPr>
                <w:rFonts w:ascii="Calibri" w:hAnsi="Calibri" w:cs="Calibri"/>
                <w:b/>
                <w:bCs/>
                <w:color w:val="FFFFFF"/>
                <w:szCs w:val="22"/>
                <w:lang w:eastAsia="en-US"/>
              </w:rPr>
            </w:pPr>
            <w:r w:rsidRPr="001E5CCD">
              <w:rPr>
                <w:rFonts w:ascii="Calibri" w:hAnsi="Calibri" w:cs="Calibri"/>
                <w:b/>
                <w:bCs/>
                <w:color w:val="FFFFFF"/>
                <w:szCs w:val="22"/>
                <w:lang w:eastAsia="en-US"/>
              </w:rPr>
              <w:t>%</w:t>
            </w:r>
          </w:p>
        </w:tc>
      </w:tr>
      <w:tr w:rsidR="009F4F03" w:rsidRPr="001E5CCD" w:rsidTr="001E5CCD">
        <w:trPr>
          <w:trHeight w:val="170"/>
          <w:jc w:val="center"/>
        </w:trPr>
        <w:tc>
          <w:tcPr>
            <w:tcW w:w="4660" w:type="dxa"/>
            <w:shd w:val="clear" w:color="auto" w:fill="auto"/>
            <w:noWrap/>
            <w:tcMar>
              <w:left w:w="57" w:type="dxa"/>
              <w:right w:w="28" w:type="dxa"/>
            </w:tcMar>
            <w:vAlign w:val="center"/>
            <w:hideMark/>
          </w:tcPr>
          <w:p w:rsidR="009F4F03" w:rsidRPr="001E5CCD" w:rsidRDefault="009F4F03" w:rsidP="001E5CCD">
            <w:pPr>
              <w:widowControl/>
              <w:spacing w:line="240" w:lineRule="auto"/>
              <w:jc w:val="left"/>
              <w:rPr>
                <w:rFonts w:ascii="Calibri" w:hAnsi="Calibri" w:cs="Calibri"/>
                <w:color w:val="000000"/>
                <w:szCs w:val="22"/>
                <w:lang w:eastAsia="en-US"/>
              </w:rPr>
            </w:pPr>
            <w:r w:rsidRPr="001E5CCD">
              <w:rPr>
                <w:rFonts w:ascii="Calibri" w:hAnsi="Calibri" w:cs="Calibri"/>
                <w:color w:val="000000"/>
                <w:szCs w:val="22"/>
                <w:lang w:eastAsia="en-US"/>
              </w:rPr>
              <w:t>Министерство на финансите</w:t>
            </w:r>
          </w:p>
        </w:tc>
        <w:tc>
          <w:tcPr>
            <w:tcW w:w="1780" w:type="dxa"/>
            <w:shd w:val="clear" w:color="auto" w:fill="auto"/>
            <w:noWrap/>
            <w:tcMar>
              <w:left w:w="57" w:type="dxa"/>
              <w:right w:w="28" w:type="dxa"/>
            </w:tcMar>
            <w:vAlign w:val="center"/>
            <w:hideMark/>
          </w:tcPr>
          <w:p w:rsidR="009F4F03" w:rsidRPr="001E5CCD" w:rsidRDefault="009F4F03" w:rsidP="001E5CCD">
            <w:pPr>
              <w:spacing w:line="240" w:lineRule="auto"/>
              <w:jc w:val="right"/>
              <w:rPr>
                <w:rFonts w:ascii="Calibri" w:hAnsi="Calibri"/>
                <w:color w:val="000000"/>
                <w:szCs w:val="22"/>
              </w:rPr>
            </w:pPr>
            <w:r w:rsidRPr="001E5CCD">
              <w:rPr>
                <w:rFonts w:ascii="Calibri" w:hAnsi="Calibri"/>
                <w:color w:val="000000"/>
                <w:szCs w:val="22"/>
              </w:rPr>
              <w:t>3 295 000</w:t>
            </w:r>
          </w:p>
        </w:tc>
        <w:tc>
          <w:tcPr>
            <w:tcW w:w="940" w:type="dxa"/>
            <w:shd w:val="clear" w:color="auto" w:fill="auto"/>
            <w:noWrap/>
            <w:tcMar>
              <w:left w:w="57" w:type="dxa"/>
              <w:right w:w="28" w:type="dxa"/>
            </w:tcMar>
            <w:vAlign w:val="center"/>
            <w:hideMark/>
          </w:tcPr>
          <w:p w:rsidR="009F4F03" w:rsidRPr="001E5CCD" w:rsidRDefault="009F4F03" w:rsidP="001E5CCD">
            <w:pPr>
              <w:spacing w:line="240" w:lineRule="auto"/>
              <w:jc w:val="right"/>
              <w:rPr>
                <w:rFonts w:ascii="Calibri" w:hAnsi="Calibri"/>
                <w:color w:val="000000"/>
                <w:szCs w:val="22"/>
              </w:rPr>
            </w:pPr>
            <w:r w:rsidRPr="001E5CCD">
              <w:rPr>
                <w:rFonts w:ascii="Calibri" w:hAnsi="Calibri"/>
                <w:color w:val="000000"/>
                <w:szCs w:val="22"/>
              </w:rPr>
              <w:t>50,05%</w:t>
            </w:r>
          </w:p>
        </w:tc>
      </w:tr>
      <w:tr w:rsidR="009F4F03" w:rsidRPr="001E5CCD" w:rsidTr="001E5CCD">
        <w:trPr>
          <w:trHeight w:val="170"/>
          <w:jc w:val="center"/>
        </w:trPr>
        <w:tc>
          <w:tcPr>
            <w:tcW w:w="4660" w:type="dxa"/>
            <w:shd w:val="clear" w:color="auto" w:fill="auto"/>
            <w:noWrap/>
            <w:tcMar>
              <w:left w:w="57" w:type="dxa"/>
              <w:right w:w="28" w:type="dxa"/>
            </w:tcMar>
            <w:vAlign w:val="center"/>
            <w:hideMark/>
          </w:tcPr>
          <w:p w:rsidR="009F4F03" w:rsidRPr="001E5CCD" w:rsidRDefault="009F4F03" w:rsidP="001E5CCD">
            <w:pPr>
              <w:widowControl/>
              <w:spacing w:line="240" w:lineRule="auto"/>
              <w:jc w:val="left"/>
              <w:rPr>
                <w:rFonts w:ascii="Calibri" w:hAnsi="Calibri" w:cs="Calibri"/>
                <w:color w:val="000000"/>
                <w:szCs w:val="22"/>
                <w:lang w:eastAsia="en-US"/>
              </w:rPr>
            </w:pPr>
            <w:r w:rsidRPr="001E5CCD">
              <w:rPr>
                <w:rFonts w:ascii="Calibri" w:hAnsi="Calibri" w:cs="Calibri"/>
                <w:color w:val="000000"/>
                <w:szCs w:val="22"/>
                <w:lang w:eastAsia="en-US"/>
              </w:rPr>
              <w:t>Инвестиционни посредници и търговски банки</w:t>
            </w:r>
          </w:p>
        </w:tc>
        <w:tc>
          <w:tcPr>
            <w:tcW w:w="1780" w:type="dxa"/>
            <w:shd w:val="clear" w:color="auto" w:fill="auto"/>
            <w:noWrap/>
            <w:tcMar>
              <w:left w:w="57" w:type="dxa"/>
              <w:right w:w="28" w:type="dxa"/>
            </w:tcMar>
            <w:vAlign w:val="center"/>
            <w:hideMark/>
          </w:tcPr>
          <w:p w:rsidR="009F4F03" w:rsidRPr="001E5CCD" w:rsidRDefault="009F4F03" w:rsidP="001E5CCD">
            <w:pPr>
              <w:spacing w:line="240" w:lineRule="auto"/>
              <w:jc w:val="right"/>
              <w:rPr>
                <w:rFonts w:ascii="Calibri" w:eastAsia="Arial Unicode MS" w:hAnsi="Calibri" w:cs="Arial Unicode MS"/>
                <w:color w:val="000000"/>
                <w:szCs w:val="22"/>
              </w:rPr>
            </w:pPr>
            <w:r w:rsidRPr="001E5CCD">
              <w:rPr>
                <w:rFonts w:ascii="Calibri" w:eastAsia="Arial Unicode MS" w:hAnsi="Calibri" w:cs="Arial Unicode MS"/>
                <w:color w:val="000000"/>
                <w:szCs w:val="22"/>
              </w:rPr>
              <w:t>1 016 875</w:t>
            </w:r>
          </w:p>
        </w:tc>
        <w:tc>
          <w:tcPr>
            <w:tcW w:w="940" w:type="dxa"/>
            <w:shd w:val="clear" w:color="auto" w:fill="auto"/>
            <w:noWrap/>
            <w:tcMar>
              <w:left w:w="57" w:type="dxa"/>
              <w:right w:w="28" w:type="dxa"/>
            </w:tcMar>
            <w:vAlign w:val="center"/>
            <w:hideMark/>
          </w:tcPr>
          <w:p w:rsidR="009F4F03" w:rsidRPr="001E5CCD" w:rsidRDefault="009F4F03" w:rsidP="001E5CCD">
            <w:pPr>
              <w:spacing w:line="240" w:lineRule="auto"/>
              <w:jc w:val="right"/>
              <w:rPr>
                <w:rFonts w:ascii="Calibri" w:hAnsi="Calibri"/>
                <w:color w:val="000000"/>
                <w:szCs w:val="22"/>
              </w:rPr>
            </w:pPr>
            <w:r w:rsidRPr="001E5CCD">
              <w:rPr>
                <w:rFonts w:ascii="Calibri" w:hAnsi="Calibri"/>
                <w:color w:val="000000"/>
                <w:szCs w:val="22"/>
              </w:rPr>
              <w:t>15,45%</w:t>
            </w:r>
          </w:p>
        </w:tc>
      </w:tr>
      <w:tr w:rsidR="009F4F03" w:rsidRPr="001E5CCD" w:rsidTr="001E5CCD">
        <w:trPr>
          <w:trHeight w:val="170"/>
          <w:jc w:val="center"/>
        </w:trPr>
        <w:tc>
          <w:tcPr>
            <w:tcW w:w="4660" w:type="dxa"/>
            <w:shd w:val="clear" w:color="auto" w:fill="auto"/>
            <w:noWrap/>
            <w:tcMar>
              <w:left w:w="57" w:type="dxa"/>
              <w:right w:w="28" w:type="dxa"/>
            </w:tcMar>
            <w:vAlign w:val="center"/>
            <w:hideMark/>
          </w:tcPr>
          <w:p w:rsidR="009F4F03" w:rsidRPr="001E5CCD" w:rsidRDefault="009F4F03" w:rsidP="001E5CCD">
            <w:pPr>
              <w:widowControl/>
              <w:spacing w:line="240" w:lineRule="auto"/>
              <w:jc w:val="left"/>
              <w:rPr>
                <w:rFonts w:ascii="Calibri" w:hAnsi="Calibri" w:cs="Calibri"/>
                <w:color w:val="000000"/>
                <w:szCs w:val="22"/>
                <w:lang w:eastAsia="en-US"/>
              </w:rPr>
            </w:pPr>
            <w:r w:rsidRPr="001E5CCD">
              <w:rPr>
                <w:rFonts w:ascii="Calibri" w:hAnsi="Calibri" w:cs="Calibri"/>
                <w:color w:val="000000"/>
                <w:szCs w:val="22"/>
                <w:lang w:eastAsia="en-US"/>
              </w:rPr>
              <w:t>Други юридически лица</w:t>
            </w:r>
          </w:p>
        </w:tc>
        <w:tc>
          <w:tcPr>
            <w:tcW w:w="1780" w:type="dxa"/>
            <w:shd w:val="clear" w:color="auto" w:fill="auto"/>
            <w:noWrap/>
            <w:tcMar>
              <w:left w:w="57" w:type="dxa"/>
              <w:right w:w="28" w:type="dxa"/>
            </w:tcMar>
            <w:vAlign w:val="center"/>
            <w:hideMark/>
          </w:tcPr>
          <w:p w:rsidR="009F4F03" w:rsidRPr="001E5CCD" w:rsidRDefault="009F4F03" w:rsidP="001E5CCD">
            <w:pPr>
              <w:spacing w:line="240" w:lineRule="auto"/>
              <w:jc w:val="right"/>
              <w:rPr>
                <w:rFonts w:ascii="Calibri" w:eastAsia="Arial Unicode MS" w:hAnsi="Calibri" w:cs="Arial Unicode MS"/>
                <w:color w:val="000000"/>
                <w:szCs w:val="22"/>
              </w:rPr>
            </w:pPr>
            <w:r w:rsidRPr="001E5CCD">
              <w:rPr>
                <w:rFonts w:ascii="Calibri" w:eastAsia="Arial Unicode MS" w:hAnsi="Calibri" w:cs="Arial Unicode MS"/>
                <w:color w:val="000000"/>
                <w:szCs w:val="22"/>
              </w:rPr>
              <w:t>1 338 102</w:t>
            </w:r>
          </w:p>
        </w:tc>
        <w:tc>
          <w:tcPr>
            <w:tcW w:w="940" w:type="dxa"/>
            <w:shd w:val="clear" w:color="auto" w:fill="auto"/>
            <w:noWrap/>
            <w:tcMar>
              <w:left w:w="57" w:type="dxa"/>
              <w:right w:w="28" w:type="dxa"/>
            </w:tcMar>
            <w:vAlign w:val="center"/>
            <w:hideMark/>
          </w:tcPr>
          <w:p w:rsidR="009F4F03" w:rsidRPr="001E5CCD" w:rsidRDefault="009F4F03" w:rsidP="001E5CCD">
            <w:pPr>
              <w:spacing w:line="240" w:lineRule="auto"/>
              <w:jc w:val="right"/>
              <w:rPr>
                <w:rFonts w:ascii="Calibri" w:hAnsi="Calibri"/>
                <w:color w:val="000000"/>
                <w:szCs w:val="22"/>
              </w:rPr>
            </w:pPr>
            <w:r w:rsidRPr="001E5CCD">
              <w:rPr>
                <w:rFonts w:ascii="Calibri" w:hAnsi="Calibri"/>
                <w:color w:val="000000"/>
                <w:szCs w:val="22"/>
              </w:rPr>
              <w:t>20,33%</w:t>
            </w:r>
          </w:p>
        </w:tc>
      </w:tr>
      <w:tr w:rsidR="009F4F03" w:rsidRPr="001E5CCD" w:rsidTr="001E5CCD">
        <w:trPr>
          <w:trHeight w:val="170"/>
          <w:jc w:val="center"/>
        </w:trPr>
        <w:tc>
          <w:tcPr>
            <w:tcW w:w="4660" w:type="dxa"/>
            <w:shd w:val="clear" w:color="auto" w:fill="auto"/>
            <w:noWrap/>
            <w:tcMar>
              <w:left w:w="57" w:type="dxa"/>
              <w:right w:w="28" w:type="dxa"/>
            </w:tcMar>
            <w:vAlign w:val="center"/>
            <w:hideMark/>
          </w:tcPr>
          <w:p w:rsidR="009F4F03" w:rsidRPr="001E5CCD" w:rsidRDefault="009F4F03" w:rsidP="001E5CCD">
            <w:pPr>
              <w:widowControl/>
              <w:spacing w:line="240" w:lineRule="auto"/>
              <w:jc w:val="left"/>
              <w:rPr>
                <w:rFonts w:ascii="Calibri" w:hAnsi="Calibri" w:cs="Calibri"/>
                <w:color w:val="000000"/>
                <w:szCs w:val="22"/>
                <w:lang w:eastAsia="en-US"/>
              </w:rPr>
            </w:pPr>
            <w:r w:rsidRPr="001E5CCD">
              <w:rPr>
                <w:rFonts w:ascii="Calibri" w:hAnsi="Calibri" w:cs="Calibri"/>
                <w:color w:val="000000"/>
                <w:szCs w:val="22"/>
                <w:lang w:eastAsia="en-US"/>
              </w:rPr>
              <w:t>Физически лица</w:t>
            </w:r>
          </w:p>
        </w:tc>
        <w:tc>
          <w:tcPr>
            <w:tcW w:w="1780" w:type="dxa"/>
            <w:shd w:val="clear" w:color="auto" w:fill="auto"/>
            <w:noWrap/>
            <w:tcMar>
              <w:left w:w="57" w:type="dxa"/>
              <w:right w:w="28" w:type="dxa"/>
            </w:tcMar>
            <w:vAlign w:val="center"/>
            <w:hideMark/>
          </w:tcPr>
          <w:p w:rsidR="009F4F03" w:rsidRPr="001E5CCD" w:rsidRDefault="009F4F03" w:rsidP="001E5CCD">
            <w:pPr>
              <w:spacing w:line="240" w:lineRule="auto"/>
              <w:jc w:val="right"/>
              <w:rPr>
                <w:rFonts w:ascii="Calibri" w:eastAsia="Arial Unicode MS" w:hAnsi="Calibri" w:cs="Arial Unicode MS"/>
                <w:color w:val="000000"/>
                <w:szCs w:val="22"/>
              </w:rPr>
            </w:pPr>
            <w:r w:rsidRPr="001E5CCD">
              <w:rPr>
                <w:rFonts w:ascii="Calibri" w:eastAsia="Arial Unicode MS" w:hAnsi="Calibri" w:cs="Arial Unicode MS"/>
                <w:color w:val="000000"/>
                <w:szCs w:val="22"/>
              </w:rPr>
              <w:t>932 883</w:t>
            </w:r>
          </w:p>
        </w:tc>
        <w:tc>
          <w:tcPr>
            <w:tcW w:w="940" w:type="dxa"/>
            <w:shd w:val="clear" w:color="auto" w:fill="auto"/>
            <w:noWrap/>
            <w:tcMar>
              <w:left w:w="57" w:type="dxa"/>
              <w:right w:w="28" w:type="dxa"/>
            </w:tcMar>
            <w:vAlign w:val="center"/>
            <w:hideMark/>
          </w:tcPr>
          <w:p w:rsidR="009F4F03" w:rsidRPr="001E5CCD" w:rsidRDefault="009F4F03" w:rsidP="001E5CCD">
            <w:pPr>
              <w:spacing w:line="240" w:lineRule="auto"/>
              <w:jc w:val="right"/>
              <w:rPr>
                <w:rFonts w:ascii="Calibri" w:hAnsi="Calibri"/>
                <w:color w:val="000000"/>
                <w:szCs w:val="22"/>
              </w:rPr>
            </w:pPr>
            <w:r w:rsidRPr="001E5CCD">
              <w:rPr>
                <w:rFonts w:ascii="Calibri" w:hAnsi="Calibri"/>
                <w:color w:val="000000"/>
                <w:szCs w:val="22"/>
              </w:rPr>
              <w:t>14,17%</w:t>
            </w:r>
          </w:p>
        </w:tc>
      </w:tr>
      <w:tr w:rsidR="009F4F03" w:rsidRPr="001E5CCD" w:rsidTr="001E5CCD">
        <w:trPr>
          <w:trHeight w:val="170"/>
          <w:jc w:val="center"/>
        </w:trPr>
        <w:tc>
          <w:tcPr>
            <w:tcW w:w="4660" w:type="dxa"/>
            <w:shd w:val="clear" w:color="auto" w:fill="auto"/>
            <w:noWrap/>
            <w:tcMar>
              <w:left w:w="57" w:type="dxa"/>
              <w:right w:w="28" w:type="dxa"/>
            </w:tcMar>
            <w:vAlign w:val="center"/>
            <w:hideMark/>
          </w:tcPr>
          <w:p w:rsidR="009F4F03" w:rsidRPr="001E5CCD" w:rsidRDefault="009F4F03" w:rsidP="001E5CCD">
            <w:pPr>
              <w:widowControl/>
              <w:spacing w:line="240" w:lineRule="auto"/>
              <w:jc w:val="left"/>
              <w:rPr>
                <w:rFonts w:ascii="Calibri" w:hAnsi="Calibri" w:cs="Calibri"/>
                <w:b/>
                <w:bCs/>
                <w:color w:val="000000"/>
                <w:szCs w:val="22"/>
                <w:lang w:eastAsia="en-US"/>
              </w:rPr>
            </w:pPr>
            <w:r w:rsidRPr="001E5CCD">
              <w:rPr>
                <w:rFonts w:ascii="Calibri" w:hAnsi="Calibri" w:cs="Calibri"/>
                <w:b/>
                <w:bCs/>
                <w:color w:val="000000"/>
                <w:szCs w:val="22"/>
                <w:lang w:eastAsia="en-US"/>
              </w:rPr>
              <w:t>Общо</w:t>
            </w:r>
          </w:p>
        </w:tc>
        <w:tc>
          <w:tcPr>
            <w:tcW w:w="1780" w:type="dxa"/>
            <w:shd w:val="clear" w:color="auto" w:fill="auto"/>
            <w:noWrap/>
            <w:tcMar>
              <w:left w:w="57" w:type="dxa"/>
              <w:right w:w="28" w:type="dxa"/>
            </w:tcMar>
            <w:vAlign w:val="center"/>
            <w:hideMark/>
          </w:tcPr>
          <w:p w:rsidR="009F4F03" w:rsidRPr="001E5CCD" w:rsidRDefault="009F4F03" w:rsidP="001E5CCD">
            <w:pPr>
              <w:spacing w:line="240" w:lineRule="auto"/>
              <w:jc w:val="right"/>
              <w:rPr>
                <w:rFonts w:ascii="Calibri" w:hAnsi="Calibri"/>
                <w:color w:val="000000"/>
                <w:szCs w:val="22"/>
              </w:rPr>
            </w:pPr>
            <w:r w:rsidRPr="001E5CCD">
              <w:rPr>
                <w:rFonts w:ascii="Calibri" w:hAnsi="Calibri"/>
                <w:color w:val="000000"/>
                <w:szCs w:val="22"/>
              </w:rPr>
              <w:t>6 582 860</w:t>
            </w:r>
          </w:p>
        </w:tc>
        <w:tc>
          <w:tcPr>
            <w:tcW w:w="940" w:type="dxa"/>
            <w:shd w:val="clear" w:color="auto" w:fill="auto"/>
            <w:noWrap/>
            <w:tcMar>
              <w:left w:w="57" w:type="dxa"/>
              <w:right w:w="28" w:type="dxa"/>
            </w:tcMar>
            <w:vAlign w:val="center"/>
            <w:hideMark/>
          </w:tcPr>
          <w:p w:rsidR="009F4F03" w:rsidRPr="001E5CCD" w:rsidRDefault="009F4F03" w:rsidP="001E5CCD">
            <w:pPr>
              <w:spacing w:line="240" w:lineRule="auto"/>
              <w:jc w:val="right"/>
              <w:rPr>
                <w:rFonts w:ascii="Calibri" w:hAnsi="Calibri"/>
                <w:color w:val="000000"/>
                <w:szCs w:val="22"/>
              </w:rPr>
            </w:pPr>
            <w:r w:rsidRPr="001E5CCD">
              <w:rPr>
                <w:rFonts w:ascii="Calibri" w:hAnsi="Calibri"/>
                <w:color w:val="000000"/>
                <w:szCs w:val="22"/>
              </w:rPr>
              <w:t> </w:t>
            </w:r>
          </w:p>
        </w:tc>
      </w:tr>
      <w:tr w:rsidR="009F4F03" w:rsidRPr="001E5CCD" w:rsidTr="001E5CCD">
        <w:trPr>
          <w:trHeight w:val="170"/>
          <w:jc w:val="center"/>
        </w:trPr>
        <w:tc>
          <w:tcPr>
            <w:tcW w:w="4660" w:type="dxa"/>
            <w:shd w:val="clear" w:color="auto" w:fill="auto"/>
            <w:noWrap/>
            <w:tcMar>
              <w:left w:w="57" w:type="dxa"/>
              <w:right w:w="28" w:type="dxa"/>
            </w:tcMar>
            <w:vAlign w:val="center"/>
            <w:hideMark/>
          </w:tcPr>
          <w:p w:rsidR="009F4F03" w:rsidRPr="001E5CCD" w:rsidRDefault="009F4F03" w:rsidP="001E5CCD">
            <w:pPr>
              <w:widowControl/>
              <w:spacing w:line="240" w:lineRule="auto"/>
              <w:jc w:val="left"/>
              <w:rPr>
                <w:rFonts w:ascii="Calibri" w:hAnsi="Calibri" w:cs="Calibri"/>
                <w:color w:val="000000"/>
                <w:szCs w:val="22"/>
                <w:lang w:eastAsia="en-US"/>
              </w:rPr>
            </w:pPr>
            <w:r w:rsidRPr="001E5CCD">
              <w:rPr>
                <w:rFonts w:ascii="Calibri" w:hAnsi="Calibri" w:cs="Calibri"/>
                <w:color w:val="000000"/>
                <w:szCs w:val="22"/>
                <w:lang w:eastAsia="en-US"/>
              </w:rPr>
              <w:t>От които чуждестранни акционери</w:t>
            </w:r>
          </w:p>
        </w:tc>
        <w:tc>
          <w:tcPr>
            <w:tcW w:w="1780" w:type="dxa"/>
            <w:shd w:val="clear" w:color="auto" w:fill="auto"/>
            <w:noWrap/>
            <w:tcMar>
              <w:left w:w="57" w:type="dxa"/>
              <w:right w:w="28" w:type="dxa"/>
            </w:tcMar>
            <w:vAlign w:val="center"/>
            <w:hideMark/>
          </w:tcPr>
          <w:p w:rsidR="009F4F03" w:rsidRPr="001E5CCD" w:rsidRDefault="009F4F03" w:rsidP="001E5CCD">
            <w:pPr>
              <w:spacing w:line="240" w:lineRule="auto"/>
              <w:jc w:val="right"/>
              <w:rPr>
                <w:rFonts w:ascii="Calibri" w:eastAsia="Arial Unicode MS" w:hAnsi="Calibri" w:cs="Arial Unicode MS"/>
                <w:color w:val="000000"/>
                <w:szCs w:val="22"/>
              </w:rPr>
            </w:pPr>
            <w:r w:rsidRPr="001E5CCD">
              <w:rPr>
                <w:rFonts w:ascii="Calibri" w:eastAsia="Arial Unicode MS" w:hAnsi="Calibri" w:cs="Arial Unicode MS"/>
                <w:color w:val="000000"/>
                <w:szCs w:val="22"/>
              </w:rPr>
              <w:t>220 250</w:t>
            </w:r>
          </w:p>
        </w:tc>
        <w:tc>
          <w:tcPr>
            <w:tcW w:w="940" w:type="dxa"/>
            <w:shd w:val="clear" w:color="auto" w:fill="auto"/>
            <w:noWrap/>
            <w:tcMar>
              <w:left w:w="57" w:type="dxa"/>
              <w:right w:w="28" w:type="dxa"/>
            </w:tcMar>
            <w:vAlign w:val="center"/>
            <w:hideMark/>
          </w:tcPr>
          <w:p w:rsidR="009F4F03" w:rsidRPr="001E5CCD" w:rsidRDefault="009F4F03" w:rsidP="001E5CCD">
            <w:pPr>
              <w:spacing w:line="240" w:lineRule="auto"/>
              <w:jc w:val="right"/>
              <w:rPr>
                <w:rFonts w:ascii="Calibri" w:hAnsi="Calibri"/>
                <w:color w:val="000000"/>
                <w:szCs w:val="22"/>
              </w:rPr>
            </w:pPr>
            <w:r w:rsidRPr="001E5CCD">
              <w:rPr>
                <w:rFonts w:ascii="Calibri" w:hAnsi="Calibri"/>
                <w:color w:val="000000"/>
                <w:szCs w:val="22"/>
              </w:rPr>
              <w:t>3,35%</w:t>
            </w:r>
          </w:p>
        </w:tc>
      </w:tr>
    </w:tbl>
    <w:p w:rsidR="004A1D59" w:rsidRPr="00AC6A82" w:rsidRDefault="004A1D59" w:rsidP="00845A03">
      <w:pPr>
        <w:pStyle w:val="a1"/>
        <w:jc w:val="left"/>
        <w:rPr>
          <w:rFonts w:ascii="Calibri" w:hAnsi="Calibri" w:cs="Calibri"/>
          <w:i w:val="0"/>
        </w:rPr>
      </w:pPr>
    </w:p>
    <w:tbl>
      <w:tblPr>
        <w:tblStyle w:val="TableGrid"/>
        <w:tblW w:w="967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675"/>
      </w:tblGrid>
      <w:tr w:rsidR="0064218C" w:rsidRPr="00AC6A82" w:rsidTr="004A1D59">
        <w:trPr>
          <w:jc w:val="center"/>
        </w:trPr>
        <w:tc>
          <w:tcPr>
            <w:tcW w:w="9675" w:type="dxa"/>
          </w:tcPr>
          <w:p w:rsidR="0064218C" w:rsidRPr="00AC6A82" w:rsidRDefault="0064218C" w:rsidP="009F4F03">
            <w:pPr>
              <w:jc w:val="left"/>
              <w:rPr>
                <w:rFonts w:ascii="Calibri" w:hAnsi="Calibri" w:cs="Calibri"/>
                <w:b/>
                <w:sz w:val="20"/>
                <w:szCs w:val="20"/>
              </w:rPr>
            </w:pPr>
            <w:r w:rsidRPr="00AC6A82">
              <w:rPr>
                <w:rFonts w:ascii="Calibri" w:hAnsi="Calibri" w:cs="Calibri"/>
                <w:b/>
                <w:sz w:val="20"/>
                <w:szCs w:val="20"/>
              </w:rPr>
              <w:t xml:space="preserve">Графика </w:t>
            </w:r>
            <w:r w:rsidR="00E42E29" w:rsidRPr="00AC6A82">
              <w:rPr>
                <w:rFonts w:ascii="Calibri" w:hAnsi="Calibri" w:cs="Calibri"/>
                <w:b/>
                <w:sz w:val="20"/>
                <w:szCs w:val="20"/>
              </w:rPr>
              <w:t>7</w:t>
            </w:r>
            <w:r w:rsidRPr="00AC6A82">
              <w:rPr>
                <w:rFonts w:ascii="Calibri" w:hAnsi="Calibri" w:cs="Calibri"/>
                <w:b/>
                <w:sz w:val="20"/>
                <w:szCs w:val="20"/>
              </w:rPr>
              <w:t>: Акционерна структура на „</w:t>
            </w:r>
            <w:r w:rsidR="00C4001C" w:rsidRPr="00AC6A82">
              <w:rPr>
                <w:rFonts w:ascii="Calibri" w:hAnsi="Calibri" w:cs="Calibri"/>
                <w:b/>
                <w:sz w:val="20"/>
                <w:szCs w:val="20"/>
              </w:rPr>
              <w:t>Българска фондова борса</w:t>
            </w:r>
            <w:r w:rsidRPr="00AC6A82">
              <w:rPr>
                <w:rFonts w:ascii="Calibri" w:hAnsi="Calibri" w:cs="Calibri"/>
                <w:b/>
                <w:sz w:val="20"/>
                <w:szCs w:val="20"/>
              </w:rPr>
              <w:t xml:space="preserve">“ АД към </w:t>
            </w:r>
            <w:r w:rsidR="004A1D59" w:rsidRPr="00AC6A82">
              <w:rPr>
                <w:rFonts w:ascii="Calibri" w:hAnsi="Calibri" w:cs="Calibri"/>
                <w:b/>
                <w:sz w:val="20"/>
                <w:szCs w:val="20"/>
              </w:rPr>
              <w:t>31</w:t>
            </w:r>
            <w:r w:rsidRPr="00AC6A82">
              <w:rPr>
                <w:rFonts w:ascii="Calibri" w:hAnsi="Calibri" w:cs="Calibri"/>
                <w:b/>
                <w:sz w:val="20"/>
                <w:szCs w:val="20"/>
              </w:rPr>
              <w:t>.</w:t>
            </w:r>
            <w:r w:rsidR="009F4F03" w:rsidRPr="00AC6A82">
              <w:rPr>
                <w:rFonts w:ascii="Calibri" w:hAnsi="Calibri" w:cs="Calibri"/>
                <w:b/>
                <w:sz w:val="20"/>
                <w:szCs w:val="20"/>
              </w:rPr>
              <w:t>03</w:t>
            </w:r>
            <w:r w:rsidRPr="00AC6A82">
              <w:rPr>
                <w:rFonts w:ascii="Calibri" w:hAnsi="Calibri" w:cs="Calibri"/>
                <w:b/>
                <w:sz w:val="20"/>
                <w:szCs w:val="20"/>
              </w:rPr>
              <w:t>.201</w:t>
            </w:r>
            <w:r w:rsidR="009F4F03" w:rsidRPr="00AC6A82">
              <w:rPr>
                <w:rFonts w:ascii="Calibri" w:hAnsi="Calibri" w:cs="Calibri"/>
                <w:b/>
                <w:sz w:val="20"/>
                <w:szCs w:val="20"/>
              </w:rPr>
              <w:t>9</w:t>
            </w:r>
            <w:r w:rsidRPr="00AC6A82">
              <w:rPr>
                <w:rFonts w:ascii="Calibri" w:hAnsi="Calibri" w:cs="Calibri"/>
                <w:b/>
                <w:sz w:val="20"/>
                <w:szCs w:val="20"/>
              </w:rPr>
              <w:t xml:space="preserve"> г.</w:t>
            </w:r>
          </w:p>
        </w:tc>
      </w:tr>
      <w:tr w:rsidR="0064218C" w:rsidRPr="00AC6A82" w:rsidTr="004A1D59">
        <w:trPr>
          <w:jc w:val="center"/>
        </w:trPr>
        <w:tc>
          <w:tcPr>
            <w:tcW w:w="9675" w:type="dxa"/>
          </w:tcPr>
          <w:p w:rsidR="0064218C" w:rsidRPr="00AC6A82" w:rsidRDefault="009F4F03" w:rsidP="001A50AB">
            <w:pPr>
              <w:rPr>
                <w:rFonts w:ascii="Calibri" w:hAnsi="Calibri" w:cs="Calibri"/>
                <w:sz w:val="12"/>
                <w:szCs w:val="12"/>
              </w:rPr>
            </w:pPr>
            <w:r w:rsidRPr="00AC6A82">
              <w:rPr>
                <w:rFonts w:ascii="Calibri" w:hAnsi="Calibri" w:cs="Calibri"/>
                <w:noProof/>
                <w:sz w:val="12"/>
                <w:szCs w:val="12"/>
              </w:rPr>
              <w:drawing>
                <wp:inline distT="0" distB="0" distL="0" distR="0">
                  <wp:extent cx="5942363" cy="4381995"/>
                  <wp:effectExtent l="19050" t="0" r="1237" b="0"/>
                  <wp:docPr id="7" name="Диаграма 4">
                    <a:extLst xmlns:a="http://schemas.openxmlformats.org/drawingml/2006/main">
                      <a:ext uri="{FF2B5EF4-FFF2-40B4-BE49-F238E27FC236}">
                        <a16:creationId xmlns:a16="http://schemas.microsoft.com/office/drawing/2014/main" xmlns:w16se="http://schemas.microsoft.com/office/word/2015/wordml/symex" xmlns:w16cid="http://schemas.microsoft.com/office/word/2016/wordml/cid"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C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bl>
    <w:p w:rsidR="00B42AAA" w:rsidRPr="00AC6A82" w:rsidRDefault="00B42AAA" w:rsidP="001A50AB">
      <w:pPr>
        <w:rPr>
          <w:rFonts w:ascii="Calibri" w:hAnsi="Calibri" w:cs="Calibri"/>
        </w:rPr>
      </w:pPr>
      <w:bookmarkStart w:id="65" w:name="_Toc283112130"/>
      <w:r w:rsidRPr="00AC6A82">
        <w:rPr>
          <w:rFonts w:ascii="Calibri" w:hAnsi="Calibri" w:cs="Calibri"/>
        </w:rPr>
        <w:br w:type="page"/>
      </w:r>
    </w:p>
    <w:p w:rsidR="008C47C4" w:rsidRPr="00AC6A82" w:rsidRDefault="002735FE" w:rsidP="001A50AB">
      <w:pPr>
        <w:pStyle w:val="Mainnumbers"/>
        <w:rPr>
          <w:rFonts w:ascii="Calibri" w:hAnsi="Calibri" w:cs="Calibri"/>
        </w:rPr>
      </w:pPr>
      <w:bookmarkStart w:id="66" w:name="_Toc7535443"/>
      <w:r w:rsidRPr="00AC6A82">
        <w:rPr>
          <w:rFonts w:ascii="Calibri" w:hAnsi="Calibri" w:cs="Calibri"/>
        </w:rPr>
        <w:t>Ч</w:t>
      </w:r>
      <w:r w:rsidR="008C47C4" w:rsidRPr="00AC6A82">
        <w:rPr>
          <w:rFonts w:ascii="Calibri" w:hAnsi="Calibri" w:cs="Calibri"/>
        </w:rPr>
        <w:t xml:space="preserve">ленове на </w:t>
      </w:r>
      <w:bookmarkEnd w:id="65"/>
      <w:r w:rsidR="00636F5A" w:rsidRPr="00AC6A82">
        <w:rPr>
          <w:rFonts w:ascii="Calibri" w:hAnsi="Calibri" w:cs="Calibri"/>
        </w:rPr>
        <w:t>Българска фондова борса</w:t>
      </w:r>
      <w:bookmarkEnd w:id="66"/>
    </w:p>
    <w:p w:rsidR="002823D4" w:rsidRPr="00AC6A82" w:rsidRDefault="008E535E" w:rsidP="001A50AB">
      <w:pPr>
        <w:rPr>
          <w:rFonts w:ascii="Calibri" w:hAnsi="Calibri" w:cs="Calibri"/>
        </w:rPr>
      </w:pPr>
      <w:bookmarkStart w:id="67" w:name="_Toc142469810"/>
      <w:r w:rsidRPr="00AC6A82">
        <w:rPr>
          <w:rFonts w:ascii="Calibri" w:hAnsi="Calibri" w:cs="Calibri"/>
        </w:rPr>
        <w:t xml:space="preserve">През </w:t>
      </w:r>
      <w:r w:rsidR="004A770C" w:rsidRPr="00AC6A82">
        <w:rPr>
          <w:rFonts w:ascii="Calibri" w:hAnsi="Calibri" w:cs="Calibri"/>
        </w:rPr>
        <w:t>първото</w:t>
      </w:r>
      <w:r w:rsidR="005216E9" w:rsidRPr="00AC6A82">
        <w:rPr>
          <w:rFonts w:ascii="Calibri" w:hAnsi="Calibri" w:cs="Calibri"/>
        </w:rPr>
        <w:t xml:space="preserve"> тримесечие </w:t>
      </w:r>
      <w:r w:rsidR="004A770C" w:rsidRPr="00AC6A82">
        <w:rPr>
          <w:rFonts w:ascii="Calibri" w:hAnsi="Calibri" w:cs="Calibri"/>
        </w:rPr>
        <w:t>няма промяна в членовете на Българска фондова борса</w:t>
      </w:r>
      <w:r w:rsidR="005216E9" w:rsidRPr="00AC6A82">
        <w:rPr>
          <w:rFonts w:ascii="Calibri" w:hAnsi="Calibri" w:cs="Calibri"/>
        </w:rPr>
        <w:t xml:space="preserve">. Така броят членове на Борсата </w:t>
      </w:r>
      <w:r w:rsidR="004A770C" w:rsidRPr="00AC6A82">
        <w:rPr>
          <w:rFonts w:ascii="Calibri" w:hAnsi="Calibri" w:cs="Calibri"/>
        </w:rPr>
        <w:t>остана</w:t>
      </w:r>
      <w:r w:rsidR="005216E9" w:rsidRPr="00AC6A82">
        <w:rPr>
          <w:rFonts w:ascii="Calibri" w:hAnsi="Calibri" w:cs="Calibri"/>
        </w:rPr>
        <w:t xml:space="preserve"> </w:t>
      </w:r>
      <w:r w:rsidR="00D92A1A" w:rsidRPr="00AC6A82">
        <w:rPr>
          <w:rFonts w:ascii="Calibri" w:hAnsi="Calibri" w:cs="Calibri"/>
        </w:rPr>
        <w:t>49</w:t>
      </w:r>
      <w:r w:rsidR="004A770C" w:rsidRPr="00AC6A82">
        <w:rPr>
          <w:rFonts w:ascii="Calibri" w:hAnsi="Calibri" w:cs="Calibri"/>
        </w:rPr>
        <w:t xml:space="preserve"> </w:t>
      </w:r>
      <w:r w:rsidR="002823D4" w:rsidRPr="00AC6A82">
        <w:rPr>
          <w:rFonts w:ascii="Calibri" w:hAnsi="Calibri" w:cs="Calibri"/>
        </w:rPr>
        <w:t xml:space="preserve">(виж Таблица </w:t>
      </w:r>
      <w:r w:rsidR="006A4511" w:rsidRPr="00AC6A82">
        <w:rPr>
          <w:rFonts w:ascii="Calibri" w:hAnsi="Calibri" w:cs="Calibri"/>
        </w:rPr>
        <w:t>13</w:t>
      </w:r>
      <w:r w:rsidR="002823D4" w:rsidRPr="00AC6A82">
        <w:rPr>
          <w:rFonts w:ascii="Calibri" w:hAnsi="Calibri" w:cs="Calibri"/>
        </w:rPr>
        <w:t>).</w:t>
      </w:r>
    </w:p>
    <w:p w:rsidR="0064218C" w:rsidRPr="00AC6A82" w:rsidRDefault="0064218C" w:rsidP="001A50AB">
      <w:pPr>
        <w:rPr>
          <w:rFonts w:ascii="Calibri" w:hAnsi="Calibri" w:cs="Calibri"/>
        </w:rPr>
      </w:pPr>
    </w:p>
    <w:p w:rsidR="00845A03" w:rsidRPr="00AC6A82" w:rsidRDefault="0064218C" w:rsidP="001A50AB">
      <w:pPr>
        <w:rPr>
          <w:rFonts w:ascii="Calibri" w:hAnsi="Calibri" w:cs="Calibri"/>
        </w:rPr>
      </w:pPr>
      <w:r w:rsidRPr="00AC6A82">
        <w:rPr>
          <w:rFonts w:ascii="Calibri" w:hAnsi="Calibri" w:cs="Calibri"/>
        </w:rPr>
        <w:t>Таблица 1</w:t>
      </w:r>
      <w:r w:rsidR="00455C02" w:rsidRPr="00AC6A82">
        <w:rPr>
          <w:rFonts w:ascii="Calibri" w:hAnsi="Calibri" w:cs="Calibri"/>
        </w:rPr>
        <w:t>3</w:t>
      </w:r>
      <w:r w:rsidRPr="00AC6A82">
        <w:rPr>
          <w:rFonts w:ascii="Calibri" w:hAnsi="Calibri" w:cs="Calibri"/>
        </w:rPr>
        <w:t xml:space="preserve">. Членове на БФБ към </w:t>
      </w:r>
      <w:r w:rsidR="00D92A1A" w:rsidRPr="00AC6A82">
        <w:rPr>
          <w:rFonts w:ascii="Calibri" w:hAnsi="Calibri" w:cs="Calibri"/>
        </w:rPr>
        <w:t>31</w:t>
      </w:r>
      <w:r w:rsidR="00732C72" w:rsidRPr="00AC6A82">
        <w:rPr>
          <w:rFonts w:ascii="Calibri" w:hAnsi="Calibri" w:cs="Calibri"/>
        </w:rPr>
        <w:t>.</w:t>
      </w:r>
      <w:r w:rsidR="004A770C" w:rsidRPr="00AC6A82">
        <w:rPr>
          <w:rFonts w:ascii="Calibri" w:hAnsi="Calibri" w:cs="Calibri"/>
        </w:rPr>
        <w:t>03</w:t>
      </w:r>
      <w:r w:rsidR="00037954" w:rsidRPr="00AC6A82">
        <w:rPr>
          <w:rFonts w:ascii="Calibri" w:hAnsi="Calibri" w:cs="Calibri"/>
        </w:rPr>
        <w:t>.201</w:t>
      </w:r>
      <w:r w:rsidR="004A770C" w:rsidRPr="00AC6A82">
        <w:rPr>
          <w:rFonts w:ascii="Calibri" w:hAnsi="Calibri" w:cs="Calibri"/>
        </w:rPr>
        <w:t>9</w:t>
      </w:r>
      <w:r w:rsidRPr="00AC6A82">
        <w:rPr>
          <w:rFonts w:ascii="Calibri" w:hAnsi="Calibri" w:cs="Calibri"/>
        </w:rPr>
        <w:t xml:space="preserve"> г.</w:t>
      </w:r>
    </w:p>
    <w:tbl>
      <w:tblPr>
        <w:tblW w:w="10183" w:type="dxa"/>
        <w:tblInd w:w="93" w:type="dxa"/>
        <w:tblLook w:val="04A0" w:firstRow="1" w:lastRow="0" w:firstColumn="1" w:lastColumn="0" w:noHBand="0" w:noVBand="1"/>
      </w:tblPr>
      <w:tblGrid>
        <w:gridCol w:w="5260"/>
        <w:gridCol w:w="4923"/>
      </w:tblGrid>
      <w:tr w:rsidR="00845A03" w:rsidRPr="00AC6A82" w:rsidTr="00D92A1A">
        <w:trPr>
          <w:trHeight w:val="397"/>
        </w:trPr>
        <w:tc>
          <w:tcPr>
            <w:tcW w:w="5260" w:type="dxa"/>
            <w:tcBorders>
              <w:top w:val="single" w:sz="4" w:space="0" w:color="auto"/>
              <w:left w:val="nil"/>
              <w:bottom w:val="nil"/>
              <w:right w:val="nil"/>
            </w:tcBorders>
            <w:shd w:val="clear" w:color="auto" w:fill="auto"/>
            <w:noWrap/>
            <w:tcMar>
              <w:left w:w="57" w:type="dxa"/>
              <w:right w:w="57" w:type="dxa"/>
            </w:tcMar>
            <w:vAlign w:val="center"/>
            <w:hideMark/>
          </w:tcPr>
          <w:p w:rsidR="00845A03" w:rsidRPr="00AC6A82" w:rsidRDefault="00845A03" w:rsidP="00CA3118">
            <w:pPr>
              <w:jc w:val="left"/>
              <w:rPr>
                <w:rFonts w:ascii="Calibri" w:hAnsi="Calibri" w:cs="Calibri"/>
                <w:color w:val="000000"/>
                <w:szCs w:val="22"/>
                <w:lang w:eastAsia="en-US"/>
              </w:rPr>
            </w:pPr>
            <w:r w:rsidRPr="00AC6A82">
              <w:rPr>
                <w:rFonts w:ascii="Calibri" w:hAnsi="Calibri" w:cs="Calibri"/>
                <w:color w:val="000000"/>
                <w:szCs w:val="22"/>
              </w:rPr>
              <w:t>WOOD &amp;CompanyFinancial Services, a.s.</w:t>
            </w:r>
          </w:p>
        </w:tc>
        <w:tc>
          <w:tcPr>
            <w:tcW w:w="4923" w:type="dxa"/>
            <w:tcBorders>
              <w:top w:val="single" w:sz="4" w:space="0" w:color="auto"/>
              <w:left w:val="nil"/>
              <w:bottom w:val="nil"/>
              <w:right w:val="nil"/>
            </w:tcBorders>
            <w:shd w:val="clear" w:color="auto" w:fill="auto"/>
            <w:noWrap/>
            <w:tcMar>
              <w:left w:w="57" w:type="dxa"/>
              <w:right w:w="57" w:type="dxa"/>
            </w:tcMar>
            <w:vAlign w:val="center"/>
            <w:hideMark/>
          </w:tcPr>
          <w:p w:rsidR="00845A03" w:rsidRPr="00AC6A82" w:rsidRDefault="00845A03" w:rsidP="00CA3118">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"Фаворит" АД</w:t>
            </w:r>
          </w:p>
        </w:tc>
      </w:tr>
      <w:tr w:rsidR="00845A03"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hideMark/>
          </w:tcPr>
          <w:p w:rsidR="00845A03" w:rsidRPr="00AC6A82" w:rsidRDefault="00845A03" w:rsidP="00CA3118">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"АБВ Инвестиции" ЕООД</w:t>
            </w:r>
          </w:p>
        </w:tc>
        <w:tc>
          <w:tcPr>
            <w:tcW w:w="4923" w:type="dxa"/>
            <w:tcBorders>
              <w:top w:val="nil"/>
              <w:left w:val="nil"/>
              <w:bottom w:val="nil"/>
              <w:right w:val="nil"/>
            </w:tcBorders>
            <w:shd w:val="clear" w:color="auto" w:fill="auto"/>
            <w:noWrap/>
            <w:tcMar>
              <w:left w:w="57" w:type="dxa"/>
              <w:right w:w="57" w:type="dxa"/>
            </w:tcMar>
            <w:vAlign w:val="center"/>
            <w:hideMark/>
          </w:tcPr>
          <w:p w:rsidR="00845A03" w:rsidRPr="00AC6A82" w:rsidRDefault="00845A03" w:rsidP="00CA3118">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"Фактори" АД</w:t>
            </w:r>
          </w:p>
        </w:tc>
      </w:tr>
      <w:tr w:rsidR="00845A03"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hideMark/>
          </w:tcPr>
          <w:p w:rsidR="00845A03" w:rsidRPr="00AC6A82" w:rsidRDefault="00845A03" w:rsidP="00CA3118">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"Авал ИН" АД</w:t>
            </w:r>
          </w:p>
        </w:tc>
        <w:tc>
          <w:tcPr>
            <w:tcW w:w="4923" w:type="dxa"/>
            <w:tcBorders>
              <w:top w:val="nil"/>
              <w:left w:val="nil"/>
              <w:bottom w:val="nil"/>
              <w:right w:val="nil"/>
            </w:tcBorders>
            <w:shd w:val="clear" w:color="auto" w:fill="auto"/>
            <w:noWrap/>
            <w:tcMar>
              <w:left w:w="57" w:type="dxa"/>
              <w:right w:w="57" w:type="dxa"/>
            </w:tcMar>
            <w:vAlign w:val="center"/>
            <w:hideMark/>
          </w:tcPr>
          <w:p w:rsidR="00845A03" w:rsidRPr="00AC6A82" w:rsidRDefault="00845A03" w:rsidP="00CA3118">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"ФК Евър" АД</w:t>
            </w:r>
          </w:p>
        </w:tc>
      </w:tr>
      <w:tr w:rsidR="00845A03"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hideMark/>
          </w:tcPr>
          <w:p w:rsidR="00845A03" w:rsidRPr="00AC6A82" w:rsidRDefault="00845A03" w:rsidP="00CA3118">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"АВС Финанс" АД</w:t>
            </w:r>
          </w:p>
        </w:tc>
        <w:tc>
          <w:tcPr>
            <w:tcW w:w="4923" w:type="dxa"/>
            <w:tcBorders>
              <w:top w:val="nil"/>
              <w:left w:val="nil"/>
              <w:bottom w:val="nil"/>
              <w:right w:val="nil"/>
            </w:tcBorders>
            <w:shd w:val="clear" w:color="auto" w:fill="auto"/>
            <w:noWrap/>
            <w:tcMar>
              <w:left w:w="57" w:type="dxa"/>
              <w:right w:w="57" w:type="dxa"/>
            </w:tcMar>
            <w:vAlign w:val="center"/>
            <w:hideMark/>
          </w:tcPr>
          <w:p w:rsidR="00845A03" w:rsidRPr="00AC6A82" w:rsidRDefault="00845A03" w:rsidP="00CA3118">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"Фоукал Пойнт Инвестмънтс" АД</w:t>
            </w:r>
          </w:p>
        </w:tc>
      </w:tr>
      <w:tr w:rsidR="00845A03"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hideMark/>
          </w:tcPr>
          <w:p w:rsidR="00845A03" w:rsidRPr="00AC6A82" w:rsidRDefault="00845A03" w:rsidP="00CA3118">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"Адамант Кепитъл Партнърс" АД</w:t>
            </w:r>
          </w:p>
        </w:tc>
        <w:tc>
          <w:tcPr>
            <w:tcW w:w="4923" w:type="dxa"/>
            <w:tcBorders>
              <w:top w:val="nil"/>
              <w:left w:val="nil"/>
              <w:bottom w:val="nil"/>
              <w:right w:val="nil"/>
            </w:tcBorders>
            <w:shd w:val="clear" w:color="auto" w:fill="auto"/>
            <w:noWrap/>
            <w:tcMar>
              <w:left w:w="57" w:type="dxa"/>
              <w:right w:w="57" w:type="dxa"/>
            </w:tcMar>
            <w:vAlign w:val="center"/>
            <w:hideMark/>
          </w:tcPr>
          <w:p w:rsidR="00845A03" w:rsidRPr="00AC6A82" w:rsidRDefault="00845A03" w:rsidP="00CA3118">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"Ъп Тренд" ООД</w:t>
            </w:r>
          </w:p>
        </w:tc>
      </w:tr>
      <w:tr w:rsidR="00845A03"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hideMark/>
          </w:tcPr>
          <w:p w:rsidR="00845A03" w:rsidRPr="00AC6A82" w:rsidRDefault="00845A03" w:rsidP="00CA3118">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"Балканска Инвестиционна Компания" АД</w:t>
            </w:r>
          </w:p>
        </w:tc>
        <w:tc>
          <w:tcPr>
            <w:tcW w:w="4923" w:type="dxa"/>
            <w:tcBorders>
              <w:top w:val="nil"/>
              <w:left w:val="nil"/>
              <w:bottom w:val="nil"/>
              <w:right w:val="nil"/>
            </w:tcBorders>
            <w:shd w:val="clear" w:color="auto" w:fill="auto"/>
            <w:noWrap/>
            <w:tcMar>
              <w:left w:w="57" w:type="dxa"/>
              <w:right w:w="57" w:type="dxa"/>
            </w:tcMar>
            <w:vAlign w:val="center"/>
            <w:hideMark/>
          </w:tcPr>
          <w:p w:rsidR="00845A03" w:rsidRPr="00AC6A82" w:rsidRDefault="00845A03" w:rsidP="00CA3118">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"ЮГ Маркет" АД</w:t>
            </w:r>
          </w:p>
        </w:tc>
      </w:tr>
      <w:tr w:rsidR="00845A03"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hideMark/>
          </w:tcPr>
          <w:p w:rsidR="00845A03" w:rsidRPr="00AC6A82" w:rsidRDefault="00845A03" w:rsidP="00CA3118">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"Балканска консултантска компания-ИП" ЕАД</w:t>
            </w:r>
          </w:p>
        </w:tc>
        <w:tc>
          <w:tcPr>
            <w:tcW w:w="4923" w:type="dxa"/>
            <w:tcBorders>
              <w:top w:val="nil"/>
              <w:left w:val="nil"/>
              <w:bottom w:val="nil"/>
              <w:right w:val="nil"/>
            </w:tcBorders>
            <w:shd w:val="clear" w:color="auto" w:fill="auto"/>
            <w:noWrap/>
            <w:tcMar>
              <w:left w:w="57" w:type="dxa"/>
              <w:right w:w="57" w:type="dxa"/>
            </w:tcMar>
            <w:vAlign w:val="center"/>
            <w:hideMark/>
          </w:tcPr>
          <w:p w:rsidR="00845A03" w:rsidRPr="00AC6A82" w:rsidRDefault="00845A03" w:rsidP="00CA3118">
            <w:pPr>
              <w:widowControl/>
              <w:jc w:val="left"/>
              <w:rPr>
                <w:rFonts w:ascii="Calibri" w:hAnsi="Calibri" w:cs="Calibri"/>
                <w:color w:val="000000"/>
                <w:szCs w:val="22"/>
                <w:lang w:eastAsia="en-US"/>
              </w:rPr>
            </w:pPr>
            <w:r w:rsidRPr="00AC6A82">
              <w:rPr>
                <w:rFonts w:ascii="Calibri" w:hAnsi="Calibri" w:cs="Calibri"/>
                <w:color w:val="000000"/>
                <w:szCs w:val="22"/>
                <w:lang w:eastAsia="en-US"/>
              </w:rPr>
              <w:t>ТБ "Алианц Банк България" АД</w:t>
            </w:r>
          </w:p>
        </w:tc>
      </w:tr>
      <w:tr w:rsidR="00845A03"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hideMark/>
          </w:tcPr>
          <w:p w:rsidR="00845A03" w:rsidRPr="00AC6A82" w:rsidRDefault="00845A03" w:rsidP="00CA3118">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"БенчМарк Финанс" АД</w:t>
            </w:r>
          </w:p>
        </w:tc>
        <w:tc>
          <w:tcPr>
            <w:tcW w:w="4923" w:type="dxa"/>
            <w:tcBorders>
              <w:top w:val="nil"/>
              <w:left w:val="nil"/>
              <w:bottom w:val="nil"/>
              <w:right w:val="nil"/>
            </w:tcBorders>
            <w:shd w:val="clear" w:color="auto" w:fill="auto"/>
            <w:noWrap/>
            <w:tcMar>
              <w:left w:w="57" w:type="dxa"/>
              <w:right w:w="57" w:type="dxa"/>
            </w:tcMar>
            <w:vAlign w:val="center"/>
            <w:hideMark/>
          </w:tcPr>
          <w:p w:rsidR="00845A03" w:rsidRPr="00AC6A82" w:rsidRDefault="00845A03" w:rsidP="00CA3118">
            <w:pPr>
              <w:widowControl/>
              <w:jc w:val="left"/>
              <w:rPr>
                <w:rFonts w:ascii="Calibri" w:hAnsi="Calibri" w:cs="Calibri"/>
                <w:color w:val="000000"/>
                <w:szCs w:val="22"/>
                <w:lang w:eastAsia="en-US"/>
              </w:rPr>
            </w:pPr>
            <w:r w:rsidRPr="00AC6A82">
              <w:rPr>
                <w:rFonts w:ascii="Calibri" w:hAnsi="Calibri" w:cs="Calibri"/>
                <w:color w:val="000000"/>
                <w:szCs w:val="22"/>
                <w:lang w:eastAsia="en-US"/>
              </w:rPr>
              <w:t>ТБ "Банка ДСК" ЕАД</w:t>
            </w:r>
          </w:p>
        </w:tc>
      </w:tr>
      <w:tr w:rsidR="005216E9"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hideMark/>
          </w:tcPr>
          <w:p w:rsidR="005216E9" w:rsidRPr="00AC6A82" w:rsidRDefault="005216E9" w:rsidP="005216E9">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"Булброкърс" АД</w:t>
            </w:r>
          </w:p>
        </w:tc>
        <w:tc>
          <w:tcPr>
            <w:tcW w:w="4923" w:type="dxa"/>
            <w:tcBorders>
              <w:top w:val="nil"/>
              <w:left w:val="nil"/>
              <w:bottom w:val="nil"/>
              <w:right w:val="nil"/>
            </w:tcBorders>
            <w:shd w:val="clear" w:color="auto" w:fill="auto"/>
            <w:noWrap/>
            <w:tcMar>
              <w:left w:w="57" w:type="dxa"/>
              <w:right w:w="57" w:type="dxa"/>
            </w:tcMar>
            <w:vAlign w:val="center"/>
            <w:hideMark/>
          </w:tcPr>
          <w:p w:rsidR="005216E9" w:rsidRPr="00AC6A82" w:rsidRDefault="005216E9" w:rsidP="005216E9">
            <w:pPr>
              <w:widowControl/>
              <w:jc w:val="left"/>
              <w:rPr>
                <w:rFonts w:ascii="Calibri" w:hAnsi="Calibri" w:cs="Calibri"/>
                <w:color w:val="000000"/>
                <w:szCs w:val="22"/>
                <w:lang w:eastAsia="en-US"/>
              </w:rPr>
            </w:pPr>
            <w:r w:rsidRPr="00AC6A82">
              <w:rPr>
                <w:rFonts w:ascii="Calibri" w:hAnsi="Calibri" w:cs="Calibri"/>
                <w:color w:val="000000"/>
                <w:szCs w:val="22"/>
                <w:lang w:eastAsia="en-US"/>
              </w:rPr>
              <w:t>ТБ "Банка Пиреос България" АД</w:t>
            </w:r>
          </w:p>
        </w:tc>
      </w:tr>
      <w:tr w:rsidR="005216E9"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5216E9" w:rsidRPr="00AC6A82" w:rsidRDefault="005216E9" w:rsidP="005216E9">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"Варчев Финанс" ЕООД</w:t>
            </w:r>
          </w:p>
        </w:tc>
        <w:tc>
          <w:tcPr>
            <w:tcW w:w="4923" w:type="dxa"/>
            <w:tcBorders>
              <w:top w:val="nil"/>
              <w:left w:val="nil"/>
              <w:bottom w:val="nil"/>
              <w:right w:val="nil"/>
            </w:tcBorders>
            <w:shd w:val="clear" w:color="auto" w:fill="auto"/>
            <w:noWrap/>
            <w:tcMar>
              <w:left w:w="57" w:type="dxa"/>
              <w:right w:w="57" w:type="dxa"/>
            </w:tcMar>
            <w:vAlign w:val="center"/>
            <w:hideMark/>
          </w:tcPr>
          <w:p w:rsidR="005216E9" w:rsidRPr="00AC6A82" w:rsidRDefault="005216E9" w:rsidP="005216E9">
            <w:pPr>
              <w:widowControl/>
              <w:jc w:val="left"/>
              <w:rPr>
                <w:rFonts w:ascii="Calibri" w:hAnsi="Calibri" w:cs="Calibri"/>
                <w:color w:val="000000"/>
                <w:szCs w:val="22"/>
                <w:lang w:eastAsia="en-US"/>
              </w:rPr>
            </w:pPr>
            <w:r w:rsidRPr="00AC6A82">
              <w:rPr>
                <w:rFonts w:ascii="Calibri" w:hAnsi="Calibri" w:cs="Calibri"/>
                <w:color w:val="000000"/>
                <w:szCs w:val="22"/>
                <w:lang w:eastAsia="en-US"/>
              </w:rPr>
              <w:t>ТБ "Българо-Американска Кредитна Банка" АД</w:t>
            </w:r>
          </w:p>
        </w:tc>
      </w:tr>
      <w:tr w:rsidR="005216E9"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5216E9" w:rsidRPr="00AC6A82" w:rsidRDefault="005216E9" w:rsidP="005216E9">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"Д.И.С.Л. Секюритийс" АД</w:t>
            </w:r>
          </w:p>
        </w:tc>
        <w:tc>
          <w:tcPr>
            <w:tcW w:w="4923" w:type="dxa"/>
            <w:tcBorders>
              <w:top w:val="nil"/>
              <w:left w:val="nil"/>
              <w:bottom w:val="nil"/>
              <w:right w:val="nil"/>
            </w:tcBorders>
            <w:shd w:val="clear" w:color="auto" w:fill="auto"/>
            <w:noWrap/>
            <w:tcMar>
              <w:left w:w="57" w:type="dxa"/>
              <w:right w:w="57" w:type="dxa"/>
            </w:tcMar>
            <w:vAlign w:val="center"/>
            <w:hideMark/>
          </w:tcPr>
          <w:p w:rsidR="005216E9" w:rsidRPr="00AC6A82" w:rsidRDefault="005216E9" w:rsidP="005216E9">
            <w:pPr>
              <w:widowControl/>
              <w:jc w:val="left"/>
              <w:rPr>
                <w:rFonts w:ascii="Calibri" w:hAnsi="Calibri" w:cs="Calibri"/>
                <w:color w:val="000000"/>
                <w:szCs w:val="22"/>
                <w:lang w:eastAsia="en-US"/>
              </w:rPr>
            </w:pPr>
            <w:r w:rsidRPr="00AC6A82">
              <w:rPr>
                <w:rFonts w:ascii="Calibri" w:hAnsi="Calibri" w:cs="Calibri"/>
                <w:color w:val="000000"/>
                <w:szCs w:val="22"/>
                <w:lang w:eastAsia="en-US"/>
              </w:rPr>
              <w:t>ТБ "Българска Банка за развитие" АД</w:t>
            </w:r>
          </w:p>
        </w:tc>
      </w:tr>
      <w:tr w:rsidR="00D92A1A"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"Де Ново" ЕАД</w:t>
            </w:r>
          </w:p>
        </w:tc>
        <w:tc>
          <w:tcPr>
            <w:tcW w:w="4923" w:type="dxa"/>
            <w:tcBorders>
              <w:top w:val="nil"/>
              <w:left w:val="nil"/>
              <w:bottom w:val="nil"/>
              <w:right w:val="nil"/>
            </w:tcBorders>
            <w:shd w:val="clear" w:color="auto" w:fill="auto"/>
            <w:noWrap/>
            <w:tcMar>
              <w:left w:w="57" w:type="dxa"/>
              <w:right w:w="57" w:type="dxa"/>
            </w:tcMar>
            <w:vAlign w:val="center"/>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ТБ "Инвестбанк" АД</w:t>
            </w:r>
          </w:p>
        </w:tc>
      </w:tr>
      <w:tr w:rsidR="00D92A1A"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"Ди Ви Инвест" ЕАД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ТБ "Интернешънъл Асет Банк" АД</w:t>
            </w:r>
          </w:p>
        </w:tc>
      </w:tr>
      <w:tr w:rsidR="00D92A1A"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"Дилингова Финансова Компания" 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ТБ "Обединена Българска Банка" АД</w:t>
            </w:r>
          </w:p>
        </w:tc>
      </w:tr>
      <w:tr w:rsidR="00D92A1A"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"Евро - Финанс" 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ТБ "Общинска Банка" АД</w:t>
            </w:r>
          </w:p>
        </w:tc>
      </w:tr>
      <w:tr w:rsidR="00D92A1A"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"Елана Трейдинг" 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ТБ "Първа Инвестиционна Банка" АД</w:t>
            </w:r>
          </w:p>
        </w:tc>
      </w:tr>
      <w:tr w:rsidR="00D92A1A"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"Загора Финакорп" 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ТБ "Райфайзенбанк - България" АД</w:t>
            </w:r>
          </w:p>
        </w:tc>
      </w:tr>
      <w:tr w:rsidR="00D92A1A"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"Интеркапитал Маркетс" 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ТБ "Тексим банк" АД</w:t>
            </w:r>
          </w:p>
        </w:tc>
      </w:tr>
      <w:tr w:rsidR="00D92A1A"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"Капман" 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ТБ "ТиБи Ай Банк" ЕАД</w:t>
            </w:r>
          </w:p>
        </w:tc>
      </w:tr>
      <w:tr w:rsidR="00D92A1A"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"Карол" 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ТБ "Токуда Банк" АД</w:t>
            </w:r>
          </w:p>
        </w:tc>
      </w:tr>
      <w:tr w:rsidR="00D92A1A"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"Кепитъл Инвест" ЕАД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ТБ "Търговска Банка Д" АД</w:t>
            </w:r>
          </w:p>
        </w:tc>
      </w:tr>
      <w:tr w:rsidR="00D92A1A"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"Кепитъл Маркетс" АД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ТБ "УниКредит Булбанк" АД</w:t>
            </w:r>
          </w:p>
        </w:tc>
      </w:tr>
      <w:tr w:rsidR="00D92A1A" w:rsidRPr="00AC6A82" w:rsidTr="00D92A1A">
        <w:trPr>
          <w:trHeight w:val="397"/>
        </w:trPr>
        <w:tc>
          <w:tcPr>
            <w:tcW w:w="5260" w:type="dxa"/>
            <w:tcBorders>
              <w:top w:val="nil"/>
              <w:left w:val="nil"/>
              <w:bottom w:val="nil"/>
              <w:right w:val="nil"/>
            </w:tcBorders>
            <w:shd w:val="clear" w:color="auto" w:fill="auto"/>
            <w:noWrap/>
            <w:tcMar>
              <w:left w:w="57" w:type="dxa"/>
              <w:right w:w="57" w:type="dxa"/>
            </w:tcMar>
            <w:vAlign w:val="center"/>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"Първа Финансова Брокерска Къща" ЕООД</w:t>
            </w:r>
          </w:p>
        </w:tc>
        <w:tc>
          <w:tcPr>
            <w:tcW w:w="4923" w:type="dxa"/>
            <w:tcBorders>
              <w:top w:val="nil"/>
              <w:left w:val="nil"/>
              <w:bottom w:val="nil"/>
              <w:right w:val="nil"/>
            </w:tcBorders>
            <w:shd w:val="clear" w:color="auto" w:fill="auto"/>
            <w:noWrap/>
            <w:tcMar>
              <w:left w:w="57" w:type="dxa"/>
              <w:right w:w="57" w:type="dxa"/>
            </w:tcMar>
            <w:vAlign w:val="center"/>
            <w:hideMark/>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ТБ "Централна Кооперативна Банка" АД</w:t>
            </w:r>
          </w:p>
        </w:tc>
      </w:tr>
      <w:tr w:rsidR="00D92A1A" w:rsidRPr="00AC6A82" w:rsidTr="00D92A1A">
        <w:trPr>
          <w:trHeight w:val="397"/>
        </w:trPr>
        <w:tc>
          <w:tcPr>
            <w:tcW w:w="5260" w:type="dxa"/>
            <w:tcBorders>
              <w:top w:val="nil"/>
              <w:left w:val="nil"/>
              <w:right w:val="nil"/>
            </w:tcBorders>
            <w:shd w:val="clear" w:color="auto" w:fill="auto"/>
            <w:noWrap/>
            <w:tcMar>
              <w:left w:w="57" w:type="dxa"/>
              <w:right w:w="57" w:type="dxa"/>
            </w:tcMar>
            <w:vAlign w:val="center"/>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"Реал Финанс" АД</w:t>
            </w:r>
          </w:p>
        </w:tc>
        <w:tc>
          <w:tcPr>
            <w:tcW w:w="4923" w:type="dxa"/>
            <w:tcBorders>
              <w:top w:val="nil"/>
              <w:left w:val="nil"/>
              <w:right w:val="nil"/>
            </w:tcBorders>
            <w:shd w:val="clear" w:color="auto" w:fill="auto"/>
            <w:noWrap/>
            <w:tcMar>
              <w:left w:w="57" w:type="dxa"/>
              <w:right w:w="57" w:type="dxa"/>
            </w:tcMar>
            <w:vAlign w:val="center"/>
            <w:hideMark/>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ТБ "Юробанк България" АД</w:t>
            </w:r>
          </w:p>
        </w:tc>
      </w:tr>
      <w:tr w:rsidR="00D92A1A" w:rsidRPr="00AC6A82" w:rsidTr="00D92A1A">
        <w:trPr>
          <w:trHeight w:val="397"/>
        </w:trPr>
        <w:tc>
          <w:tcPr>
            <w:tcW w:w="5260" w:type="dxa"/>
            <w:tcBorders>
              <w:top w:val="nil"/>
              <w:left w:val="nil"/>
              <w:bottom w:val="single" w:sz="4" w:space="0" w:color="auto"/>
              <w:right w:val="nil"/>
            </w:tcBorders>
            <w:shd w:val="clear" w:color="auto" w:fill="auto"/>
            <w:noWrap/>
            <w:tcMar>
              <w:left w:w="57" w:type="dxa"/>
              <w:right w:w="57" w:type="dxa"/>
            </w:tcMar>
            <w:vAlign w:val="center"/>
          </w:tcPr>
          <w:p w:rsidR="00D92A1A" w:rsidRPr="00AC6A82" w:rsidRDefault="00D92A1A" w:rsidP="00D92A1A">
            <w:pPr>
              <w:widowControl/>
              <w:jc w:val="left"/>
              <w:rPr>
                <w:rFonts w:ascii="Calibri" w:hAnsi="Calibri" w:cs="Calibri"/>
                <w:color w:val="000000"/>
                <w:szCs w:val="22"/>
                <w:lang w:eastAsia="en-US"/>
              </w:rPr>
            </w:pPr>
            <w:r w:rsidRPr="00AC6A82">
              <w:rPr>
                <w:rFonts w:ascii="Calibri" w:hAnsi="Calibri" w:cs="Calibri"/>
                <w:color w:val="000000"/>
                <w:szCs w:val="22"/>
                <w:lang w:eastAsia="en-US"/>
              </w:rPr>
              <w:t>ИП "София Интернешънъл Секюритиз" АД</w:t>
            </w:r>
          </w:p>
        </w:tc>
        <w:tc>
          <w:tcPr>
            <w:tcW w:w="4923" w:type="dxa"/>
            <w:tcBorders>
              <w:top w:val="nil"/>
              <w:left w:val="nil"/>
              <w:bottom w:val="single" w:sz="4" w:space="0" w:color="auto"/>
              <w:right w:val="nil"/>
            </w:tcBorders>
            <w:shd w:val="clear" w:color="auto" w:fill="auto"/>
            <w:noWrap/>
            <w:tcMar>
              <w:left w:w="57" w:type="dxa"/>
              <w:right w:w="57" w:type="dxa"/>
            </w:tcMar>
            <w:vAlign w:val="center"/>
          </w:tcPr>
          <w:p w:rsidR="00D92A1A" w:rsidRPr="00AC6A82" w:rsidRDefault="00D92A1A" w:rsidP="00D92A1A">
            <w:pPr>
              <w:widowControl/>
              <w:jc w:val="left"/>
              <w:rPr>
                <w:rFonts w:ascii="Calibri" w:hAnsi="Calibri" w:cs="Calibri"/>
                <w:color w:val="000000"/>
                <w:szCs w:val="22"/>
                <w:lang w:eastAsia="en-US"/>
              </w:rPr>
            </w:pPr>
          </w:p>
        </w:tc>
      </w:tr>
    </w:tbl>
    <w:p w:rsidR="00DC1F5D" w:rsidRPr="00AC6A82" w:rsidRDefault="00DC1F5D" w:rsidP="001A50AB">
      <w:pPr>
        <w:rPr>
          <w:rFonts w:ascii="Calibri" w:hAnsi="Calibri" w:cs="Calibri"/>
        </w:rPr>
      </w:pPr>
    </w:p>
    <w:p w:rsidR="00113FAF" w:rsidRPr="00AC6A82" w:rsidRDefault="00A916CF" w:rsidP="00845A03">
      <w:pPr>
        <w:pStyle w:val="Mainnumbers"/>
        <w:spacing w:before="0"/>
        <w:rPr>
          <w:rFonts w:ascii="Calibri" w:hAnsi="Calibri" w:cs="Calibri"/>
        </w:rPr>
      </w:pPr>
      <w:r w:rsidRPr="00AC6A82">
        <w:rPr>
          <w:rFonts w:ascii="Calibri" w:hAnsi="Calibri" w:cs="Calibri"/>
        </w:rPr>
        <w:br w:type="page"/>
      </w:r>
      <w:bookmarkStart w:id="68" w:name="_Toc283112131"/>
      <w:bookmarkStart w:id="69" w:name="_Toc7535444"/>
      <w:r w:rsidR="00113FAF" w:rsidRPr="00AC6A82">
        <w:rPr>
          <w:rFonts w:ascii="Calibri" w:hAnsi="Calibri" w:cs="Calibri"/>
        </w:rPr>
        <w:t>Финансово състояние на</w:t>
      </w:r>
      <w:bookmarkEnd w:id="67"/>
      <w:bookmarkEnd w:id="68"/>
      <w:r w:rsidR="004A770C" w:rsidRPr="00AC6A82">
        <w:rPr>
          <w:rFonts w:ascii="Calibri" w:hAnsi="Calibri" w:cs="Calibri"/>
        </w:rPr>
        <w:t xml:space="preserve"> </w:t>
      </w:r>
      <w:r w:rsidR="00636F5A" w:rsidRPr="00AC6A82">
        <w:rPr>
          <w:rFonts w:ascii="Calibri" w:hAnsi="Calibri" w:cs="Calibri"/>
        </w:rPr>
        <w:t>Българска фондова борса</w:t>
      </w:r>
      <w:bookmarkEnd w:id="69"/>
    </w:p>
    <w:p w:rsidR="00222118" w:rsidRPr="00AC6A82" w:rsidRDefault="00062DD2" w:rsidP="001A50AB">
      <w:pPr>
        <w:rPr>
          <w:rFonts w:ascii="Calibri" w:hAnsi="Calibri" w:cs="Calibri"/>
        </w:rPr>
      </w:pPr>
      <w:r w:rsidRPr="00AC6A82">
        <w:rPr>
          <w:rFonts w:ascii="Calibri" w:hAnsi="Calibri" w:cs="Calibri"/>
        </w:rPr>
        <w:t xml:space="preserve">Финансовият отчет на </w:t>
      </w:r>
      <w:r w:rsidR="00AD1AAC" w:rsidRPr="00AC6A82">
        <w:rPr>
          <w:rFonts w:ascii="Calibri" w:hAnsi="Calibri" w:cs="Calibri"/>
        </w:rPr>
        <w:t xml:space="preserve">Българска фондова борса </w:t>
      </w:r>
      <w:r w:rsidRPr="00AC6A82">
        <w:rPr>
          <w:rFonts w:ascii="Calibri" w:hAnsi="Calibri" w:cs="Calibri"/>
        </w:rPr>
        <w:t xml:space="preserve">АД е изготвен съгласно приетата счетоводна политика на </w:t>
      </w:r>
      <w:r w:rsidR="009B30B6" w:rsidRPr="00AC6A82">
        <w:rPr>
          <w:rFonts w:ascii="Calibri" w:hAnsi="Calibri" w:cs="Calibri"/>
        </w:rPr>
        <w:t>БФБ</w:t>
      </w:r>
      <w:r w:rsidR="001230A8" w:rsidRPr="00AC6A82">
        <w:rPr>
          <w:rFonts w:ascii="Calibri" w:hAnsi="Calibri" w:cs="Calibri"/>
        </w:rPr>
        <w:t xml:space="preserve"> и пред</w:t>
      </w:r>
      <w:r w:rsidRPr="00AC6A82">
        <w:rPr>
          <w:rFonts w:ascii="Calibri" w:hAnsi="Calibri" w:cs="Calibri"/>
        </w:rPr>
        <w:t>ставя информация за финансовото й състояние и резултатите от дейността й.</w:t>
      </w:r>
    </w:p>
    <w:p w:rsidR="00455C02" w:rsidRPr="00AC6A82" w:rsidRDefault="00455C02" w:rsidP="003030DD">
      <w:pPr>
        <w:pStyle w:val="SubNumbers"/>
      </w:pPr>
      <w:bookmarkStart w:id="70" w:name="_Toc402281951"/>
      <w:bookmarkStart w:id="71" w:name="_Toc7535445"/>
      <w:bookmarkStart w:id="72" w:name="_Toc386535702"/>
      <w:r w:rsidRPr="00AC6A82">
        <w:t>Активи/пасиви</w:t>
      </w:r>
      <w:bookmarkEnd w:id="70"/>
      <w:bookmarkEnd w:id="71"/>
    </w:p>
    <w:p w:rsidR="00845A03" w:rsidRPr="00AC6A82" w:rsidRDefault="00845A03" w:rsidP="00845A03">
      <w:pPr>
        <w:rPr>
          <w:rFonts w:ascii="Calibri" w:hAnsi="Calibri" w:cs="Calibri"/>
        </w:rPr>
      </w:pPr>
      <w:r w:rsidRPr="00AC6A82">
        <w:rPr>
          <w:rFonts w:ascii="Calibri" w:hAnsi="Calibri" w:cs="Calibri"/>
        </w:rPr>
        <w:t>Сумата на активите на „</w:t>
      </w:r>
      <w:r w:rsidR="00AD1AAC" w:rsidRPr="00AC6A82">
        <w:rPr>
          <w:rFonts w:ascii="Calibri" w:hAnsi="Calibri" w:cs="Calibri"/>
        </w:rPr>
        <w:t>Българска фондова борса</w:t>
      </w:r>
      <w:r w:rsidRPr="00AC6A82">
        <w:rPr>
          <w:rFonts w:ascii="Calibri" w:hAnsi="Calibri" w:cs="Calibri"/>
        </w:rPr>
        <w:t xml:space="preserve">“ АД към края на </w:t>
      </w:r>
      <w:r w:rsidR="004A770C" w:rsidRPr="00AC6A82">
        <w:rPr>
          <w:rFonts w:ascii="Calibri" w:hAnsi="Calibri" w:cs="Calibri"/>
        </w:rPr>
        <w:t xml:space="preserve">първото </w:t>
      </w:r>
      <w:r w:rsidR="00AD1AAC" w:rsidRPr="00AC6A82">
        <w:rPr>
          <w:rFonts w:ascii="Calibri" w:hAnsi="Calibri" w:cs="Calibri"/>
        </w:rPr>
        <w:t xml:space="preserve">тримесечие </w:t>
      </w:r>
      <w:r w:rsidR="0007349E" w:rsidRPr="00AC6A82">
        <w:rPr>
          <w:rFonts w:ascii="Calibri" w:hAnsi="Calibri" w:cs="Calibri"/>
        </w:rPr>
        <w:t xml:space="preserve">на </w:t>
      </w:r>
      <w:r w:rsidRPr="00AC6A82">
        <w:rPr>
          <w:rFonts w:ascii="Calibri" w:hAnsi="Calibri" w:cs="Calibri"/>
        </w:rPr>
        <w:t>201</w:t>
      </w:r>
      <w:r w:rsidR="0058436E" w:rsidRPr="00AC6A82">
        <w:rPr>
          <w:rFonts w:ascii="Calibri" w:hAnsi="Calibri" w:cs="Calibri"/>
          <w:lang w:val="en-US"/>
        </w:rPr>
        <w:t>9</w:t>
      </w:r>
      <w:r w:rsidRPr="00AC6A82">
        <w:rPr>
          <w:rFonts w:ascii="Calibri" w:hAnsi="Calibri" w:cs="Calibri"/>
        </w:rPr>
        <w:t xml:space="preserve"> г. беше с </w:t>
      </w:r>
      <w:r w:rsidR="0058436E" w:rsidRPr="00AC6A82">
        <w:rPr>
          <w:rFonts w:ascii="Calibri" w:hAnsi="Calibri" w:cs="Calibri"/>
          <w:lang w:val="en-US"/>
        </w:rPr>
        <w:t>270</w:t>
      </w:r>
      <w:r w:rsidRPr="00AC6A82">
        <w:rPr>
          <w:rFonts w:ascii="Calibri" w:hAnsi="Calibri" w:cs="Calibri"/>
        </w:rPr>
        <w:t xml:space="preserve"> хил. лв. (</w:t>
      </w:r>
      <w:r w:rsidR="0058436E" w:rsidRPr="00AC6A82">
        <w:rPr>
          <w:rFonts w:ascii="Calibri" w:hAnsi="Calibri" w:cs="Calibri"/>
          <w:lang w:val="en-US"/>
        </w:rPr>
        <w:t>2.3</w:t>
      </w:r>
      <w:r w:rsidRPr="00AC6A82">
        <w:rPr>
          <w:rFonts w:ascii="Calibri" w:hAnsi="Calibri" w:cs="Calibri"/>
        </w:rPr>
        <w:t>%) по-</w:t>
      </w:r>
      <w:r w:rsidR="0058436E" w:rsidRPr="00AC6A82">
        <w:rPr>
          <w:rFonts w:ascii="Calibri" w:hAnsi="Calibri" w:cs="Calibri"/>
        </w:rPr>
        <w:t>ниска от стойността им в края на 201</w:t>
      </w:r>
      <w:r w:rsidR="0058436E" w:rsidRPr="00AC6A82">
        <w:rPr>
          <w:rFonts w:ascii="Calibri" w:hAnsi="Calibri" w:cs="Calibri"/>
          <w:lang w:val="en-US"/>
        </w:rPr>
        <w:t>8</w:t>
      </w:r>
      <w:r w:rsidRPr="00AC6A82">
        <w:rPr>
          <w:rFonts w:ascii="Calibri" w:hAnsi="Calibri" w:cs="Calibri"/>
        </w:rPr>
        <w:t xml:space="preserve"> г. </w:t>
      </w:r>
      <w:r w:rsidR="0058436E" w:rsidRPr="00AC6A82">
        <w:rPr>
          <w:rFonts w:ascii="Calibri" w:hAnsi="Calibri" w:cs="Calibri"/>
        </w:rPr>
        <w:t>В нетекущите активи има минимална отрицателна промяна от 44 хиляди лева (-0,5%)</w:t>
      </w:r>
      <w:r w:rsidRPr="00AC6A82">
        <w:rPr>
          <w:rFonts w:ascii="Calibri" w:hAnsi="Calibri" w:cs="Calibri"/>
        </w:rPr>
        <w:t>.</w:t>
      </w:r>
    </w:p>
    <w:p w:rsidR="00845A03" w:rsidRPr="00AC6A82" w:rsidRDefault="00845A03" w:rsidP="00845A03">
      <w:pPr>
        <w:rPr>
          <w:rFonts w:ascii="Calibri" w:hAnsi="Calibri" w:cs="Calibri"/>
        </w:rPr>
      </w:pPr>
      <w:r w:rsidRPr="00AC6A82">
        <w:rPr>
          <w:rFonts w:ascii="Calibri" w:hAnsi="Calibri" w:cs="Calibri"/>
        </w:rPr>
        <w:t xml:space="preserve">Текущите активи </w:t>
      </w:r>
      <w:r w:rsidR="00D92A1A" w:rsidRPr="00AC6A82">
        <w:rPr>
          <w:rFonts w:ascii="Calibri" w:hAnsi="Calibri" w:cs="Calibri"/>
        </w:rPr>
        <w:t>намаляват</w:t>
      </w:r>
      <w:r w:rsidRPr="00AC6A82">
        <w:rPr>
          <w:rFonts w:ascii="Calibri" w:hAnsi="Calibri" w:cs="Calibri"/>
        </w:rPr>
        <w:t xml:space="preserve"> с </w:t>
      </w:r>
      <w:r w:rsidR="0058436E" w:rsidRPr="00AC6A82">
        <w:rPr>
          <w:rFonts w:ascii="Calibri" w:hAnsi="Calibri" w:cs="Calibri"/>
        </w:rPr>
        <w:t>8</w:t>
      </w:r>
      <w:r w:rsidRPr="00AC6A82">
        <w:rPr>
          <w:rFonts w:ascii="Calibri" w:hAnsi="Calibri" w:cs="Calibri"/>
        </w:rPr>
        <w:t xml:space="preserve">% или </w:t>
      </w:r>
      <w:r w:rsidR="0058436E" w:rsidRPr="00AC6A82">
        <w:rPr>
          <w:rFonts w:ascii="Calibri" w:hAnsi="Calibri" w:cs="Calibri"/>
        </w:rPr>
        <w:t>226</w:t>
      </w:r>
      <w:r w:rsidRPr="00AC6A82">
        <w:rPr>
          <w:rFonts w:ascii="Calibri" w:hAnsi="Calibri" w:cs="Calibri"/>
        </w:rPr>
        <w:t xml:space="preserve"> хиляди лева</w:t>
      </w:r>
      <w:r w:rsidR="00D92A1A" w:rsidRPr="00AC6A82">
        <w:rPr>
          <w:rFonts w:ascii="Calibri" w:hAnsi="Calibri" w:cs="Calibri"/>
        </w:rPr>
        <w:t>. Р</w:t>
      </w:r>
      <w:r w:rsidRPr="00AC6A82">
        <w:rPr>
          <w:rFonts w:ascii="Calibri" w:hAnsi="Calibri" w:cs="Calibri"/>
        </w:rPr>
        <w:t xml:space="preserve">ъст </w:t>
      </w:r>
      <w:r w:rsidR="0058436E" w:rsidRPr="00AC6A82">
        <w:rPr>
          <w:rFonts w:ascii="Calibri" w:hAnsi="Calibri" w:cs="Calibri"/>
        </w:rPr>
        <w:t xml:space="preserve">от 124 хиляди лева </w:t>
      </w:r>
      <w:r w:rsidR="00D92A1A" w:rsidRPr="00AC6A82">
        <w:rPr>
          <w:rFonts w:ascii="Calibri" w:hAnsi="Calibri" w:cs="Calibri"/>
        </w:rPr>
        <w:t xml:space="preserve">има в </w:t>
      </w:r>
      <w:r w:rsidRPr="00AC6A82">
        <w:rPr>
          <w:rFonts w:ascii="Calibri" w:hAnsi="Calibri" w:cs="Calibri"/>
        </w:rPr>
        <w:t>стойността на позицията</w:t>
      </w:r>
      <w:r w:rsidR="0058436E" w:rsidRPr="00AC6A82">
        <w:rPr>
          <w:rFonts w:ascii="Calibri" w:hAnsi="Calibri" w:cs="Calibri"/>
        </w:rPr>
        <w:t xml:space="preserve"> Търговски вземания</w:t>
      </w:r>
      <w:r w:rsidR="00D92A1A" w:rsidRPr="00AC6A82">
        <w:rPr>
          <w:rFonts w:ascii="Calibri" w:hAnsi="Calibri" w:cs="Calibri"/>
        </w:rPr>
        <w:t xml:space="preserve">. </w:t>
      </w:r>
      <w:r w:rsidR="0058436E" w:rsidRPr="00AC6A82">
        <w:rPr>
          <w:rFonts w:ascii="Calibri" w:hAnsi="Calibri" w:cs="Calibri"/>
        </w:rPr>
        <w:t xml:space="preserve">Други вземания и предплатени разходи нараства със 78 хиляди лева. Същевременно Парични средства и парични еквиваленти намалява с 428 хиляди лева. </w:t>
      </w:r>
      <w:r w:rsidRPr="00AC6A82">
        <w:rPr>
          <w:rFonts w:ascii="Calibri" w:hAnsi="Calibri" w:cs="Calibri"/>
        </w:rPr>
        <w:t xml:space="preserve">Към края на </w:t>
      </w:r>
      <w:r w:rsidR="0058436E" w:rsidRPr="00AC6A82">
        <w:rPr>
          <w:rFonts w:ascii="Calibri" w:hAnsi="Calibri" w:cs="Calibri"/>
        </w:rPr>
        <w:t xml:space="preserve">първото </w:t>
      </w:r>
      <w:r w:rsidR="00AD1AAC" w:rsidRPr="00AC6A82">
        <w:rPr>
          <w:rFonts w:ascii="Calibri" w:hAnsi="Calibri" w:cs="Calibri"/>
        </w:rPr>
        <w:t>три</w:t>
      </w:r>
      <w:r w:rsidR="0058436E" w:rsidRPr="00AC6A82">
        <w:rPr>
          <w:rFonts w:ascii="Calibri" w:hAnsi="Calibri" w:cs="Calibri"/>
        </w:rPr>
        <w:t>месечие на 2019</w:t>
      </w:r>
      <w:r w:rsidR="0007349E" w:rsidRPr="00AC6A82">
        <w:rPr>
          <w:rFonts w:ascii="Calibri" w:hAnsi="Calibri" w:cs="Calibri"/>
        </w:rPr>
        <w:t xml:space="preserve"> година</w:t>
      </w:r>
      <w:r w:rsidR="0058436E" w:rsidRPr="00AC6A82">
        <w:rPr>
          <w:rFonts w:ascii="Calibri" w:hAnsi="Calibri" w:cs="Calibri"/>
        </w:rPr>
        <w:t>, както и в края на 2018 година</w:t>
      </w:r>
      <w:r w:rsidRPr="00AC6A82">
        <w:rPr>
          <w:rFonts w:ascii="Calibri" w:hAnsi="Calibri" w:cs="Calibri"/>
        </w:rPr>
        <w:t xml:space="preserve"> Борсата няма срочни депозити в банки.</w:t>
      </w:r>
    </w:p>
    <w:p w:rsidR="00845A03" w:rsidRPr="00AC6A82" w:rsidRDefault="00845A03" w:rsidP="00845A03">
      <w:pPr>
        <w:rPr>
          <w:rFonts w:ascii="Calibri" w:hAnsi="Calibri" w:cs="Calibri"/>
        </w:rPr>
      </w:pPr>
      <w:r w:rsidRPr="00AC6A82">
        <w:rPr>
          <w:rFonts w:ascii="Calibri" w:hAnsi="Calibri" w:cs="Calibri"/>
        </w:rPr>
        <w:t>По отнош</w:t>
      </w:r>
      <w:r w:rsidR="0058436E" w:rsidRPr="00AC6A82">
        <w:rPr>
          <w:rFonts w:ascii="Calibri" w:hAnsi="Calibri" w:cs="Calibri"/>
        </w:rPr>
        <w:t>ение на пасива, към края на 2018</w:t>
      </w:r>
      <w:r w:rsidRPr="00AC6A82">
        <w:rPr>
          <w:rFonts w:ascii="Calibri" w:hAnsi="Calibri" w:cs="Calibri"/>
        </w:rPr>
        <w:t xml:space="preserve"> година бе натрупана печалба в размер на </w:t>
      </w:r>
      <w:r w:rsidR="0058436E" w:rsidRPr="00AC6A82">
        <w:rPr>
          <w:rFonts w:ascii="Calibri" w:hAnsi="Calibri" w:cs="Calibri"/>
        </w:rPr>
        <w:t>379</w:t>
      </w:r>
      <w:r w:rsidRPr="00AC6A82">
        <w:rPr>
          <w:rFonts w:ascii="Calibri" w:hAnsi="Calibri" w:cs="Calibri"/>
        </w:rPr>
        <w:t xml:space="preserve"> хиляди лева. Към края на текущия период е натрупана печалба в размер на </w:t>
      </w:r>
      <w:r w:rsidR="0058436E" w:rsidRPr="00AC6A82">
        <w:rPr>
          <w:rFonts w:ascii="Calibri" w:hAnsi="Calibri" w:cs="Calibri"/>
        </w:rPr>
        <w:t>271</w:t>
      </w:r>
      <w:r w:rsidRPr="00AC6A82">
        <w:rPr>
          <w:rFonts w:ascii="Calibri" w:hAnsi="Calibri" w:cs="Calibri"/>
        </w:rPr>
        <w:t xml:space="preserve"> хиляди лева. </w:t>
      </w:r>
      <w:r w:rsidR="00D13F8F" w:rsidRPr="00AC6A82">
        <w:rPr>
          <w:rFonts w:ascii="Calibri" w:hAnsi="Calibri" w:cs="Calibri"/>
        </w:rPr>
        <w:t xml:space="preserve">Съответно, собственият капитал на дружеството намалява със 108 хиляди лева. </w:t>
      </w:r>
      <w:r w:rsidRPr="00AC6A82">
        <w:rPr>
          <w:rFonts w:ascii="Calibri" w:hAnsi="Calibri" w:cs="Calibri"/>
        </w:rPr>
        <w:t xml:space="preserve">Натрупаната печалба на дружеството в края на </w:t>
      </w:r>
      <w:r w:rsidR="00AD1AAC" w:rsidRPr="00AC6A82">
        <w:rPr>
          <w:rFonts w:ascii="Calibri" w:hAnsi="Calibri" w:cs="Calibri"/>
        </w:rPr>
        <w:t>три</w:t>
      </w:r>
      <w:r w:rsidRPr="00AC6A82">
        <w:rPr>
          <w:rFonts w:ascii="Calibri" w:hAnsi="Calibri" w:cs="Calibri"/>
        </w:rPr>
        <w:t>месечието се дължи основно на резултата от дейността през текущия период.</w:t>
      </w:r>
    </w:p>
    <w:p w:rsidR="00455C02" w:rsidRPr="00AC6A82" w:rsidRDefault="00D13F8F" w:rsidP="00845A03">
      <w:pPr>
        <w:rPr>
          <w:rFonts w:ascii="Calibri" w:hAnsi="Calibri"/>
          <w:szCs w:val="22"/>
        </w:rPr>
      </w:pPr>
      <w:r w:rsidRPr="00AC6A82">
        <w:rPr>
          <w:rFonts w:ascii="Calibri" w:hAnsi="Calibri" w:cs="Calibri"/>
        </w:rPr>
        <w:t>Текущите задължения спадат</w:t>
      </w:r>
      <w:r w:rsidR="00845A03" w:rsidRPr="00AC6A82">
        <w:rPr>
          <w:rFonts w:ascii="Calibri" w:hAnsi="Calibri" w:cs="Calibri"/>
        </w:rPr>
        <w:t xml:space="preserve"> </w:t>
      </w:r>
      <w:r w:rsidRPr="00AC6A82">
        <w:rPr>
          <w:rFonts w:ascii="Calibri" w:hAnsi="Calibri" w:cs="Calibri"/>
        </w:rPr>
        <w:t>със 13,5</w:t>
      </w:r>
      <w:r w:rsidR="00845A03" w:rsidRPr="00AC6A82">
        <w:rPr>
          <w:rFonts w:ascii="Calibri" w:hAnsi="Calibri" w:cs="Calibri"/>
        </w:rPr>
        <w:t>%</w:t>
      </w:r>
      <w:r w:rsidRPr="00AC6A82">
        <w:rPr>
          <w:rFonts w:ascii="Calibri" w:hAnsi="Calibri" w:cs="Calibri"/>
        </w:rPr>
        <w:t xml:space="preserve"> или 162 хил. лв.</w:t>
      </w:r>
      <w:r w:rsidR="00845A03" w:rsidRPr="00AC6A82">
        <w:rPr>
          <w:rFonts w:ascii="Calibri" w:hAnsi="Calibri" w:cs="Calibri"/>
        </w:rPr>
        <w:t xml:space="preserve">, а нетекущите </w:t>
      </w:r>
      <w:r w:rsidRPr="00AC6A82">
        <w:rPr>
          <w:rFonts w:ascii="Calibri" w:hAnsi="Calibri" w:cs="Calibri"/>
        </w:rPr>
        <w:t>остават непроменени</w:t>
      </w:r>
      <w:r w:rsidR="00845A03" w:rsidRPr="00AC6A82">
        <w:rPr>
          <w:rFonts w:ascii="Calibri" w:hAnsi="Calibri" w:cs="Calibri"/>
        </w:rPr>
        <w:t xml:space="preserve">. </w:t>
      </w:r>
      <w:r w:rsidRPr="00AC6A82">
        <w:rPr>
          <w:rFonts w:ascii="Calibri" w:hAnsi="Calibri" w:cs="Calibri"/>
        </w:rPr>
        <w:t>През текущия период бе изплатена втората вноска от задължението</w:t>
      </w:r>
      <w:r w:rsidR="00845A03" w:rsidRPr="00AC6A82">
        <w:rPr>
          <w:rFonts w:ascii="Calibri" w:hAnsi="Calibri" w:cs="Calibri"/>
        </w:rPr>
        <w:t xml:space="preserve"> към Български енергиен холдинг, свързани с придобиването на капитала на БНЕБ</w:t>
      </w:r>
      <w:r w:rsidRPr="00AC6A82">
        <w:rPr>
          <w:rFonts w:ascii="Calibri" w:hAnsi="Calibri" w:cs="Calibri"/>
        </w:rPr>
        <w:t>, а третата</w:t>
      </w:r>
      <w:r w:rsidR="00845A03" w:rsidRPr="00AC6A82">
        <w:rPr>
          <w:rFonts w:ascii="Calibri" w:hAnsi="Calibri" w:cs="Calibri"/>
        </w:rPr>
        <w:t xml:space="preserve"> </w:t>
      </w:r>
      <w:r w:rsidRPr="00AC6A82">
        <w:rPr>
          <w:rFonts w:ascii="Calibri" w:hAnsi="Calibri" w:cs="Calibri"/>
        </w:rPr>
        <w:t>оставаща вноска</w:t>
      </w:r>
      <w:r w:rsidR="00AD1AAC" w:rsidRPr="00AC6A82">
        <w:rPr>
          <w:rFonts w:ascii="Calibri" w:hAnsi="Calibri" w:cs="Calibri"/>
        </w:rPr>
        <w:t>, дъл</w:t>
      </w:r>
      <w:r w:rsidRPr="00AC6A82">
        <w:rPr>
          <w:rFonts w:ascii="Calibri" w:hAnsi="Calibri" w:cs="Calibri"/>
        </w:rPr>
        <w:t>жима</w:t>
      </w:r>
      <w:r w:rsidR="00AD1AAC" w:rsidRPr="00AC6A82">
        <w:rPr>
          <w:rFonts w:ascii="Calibri" w:hAnsi="Calibri" w:cs="Calibri"/>
        </w:rPr>
        <w:t xml:space="preserve"> към </w:t>
      </w:r>
      <w:r w:rsidR="00845A03" w:rsidRPr="00AC6A82">
        <w:rPr>
          <w:rFonts w:ascii="Calibri" w:hAnsi="Calibri" w:cs="Calibri"/>
        </w:rPr>
        <w:t xml:space="preserve">август 2019 </w:t>
      </w:r>
      <w:r w:rsidRPr="00AC6A82">
        <w:rPr>
          <w:rFonts w:ascii="Calibri" w:hAnsi="Calibri" w:cs="Calibri"/>
        </w:rPr>
        <w:t xml:space="preserve">е отразена </w:t>
      </w:r>
      <w:r w:rsidR="00273E66">
        <w:rPr>
          <w:rFonts w:ascii="Calibri" w:hAnsi="Calibri" w:cs="Calibri"/>
        </w:rPr>
        <w:t xml:space="preserve">като текущо задължение </w:t>
      </w:r>
      <w:r w:rsidRPr="00AC6A82">
        <w:rPr>
          <w:rFonts w:ascii="Calibri" w:hAnsi="Calibri" w:cs="Calibri"/>
        </w:rPr>
        <w:t xml:space="preserve">в </w:t>
      </w:r>
      <w:r w:rsidRPr="00AC6A82">
        <w:rPr>
          <w:rFonts w:ascii="Calibri" w:hAnsi="Calibri"/>
          <w:szCs w:val="22"/>
        </w:rPr>
        <w:t>Задължения към доставчици и други кредитори</w:t>
      </w:r>
      <w:r w:rsidR="009B7955" w:rsidRPr="00AC6A82">
        <w:rPr>
          <w:rFonts w:ascii="Calibri" w:hAnsi="Calibri" w:cs="Calibri"/>
        </w:rPr>
        <w:t>.</w:t>
      </w:r>
    </w:p>
    <w:p w:rsidR="00455C02" w:rsidRPr="00AC6A82" w:rsidRDefault="00455C02" w:rsidP="003030DD">
      <w:pPr>
        <w:pStyle w:val="SubNumbers"/>
      </w:pPr>
      <w:bookmarkStart w:id="73" w:name="_Toc402281952"/>
      <w:bookmarkStart w:id="74" w:name="_Ref536438316"/>
      <w:bookmarkStart w:id="75" w:name="_Ref536438322"/>
      <w:bookmarkStart w:id="76" w:name="_Toc7535446"/>
      <w:bookmarkStart w:id="77" w:name="_Toc386535703"/>
      <w:bookmarkEnd w:id="72"/>
      <w:r w:rsidRPr="00AC6A82">
        <w:t>Приходи/разходи</w:t>
      </w:r>
      <w:bookmarkEnd w:id="73"/>
      <w:bookmarkEnd w:id="74"/>
      <w:bookmarkEnd w:id="75"/>
      <w:bookmarkEnd w:id="76"/>
    </w:p>
    <w:p w:rsidR="005E139C" w:rsidRPr="00AC6A82" w:rsidRDefault="00845A03" w:rsidP="005E139C">
      <w:pPr>
        <w:rPr>
          <w:rFonts w:ascii="Calibri" w:hAnsi="Calibri" w:cs="Calibri"/>
        </w:rPr>
      </w:pPr>
      <w:r w:rsidRPr="00AC6A82">
        <w:rPr>
          <w:rFonts w:ascii="Calibri" w:hAnsi="Calibri" w:cs="Calibri"/>
        </w:rPr>
        <w:t xml:space="preserve">По отношение на Приходите от основна дейност, Борсата реализира </w:t>
      </w:r>
      <w:r w:rsidR="0028074C" w:rsidRPr="00AC6A82">
        <w:rPr>
          <w:rFonts w:ascii="Calibri" w:hAnsi="Calibri" w:cs="Calibri"/>
        </w:rPr>
        <w:t>ръст спрямо същия период на 201</w:t>
      </w:r>
      <w:r w:rsidR="0028074C" w:rsidRPr="00AC6A82">
        <w:rPr>
          <w:rFonts w:ascii="Calibri" w:hAnsi="Calibri" w:cs="Calibri"/>
          <w:lang w:val="en-US"/>
        </w:rPr>
        <w:t>8</w:t>
      </w:r>
      <w:r w:rsidRPr="00AC6A82">
        <w:rPr>
          <w:rFonts w:ascii="Calibri" w:hAnsi="Calibri" w:cs="Calibri"/>
        </w:rPr>
        <w:t xml:space="preserve"> г. от </w:t>
      </w:r>
      <w:r w:rsidR="0028074C" w:rsidRPr="00AC6A82">
        <w:rPr>
          <w:rFonts w:ascii="Calibri" w:hAnsi="Calibri" w:cs="Calibri"/>
          <w:lang w:val="en-US"/>
        </w:rPr>
        <w:t>2</w:t>
      </w:r>
      <w:r w:rsidR="0007349E" w:rsidRPr="00AC6A82">
        <w:rPr>
          <w:rFonts w:ascii="Calibri" w:hAnsi="Calibri" w:cs="Calibri"/>
        </w:rPr>
        <w:t>,</w:t>
      </w:r>
      <w:r w:rsidR="0028074C" w:rsidRPr="00AC6A82">
        <w:rPr>
          <w:rFonts w:ascii="Calibri" w:hAnsi="Calibri" w:cs="Calibri"/>
          <w:lang w:val="en-US"/>
        </w:rPr>
        <w:t>9</w:t>
      </w:r>
      <w:r w:rsidRPr="00AC6A82">
        <w:rPr>
          <w:rFonts w:ascii="Calibri" w:hAnsi="Calibri" w:cs="Calibri"/>
        </w:rPr>
        <w:t>%</w:t>
      </w:r>
      <w:r w:rsidR="0028074C" w:rsidRPr="00AC6A82">
        <w:rPr>
          <w:rFonts w:ascii="Calibri" w:hAnsi="Calibri" w:cs="Calibri"/>
          <w:lang w:val="en-US"/>
        </w:rPr>
        <w:t xml:space="preserve"> </w:t>
      </w:r>
      <w:r w:rsidR="0028074C" w:rsidRPr="00AC6A82">
        <w:rPr>
          <w:rFonts w:ascii="Calibri" w:hAnsi="Calibri" w:cs="Calibri"/>
        </w:rPr>
        <w:t>или 13 хиляди лева</w:t>
      </w:r>
      <w:r w:rsidRPr="00AC6A82">
        <w:rPr>
          <w:rFonts w:ascii="Calibri" w:hAnsi="Calibri" w:cs="Calibri"/>
        </w:rPr>
        <w:t xml:space="preserve">, който се дължи главно на </w:t>
      </w:r>
      <w:r w:rsidR="0028074C" w:rsidRPr="00AC6A82">
        <w:rPr>
          <w:rFonts w:ascii="Calibri" w:hAnsi="Calibri" w:cs="Calibri"/>
        </w:rPr>
        <w:t xml:space="preserve">нарастване в </w:t>
      </w:r>
      <w:r w:rsidR="005E139C" w:rsidRPr="00AC6A82">
        <w:rPr>
          <w:rFonts w:ascii="Calibri" w:hAnsi="Calibri" w:cs="Calibri"/>
        </w:rPr>
        <w:t>приходи</w:t>
      </w:r>
      <w:r w:rsidR="000F16B4" w:rsidRPr="00AC6A82">
        <w:rPr>
          <w:rFonts w:ascii="Calibri" w:hAnsi="Calibri" w:cs="Calibri"/>
        </w:rPr>
        <w:t xml:space="preserve"> от Комисион</w:t>
      </w:r>
      <w:r w:rsidRPr="00AC6A82">
        <w:rPr>
          <w:rFonts w:ascii="Calibri" w:hAnsi="Calibri" w:cs="Calibri"/>
        </w:rPr>
        <w:t>и за с</w:t>
      </w:r>
      <w:r w:rsidR="000F16B4" w:rsidRPr="00AC6A82">
        <w:rPr>
          <w:rFonts w:ascii="Calibri" w:hAnsi="Calibri" w:cs="Calibri"/>
        </w:rPr>
        <w:t>делки на Борсата (</w:t>
      </w:r>
      <w:r w:rsidR="0028074C" w:rsidRPr="00AC6A82">
        <w:rPr>
          <w:rFonts w:ascii="Calibri" w:hAnsi="Calibri" w:cs="Calibri"/>
        </w:rPr>
        <w:t>3,4%</w:t>
      </w:r>
      <w:r w:rsidR="000F16B4" w:rsidRPr="00AC6A82">
        <w:rPr>
          <w:rFonts w:ascii="Calibri" w:hAnsi="Calibri" w:cs="Calibri"/>
        </w:rPr>
        <w:t>) и</w:t>
      </w:r>
      <w:r w:rsidR="0028074C" w:rsidRPr="00AC6A82">
        <w:rPr>
          <w:rFonts w:ascii="Calibri" w:hAnsi="Calibri" w:cs="Calibri"/>
        </w:rPr>
        <w:t xml:space="preserve"> Такси за информационно обслужване нарастват (9%). С 15% намалява </w:t>
      </w:r>
      <w:r w:rsidR="005E139C" w:rsidRPr="00AC6A82">
        <w:rPr>
          <w:rFonts w:ascii="Calibri" w:hAnsi="Calibri" w:cs="Calibri"/>
        </w:rPr>
        <w:t>Такси з</w:t>
      </w:r>
      <w:r w:rsidR="000F16B4" w:rsidRPr="00AC6A82">
        <w:rPr>
          <w:rFonts w:ascii="Calibri" w:hAnsi="Calibri" w:cs="Calibri"/>
        </w:rPr>
        <w:t xml:space="preserve">а </w:t>
      </w:r>
      <w:r w:rsidR="0028074C" w:rsidRPr="00AC6A82">
        <w:rPr>
          <w:rFonts w:ascii="Calibri" w:hAnsi="Calibri" w:cs="Calibri"/>
        </w:rPr>
        <w:t>членство, но в абсолютен размер намалението е незначително</w:t>
      </w:r>
      <w:r w:rsidRPr="00AC6A82">
        <w:rPr>
          <w:rFonts w:ascii="Calibri" w:hAnsi="Calibri" w:cs="Calibri"/>
        </w:rPr>
        <w:t>.</w:t>
      </w:r>
    </w:p>
    <w:p w:rsidR="00845A03" w:rsidRPr="00AC6A82" w:rsidRDefault="00845A03" w:rsidP="005E139C">
      <w:pPr>
        <w:rPr>
          <w:rFonts w:ascii="Calibri" w:hAnsi="Calibri" w:cs="Calibri"/>
        </w:rPr>
      </w:pPr>
      <w:r w:rsidRPr="00AC6A82">
        <w:rPr>
          <w:rFonts w:ascii="Calibri" w:hAnsi="Calibri" w:cs="Calibri"/>
        </w:rPr>
        <w:t xml:space="preserve">„Финансовите приходи“ </w:t>
      </w:r>
      <w:r w:rsidR="0028074C" w:rsidRPr="00AC6A82">
        <w:rPr>
          <w:rFonts w:ascii="Calibri" w:hAnsi="Calibri" w:cs="Calibri"/>
        </w:rPr>
        <w:t>намаляват ат 607</w:t>
      </w:r>
      <w:r w:rsidR="000F16B4" w:rsidRPr="00AC6A82">
        <w:rPr>
          <w:rFonts w:ascii="Calibri" w:hAnsi="Calibri" w:cs="Calibri"/>
        </w:rPr>
        <w:t xml:space="preserve"> </w:t>
      </w:r>
      <w:r w:rsidRPr="00AC6A82">
        <w:rPr>
          <w:rFonts w:ascii="Calibri" w:hAnsi="Calibri" w:cs="Calibri"/>
        </w:rPr>
        <w:t>хил. лв</w:t>
      </w:r>
      <w:r w:rsidR="0007349E" w:rsidRPr="00AC6A82">
        <w:rPr>
          <w:rFonts w:ascii="Calibri" w:hAnsi="Calibri" w:cs="Calibri"/>
        </w:rPr>
        <w:t>.</w:t>
      </w:r>
      <w:r w:rsidRPr="00AC6A82">
        <w:rPr>
          <w:rFonts w:ascii="Calibri" w:hAnsi="Calibri" w:cs="Calibri"/>
        </w:rPr>
        <w:t xml:space="preserve"> </w:t>
      </w:r>
      <w:r w:rsidR="0028074C" w:rsidRPr="00AC6A82">
        <w:rPr>
          <w:rFonts w:ascii="Calibri" w:hAnsi="Calibri" w:cs="Calibri"/>
        </w:rPr>
        <w:t>до 15 хиляди, тъй като през първото тримесечие на предходната година в тях бе отразен приходът</w:t>
      </w:r>
      <w:r w:rsidRPr="00AC6A82">
        <w:rPr>
          <w:rFonts w:ascii="Calibri" w:hAnsi="Calibri" w:cs="Calibri"/>
        </w:rPr>
        <w:t xml:space="preserve"> от продажбата на ДЦК, </w:t>
      </w:r>
      <w:r w:rsidR="0028074C" w:rsidRPr="00AC6A82">
        <w:rPr>
          <w:rFonts w:ascii="Calibri" w:hAnsi="Calibri" w:cs="Calibri"/>
        </w:rPr>
        <w:t xml:space="preserve">свързани с придобиването на </w:t>
      </w:r>
      <w:r w:rsidR="005E139C" w:rsidRPr="00AC6A82">
        <w:rPr>
          <w:rFonts w:ascii="Calibri" w:hAnsi="Calibri" w:cs="Calibri"/>
        </w:rPr>
        <w:t>Българска независима енергийна борса ЕАД</w:t>
      </w:r>
      <w:r w:rsidRPr="00AC6A82">
        <w:rPr>
          <w:rFonts w:ascii="Calibri" w:hAnsi="Calibri" w:cs="Calibri"/>
        </w:rPr>
        <w:t>. По останалите приходни пера има незначително в абсолютна стойност движение.</w:t>
      </w:r>
    </w:p>
    <w:p w:rsidR="00845A03" w:rsidRPr="00AC6A82" w:rsidRDefault="00845A03" w:rsidP="00845A03">
      <w:pPr>
        <w:rPr>
          <w:rFonts w:ascii="Calibri" w:hAnsi="Calibri" w:cs="Calibri"/>
        </w:rPr>
      </w:pPr>
      <w:r w:rsidRPr="00AC6A82">
        <w:rPr>
          <w:rFonts w:ascii="Calibri" w:hAnsi="Calibri" w:cs="Calibri"/>
        </w:rPr>
        <w:t xml:space="preserve">Към </w:t>
      </w:r>
      <w:r w:rsidR="000F16B4" w:rsidRPr="00AC6A82">
        <w:rPr>
          <w:rFonts w:ascii="Calibri" w:hAnsi="Calibri" w:cs="Calibri"/>
        </w:rPr>
        <w:t>31</w:t>
      </w:r>
      <w:r w:rsidRPr="00AC6A82">
        <w:rPr>
          <w:rFonts w:ascii="Calibri" w:hAnsi="Calibri" w:cs="Calibri"/>
        </w:rPr>
        <w:t>.</w:t>
      </w:r>
      <w:r w:rsidR="0028074C" w:rsidRPr="00AC6A82">
        <w:rPr>
          <w:rFonts w:ascii="Calibri" w:hAnsi="Calibri" w:cs="Calibri"/>
        </w:rPr>
        <w:t>03</w:t>
      </w:r>
      <w:r w:rsidRPr="00AC6A82">
        <w:rPr>
          <w:rFonts w:ascii="Calibri" w:hAnsi="Calibri" w:cs="Calibri"/>
        </w:rPr>
        <w:t>.201</w:t>
      </w:r>
      <w:r w:rsidR="0028074C" w:rsidRPr="00AC6A82">
        <w:rPr>
          <w:rFonts w:ascii="Calibri" w:hAnsi="Calibri" w:cs="Calibri"/>
        </w:rPr>
        <w:t>8</w:t>
      </w:r>
      <w:r w:rsidRPr="00AC6A82">
        <w:rPr>
          <w:rFonts w:ascii="Calibri" w:hAnsi="Calibri" w:cs="Calibri"/>
        </w:rPr>
        <w:t xml:space="preserve"> г. е реализирана </w:t>
      </w:r>
      <w:r w:rsidR="0028074C" w:rsidRPr="00AC6A82">
        <w:rPr>
          <w:rFonts w:ascii="Calibri" w:hAnsi="Calibri" w:cs="Calibri"/>
        </w:rPr>
        <w:t>загуба</w:t>
      </w:r>
      <w:r w:rsidRPr="00AC6A82">
        <w:rPr>
          <w:rFonts w:ascii="Calibri" w:hAnsi="Calibri" w:cs="Calibri"/>
        </w:rPr>
        <w:t xml:space="preserve"> от оперативна дейност в размер на </w:t>
      </w:r>
      <w:r w:rsidR="0028074C" w:rsidRPr="00AC6A82">
        <w:rPr>
          <w:rFonts w:ascii="Calibri" w:hAnsi="Calibri" w:cs="Calibri"/>
        </w:rPr>
        <w:t>89</w:t>
      </w:r>
      <w:r w:rsidRPr="00AC6A82">
        <w:rPr>
          <w:rFonts w:ascii="Calibri" w:hAnsi="Calibri" w:cs="Calibri"/>
        </w:rPr>
        <w:t xml:space="preserve"> хил. лв., а през текущия период оперативната загуба е на стойност </w:t>
      </w:r>
      <w:r w:rsidR="0028074C" w:rsidRPr="00AC6A82">
        <w:rPr>
          <w:rFonts w:ascii="Calibri" w:hAnsi="Calibri" w:cs="Calibri"/>
        </w:rPr>
        <w:t>117</w:t>
      </w:r>
      <w:r w:rsidRPr="00AC6A82">
        <w:rPr>
          <w:rFonts w:ascii="Calibri" w:hAnsi="Calibri" w:cs="Calibri"/>
        </w:rPr>
        <w:t xml:space="preserve"> хил. лв. Загубата от оперативна дейност е в следствие на </w:t>
      </w:r>
      <w:r w:rsidR="0028074C" w:rsidRPr="00AC6A82">
        <w:rPr>
          <w:rFonts w:ascii="Calibri" w:hAnsi="Calibri" w:cs="Calibri"/>
        </w:rPr>
        <w:t>слабо нарастване на</w:t>
      </w:r>
      <w:r w:rsidRPr="00AC6A82">
        <w:rPr>
          <w:rFonts w:ascii="Calibri" w:hAnsi="Calibri" w:cs="Calibri"/>
        </w:rPr>
        <w:t xml:space="preserve"> приходите от основната дейност</w:t>
      </w:r>
      <w:r w:rsidR="0028074C" w:rsidRPr="00AC6A82">
        <w:rPr>
          <w:rFonts w:ascii="Calibri" w:hAnsi="Calibri" w:cs="Calibri"/>
        </w:rPr>
        <w:t>, което не може да компенсира ръста в разходите.</w:t>
      </w:r>
    </w:p>
    <w:p w:rsidR="00B87BE0" w:rsidRDefault="00845A03" w:rsidP="00845A03">
      <w:pPr>
        <w:rPr>
          <w:rFonts w:ascii="Calibri" w:hAnsi="Calibri" w:cs="Calibri"/>
        </w:rPr>
      </w:pPr>
      <w:r w:rsidRPr="00AC6A82">
        <w:rPr>
          <w:rFonts w:ascii="Calibri" w:hAnsi="Calibri" w:cs="Calibri"/>
        </w:rPr>
        <w:t xml:space="preserve">По основните разходни </w:t>
      </w:r>
      <w:r w:rsidR="0028074C" w:rsidRPr="00AC6A82">
        <w:rPr>
          <w:rFonts w:ascii="Calibri" w:hAnsi="Calibri" w:cs="Calibri"/>
        </w:rPr>
        <w:t xml:space="preserve">пера </w:t>
      </w:r>
      <w:r w:rsidRPr="00AC6A82">
        <w:rPr>
          <w:rFonts w:ascii="Calibri" w:hAnsi="Calibri" w:cs="Calibri"/>
        </w:rPr>
        <w:t xml:space="preserve">има ръст от </w:t>
      </w:r>
      <w:r w:rsidR="0028074C" w:rsidRPr="00AC6A82">
        <w:rPr>
          <w:rFonts w:ascii="Calibri" w:hAnsi="Calibri" w:cs="Calibri"/>
        </w:rPr>
        <w:t>7</w:t>
      </w:r>
      <w:r w:rsidR="004E3FBA" w:rsidRPr="00AC6A82">
        <w:rPr>
          <w:rFonts w:ascii="Calibri" w:hAnsi="Calibri" w:cs="Calibri"/>
        </w:rPr>
        <w:t>,</w:t>
      </w:r>
      <w:r w:rsidR="0028074C" w:rsidRPr="00AC6A82">
        <w:rPr>
          <w:rFonts w:ascii="Calibri" w:hAnsi="Calibri" w:cs="Calibri"/>
        </w:rPr>
        <w:t>7</w:t>
      </w:r>
      <w:r w:rsidRPr="00AC6A82">
        <w:rPr>
          <w:rFonts w:ascii="Calibri" w:hAnsi="Calibri" w:cs="Calibri"/>
        </w:rPr>
        <w:t xml:space="preserve">% спрямо </w:t>
      </w:r>
      <w:r w:rsidR="00EA396D" w:rsidRPr="00AC6A82">
        <w:rPr>
          <w:rFonts w:ascii="Calibri" w:hAnsi="Calibri" w:cs="Calibri"/>
        </w:rPr>
        <w:t>31</w:t>
      </w:r>
      <w:r w:rsidRPr="00AC6A82">
        <w:rPr>
          <w:rFonts w:ascii="Calibri" w:hAnsi="Calibri" w:cs="Calibri"/>
        </w:rPr>
        <w:t>.</w:t>
      </w:r>
      <w:r w:rsidR="0028074C" w:rsidRPr="00AC6A82">
        <w:rPr>
          <w:rFonts w:ascii="Calibri" w:hAnsi="Calibri" w:cs="Calibri"/>
        </w:rPr>
        <w:t>03</w:t>
      </w:r>
      <w:r w:rsidR="005E139C" w:rsidRPr="00AC6A82">
        <w:rPr>
          <w:rFonts w:ascii="Calibri" w:hAnsi="Calibri" w:cs="Calibri"/>
        </w:rPr>
        <w:t>.201</w:t>
      </w:r>
      <w:r w:rsidR="0028074C" w:rsidRPr="00AC6A82">
        <w:rPr>
          <w:rFonts w:ascii="Calibri" w:hAnsi="Calibri" w:cs="Calibri"/>
        </w:rPr>
        <w:t>8</w:t>
      </w:r>
      <w:r w:rsidR="005E139C" w:rsidRPr="00AC6A82">
        <w:rPr>
          <w:rFonts w:ascii="Calibri" w:hAnsi="Calibri" w:cs="Calibri"/>
        </w:rPr>
        <w:t xml:space="preserve"> година. Нарастване с</w:t>
      </w:r>
      <w:r w:rsidR="00273E66">
        <w:rPr>
          <w:rFonts w:ascii="Calibri" w:hAnsi="Calibri" w:cs="Calibri"/>
          <w:lang w:val="en-US"/>
        </w:rPr>
        <w:t xml:space="preserve"> </w:t>
      </w:r>
      <w:r w:rsidR="0028074C" w:rsidRPr="00AC6A82">
        <w:rPr>
          <w:rFonts w:ascii="Calibri" w:hAnsi="Calibri" w:cs="Calibri"/>
        </w:rPr>
        <w:t xml:space="preserve">16 </w:t>
      </w:r>
      <w:r w:rsidRPr="00AC6A82">
        <w:rPr>
          <w:rFonts w:ascii="Calibri" w:hAnsi="Calibri" w:cs="Calibri"/>
        </w:rPr>
        <w:t xml:space="preserve">хиляди лева или </w:t>
      </w:r>
      <w:r w:rsidR="0028074C" w:rsidRPr="00AC6A82">
        <w:rPr>
          <w:rFonts w:ascii="Calibri" w:hAnsi="Calibri" w:cs="Calibri"/>
        </w:rPr>
        <w:t>7,</w:t>
      </w:r>
      <w:r w:rsidR="00752AB3" w:rsidRPr="00AC6A82">
        <w:rPr>
          <w:rFonts w:ascii="Calibri" w:hAnsi="Calibri" w:cs="Calibri"/>
        </w:rPr>
        <w:t>8</w:t>
      </w:r>
      <w:r w:rsidRPr="00AC6A82">
        <w:rPr>
          <w:rFonts w:ascii="Calibri" w:hAnsi="Calibri" w:cs="Calibri"/>
        </w:rPr>
        <w:t xml:space="preserve">% има при </w:t>
      </w:r>
      <w:r w:rsidR="000F526F" w:rsidRPr="00AC6A82">
        <w:rPr>
          <w:rFonts w:ascii="Calibri" w:hAnsi="Calibri" w:cs="Calibri"/>
        </w:rPr>
        <w:t>„</w:t>
      </w:r>
      <w:r w:rsidR="0028074C" w:rsidRPr="00AC6A82">
        <w:rPr>
          <w:rFonts w:ascii="Calibri" w:hAnsi="Calibri" w:cs="Calibri"/>
        </w:rPr>
        <w:t xml:space="preserve">Разходи за външни услуги </w:t>
      </w:r>
      <w:r w:rsidR="000F526F" w:rsidRPr="00AC6A82">
        <w:rPr>
          <w:rFonts w:ascii="Calibri" w:hAnsi="Calibri" w:cs="Calibri"/>
        </w:rPr>
        <w:t>“</w:t>
      </w:r>
      <w:r w:rsidRPr="00AC6A82">
        <w:rPr>
          <w:rFonts w:ascii="Calibri" w:hAnsi="Calibri" w:cs="Calibri"/>
        </w:rPr>
        <w:t>, а</w:t>
      </w:r>
      <w:r w:rsidR="000F526F" w:rsidRPr="00AC6A82">
        <w:rPr>
          <w:rFonts w:ascii="Calibri" w:hAnsi="Calibri" w:cs="Calibri"/>
        </w:rPr>
        <w:t xml:space="preserve"> „Разходи за </w:t>
      </w:r>
      <w:r w:rsidR="0028074C" w:rsidRPr="00AC6A82">
        <w:rPr>
          <w:rFonts w:ascii="Calibri" w:hAnsi="Calibri" w:cs="Calibri"/>
        </w:rPr>
        <w:t>персонала</w:t>
      </w:r>
      <w:r w:rsidR="000F526F" w:rsidRPr="00AC6A82">
        <w:rPr>
          <w:rFonts w:ascii="Calibri" w:hAnsi="Calibri" w:cs="Calibri"/>
        </w:rPr>
        <w:t>“</w:t>
      </w:r>
      <w:r w:rsidR="0028074C" w:rsidRPr="00AC6A82">
        <w:rPr>
          <w:rFonts w:ascii="Calibri" w:hAnsi="Calibri" w:cs="Calibri"/>
        </w:rPr>
        <w:t xml:space="preserve"> се увеличават с 5,2</w:t>
      </w:r>
      <w:r w:rsidRPr="00AC6A82">
        <w:rPr>
          <w:rFonts w:ascii="Calibri" w:hAnsi="Calibri" w:cs="Calibri"/>
        </w:rPr>
        <w:t xml:space="preserve">% или </w:t>
      </w:r>
      <w:r w:rsidR="0028074C" w:rsidRPr="00AC6A82">
        <w:rPr>
          <w:rFonts w:ascii="Calibri" w:hAnsi="Calibri" w:cs="Calibri"/>
        </w:rPr>
        <w:t>15</w:t>
      </w:r>
      <w:r w:rsidRPr="00AC6A82">
        <w:rPr>
          <w:rFonts w:ascii="Calibri" w:hAnsi="Calibri" w:cs="Calibri"/>
        </w:rPr>
        <w:t xml:space="preserve"> хил. лева.</w:t>
      </w:r>
      <w:r w:rsidR="00752AB3" w:rsidRPr="00AC6A82">
        <w:rPr>
          <w:rFonts w:ascii="Calibri" w:hAnsi="Calibri" w:cs="Calibri"/>
        </w:rPr>
        <w:t xml:space="preserve"> </w:t>
      </w:r>
      <w:r w:rsidRPr="00AC6A82">
        <w:rPr>
          <w:rFonts w:ascii="Calibri" w:hAnsi="Calibri" w:cs="Calibri"/>
        </w:rPr>
        <w:t>Промяната в останалите разходни пера е незначителна</w:t>
      </w:r>
      <w:r w:rsidR="00886827" w:rsidRPr="00AC6A82">
        <w:rPr>
          <w:rFonts w:ascii="Calibri" w:hAnsi="Calibri" w:cs="Calibri"/>
        </w:rPr>
        <w:t>.</w:t>
      </w:r>
    </w:p>
    <w:p w:rsidR="00B87BE0" w:rsidRDefault="00B87BE0">
      <w:pPr>
        <w:widowControl/>
        <w:spacing w:line="240" w:lineRule="auto"/>
        <w:jc w:val="left"/>
        <w:rPr>
          <w:rFonts w:ascii="Calibri" w:hAnsi="Calibri" w:cs="Calibri"/>
        </w:rPr>
      </w:pPr>
      <w:r>
        <w:rPr>
          <w:rFonts w:ascii="Calibri" w:hAnsi="Calibri" w:cs="Calibri"/>
        </w:rPr>
        <w:br w:type="page"/>
      </w:r>
    </w:p>
    <w:p w:rsidR="009272B2" w:rsidRPr="00AC6A82" w:rsidRDefault="009272B2" w:rsidP="003030DD">
      <w:pPr>
        <w:pStyle w:val="SubNumbers"/>
      </w:pPr>
      <w:bookmarkStart w:id="78" w:name="_Toc7535447"/>
      <w:r w:rsidRPr="00AC6A82">
        <w:t>Финансов резултат</w:t>
      </w:r>
      <w:bookmarkEnd w:id="77"/>
      <w:bookmarkEnd w:id="78"/>
    </w:p>
    <w:p w:rsidR="009272B2" w:rsidRPr="00AC6A82" w:rsidRDefault="005E2E7C" w:rsidP="001A50AB">
      <w:pPr>
        <w:rPr>
          <w:rFonts w:ascii="Calibri" w:hAnsi="Calibri" w:cs="Calibri"/>
          <w:szCs w:val="22"/>
        </w:rPr>
      </w:pPr>
      <w:r w:rsidRPr="00AC6A82">
        <w:rPr>
          <w:rFonts w:ascii="Calibri" w:hAnsi="Calibri" w:cs="Calibri"/>
        </w:rPr>
        <w:t>Към края</w:t>
      </w:r>
      <w:r w:rsidR="00D77519" w:rsidRPr="00AC6A82">
        <w:rPr>
          <w:rFonts w:ascii="Calibri" w:hAnsi="Calibri" w:cs="Calibri"/>
        </w:rPr>
        <w:t xml:space="preserve"> на </w:t>
      </w:r>
      <w:r w:rsidR="00AC6A82" w:rsidRPr="00AC6A82">
        <w:rPr>
          <w:rFonts w:ascii="Calibri" w:hAnsi="Calibri" w:cs="Calibri"/>
        </w:rPr>
        <w:t xml:space="preserve">първото </w:t>
      </w:r>
      <w:r w:rsidR="000F526F" w:rsidRPr="00AC6A82">
        <w:rPr>
          <w:rFonts w:ascii="Calibri" w:hAnsi="Calibri" w:cs="Calibri"/>
        </w:rPr>
        <w:t>три</w:t>
      </w:r>
      <w:r w:rsidR="00AC6710" w:rsidRPr="00AC6A82">
        <w:rPr>
          <w:rFonts w:ascii="Calibri" w:hAnsi="Calibri" w:cs="Calibri"/>
        </w:rPr>
        <w:t>месечие на 201</w:t>
      </w:r>
      <w:r w:rsidR="00AC6A82" w:rsidRPr="00AC6A82">
        <w:rPr>
          <w:rFonts w:ascii="Calibri" w:hAnsi="Calibri" w:cs="Calibri"/>
        </w:rPr>
        <w:t>9</w:t>
      </w:r>
      <w:r w:rsidRPr="00AC6A82">
        <w:rPr>
          <w:rFonts w:ascii="Calibri" w:hAnsi="Calibri" w:cs="Calibri"/>
        </w:rPr>
        <w:t xml:space="preserve"> г. нетния</w:t>
      </w:r>
      <w:r w:rsidR="00025ED9" w:rsidRPr="00AC6A82">
        <w:rPr>
          <w:rFonts w:ascii="Calibri" w:hAnsi="Calibri" w:cs="Calibri"/>
        </w:rPr>
        <w:t>т</w:t>
      </w:r>
      <w:r w:rsidRPr="00AC6A82">
        <w:rPr>
          <w:rFonts w:ascii="Calibri" w:hAnsi="Calibri" w:cs="Calibri"/>
        </w:rPr>
        <w:t xml:space="preserve"> финансов резултат, реализиран от „</w:t>
      </w:r>
      <w:r w:rsidR="00636F5A" w:rsidRPr="00AC6A82">
        <w:rPr>
          <w:rFonts w:ascii="Calibri" w:hAnsi="Calibri" w:cs="Calibri"/>
        </w:rPr>
        <w:t>Българска фондова борса</w:t>
      </w:r>
      <w:r w:rsidRPr="00AC6A82">
        <w:rPr>
          <w:rFonts w:ascii="Calibri" w:hAnsi="Calibri" w:cs="Calibri"/>
        </w:rPr>
        <w:t xml:space="preserve">“ АД е </w:t>
      </w:r>
      <w:r w:rsidR="00AC6A82" w:rsidRPr="00AC6A82">
        <w:rPr>
          <w:rFonts w:ascii="Calibri" w:hAnsi="Calibri" w:cs="Calibri"/>
        </w:rPr>
        <w:t>отрицателен</w:t>
      </w:r>
      <w:r w:rsidRPr="00AC6A82">
        <w:rPr>
          <w:rFonts w:ascii="Calibri" w:hAnsi="Calibri" w:cs="Calibri"/>
        </w:rPr>
        <w:t xml:space="preserve"> в размер на </w:t>
      </w:r>
      <w:r w:rsidR="00AC6A82" w:rsidRPr="00AC6A82">
        <w:rPr>
          <w:rFonts w:ascii="Calibri" w:hAnsi="Calibri" w:cs="Calibri"/>
        </w:rPr>
        <w:t>108</w:t>
      </w:r>
      <w:r w:rsidRPr="00AC6A82">
        <w:rPr>
          <w:rFonts w:ascii="Calibri" w:hAnsi="Calibri" w:cs="Calibri"/>
        </w:rPr>
        <w:t xml:space="preserve"> хил. лв., </w:t>
      </w:r>
      <w:r w:rsidR="004E3FBA" w:rsidRPr="00AC6A82">
        <w:rPr>
          <w:rFonts w:ascii="Calibri" w:hAnsi="Calibri" w:cs="Calibri"/>
        </w:rPr>
        <w:t xml:space="preserve">което се дължи главно на </w:t>
      </w:r>
      <w:r w:rsidR="00AC6A82" w:rsidRPr="00AC6A82">
        <w:rPr>
          <w:rFonts w:ascii="Calibri" w:hAnsi="Calibri" w:cs="Calibri"/>
        </w:rPr>
        <w:t>оперативни разходи, надхвърлящи приходите от основна дейност.</w:t>
      </w:r>
    </w:p>
    <w:p w:rsidR="00E47CE2" w:rsidRPr="00AC6A82" w:rsidRDefault="00E47CE2" w:rsidP="003030DD">
      <w:pPr>
        <w:pStyle w:val="SubNumbers"/>
      </w:pPr>
      <w:bookmarkStart w:id="79" w:name="_Toc7535448"/>
      <w:r w:rsidRPr="00AC6A82">
        <w:t>Сделки със свързани лица</w:t>
      </w:r>
      <w:bookmarkEnd w:id="79"/>
    </w:p>
    <w:p w:rsidR="00E47CE2" w:rsidRPr="00AC6A82" w:rsidRDefault="00E47CE2" w:rsidP="001A50AB">
      <w:pPr>
        <w:pStyle w:val="BodyText"/>
        <w:rPr>
          <w:rFonts w:ascii="Calibri" w:hAnsi="Calibri" w:cs="Calibri"/>
          <w:b w:val="0"/>
        </w:rPr>
      </w:pPr>
      <w:r w:rsidRPr="00AC6A82">
        <w:rPr>
          <w:rFonts w:ascii="Calibri" w:hAnsi="Calibri" w:cs="Calibri"/>
          <w:b w:val="0"/>
        </w:rPr>
        <w:t xml:space="preserve">Общият размер на сделките със свързани лица </w:t>
      </w:r>
      <w:r w:rsidR="00C27B27" w:rsidRPr="00AC6A82">
        <w:rPr>
          <w:rFonts w:ascii="Calibri" w:hAnsi="Calibri" w:cs="Calibri"/>
          <w:b w:val="0"/>
        </w:rPr>
        <w:t>през отчетния период</w:t>
      </w:r>
      <w:r w:rsidR="00AC6A82" w:rsidRPr="00AC6A82">
        <w:rPr>
          <w:rFonts w:ascii="Calibri" w:hAnsi="Calibri" w:cs="Calibri"/>
          <w:b w:val="0"/>
        </w:rPr>
        <w:t xml:space="preserve"> е</w:t>
      </w:r>
      <w:r w:rsidRPr="00AC6A82">
        <w:rPr>
          <w:rFonts w:ascii="Calibri" w:hAnsi="Calibri" w:cs="Calibri"/>
          <w:b w:val="0"/>
        </w:rPr>
        <w:t>, както следва:</w:t>
      </w:r>
    </w:p>
    <w:p w:rsidR="004E3FBA" w:rsidRPr="00AC6A82" w:rsidRDefault="00F70F5C" w:rsidP="001A50AB">
      <w:pPr>
        <w:rPr>
          <w:rFonts w:ascii="Calibri" w:hAnsi="Calibri" w:cs="Calibri"/>
          <w:b/>
        </w:rPr>
      </w:pPr>
      <w:r w:rsidRPr="00AC6A82">
        <w:rPr>
          <w:rFonts w:ascii="Calibri" w:hAnsi="Calibri" w:cs="Calibri"/>
          <w:b/>
        </w:rPr>
        <w:t>Таблица 1</w:t>
      </w:r>
      <w:r w:rsidR="008E2703" w:rsidRPr="00AC6A82">
        <w:rPr>
          <w:rFonts w:ascii="Calibri" w:hAnsi="Calibri" w:cs="Calibri"/>
          <w:b/>
        </w:rPr>
        <w:t>4</w:t>
      </w:r>
      <w:r w:rsidR="00844758" w:rsidRPr="00AC6A82">
        <w:rPr>
          <w:rFonts w:ascii="Calibri" w:hAnsi="Calibri" w:cs="Calibri"/>
          <w:b/>
        </w:rPr>
        <w:t>. Сделки със свързани лица</w:t>
      </w:r>
    </w:p>
    <w:tbl>
      <w:tblPr>
        <w:tblW w:w="1037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894"/>
        <w:gridCol w:w="2998"/>
        <w:gridCol w:w="1239"/>
        <w:gridCol w:w="1239"/>
      </w:tblGrid>
      <w:tr w:rsidR="000F526F" w:rsidRPr="00AC6A82" w:rsidTr="000F526F">
        <w:trPr>
          <w:trHeight w:val="170"/>
          <w:jc w:val="center"/>
        </w:trPr>
        <w:tc>
          <w:tcPr>
            <w:tcW w:w="4894" w:type="dxa"/>
            <w:shd w:val="clear" w:color="auto" w:fill="4F81BD" w:themeFill="accent1"/>
          </w:tcPr>
          <w:p w:rsidR="000F526F" w:rsidRPr="00AC6A82" w:rsidRDefault="000F526F" w:rsidP="00F9646F">
            <w:pPr>
              <w:widowControl/>
              <w:autoSpaceDE w:val="0"/>
              <w:autoSpaceDN w:val="0"/>
              <w:adjustRightInd w:val="0"/>
              <w:spacing w:line="240" w:lineRule="auto"/>
              <w:jc w:val="center"/>
              <w:rPr>
                <w:rFonts w:ascii="Calibri" w:hAnsi="Calibri" w:cs="Calibri"/>
                <w:b/>
                <w:bCs/>
                <w:color w:val="FFFFFF"/>
                <w:sz w:val="20"/>
                <w:szCs w:val="20"/>
              </w:rPr>
            </w:pPr>
            <w:r w:rsidRPr="00AC6A82">
              <w:rPr>
                <w:rFonts w:ascii="Calibri" w:hAnsi="Calibri" w:cs="Calibri"/>
                <w:b/>
                <w:bCs/>
                <w:color w:val="FFFFFF"/>
                <w:sz w:val="20"/>
                <w:szCs w:val="20"/>
              </w:rPr>
              <w:t>Продажби на свързани лица</w:t>
            </w:r>
          </w:p>
        </w:tc>
        <w:tc>
          <w:tcPr>
            <w:tcW w:w="2998" w:type="dxa"/>
            <w:shd w:val="clear" w:color="auto" w:fill="4F81BD" w:themeFill="accent1"/>
          </w:tcPr>
          <w:p w:rsidR="000F526F" w:rsidRPr="00AC6A82" w:rsidRDefault="000F526F" w:rsidP="00F9646F">
            <w:pPr>
              <w:widowControl/>
              <w:autoSpaceDE w:val="0"/>
              <w:autoSpaceDN w:val="0"/>
              <w:adjustRightInd w:val="0"/>
              <w:spacing w:line="240" w:lineRule="auto"/>
              <w:jc w:val="center"/>
              <w:rPr>
                <w:rFonts w:ascii="Calibri" w:hAnsi="Calibri" w:cs="Calibri"/>
                <w:b/>
                <w:bCs/>
                <w:color w:val="FFFFFF"/>
                <w:sz w:val="20"/>
                <w:szCs w:val="20"/>
              </w:rPr>
            </w:pPr>
            <w:r w:rsidRPr="00AC6A82">
              <w:rPr>
                <w:rFonts w:ascii="Calibri" w:hAnsi="Calibri" w:cs="Calibri"/>
                <w:b/>
                <w:bCs/>
                <w:color w:val="FFFFFF"/>
                <w:sz w:val="20"/>
                <w:szCs w:val="20"/>
              </w:rPr>
              <w:t>Свързано лице</w:t>
            </w:r>
          </w:p>
        </w:tc>
        <w:tc>
          <w:tcPr>
            <w:tcW w:w="1239" w:type="dxa"/>
            <w:shd w:val="clear" w:color="auto" w:fill="4F81BD" w:themeFill="accent1"/>
          </w:tcPr>
          <w:p w:rsidR="000F526F" w:rsidRPr="00AC6A82" w:rsidRDefault="00F9646F" w:rsidP="00AC6A82">
            <w:pPr>
              <w:widowControl/>
              <w:autoSpaceDE w:val="0"/>
              <w:autoSpaceDN w:val="0"/>
              <w:adjustRightInd w:val="0"/>
              <w:spacing w:line="240" w:lineRule="auto"/>
              <w:jc w:val="center"/>
              <w:rPr>
                <w:rFonts w:ascii="Calibri" w:hAnsi="Calibri" w:cs="Calibri"/>
                <w:b/>
                <w:bCs/>
                <w:color w:val="FFFFFF"/>
                <w:sz w:val="20"/>
                <w:szCs w:val="20"/>
              </w:rPr>
            </w:pPr>
            <w:r w:rsidRPr="00AC6A82">
              <w:rPr>
                <w:rFonts w:ascii="Calibri" w:hAnsi="Calibri" w:cs="Calibri"/>
                <w:b/>
                <w:bCs/>
                <w:color w:val="FFFFFF"/>
                <w:sz w:val="20"/>
                <w:szCs w:val="20"/>
              </w:rPr>
              <w:t>31</w:t>
            </w:r>
            <w:r w:rsidR="000F526F" w:rsidRPr="00AC6A82">
              <w:rPr>
                <w:rFonts w:ascii="Calibri" w:hAnsi="Calibri" w:cs="Calibri"/>
                <w:b/>
                <w:bCs/>
                <w:color w:val="FFFFFF"/>
                <w:sz w:val="20"/>
                <w:szCs w:val="20"/>
              </w:rPr>
              <w:t>.</w:t>
            </w:r>
            <w:r w:rsidR="00AC6A82" w:rsidRPr="00AC6A82">
              <w:rPr>
                <w:rFonts w:ascii="Calibri" w:hAnsi="Calibri" w:cs="Calibri"/>
                <w:b/>
                <w:bCs/>
                <w:color w:val="FFFFFF"/>
                <w:sz w:val="20"/>
                <w:szCs w:val="20"/>
              </w:rPr>
              <w:t>03</w:t>
            </w:r>
            <w:r w:rsidR="000F526F" w:rsidRPr="00AC6A82">
              <w:rPr>
                <w:rFonts w:ascii="Calibri" w:hAnsi="Calibri" w:cs="Calibri"/>
                <w:b/>
                <w:bCs/>
                <w:color w:val="FFFFFF"/>
                <w:sz w:val="20"/>
                <w:szCs w:val="20"/>
              </w:rPr>
              <w:t>.201</w:t>
            </w:r>
            <w:r w:rsidR="00AC6A82" w:rsidRPr="00AC6A82">
              <w:rPr>
                <w:rFonts w:ascii="Calibri" w:hAnsi="Calibri" w:cs="Calibri"/>
                <w:b/>
                <w:bCs/>
                <w:color w:val="FFFFFF"/>
                <w:sz w:val="20"/>
                <w:szCs w:val="20"/>
              </w:rPr>
              <w:t>8</w:t>
            </w:r>
          </w:p>
        </w:tc>
        <w:tc>
          <w:tcPr>
            <w:tcW w:w="1239" w:type="dxa"/>
            <w:shd w:val="clear" w:color="auto" w:fill="4F81BD" w:themeFill="accent1"/>
          </w:tcPr>
          <w:p w:rsidR="000F526F" w:rsidRPr="00AC6A82" w:rsidRDefault="00F9646F" w:rsidP="00AC6A82">
            <w:pPr>
              <w:widowControl/>
              <w:autoSpaceDE w:val="0"/>
              <w:autoSpaceDN w:val="0"/>
              <w:adjustRightInd w:val="0"/>
              <w:spacing w:line="240" w:lineRule="auto"/>
              <w:jc w:val="center"/>
              <w:rPr>
                <w:rFonts w:ascii="Calibri" w:hAnsi="Calibri" w:cs="Calibri"/>
                <w:b/>
                <w:bCs/>
                <w:color w:val="FFFFFF"/>
                <w:sz w:val="20"/>
                <w:szCs w:val="20"/>
              </w:rPr>
            </w:pPr>
            <w:r w:rsidRPr="00AC6A82">
              <w:rPr>
                <w:rFonts w:ascii="Calibri" w:hAnsi="Calibri" w:cs="Calibri"/>
                <w:b/>
                <w:bCs/>
                <w:color w:val="FFFFFF"/>
                <w:sz w:val="20"/>
                <w:szCs w:val="20"/>
              </w:rPr>
              <w:t>31</w:t>
            </w:r>
            <w:r w:rsidR="000F526F" w:rsidRPr="00AC6A82">
              <w:rPr>
                <w:rFonts w:ascii="Calibri" w:hAnsi="Calibri" w:cs="Calibri"/>
                <w:b/>
                <w:bCs/>
                <w:color w:val="FFFFFF"/>
                <w:sz w:val="20"/>
                <w:szCs w:val="20"/>
              </w:rPr>
              <w:t>.</w:t>
            </w:r>
            <w:r w:rsidR="00AC6A82" w:rsidRPr="00AC6A82">
              <w:rPr>
                <w:rFonts w:ascii="Calibri" w:hAnsi="Calibri" w:cs="Calibri"/>
                <w:b/>
                <w:bCs/>
                <w:color w:val="FFFFFF"/>
                <w:sz w:val="20"/>
                <w:szCs w:val="20"/>
              </w:rPr>
              <w:t>03</w:t>
            </w:r>
            <w:r w:rsidR="000F526F" w:rsidRPr="00AC6A82">
              <w:rPr>
                <w:rFonts w:ascii="Calibri" w:hAnsi="Calibri" w:cs="Calibri"/>
                <w:b/>
                <w:bCs/>
                <w:color w:val="FFFFFF"/>
                <w:sz w:val="20"/>
                <w:szCs w:val="20"/>
              </w:rPr>
              <w:t>.201</w:t>
            </w:r>
            <w:r w:rsidR="00AC6A82" w:rsidRPr="00AC6A82">
              <w:rPr>
                <w:rFonts w:ascii="Calibri" w:hAnsi="Calibri" w:cs="Calibri"/>
                <w:b/>
                <w:bCs/>
                <w:color w:val="FFFFFF"/>
                <w:sz w:val="20"/>
                <w:szCs w:val="20"/>
              </w:rPr>
              <w:t>9</w:t>
            </w:r>
          </w:p>
        </w:tc>
      </w:tr>
      <w:tr w:rsidR="000F526F" w:rsidRPr="00AC6A82" w:rsidTr="000F526F">
        <w:trPr>
          <w:trHeight w:val="170"/>
          <w:jc w:val="center"/>
        </w:trPr>
        <w:tc>
          <w:tcPr>
            <w:tcW w:w="4894" w:type="dxa"/>
            <w:shd w:val="clear" w:color="auto" w:fill="4F81BD" w:themeFill="accent1"/>
          </w:tcPr>
          <w:p w:rsidR="000F526F" w:rsidRPr="00AC6A82" w:rsidRDefault="000F526F" w:rsidP="00F9646F">
            <w:pPr>
              <w:widowControl/>
              <w:autoSpaceDE w:val="0"/>
              <w:autoSpaceDN w:val="0"/>
              <w:adjustRightInd w:val="0"/>
              <w:spacing w:line="240" w:lineRule="auto"/>
              <w:jc w:val="center"/>
              <w:rPr>
                <w:rFonts w:ascii="Calibri" w:hAnsi="Calibri" w:cs="Calibri"/>
                <w:color w:val="FFFFFF"/>
                <w:sz w:val="20"/>
                <w:szCs w:val="20"/>
              </w:rPr>
            </w:pPr>
          </w:p>
        </w:tc>
        <w:tc>
          <w:tcPr>
            <w:tcW w:w="2998" w:type="dxa"/>
            <w:shd w:val="clear" w:color="auto" w:fill="4F81BD" w:themeFill="accent1"/>
          </w:tcPr>
          <w:p w:rsidR="000F526F" w:rsidRPr="00AC6A82" w:rsidRDefault="000F526F" w:rsidP="00F9646F">
            <w:pPr>
              <w:widowControl/>
              <w:autoSpaceDE w:val="0"/>
              <w:autoSpaceDN w:val="0"/>
              <w:adjustRightInd w:val="0"/>
              <w:spacing w:line="240" w:lineRule="auto"/>
              <w:jc w:val="center"/>
              <w:rPr>
                <w:rFonts w:ascii="Calibri" w:hAnsi="Calibri" w:cs="Calibri"/>
                <w:color w:val="000000"/>
                <w:sz w:val="20"/>
                <w:szCs w:val="20"/>
              </w:rPr>
            </w:pPr>
          </w:p>
        </w:tc>
        <w:tc>
          <w:tcPr>
            <w:tcW w:w="1239" w:type="dxa"/>
            <w:shd w:val="clear" w:color="auto" w:fill="4F81BD" w:themeFill="accent1"/>
          </w:tcPr>
          <w:p w:rsidR="000F526F" w:rsidRPr="00AC6A82" w:rsidRDefault="000F526F" w:rsidP="00F9646F">
            <w:pPr>
              <w:widowControl/>
              <w:autoSpaceDE w:val="0"/>
              <w:autoSpaceDN w:val="0"/>
              <w:adjustRightInd w:val="0"/>
              <w:spacing w:line="240" w:lineRule="auto"/>
              <w:jc w:val="center"/>
              <w:rPr>
                <w:rFonts w:ascii="Calibri" w:hAnsi="Calibri" w:cs="Calibri"/>
                <w:b/>
                <w:bCs/>
                <w:color w:val="FFFFFF"/>
                <w:sz w:val="20"/>
                <w:szCs w:val="20"/>
              </w:rPr>
            </w:pPr>
            <w:r w:rsidRPr="00AC6A82">
              <w:rPr>
                <w:rFonts w:ascii="Calibri" w:hAnsi="Calibri" w:cs="Calibri"/>
                <w:b/>
                <w:bCs/>
                <w:color w:val="FFFFFF"/>
                <w:sz w:val="20"/>
                <w:szCs w:val="20"/>
              </w:rPr>
              <w:t>BGN ‘000</w:t>
            </w:r>
          </w:p>
        </w:tc>
        <w:tc>
          <w:tcPr>
            <w:tcW w:w="1239" w:type="dxa"/>
            <w:shd w:val="clear" w:color="auto" w:fill="4F81BD" w:themeFill="accent1"/>
          </w:tcPr>
          <w:p w:rsidR="000F526F" w:rsidRPr="00AC6A82" w:rsidRDefault="000F526F" w:rsidP="00F9646F">
            <w:pPr>
              <w:widowControl/>
              <w:autoSpaceDE w:val="0"/>
              <w:autoSpaceDN w:val="0"/>
              <w:adjustRightInd w:val="0"/>
              <w:spacing w:line="240" w:lineRule="auto"/>
              <w:jc w:val="center"/>
              <w:rPr>
                <w:rFonts w:ascii="Calibri" w:hAnsi="Calibri" w:cs="Calibri"/>
                <w:b/>
                <w:bCs/>
                <w:color w:val="FFFFFF"/>
                <w:sz w:val="20"/>
                <w:szCs w:val="20"/>
              </w:rPr>
            </w:pPr>
            <w:r w:rsidRPr="00AC6A82">
              <w:rPr>
                <w:rFonts w:ascii="Calibri" w:hAnsi="Calibri" w:cs="Calibri"/>
                <w:b/>
                <w:bCs/>
                <w:color w:val="FFFFFF"/>
                <w:sz w:val="20"/>
                <w:szCs w:val="20"/>
              </w:rPr>
              <w:t>BGN ‘000</w:t>
            </w:r>
          </w:p>
        </w:tc>
      </w:tr>
      <w:tr w:rsidR="00AC6A82" w:rsidRPr="00AC6A82" w:rsidTr="006D4823">
        <w:trPr>
          <w:trHeight w:val="170"/>
          <w:jc w:val="center"/>
        </w:trPr>
        <w:tc>
          <w:tcPr>
            <w:tcW w:w="4894" w:type="dxa"/>
          </w:tcPr>
          <w:p w:rsidR="00AC6A82" w:rsidRPr="00AC6A82" w:rsidRDefault="00AC6A82" w:rsidP="00F9646F">
            <w:pPr>
              <w:pStyle w:val="a2"/>
              <w:rPr>
                <w:rFonts w:ascii="Calibri" w:hAnsi="Calibri" w:cs="Calibri"/>
                <w:color w:val="auto"/>
                <w:szCs w:val="20"/>
                <w:lang w:val="bg-BG"/>
              </w:rPr>
            </w:pPr>
            <w:r w:rsidRPr="00AC6A82">
              <w:rPr>
                <w:rFonts w:ascii="Calibri" w:hAnsi="Calibri" w:cs="Calibri"/>
                <w:color w:val="auto"/>
                <w:szCs w:val="20"/>
                <w:lang w:val="bg-BG"/>
              </w:rPr>
              <w:t>Такса сделки, такса членство, такса интернет търговия</w:t>
            </w:r>
          </w:p>
        </w:tc>
        <w:tc>
          <w:tcPr>
            <w:tcW w:w="2998" w:type="dxa"/>
          </w:tcPr>
          <w:p w:rsidR="00AC6A82" w:rsidRPr="00AC6A82" w:rsidRDefault="00AC6A82" w:rsidP="00F9646F">
            <w:pPr>
              <w:pStyle w:val="a2"/>
              <w:rPr>
                <w:rFonts w:ascii="Calibri" w:hAnsi="Calibri" w:cs="Calibri"/>
                <w:color w:val="auto"/>
                <w:szCs w:val="20"/>
                <w:lang w:val="bg-BG"/>
              </w:rPr>
            </w:pPr>
            <w:r w:rsidRPr="00AC6A82">
              <w:rPr>
                <w:rFonts w:ascii="Calibri" w:hAnsi="Calibri" w:cs="Calibri"/>
                <w:color w:val="auto"/>
                <w:szCs w:val="20"/>
                <w:lang w:val="bg-BG"/>
              </w:rPr>
              <w:t>Бенчмарк Финанс АД</w:t>
            </w:r>
          </w:p>
        </w:tc>
        <w:tc>
          <w:tcPr>
            <w:tcW w:w="1239" w:type="dxa"/>
            <w:vAlign w:val="bottom"/>
          </w:tcPr>
          <w:p w:rsidR="00AC6A82" w:rsidRPr="00AC6A82" w:rsidRDefault="00AC6A82" w:rsidP="00E233D1">
            <w:pPr>
              <w:pStyle w:val="a3"/>
              <w:rPr>
                <w:rFonts w:ascii="Calibri" w:hAnsi="Calibri" w:cs="Calibri"/>
                <w:szCs w:val="20"/>
                <w:lang w:val="bg-BG"/>
              </w:rPr>
            </w:pPr>
            <w:r w:rsidRPr="00AC6A82">
              <w:rPr>
                <w:rFonts w:ascii="Calibri" w:hAnsi="Calibri" w:cs="Calibri"/>
                <w:szCs w:val="20"/>
                <w:lang w:val="bg-BG"/>
              </w:rPr>
              <w:t>11</w:t>
            </w:r>
          </w:p>
        </w:tc>
        <w:tc>
          <w:tcPr>
            <w:tcW w:w="1239" w:type="dxa"/>
            <w:vAlign w:val="bottom"/>
          </w:tcPr>
          <w:p w:rsidR="00AC6A82" w:rsidRPr="00AC6A82" w:rsidRDefault="00AC6A82" w:rsidP="00E233D1">
            <w:pPr>
              <w:pStyle w:val="a3"/>
              <w:rPr>
                <w:rFonts w:ascii="Calibri" w:hAnsi="Calibri" w:cs="Calibri"/>
                <w:szCs w:val="20"/>
                <w:lang w:val="bg-BG"/>
              </w:rPr>
            </w:pPr>
            <w:r w:rsidRPr="00AC6A82">
              <w:rPr>
                <w:rFonts w:ascii="Calibri" w:hAnsi="Calibri" w:cs="Calibri"/>
                <w:szCs w:val="20"/>
                <w:lang w:val="bg-BG"/>
              </w:rPr>
              <w:t>5</w:t>
            </w:r>
          </w:p>
        </w:tc>
      </w:tr>
      <w:tr w:rsidR="00AC6A82" w:rsidRPr="00AC6A82" w:rsidTr="006D4823">
        <w:trPr>
          <w:trHeight w:val="170"/>
          <w:jc w:val="center"/>
        </w:trPr>
        <w:tc>
          <w:tcPr>
            <w:tcW w:w="4894" w:type="dxa"/>
          </w:tcPr>
          <w:p w:rsidR="00AC6A82" w:rsidRPr="00AC6A82" w:rsidRDefault="00AC6A82" w:rsidP="00F9646F">
            <w:pPr>
              <w:pStyle w:val="a2"/>
              <w:rPr>
                <w:rFonts w:ascii="Calibri" w:hAnsi="Calibri" w:cs="Calibri"/>
                <w:color w:val="auto"/>
                <w:szCs w:val="20"/>
                <w:lang w:val="bg-BG"/>
              </w:rPr>
            </w:pPr>
            <w:r w:rsidRPr="00AC6A82">
              <w:rPr>
                <w:rFonts w:ascii="Calibri" w:hAnsi="Calibri" w:cs="Calibri"/>
                <w:color w:val="auto"/>
                <w:szCs w:val="20"/>
                <w:lang w:val="bg-BG"/>
              </w:rPr>
              <w:t>Такса сделки, такса членство, такса интернет търговия</w:t>
            </w:r>
          </w:p>
        </w:tc>
        <w:tc>
          <w:tcPr>
            <w:tcW w:w="2998" w:type="dxa"/>
          </w:tcPr>
          <w:p w:rsidR="00AC6A82" w:rsidRPr="00AC6A82" w:rsidRDefault="00AC6A82" w:rsidP="00F9646F">
            <w:pPr>
              <w:pStyle w:val="a2"/>
              <w:rPr>
                <w:rFonts w:ascii="Calibri" w:hAnsi="Calibri" w:cs="Calibri"/>
                <w:color w:val="auto"/>
                <w:szCs w:val="20"/>
                <w:lang w:val="bg-BG"/>
              </w:rPr>
            </w:pPr>
            <w:r w:rsidRPr="00AC6A82">
              <w:rPr>
                <w:rFonts w:ascii="Calibri" w:hAnsi="Calibri" w:cs="Calibri"/>
                <w:color w:val="auto"/>
                <w:szCs w:val="20"/>
                <w:lang w:val="bg-BG"/>
              </w:rPr>
              <w:t>Юробанк България АД</w:t>
            </w:r>
          </w:p>
        </w:tc>
        <w:tc>
          <w:tcPr>
            <w:tcW w:w="1239" w:type="dxa"/>
            <w:vAlign w:val="bottom"/>
          </w:tcPr>
          <w:p w:rsidR="00AC6A82" w:rsidRPr="00AC6A82" w:rsidRDefault="00AC6A82" w:rsidP="00E233D1">
            <w:pPr>
              <w:pStyle w:val="a3"/>
              <w:rPr>
                <w:rFonts w:ascii="Calibri" w:hAnsi="Calibri" w:cs="Calibri"/>
                <w:szCs w:val="20"/>
                <w:lang w:val="bg-BG"/>
              </w:rPr>
            </w:pPr>
            <w:r w:rsidRPr="00AC6A82">
              <w:rPr>
                <w:rFonts w:ascii="Calibri" w:hAnsi="Calibri" w:cs="Calibri"/>
                <w:szCs w:val="20"/>
                <w:lang w:val="bg-BG"/>
              </w:rPr>
              <w:t>4</w:t>
            </w:r>
          </w:p>
        </w:tc>
        <w:tc>
          <w:tcPr>
            <w:tcW w:w="1239" w:type="dxa"/>
            <w:vAlign w:val="bottom"/>
          </w:tcPr>
          <w:p w:rsidR="00AC6A82" w:rsidRPr="00AC6A82" w:rsidRDefault="00AC6A82" w:rsidP="00E233D1">
            <w:pPr>
              <w:pStyle w:val="a3"/>
              <w:rPr>
                <w:rFonts w:ascii="Calibri" w:hAnsi="Calibri" w:cs="Calibri"/>
                <w:szCs w:val="20"/>
                <w:lang w:val="bg-BG"/>
              </w:rPr>
            </w:pPr>
            <w:r w:rsidRPr="00AC6A82">
              <w:rPr>
                <w:rFonts w:ascii="Calibri" w:hAnsi="Calibri" w:cs="Calibri"/>
                <w:szCs w:val="20"/>
                <w:lang w:val="bg-BG"/>
              </w:rPr>
              <w:t>4</w:t>
            </w:r>
          </w:p>
        </w:tc>
      </w:tr>
      <w:tr w:rsidR="00AC6A82" w:rsidRPr="00AC6A82" w:rsidTr="006D4823">
        <w:trPr>
          <w:trHeight w:val="170"/>
          <w:jc w:val="center"/>
        </w:trPr>
        <w:tc>
          <w:tcPr>
            <w:tcW w:w="4894" w:type="dxa"/>
          </w:tcPr>
          <w:p w:rsidR="00AC6A82" w:rsidRPr="00AC6A82" w:rsidRDefault="00AC6A82" w:rsidP="00F9646F">
            <w:pPr>
              <w:pStyle w:val="a2"/>
              <w:rPr>
                <w:rFonts w:ascii="Calibri" w:hAnsi="Calibri" w:cs="Calibri"/>
                <w:color w:val="auto"/>
                <w:szCs w:val="20"/>
                <w:lang w:val="bg-BG"/>
              </w:rPr>
            </w:pPr>
            <w:r w:rsidRPr="00AC6A82">
              <w:rPr>
                <w:rFonts w:ascii="Calibri" w:hAnsi="Calibri" w:cs="Calibri"/>
                <w:color w:val="auto"/>
                <w:szCs w:val="20"/>
                <w:lang w:val="bg-BG"/>
              </w:rPr>
              <w:t>Информационно обслужване</w:t>
            </w:r>
          </w:p>
        </w:tc>
        <w:tc>
          <w:tcPr>
            <w:tcW w:w="2998" w:type="dxa"/>
          </w:tcPr>
          <w:p w:rsidR="00AC6A82" w:rsidRPr="00AC6A82" w:rsidRDefault="00AC6A82" w:rsidP="00F9646F">
            <w:pPr>
              <w:pStyle w:val="a2"/>
              <w:rPr>
                <w:rFonts w:ascii="Calibri" w:hAnsi="Calibri" w:cs="Calibri"/>
                <w:color w:val="auto"/>
                <w:szCs w:val="20"/>
                <w:lang w:val="bg-BG"/>
              </w:rPr>
            </w:pPr>
            <w:r w:rsidRPr="00AC6A82">
              <w:rPr>
                <w:rFonts w:ascii="Calibri" w:hAnsi="Calibri" w:cs="Calibri"/>
                <w:color w:val="auto"/>
                <w:szCs w:val="20"/>
                <w:lang w:val="bg-BG"/>
              </w:rPr>
              <w:t>Сервиз финансови пазари ЕООД</w:t>
            </w:r>
          </w:p>
        </w:tc>
        <w:tc>
          <w:tcPr>
            <w:tcW w:w="1239" w:type="dxa"/>
            <w:vAlign w:val="bottom"/>
          </w:tcPr>
          <w:p w:rsidR="00AC6A82" w:rsidRPr="00AC6A82" w:rsidRDefault="00AC6A82" w:rsidP="00E233D1">
            <w:pPr>
              <w:pStyle w:val="a3"/>
              <w:rPr>
                <w:rFonts w:ascii="Calibri" w:hAnsi="Calibri" w:cs="Calibri"/>
                <w:szCs w:val="20"/>
                <w:lang w:val="bg-BG"/>
              </w:rPr>
            </w:pPr>
            <w:r w:rsidRPr="00AC6A82">
              <w:rPr>
                <w:rFonts w:ascii="Calibri" w:hAnsi="Calibri" w:cs="Calibri"/>
                <w:szCs w:val="20"/>
                <w:lang w:val="bg-BG"/>
              </w:rPr>
              <w:t>1</w:t>
            </w:r>
          </w:p>
        </w:tc>
        <w:tc>
          <w:tcPr>
            <w:tcW w:w="1239" w:type="dxa"/>
            <w:vAlign w:val="bottom"/>
          </w:tcPr>
          <w:p w:rsidR="00AC6A82" w:rsidRPr="00AC6A82" w:rsidRDefault="00AC6A82" w:rsidP="00E233D1">
            <w:pPr>
              <w:pStyle w:val="a3"/>
              <w:rPr>
                <w:rFonts w:ascii="Calibri" w:hAnsi="Calibri" w:cs="Calibri"/>
                <w:szCs w:val="20"/>
                <w:lang w:val="bg-BG"/>
              </w:rPr>
            </w:pPr>
            <w:r w:rsidRPr="00AC6A82">
              <w:rPr>
                <w:rFonts w:ascii="Calibri" w:hAnsi="Calibri" w:cs="Calibri"/>
                <w:szCs w:val="20"/>
                <w:lang w:val="bg-BG"/>
              </w:rPr>
              <w:t>1</w:t>
            </w:r>
          </w:p>
        </w:tc>
      </w:tr>
      <w:tr w:rsidR="00AC6A82" w:rsidRPr="00AC6A82" w:rsidTr="006D4823">
        <w:trPr>
          <w:trHeight w:val="170"/>
          <w:jc w:val="center"/>
        </w:trPr>
        <w:tc>
          <w:tcPr>
            <w:tcW w:w="4894" w:type="dxa"/>
          </w:tcPr>
          <w:p w:rsidR="00AC6A82" w:rsidRPr="00AC6A82" w:rsidRDefault="00AC6A82" w:rsidP="00F9646F">
            <w:pPr>
              <w:pStyle w:val="a2"/>
              <w:rPr>
                <w:rFonts w:ascii="Calibri" w:hAnsi="Calibri" w:cs="Calibri"/>
                <w:color w:val="auto"/>
                <w:szCs w:val="20"/>
                <w:lang w:val="bg-BG"/>
              </w:rPr>
            </w:pPr>
            <w:r w:rsidRPr="00AC6A82">
              <w:rPr>
                <w:rFonts w:ascii="Calibri" w:hAnsi="Calibri" w:cs="Calibri"/>
                <w:color w:val="auto"/>
                <w:szCs w:val="20"/>
                <w:lang w:val="bg-BG"/>
              </w:rPr>
              <w:t>Наем на офис</w:t>
            </w:r>
          </w:p>
        </w:tc>
        <w:tc>
          <w:tcPr>
            <w:tcW w:w="2998" w:type="dxa"/>
          </w:tcPr>
          <w:p w:rsidR="00AC6A82" w:rsidRPr="00AC6A82" w:rsidRDefault="00AC6A82" w:rsidP="00F9646F">
            <w:pPr>
              <w:pStyle w:val="a2"/>
              <w:rPr>
                <w:rFonts w:ascii="Calibri" w:hAnsi="Calibri" w:cs="Calibri"/>
                <w:color w:val="auto"/>
                <w:szCs w:val="20"/>
                <w:lang w:val="bg-BG"/>
              </w:rPr>
            </w:pPr>
            <w:r w:rsidRPr="00AC6A82">
              <w:rPr>
                <w:rFonts w:ascii="Calibri" w:hAnsi="Calibri" w:cs="Calibri"/>
                <w:color w:val="auto"/>
                <w:szCs w:val="20"/>
                <w:lang w:val="bg-BG"/>
              </w:rPr>
              <w:t>Сервиз финансови пазари ЕООД</w:t>
            </w:r>
          </w:p>
        </w:tc>
        <w:tc>
          <w:tcPr>
            <w:tcW w:w="1239" w:type="dxa"/>
            <w:vAlign w:val="bottom"/>
          </w:tcPr>
          <w:p w:rsidR="00AC6A82" w:rsidRPr="00AC6A82" w:rsidRDefault="00AC6A82" w:rsidP="00E233D1">
            <w:pPr>
              <w:pStyle w:val="a3"/>
              <w:rPr>
                <w:rFonts w:ascii="Calibri" w:hAnsi="Calibri" w:cs="Calibri"/>
                <w:szCs w:val="20"/>
                <w:lang w:val="bg-BG"/>
              </w:rPr>
            </w:pPr>
            <w:r w:rsidRPr="00AC6A82">
              <w:rPr>
                <w:rFonts w:ascii="Calibri" w:hAnsi="Calibri" w:cs="Calibri"/>
                <w:szCs w:val="20"/>
                <w:lang w:val="bg-BG"/>
              </w:rPr>
              <w:t>8</w:t>
            </w:r>
          </w:p>
        </w:tc>
        <w:tc>
          <w:tcPr>
            <w:tcW w:w="1239" w:type="dxa"/>
            <w:vAlign w:val="bottom"/>
          </w:tcPr>
          <w:p w:rsidR="00AC6A82" w:rsidRPr="00AC6A82" w:rsidRDefault="00AC6A82" w:rsidP="00E233D1">
            <w:pPr>
              <w:pStyle w:val="a3"/>
              <w:rPr>
                <w:rFonts w:ascii="Calibri" w:hAnsi="Calibri" w:cs="Calibri"/>
                <w:szCs w:val="20"/>
                <w:lang w:val="bg-BG"/>
              </w:rPr>
            </w:pPr>
            <w:r w:rsidRPr="00AC6A82">
              <w:rPr>
                <w:rFonts w:ascii="Calibri" w:hAnsi="Calibri" w:cs="Calibri"/>
                <w:szCs w:val="20"/>
                <w:lang w:val="bg-BG"/>
              </w:rPr>
              <w:t>10</w:t>
            </w:r>
          </w:p>
        </w:tc>
      </w:tr>
      <w:tr w:rsidR="00AC6A82" w:rsidRPr="00AC6A82" w:rsidTr="006D4823">
        <w:trPr>
          <w:trHeight w:val="170"/>
          <w:jc w:val="center"/>
        </w:trPr>
        <w:tc>
          <w:tcPr>
            <w:tcW w:w="4894" w:type="dxa"/>
          </w:tcPr>
          <w:p w:rsidR="00AC6A82" w:rsidRPr="00AC6A82" w:rsidRDefault="00AC6A82" w:rsidP="00F9646F">
            <w:pPr>
              <w:pStyle w:val="a2"/>
              <w:rPr>
                <w:rFonts w:ascii="Calibri" w:hAnsi="Calibri" w:cs="Calibri"/>
                <w:color w:val="auto"/>
                <w:szCs w:val="20"/>
                <w:lang w:val="bg-BG"/>
              </w:rPr>
            </w:pPr>
            <w:r w:rsidRPr="00AC6A82">
              <w:rPr>
                <w:rFonts w:ascii="Calibri" w:hAnsi="Calibri" w:cs="Calibri"/>
                <w:color w:val="auto"/>
                <w:szCs w:val="20"/>
                <w:lang w:val="bg-BG"/>
              </w:rPr>
              <w:t xml:space="preserve">Получен дивидент </w:t>
            </w:r>
          </w:p>
        </w:tc>
        <w:tc>
          <w:tcPr>
            <w:tcW w:w="2998" w:type="dxa"/>
          </w:tcPr>
          <w:p w:rsidR="00AC6A82" w:rsidRPr="00AC6A82" w:rsidRDefault="00AC6A82" w:rsidP="00F9646F">
            <w:pPr>
              <w:pStyle w:val="a2"/>
              <w:rPr>
                <w:rFonts w:ascii="Calibri" w:hAnsi="Calibri" w:cs="Calibri"/>
                <w:color w:val="auto"/>
                <w:szCs w:val="20"/>
                <w:lang w:val="bg-BG"/>
              </w:rPr>
            </w:pPr>
            <w:r w:rsidRPr="00AC6A82">
              <w:rPr>
                <w:rFonts w:ascii="Calibri" w:hAnsi="Calibri" w:cs="Calibri"/>
                <w:color w:val="auto"/>
                <w:szCs w:val="20"/>
                <w:lang w:val="bg-BG"/>
              </w:rPr>
              <w:t>БНЕБ ЕАД</w:t>
            </w:r>
          </w:p>
        </w:tc>
        <w:tc>
          <w:tcPr>
            <w:tcW w:w="1239" w:type="dxa"/>
            <w:vAlign w:val="bottom"/>
          </w:tcPr>
          <w:p w:rsidR="00AC6A82" w:rsidRPr="00AC6A82" w:rsidRDefault="00AC6A82" w:rsidP="00E233D1">
            <w:pPr>
              <w:pStyle w:val="a3"/>
              <w:rPr>
                <w:rFonts w:ascii="Calibri" w:hAnsi="Calibri" w:cs="Calibri"/>
                <w:szCs w:val="20"/>
              </w:rPr>
            </w:pPr>
            <w:r w:rsidRPr="00AC6A82">
              <w:rPr>
                <w:rFonts w:ascii="Calibri" w:hAnsi="Calibri" w:cs="Calibri"/>
                <w:szCs w:val="20"/>
              </w:rPr>
              <w:t>-</w:t>
            </w:r>
          </w:p>
        </w:tc>
        <w:tc>
          <w:tcPr>
            <w:tcW w:w="1239" w:type="dxa"/>
            <w:vAlign w:val="bottom"/>
          </w:tcPr>
          <w:p w:rsidR="00AC6A82" w:rsidRPr="00AC6A82" w:rsidRDefault="00AC6A82" w:rsidP="00E233D1">
            <w:pPr>
              <w:pStyle w:val="a3"/>
              <w:rPr>
                <w:rFonts w:ascii="Calibri" w:hAnsi="Calibri" w:cs="Calibri"/>
                <w:szCs w:val="20"/>
                <w:lang w:val="bg-BG"/>
              </w:rPr>
            </w:pPr>
            <w:r w:rsidRPr="00AC6A82">
              <w:rPr>
                <w:rFonts w:ascii="Calibri" w:hAnsi="Calibri" w:cs="Calibri"/>
                <w:szCs w:val="20"/>
                <w:lang w:val="bg-BG"/>
              </w:rPr>
              <w:t>-</w:t>
            </w:r>
          </w:p>
        </w:tc>
      </w:tr>
      <w:tr w:rsidR="00AC6A82" w:rsidRPr="00AC6A82" w:rsidTr="00797714">
        <w:trPr>
          <w:trHeight w:val="170"/>
          <w:jc w:val="center"/>
        </w:trPr>
        <w:tc>
          <w:tcPr>
            <w:tcW w:w="4894" w:type="dxa"/>
          </w:tcPr>
          <w:p w:rsidR="00AC6A82" w:rsidRPr="00AC6A82" w:rsidRDefault="00AC6A82" w:rsidP="00F9646F">
            <w:pPr>
              <w:widowControl/>
              <w:autoSpaceDE w:val="0"/>
              <w:autoSpaceDN w:val="0"/>
              <w:adjustRightInd w:val="0"/>
              <w:spacing w:line="240" w:lineRule="auto"/>
              <w:jc w:val="left"/>
              <w:rPr>
                <w:rFonts w:ascii="Calibri" w:hAnsi="Calibri" w:cs="Calibri"/>
                <w:b/>
                <w:bCs/>
                <w:color w:val="000000"/>
                <w:sz w:val="20"/>
                <w:szCs w:val="20"/>
              </w:rPr>
            </w:pPr>
            <w:r w:rsidRPr="00AC6A82">
              <w:rPr>
                <w:rFonts w:ascii="Calibri" w:hAnsi="Calibri" w:cs="Calibri"/>
                <w:b/>
                <w:bCs/>
                <w:color w:val="000000"/>
                <w:sz w:val="20"/>
                <w:szCs w:val="20"/>
              </w:rPr>
              <w:t>Общо</w:t>
            </w:r>
          </w:p>
        </w:tc>
        <w:tc>
          <w:tcPr>
            <w:tcW w:w="2998" w:type="dxa"/>
          </w:tcPr>
          <w:p w:rsidR="00AC6A82" w:rsidRPr="00AC6A82" w:rsidRDefault="00AC6A82" w:rsidP="00F9646F">
            <w:pPr>
              <w:widowControl/>
              <w:autoSpaceDE w:val="0"/>
              <w:autoSpaceDN w:val="0"/>
              <w:adjustRightInd w:val="0"/>
              <w:spacing w:line="240" w:lineRule="auto"/>
              <w:jc w:val="right"/>
              <w:rPr>
                <w:rFonts w:ascii="Calibri" w:hAnsi="Calibri" w:cs="Calibri"/>
                <w:color w:val="000000"/>
                <w:sz w:val="20"/>
                <w:szCs w:val="20"/>
              </w:rPr>
            </w:pPr>
          </w:p>
        </w:tc>
        <w:tc>
          <w:tcPr>
            <w:tcW w:w="1239" w:type="dxa"/>
            <w:vAlign w:val="bottom"/>
          </w:tcPr>
          <w:p w:rsidR="00AC6A82" w:rsidRPr="00AC6A82" w:rsidRDefault="00AC6A82" w:rsidP="00E233D1">
            <w:pPr>
              <w:pStyle w:val="a3"/>
              <w:rPr>
                <w:rFonts w:ascii="Calibri" w:hAnsi="Calibri" w:cs="Calibri"/>
                <w:b/>
                <w:szCs w:val="20"/>
                <w:lang w:val="bg-BG"/>
              </w:rPr>
            </w:pPr>
            <w:r w:rsidRPr="00AC6A82">
              <w:rPr>
                <w:rFonts w:ascii="Calibri" w:hAnsi="Calibri" w:cs="Calibri"/>
                <w:b/>
                <w:szCs w:val="20"/>
                <w:lang w:val="bg-BG"/>
              </w:rPr>
              <w:t>24</w:t>
            </w:r>
          </w:p>
        </w:tc>
        <w:tc>
          <w:tcPr>
            <w:tcW w:w="1239" w:type="dxa"/>
            <w:vAlign w:val="bottom"/>
          </w:tcPr>
          <w:p w:rsidR="00AC6A82" w:rsidRPr="00AC6A82" w:rsidRDefault="00AC6A82" w:rsidP="00E233D1">
            <w:pPr>
              <w:pStyle w:val="a3"/>
              <w:rPr>
                <w:rFonts w:ascii="Calibri" w:hAnsi="Calibri" w:cs="Calibri"/>
                <w:b/>
                <w:szCs w:val="20"/>
                <w:lang w:val="bg-BG"/>
              </w:rPr>
            </w:pPr>
            <w:r w:rsidRPr="00AC6A82">
              <w:rPr>
                <w:rFonts w:ascii="Calibri" w:hAnsi="Calibri" w:cs="Calibri"/>
                <w:b/>
                <w:szCs w:val="20"/>
                <w:lang w:val="bg-BG"/>
              </w:rPr>
              <w:t>20</w:t>
            </w:r>
          </w:p>
        </w:tc>
      </w:tr>
    </w:tbl>
    <w:p w:rsidR="006F5804" w:rsidRPr="00AC6A82" w:rsidRDefault="006F5804" w:rsidP="001A50AB">
      <w:pPr>
        <w:rPr>
          <w:rFonts w:ascii="Calibri" w:hAnsi="Calibri" w:cs="Calibri"/>
        </w:rPr>
      </w:pPr>
    </w:p>
    <w:tbl>
      <w:tblPr>
        <w:tblW w:w="1031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836"/>
        <w:gridCol w:w="3002"/>
        <w:gridCol w:w="1239"/>
        <w:gridCol w:w="1238"/>
      </w:tblGrid>
      <w:tr w:rsidR="00AC6A82" w:rsidRPr="00AC6A82" w:rsidTr="004E3FBA">
        <w:trPr>
          <w:trHeight w:val="170"/>
          <w:jc w:val="center"/>
        </w:trPr>
        <w:tc>
          <w:tcPr>
            <w:tcW w:w="4836" w:type="dxa"/>
            <w:shd w:val="clear" w:color="auto" w:fill="4F81BD" w:themeFill="accent1"/>
          </w:tcPr>
          <w:p w:rsidR="00AC6A82" w:rsidRPr="00AC6A82" w:rsidRDefault="00AC6A82" w:rsidP="00F9646F">
            <w:pPr>
              <w:widowControl/>
              <w:autoSpaceDE w:val="0"/>
              <w:autoSpaceDN w:val="0"/>
              <w:adjustRightInd w:val="0"/>
              <w:spacing w:line="240" w:lineRule="auto"/>
              <w:jc w:val="center"/>
              <w:rPr>
                <w:rFonts w:ascii="Calibri" w:hAnsi="Calibri" w:cs="Calibri"/>
                <w:b/>
                <w:bCs/>
                <w:color w:val="FFFFFF"/>
                <w:sz w:val="20"/>
                <w:szCs w:val="20"/>
              </w:rPr>
            </w:pPr>
            <w:r w:rsidRPr="00AC6A82">
              <w:rPr>
                <w:rFonts w:ascii="Calibri" w:hAnsi="Calibri" w:cs="Calibri"/>
                <w:b/>
                <w:bCs/>
                <w:color w:val="FFFFFF"/>
                <w:sz w:val="20"/>
                <w:szCs w:val="20"/>
              </w:rPr>
              <w:t>Доставки от свързани лица</w:t>
            </w:r>
          </w:p>
        </w:tc>
        <w:tc>
          <w:tcPr>
            <w:tcW w:w="3002" w:type="dxa"/>
            <w:shd w:val="clear" w:color="auto" w:fill="4F81BD" w:themeFill="accent1"/>
          </w:tcPr>
          <w:p w:rsidR="00AC6A82" w:rsidRPr="00AC6A82" w:rsidRDefault="00AC6A82" w:rsidP="00F9646F">
            <w:pPr>
              <w:widowControl/>
              <w:autoSpaceDE w:val="0"/>
              <w:autoSpaceDN w:val="0"/>
              <w:adjustRightInd w:val="0"/>
              <w:spacing w:line="240" w:lineRule="auto"/>
              <w:jc w:val="center"/>
              <w:rPr>
                <w:rFonts w:ascii="Calibri" w:hAnsi="Calibri" w:cs="Calibri"/>
                <w:b/>
                <w:bCs/>
                <w:color w:val="FFFFFF"/>
                <w:sz w:val="20"/>
                <w:szCs w:val="20"/>
              </w:rPr>
            </w:pPr>
            <w:r w:rsidRPr="00AC6A82">
              <w:rPr>
                <w:rFonts w:ascii="Calibri" w:hAnsi="Calibri" w:cs="Calibri"/>
                <w:b/>
                <w:bCs/>
                <w:color w:val="FFFFFF"/>
                <w:sz w:val="20"/>
                <w:szCs w:val="20"/>
              </w:rPr>
              <w:t>Свързано лице</w:t>
            </w:r>
          </w:p>
        </w:tc>
        <w:tc>
          <w:tcPr>
            <w:tcW w:w="1239" w:type="dxa"/>
            <w:shd w:val="clear" w:color="auto" w:fill="4F81BD" w:themeFill="accent1"/>
          </w:tcPr>
          <w:p w:rsidR="00AC6A82" w:rsidRPr="00AC6A82" w:rsidRDefault="00AC6A82" w:rsidP="00E233D1">
            <w:pPr>
              <w:widowControl/>
              <w:autoSpaceDE w:val="0"/>
              <w:autoSpaceDN w:val="0"/>
              <w:adjustRightInd w:val="0"/>
              <w:spacing w:line="240" w:lineRule="auto"/>
              <w:jc w:val="center"/>
              <w:rPr>
                <w:rFonts w:ascii="Calibri" w:hAnsi="Calibri" w:cs="Calibri"/>
                <w:b/>
                <w:bCs/>
                <w:color w:val="FFFFFF"/>
                <w:sz w:val="20"/>
                <w:szCs w:val="20"/>
              </w:rPr>
            </w:pPr>
            <w:r w:rsidRPr="00AC6A82">
              <w:rPr>
                <w:rFonts w:ascii="Calibri" w:hAnsi="Calibri" w:cs="Calibri"/>
                <w:b/>
                <w:bCs/>
                <w:color w:val="FFFFFF"/>
                <w:sz w:val="20"/>
                <w:szCs w:val="20"/>
              </w:rPr>
              <w:t>31.03.2018</w:t>
            </w:r>
          </w:p>
        </w:tc>
        <w:tc>
          <w:tcPr>
            <w:tcW w:w="1238" w:type="dxa"/>
            <w:shd w:val="clear" w:color="auto" w:fill="4F81BD" w:themeFill="accent1"/>
          </w:tcPr>
          <w:p w:rsidR="00AC6A82" w:rsidRPr="00AC6A82" w:rsidRDefault="00AC6A82" w:rsidP="00E233D1">
            <w:pPr>
              <w:widowControl/>
              <w:autoSpaceDE w:val="0"/>
              <w:autoSpaceDN w:val="0"/>
              <w:adjustRightInd w:val="0"/>
              <w:spacing w:line="240" w:lineRule="auto"/>
              <w:jc w:val="center"/>
              <w:rPr>
                <w:rFonts w:ascii="Calibri" w:hAnsi="Calibri" w:cs="Calibri"/>
                <w:b/>
                <w:bCs/>
                <w:color w:val="FFFFFF"/>
                <w:sz w:val="20"/>
                <w:szCs w:val="20"/>
              </w:rPr>
            </w:pPr>
            <w:r w:rsidRPr="00AC6A82">
              <w:rPr>
                <w:rFonts w:ascii="Calibri" w:hAnsi="Calibri" w:cs="Calibri"/>
                <w:b/>
                <w:bCs/>
                <w:color w:val="FFFFFF"/>
                <w:sz w:val="20"/>
                <w:szCs w:val="20"/>
              </w:rPr>
              <w:t>31.03.2019</w:t>
            </w:r>
          </w:p>
        </w:tc>
      </w:tr>
      <w:tr w:rsidR="004E3FBA" w:rsidRPr="00AC6A82" w:rsidTr="004E3FBA">
        <w:trPr>
          <w:trHeight w:val="170"/>
          <w:jc w:val="center"/>
        </w:trPr>
        <w:tc>
          <w:tcPr>
            <w:tcW w:w="4836" w:type="dxa"/>
            <w:shd w:val="clear" w:color="auto" w:fill="4F81BD" w:themeFill="accent1"/>
          </w:tcPr>
          <w:p w:rsidR="004E3FBA" w:rsidRPr="00AC6A82" w:rsidRDefault="004E3FBA" w:rsidP="00F9646F">
            <w:pPr>
              <w:widowControl/>
              <w:autoSpaceDE w:val="0"/>
              <w:autoSpaceDN w:val="0"/>
              <w:adjustRightInd w:val="0"/>
              <w:spacing w:line="240" w:lineRule="auto"/>
              <w:jc w:val="center"/>
              <w:rPr>
                <w:rFonts w:ascii="Calibri" w:hAnsi="Calibri" w:cs="Calibri"/>
                <w:b/>
                <w:bCs/>
                <w:color w:val="FFFFFF"/>
                <w:sz w:val="20"/>
                <w:szCs w:val="20"/>
              </w:rPr>
            </w:pPr>
          </w:p>
        </w:tc>
        <w:tc>
          <w:tcPr>
            <w:tcW w:w="3002" w:type="dxa"/>
            <w:shd w:val="clear" w:color="auto" w:fill="4F81BD" w:themeFill="accent1"/>
          </w:tcPr>
          <w:p w:rsidR="004E3FBA" w:rsidRPr="00AC6A82" w:rsidRDefault="004E3FBA" w:rsidP="00F9646F">
            <w:pPr>
              <w:widowControl/>
              <w:autoSpaceDE w:val="0"/>
              <w:autoSpaceDN w:val="0"/>
              <w:adjustRightInd w:val="0"/>
              <w:spacing w:line="240" w:lineRule="auto"/>
              <w:jc w:val="center"/>
              <w:rPr>
                <w:rFonts w:ascii="Calibri" w:hAnsi="Calibri" w:cs="Calibri"/>
                <w:b/>
                <w:bCs/>
                <w:color w:val="FFFFFF"/>
                <w:sz w:val="20"/>
                <w:szCs w:val="20"/>
              </w:rPr>
            </w:pPr>
          </w:p>
        </w:tc>
        <w:tc>
          <w:tcPr>
            <w:tcW w:w="1239" w:type="dxa"/>
            <w:shd w:val="clear" w:color="auto" w:fill="4F81BD" w:themeFill="accent1"/>
          </w:tcPr>
          <w:p w:rsidR="004E3FBA" w:rsidRPr="00AC6A82" w:rsidRDefault="004E3FBA" w:rsidP="00F9646F">
            <w:pPr>
              <w:widowControl/>
              <w:autoSpaceDE w:val="0"/>
              <w:autoSpaceDN w:val="0"/>
              <w:adjustRightInd w:val="0"/>
              <w:spacing w:line="240" w:lineRule="auto"/>
              <w:jc w:val="center"/>
              <w:rPr>
                <w:rFonts w:ascii="Calibri" w:hAnsi="Calibri" w:cs="Calibri"/>
                <w:b/>
                <w:bCs/>
                <w:color w:val="FFFFFF"/>
                <w:sz w:val="20"/>
                <w:szCs w:val="20"/>
              </w:rPr>
            </w:pPr>
            <w:r w:rsidRPr="00AC6A82">
              <w:rPr>
                <w:rFonts w:ascii="Calibri" w:hAnsi="Calibri" w:cs="Calibri"/>
                <w:b/>
                <w:bCs/>
                <w:color w:val="FFFFFF"/>
                <w:sz w:val="20"/>
                <w:szCs w:val="20"/>
              </w:rPr>
              <w:t>BGN ‘000</w:t>
            </w:r>
          </w:p>
        </w:tc>
        <w:tc>
          <w:tcPr>
            <w:tcW w:w="1238" w:type="dxa"/>
            <w:shd w:val="clear" w:color="auto" w:fill="4F81BD" w:themeFill="accent1"/>
          </w:tcPr>
          <w:p w:rsidR="004E3FBA" w:rsidRPr="00AC6A82" w:rsidRDefault="004E3FBA" w:rsidP="00F9646F">
            <w:pPr>
              <w:widowControl/>
              <w:autoSpaceDE w:val="0"/>
              <w:autoSpaceDN w:val="0"/>
              <w:adjustRightInd w:val="0"/>
              <w:spacing w:line="240" w:lineRule="auto"/>
              <w:jc w:val="center"/>
              <w:rPr>
                <w:rFonts w:ascii="Calibri" w:hAnsi="Calibri" w:cs="Calibri"/>
                <w:b/>
                <w:bCs/>
                <w:color w:val="FFFFFF"/>
                <w:sz w:val="20"/>
                <w:szCs w:val="20"/>
              </w:rPr>
            </w:pPr>
            <w:r w:rsidRPr="00AC6A82">
              <w:rPr>
                <w:rFonts w:ascii="Calibri" w:hAnsi="Calibri" w:cs="Calibri"/>
                <w:b/>
                <w:bCs/>
                <w:color w:val="FFFFFF"/>
                <w:sz w:val="20"/>
                <w:szCs w:val="20"/>
              </w:rPr>
              <w:t>BGN ‘000</w:t>
            </w:r>
          </w:p>
        </w:tc>
      </w:tr>
      <w:tr w:rsidR="00AC6A82" w:rsidRPr="00AC6A82" w:rsidTr="006D4823">
        <w:trPr>
          <w:trHeight w:val="170"/>
          <w:jc w:val="center"/>
        </w:trPr>
        <w:tc>
          <w:tcPr>
            <w:tcW w:w="4836" w:type="dxa"/>
            <w:vAlign w:val="bottom"/>
          </w:tcPr>
          <w:p w:rsidR="00AC6A82" w:rsidRPr="00AC6A82" w:rsidRDefault="00AC6A82" w:rsidP="00F9646F">
            <w:pPr>
              <w:pStyle w:val="a2"/>
              <w:rPr>
                <w:rFonts w:ascii="Calibri" w:hAnsi="Calibri" w:cs="Calibri"/>
                <w:color w:val="auto"/>
                <w:szCs w:val="20"/>
                <w:lang w:val="bg-BG"/>
              </w:rPr>
            </w:pPr>
            <w:r w:rsidRPr="00AC6A82">
              <w:rPr>
                <w:rFonts w:ascii="Calibri" w:hAnsi="Calibri" w:cs="Calibri"/>
                <w:color w:val="auto"/>
                <w:szCs w:val="20"/>
                <w:lang w:val="bg-BG"/>
              </w:rPr>
              <w:t>Информационно обслужване</w:t>
            </w:r>
          </w:p>
        </w:tc>
        <w:tc>
          <w:tcPr>
            <w:tcW w:w="3002" w:type="dxa"/>
            <w:vAlign w:val="bottom"/>
          </w:tcPr>
          <w:p w:rsidR="00AC6A82" w:rsidRPr="00AC6A82" w:rsidRDefault="00AC6A82" w:rsidP="00F9646F">
            <w:pPr>
              <w:pStyle w:val="a2"/>
              <w:rPr>
                <w:rFonts w:ascii="Calibri" w:hAnsi="Calibri" w:cs="Calibri"/>
                <w:color w:val="auto"/>
                <w:szCs w:val="20"/>
                <w:lang w:val="bg-BG"/>
              </w:rPr>
            </w:pPr>
            <w:r w:rsidRPr="00AC6A82">
              <w:rPr>
                <w:rFonts w:ascii="Calibri" w:hAnsi="Calibri" w:cs="Calibri"/>
                <w:color w:val="auto"/>
                <w:szCs w:val="20"/>
                <w:lang w:val="bg-BG"/>
              </w:rPr>
              <w:t>Централен депозитар АД</w:t>
            </w:r>
          </w:p>
        </w:tc>
        <w:tc>
          <w:tcPr>
            <w:tcW w:w="1239" w:type="dxa"/>
            <w:vAlign w:val="bottom"/>
          </w:tcPr>
          <w:p w:rsidR="00AC6A82" w:rsidRPr="00AC6A82" w:rsidRDefault="00AC6A82" w:rsidP="00E233D1">
            <w:pPr>
              <w:pStyle w:val="a3"/>
              <w:rPr>
                <w:rFonts w:ascii="Calibri" w:hAnsi="Calibri" w:cs="Calibri"/>
                <w:szCs w:val="20"/>
                <w:lang w:val="bg-BG"/>
              </w:rPr>
            </w:pPr>
            <w:r w:rsidRPr="00AC6A82">
              <w:rPr>
                <w:rFonts w:ascii="Calibri" w:hAnsi="Calibri" w:cs="Calibri"/>
                <w:szCs w:val="20"/>
                <w:lang w:val="bg-BG"/>
              </w:rPr>
              <w:t>1</w:t>
            </w:r>
          </w:p>
        </w:tc>
        <w:tc>
          <w:tcPr>
            <w:tcW w:w="1238" w:type="dxa"/>
            <w:vAlign w:val="bottom"/>
          </w:tcPr>
          <w:p w:rsidR="00AC6A82" w:rsidRPr="00AC6A82" w:rsidRDefault="00AC6A82" w:rsidP="00E233D1">
            <w:pPr>
              <w:pStyle w:val="a3"/>
              <w:rPr>
                <w:rFonts w:ascii="Calibri" w:hAnsi="Calibri" w:cs="Calibri"/>
                <w:szCs w:val="20"/>
                <w:lang w:val="bg-BG"/>
              </w:rPr>
            </w:pPr>
            <w:r w:rsidRPr="00AC6A82">
              <w:rPr>
                <w:rFonts w:ascii="Calibri" w:hAnsi="Calibri" w:cs="Calibri"/>
                <w:szCs w:val="20"/>
                <w:lang w:val="bg-BG"/>
              </w:rPr>
              <w:t>-</w:t>
            </w:r>
          </w:p>
        </w:tc>
      </w:tr>
      <w:tr w:rsidR="00AC6A82" w:rsidRPr="00AC6A82" w:rsidTr="004E3FBA">
        <w:trPr>
          <w:trHeight w:val="170"/>
          <w:jc w:val="center"/>
        </w:trPr>
        <w:tc>
          <w:tcPr>
            <w:tcW w:w="4836" w:type="dxa"/>
          </w:tcPr>
          <w:p w:rsidR="00AC6A82" w:rsidRPr="00AC6A82" w:rsidRDefault="00AC6A82" w:rsidP="00F9646F">
            <w:pPr>
              <w:pStyle w:val="a2"/>
              <w:rPr>
                <w:rFonts w:ascii="Calibri" w:hAnsi="Calibri" w:cs="Calibri"/>
                <w:color w:val="auto"/>
                <w:szCs w:val="20"/>
                <w:lang w:val="bg-BG"/>
              </w:rPr>
            </w:pPr>
            <w:r w:rsidRPr="00AC6A82">
              <w:rPr>
                <w:rFonts w:ascii="Calibri" w:hAnsi="Calibri" w:cs="Calibri"/>
                <w:color w:val="auto"/>
                <w:szCs w:val="20"/>
                <w:lang w:val="bg-BG"/>
              </w:rPr>
              <w:t>Деловодни услуги</w:t>
            </w:r>
          </w:p>
        </w:tc>
        <w:tc>
          <w:tcPr>
            <w:tcW w:w="3002" w:type="dxa"/>
          </w:tcPr>
          <w:p w:rsidR="00AC6A82" w:rsidRPr="00AC6A82" w:rsidRDefault="00AC6A82" w:rsidP="00F9646F">
            <w:pPr>
              <w:pStyle w:val="a2"/>
              <w:rPr>
                <w:rFonts w:ascii="Calibri" w:hAnsi="Calibri" w:cs="Calibri"/>
                <w:color w:val="auto"/>
                <w:szCs w:val="20"/>
                <w:lang w:val="bg-BG"/>
              </w:rPr>
            </w:pPr>
            <w:r w:rsidRPr="00AC6A82">
              <w:rPr>
                <w:rFonts w:ascii="Calibri" w:hAnsi="Calibri" w:cs="Calibri"/>
                <w:color w:val="auto"/>
                <w:szCs w:val="20"/>
                <w:lang w:val="bg-BG"/>
              </w:rPr>
              <w:t>Сервиз Финансови Пазари ЕООД</w:t>
            </w:r>
          </w:p>
        </w:tc>
        <w:tc>
          <w:tcPr>
            <w:tcW w:w="1239" w:type="dxa"/>
          </w:tcPr>
          <w:p w:rsidR="00AC6A82" w:rsidRPr="00AC6A82" w:rsidRDefault="00AC6A82" w:rsidP="00E233D1">
            <w:pPr>
              <w:pStyle w:val="a3"/>
              <w:rPr>
                <w:rFonts w:ascii="Calibri" w:hAnsi="Calibri" w:cs="Calibri"/>
                <w:szCs w:val="20"/>
                <w:lang w:val="bg-BG"/>
              </w:rPr>
            </w:pPr>
            <w:r w:rsidRPr="00AC6A82">
              <w:rPr>
                <w:rFonts w:ascii="Calibri" w:hAnsi="Calibri" w:cs="Calibri"/>
                <w:szCs w:val="20"/>
                <w:lang w:val="bg-BG"/>
              </w:rPr>
              <w:t>7</w:t>
            </w:r>
          </w:p>
        </w:tc>
        <w:tc>
          <w:tcPr>
            <w:tcW w:w="1238" w:type="dxa"/>
          </w:tcPr>
          <w:p w:rsidR="00AC6A82" w:rsidRPr="00AC6A82" w:rsidRDefault="00AC6A82" w:rsidP="00E233D1">
            <w:pPr>
              <w:pStyle w:val="a3"/>
              <w:rPr>
                <w:rFonts w:ascii="Calibri" w:hAnsi="Calibri" w:cs="Calibri"/>
                <w:szCs w:val="20"/>
                <w:lang w:val="bg-BG"/>
              </w:rPr>
            </w:pPr>
            <w:r w:rsidRPr="00AC6A82">
              <w:rPr>
                <w:rFonts w:ascii="Calibri" w:hAnsi="Calibri" w:cs="Calibri"/>
                <w:szCs w:val="20"/>
                <w:lang w:val="bg-BG"/>
              </w:rPr>
              <w:t>9</w:t>
            </w:r>
          </w:p>
        </w:tc>
      </w:tr>
      <w:tr w:rsidR="00AC6A82" w:rsidRPr="00AC6A82" w:rsidTr="004E3FBA">
        <w:trPr>
          <w:trHeight w:val="170"/>
          <w:jc w:val="center"/>
        </w:trPr>
        <w:tc>
          <w:tcPr>
            <w:tcW w:w="4836" w:type="dxa"/>
          </w:tcPr>
          <w:p w:rsidR="00AC6A82" w:rsidRPr="00AC6A82" w:rsidRDefault="00AC6A82" w:rsidP="00F9646F">
            <w:pPr>
              <w:pStyle w:val="a2"/>
              <w:rPr>
                <w:rFonts w:ascii="Calibri" w:hAnsi="Calibri" w:cs="Calibri"/>
                <w:color w:val="auto"/>
                <w:szCs w:val="20"/>
                <w:lang w:val="bg-BG"/>
              </w:rPr>
            </w:pPr>
            <w:r w:rsidRPr="00AC6A82">
              <w:rPr>
                <w:rFonts w:ascii="Calibri" w:hAnsi="Calibri" w:cs="Calibri"/>
                <w:color w:val="auto"/>
                <w:szCs w:val="20"/>
                <w:lang w:val="bg-BG"/>
              </w:rPr>
              <w:t>Възнаграждения за опериране с продукта Х3</w:t>
            </w:r>
          </w:p>
        </w:tc>
        <w:tc>
          <w:tcPr>
            <w:tcW w:w="3002" w:type="dxa"/>
          </w:tcPr>
          <w:p w:rsidR="00AC6A82" w:rsidRPr="00AC6A82" w:rsidRDefault="00AC6A82" w:rsidP="00F9646F">
            <w:pPr>
              <w:pStyle w:val="a2"/>
              <w:rPr>
                <w:rFonts w:ascii="Calibri" w:hAnsi="Calibri" w:cs="Calibri"/>
                <w:color w:val="auto"/>
                <w:szCs w:val="20"/>
                <w:lang w:val="bg-BG"/>
              </w:rPr>
            </w:pPr>
            <w:r w:rsidRPr="00AC6A82">
              <w:rPr>
                <w:rFonts w:ascii="Calibri" w:hAnsi="Calibri" w:cs="Calibri"/>
                <w:color w:val="auto"/>
                <w:szCs w:val="20"/>
                <w:lang w:val="bg-BG"/>
              </w:rPr>
              <w:t>Сервиз Финансови Пазари ЕООД</w:t>
            </w:r>
          </w:p>
        </w:tc>
        <w:tc>
          <w:tcPr>
            <w:tcW w:w="1239" w:type="dxa"/>
          </w:tcPr>
          <w:p w:rsidR="00AC6A82" w:rsidRPr="00AC6A82" w:rsidRDefault="00AC6A82" w:rsidP="00E233D1">
            <w:pPr>
              <w:pStyle w:val="a3"/>
              <w:rPr>
                <w:rFonts w:ascii="Calibri" w:hAnsi="Calibri" w:cs="Calibri"/>
                <w:szCs w:val="20"/>
              </w:rPr>
            </w:pPr>
            <w:r w:rsidRPr="00AC6A82">
              <w:rPr>
                <w:rFonts w:ascii="Calibri" w:hAnsi="Calibri" w:cs="Calibri"/>
                <w:szCs w:val="20"/>
              </w:rPr>
              <w:t>1</w:t>
            </w:r>
          </w:p>
        </w:tc>
        <w:tc>
          <w:tcPr>
            <w:tcW w:w="1238" w:type="dxa"/>
          </w:tcPr>
          <w:p w:rsidR="00AC6A82" w:rsidRPr="00AC6A82" w:rsidRDefault="00AC6A82" w:rsidP="00E233D1">
            <w:pPr>
              <w:pStyle w:val="a3"/>
              <w:rPr>
                <w:rFonts w:ascii="Calibri" w:hAnsi="Calibri" w:cs="Calibri"/>
                <w:szCs w:val="20"/>
              </w:rPr>
            </w:pPr>
            <w:r w:rsidRPr="00AC6A82">
              <w:rPr>
                <w:rFonts w:ascii="Calibri" w:hAnsi="Calibri" w:cs="Calibri"/>
                <w:szCs w:val="20"/>
              </w:rPr>
              <w:t>1</w:t>
            </w:r>
          </w:p>
        </w:tc>
      </w:tr>
      <w:tr w:rsidR="00AC6A82" w:rsidRPr="00AC6A82" w:rsidTr="004E3FBA">
        <w:trPr>
          <w:trHeight w:val="170"/>
          <w:jc w:val="center"/>
        </w:trPr>
        <w:tc>
          <w:tcPr>
            <w:tcW w:w="4836" w:type="dxa"/>
          </w:tcPr>
          <w:p w:rsidR="00AC6A82" w:rsidRPr="00AC6A82" w:rsidRDefault="00AC6A82" w:rsidP="00F9646F">
            <w:pPr>
              <w:pStyle w:val="a2"/>
              <w:widowControl w:val="0"/>
              <w:rPr>
                <w:rFonts w:ascii="Calibri" w:hAnsi="Calibri" w:cs="Calibri"/>
                <w:color w:val="auto"/>
                <w:szCs w:val="20"/>
                <w:lang w:val="bg-BG"/>
              </w:rPr>
            </w:pPr>
            <w:r w:rsidRPr="00AC6A82">
              <w:rPr>
                <w:rFonts w:ascii="Calibri" w:hAnsi="Calibri" w:cs="Calibri"/>
                <w:color w:val="auto"/>
                <w:szCs w:val="20"/>
                <w:lang w:val="bg-BG"/>
              </w:rPr>
              <w:t>Такса попечителски услуги</w:t>
            </w:r>
          </w:p>
        </w:tc>
        <w:tc>
          <w:tcPr>
            <w:tcW w:w="3002" w:type="dxa"/>
          </w:tcPr>
          <w:p w:rsidR="00AC6A82" w:rsidRPr="00AC6A82" w:rsidRDefault="00AC6A82" w:rsidP="00F9646F">
            <w:pPr>
              <w:pStyle w:val="a2"/>
              <w:widowControl w:val="0"/>
              <w:rPr>
                <w:rFonts w:ascii="Calibri" w:hAnsi="Calibri" w:cs="Calibri"/>
                <w:color w:val="auto"/>
                <w:szCs w:val="20"/>
                <w:lang w:val="bg-BG"/>
              </w:rPr>
            </w:pPr>
            <w:r w:rsidRPr="00AC6A82">
              <w:rPr>
                <w:rFonts w:ascii="Calibri" w:hAnsi="Calibri" w:cs="Calibri"/>
                <w:color w:val="auto"/>
                <w:szCs w:val="20"/>
                <w:lang w:val="bg-BG"/>
              </w:rPr>
              <w:t>Юробанк България АД</w:t>
            </w:r>
          </w:p>
        </w:tc>
        <w:tc>
          <w:tcPr>
            <w:tcW w:w="1239" w:type="dxa"/>
          </w:tcPr>
          <w:p w:rsidR="00AC6A82" w:rsidRPr="00AC6A82" w:rsidRDefault="00AC6A82" w:rsidP="00E233D1">
            <w:pPr>
              <w:pStyle w:val="a3"/>
              <w:rPr>
                <w:rFonts w:ascii="Calibri" w:hAnsi="Calibri" w:cs="Calibri"/>
                <w:szCs w:val="20"/>
                <w:lang w:val="bg-BG"/>
              </w:rPr>
            </w:pPr>
            <w:r w:rsidRPr="00AC6A82">
              <w:rPr>
                <w:rFonts w:ascii="Calibri" w:hAnsi="Calibri" w:cs="Calibri"/>
                <w:szCs w:val="20"/>
                <w:lang w:val="bg-BG"/>
              </w:rPr>
              <w:t>1</w:t>
            </w:r>
          </w:p>
        </w:tc>
        <w:tc>
          <w:tcPr>
            <w:tcW w:w="1238" w:type="dxa"/>
          </w:tcPr>
          <w:p w:rsidR="00AC6A82" w:rsidRPr="00AC6A82" w:rsidRDefault="00AC6A82" w:rsidP="00E233D1">
            <w:pPr>
              <w:pStyle w:val="a3"/>
              <w:rPr>
                <w:rFonts w:ascii="Calibri" w:hAnsi="Calibri" w:cs="Calibri"/>
                <w:szCs w:val="20"/>
                <w:lang w:val="bg-BG"/>
              </w:rPr>
            </w:pPr>
            <w:r w:rsidRPr="00AC6A82">
              <w:rPr>
                <w:rFonts w:ascii="Calibri" w:hAnsi="Calibri" w:cs="Calibri"/>
                <w:szCs w:val="20"/>
                <w:lang w:val="bg-BG"/>
              </w:rPr>
              <w:t>-</w:t>
            </w:r>
          </w:p>
        </w:tc>
      </w:tr>
      <w:tr w:rsidR="00AC6A82" w:rsidRPr="00AC6A82" w:rsidTr="004E3FBA">
        <w:trPr>
          <w:trHeight w:val="170"/>
          <w:jc w:val="center"/>
        </w:trPr>
        <w:tc>
          <w:tcPr>
            <w:tcW w:w="4836" w:type="dxa"/>
          </w:tcPr>
          <w:p w:rsidR="00AC6A82" w:rsidRPr="00AC6A82" w:rsidRDefault="00AC6A82" w:rsidP="00F9646F">
            <w:pPr>
              <w:pStyle w:val="a2"/>
              <w:widowControl w:val="0"/>
              <w:rPr>
                <w:rFonts w:ascii="Calibri" w:hAnsi="Calibri" w:cs="Calibri"/>
                <w:color w:val="auto"/>
                <w:szCs w:val="20"/>
                <w:lang w:val="bg-BG"/>
              </w:rPr>
            </w:pPr>
            <w:r w:rsidRPr="00AC6A82">
              <w:rPr>
                <w:rFonts w:ascii="Calibri" w:hAnsi="Calibri" w:cs="Calibri"/>
                <w:color w:val="auto"/>
                <w:szCs w:val="20"/>
                <w:lang w:val="bg-BG"/>
              </w:rPr>
              <w:t>Такса за финансиране на мероприятие</w:t>
            </w:r>
          </w:p>
        </w:tc>
        <w:tc>
          <w:tcPr>
            <w:tcW w:w="3002" w:type="dxa"/>
          </w:tcPr>
          <w:p w:rsidR="00AC6A82" w:rsidRPr="00AC6A82" w:rsidRDefault="00AC6A82" w:rsidP="00F9646F">
            <w:pPr>
              <w:pStyle w:val="a2"/>
              <w:widowControl w:val="0"/>
              <w:rPr>
                <w:rFonts w:ascii="Calibri" w:hAnsi="Calibri" w:cs="Calibri"/>
                <w:color w:val="auto"/>
                <w:szCs w:val="20"/>
                <w:lang w:val="bg-BG"/>
              </w:rPr>
            </w:pPr>
            <w:r w:rsidRPr="00AC6A82">
              <w:rPr>
                <w:rFonts w:ascii="Calibri" w:hAnsi="Calibri" w:cs="Calibri"/>
                <w:color w:val="auto"/>
                <w:szCs w:val="20"/>
                <w:lang w:val="bg-BG"/>
              </w:rPr>
              <w:t>НККУ</w:t>
            </w:r>
          </w:p>
        </w:tc>
        <w:tc>
          <w:tcPr>
            <w:tcW w:w="1239" w:type="dxa"/>
          </w:tcPr>
          <w:p w:rsidR="00AC6A82" w:rsidRPr="00AC6A82" w:rsidRDefault="00AC6A82" w:rsidP="00E233D1">
            <w:pPr>
              <w:pStyle w:val="a3"/>
              <w:rPr>
                <w:rFonts w:ascii="Calibri" w:hAnsi="Calibri" w:cs="Calibri"/>
                <w:szCs w:val="20"/>
              </w:rPr>
            </w:pPr>
            <w:r w:rsidRPr="00AC6A82">
              <w:rPr>
                <w:rFonts w:ascii="Calibri" w:hAnsi="Calibri" w:cs="Calibri"/>
                <w:szCs w:val="20"/>
              </w:rPr>
              <w:t>-</w:t>
            </w:r>
          </w:p>
        </w:tc>
        <w:tc>
          <w:tcPr>
            <w:tcW w:w="1238" w:type="dxa"/>
          </w:tcPr>
          <w:p w:rsidR="00AC6A82" w:rsidRPr="00AC6A82" w:rsidRDefault="00AC6A82" w:rsidP="00E233D1">
            <w:pPr>
              <w:pStyle w:val="a3"/>
              <w:rPr>
                <w:rFonts w:ascii="Calibri" w:hAnsi="Calibri" w:cs="Calibri"/>
                <w:szCs w:val="20"/>
                <w:lang w:val="bg-BG"/>
              </w:rPr>
            </w:pPr>
            <w:r w:rsidRPr="00AC6A82">
              <w:rPr>
                <w:rFonts w:ascii="Calibri" w:hAnsi="Calibri" w:cs="Calibri"/>
                <w:szCs w:val="20"/>
                <w:lang w:val="bg-BG"/>
              </w:rPr>
              <w:t>4</w:t>
            </w:r>
          </w:p>
        </w:tc>
      </w:tr>
      <w:tr w:rsidR="00AC6A82" w:rsidRPr="00AC6A82" w:rsidTr="006D4823">
        <w:trPr>
          <w:trHeight w:val="170"/>
          <w:jc w:val="center"/>
        </w:trPr>
        <w:tc>
          <w:tcPr>
            <w:tcW w:w="4836" w:type="dxa"/>
          </w:tcPr>
          <w:p w:rsidR="00AC6A82" w:rsidRPr="00AC6A82" w:rsidRDefault="00AC6A82" w:rsidP="00F9646F">
            <w:pPr>
              <w:widowControl/>
              <w:autoSpaceDE w:val="0"/>
              <w:autoSpaceDN w:val="0"/>
              <w:adjustRightInd w:val="0"/>
              <w:spacing w:line="240" w:lineRule="auto"/>
              <w:jc w:val="left"/>
              <w:rPr>
                <w:rFonts w:ascii="Calibri" w:hAnsi="Calibri" w:cs="Calibri"/>
                <w:b/>
                <w:bCs/>
                <w:color w:val="000000"/>
                <w:sz w:val="20"/>
                <w:szCs w:val="20"/>
              </w:rPr>
            </w:pPr>
            <w:r w:rsidRPr="00AC6A82">
              <w:rPr>
                <w:rFonts w:ascii="Calibri" w:hAnsi="Calibri" w:cs="Calibri"/>
                <w:b/>
                <w:bCs/>
                <w:color w:val="000000"/>
                <w:sz w:val="20"/>
                <w:szCs w:val="20"/>
              </w:rPr>
              <w:t>Общо</w:t>
            </w:r>
          </w:p>
        </w:tc>
        <w:tc>
          <w:tcPr>
            <w:tcW w:w="3002" w:type="dxa"/>
          </w:tcPr>
          <w:p w:rsidR="00AC6A82" w:rsidRPr="00AC6A82" w:rsidRDefault="00AC6A82" w:rsidP="00F9646F">
            <w:pPr>
              <w:widowControl/>
              <w:autoSpaceDE w:val="0"/>
              <w:autoSpaceDN w:val="0"/>
              <w:adjustRightInd w:val="0"/>
              <w:spacing w:line="240" w:lineRule="auto"/>
              <w:jc w:val="right"/>
              <w:rPr>
                <w:rFonts w:ascii="Calibri" w:hAnsi="Calibri" w:cs="Calibri"/>
                <w:color w:val="000000"/>
                <w:sz w:val="20"/>
                <w:szCs w:val="20"/>
              </w:rPr>
            </w:pPr>
          </w:p>
        </w:tc>
        <w:tc>
          <w:tcPr>
            <w:tcW w:w="1239" w:type="dxa"/>
            <w:vAlign w:val="bottom"/>
          </w:tcPr>
          <w:p w:rsidR="00AC6A82" w:rsidRPr="00AC6A82" w:rsidRDefault="00AC6A82" w:rsidP="00E233D1">
            <w:pPr>
              <w:pStyle w:val="a3"/>
              <w:rPr>
                <w:rFonts w:ascii="Calibri" w:hAnsi="Calibri" w:cs="Calibri"/>
                <w:b/>
                <w:szCs w:val="20"/>
                <w:lang w:val="bg-BG"/>
              </w:rPr>
            </w:pPr>
            <w:r w:rsidRPr="00AC6A82">
              <w:rPr>
                <w:rFonts w:ascii="Calibri" w:hAnsi="Calibri" w:cs="Calibri"/>
                <w:b/>
                <w:szCs w:val="20"/>
                <w:lang w:val="bg-BG"/>
              </w:rPr>
              <w:t>10</w:t>
            </w:r>
          </w:p>
        </w:tc>
        <w:tc>
          <w:tcPr>
            <w:tcW w:w="1238" w:type="dxa"/>
            <w:vAlign w:val="bottom"/>
          </w:tcPr>
          <w:p w:rsidR="00AC6A82" w:rsidRPr="00AC6A82" w:rsidRDefault="00AC6A82" w:rsidP="00E233D1">
            <w:pPr>
              <w:pStyle w:val="a3"/>
              <w:rPr>
                <w:rFonts w:ascii="Calibri" w:hAnsi="Calibri" w:cs="Calibri"/>
                <w:b/>
                <w:szCs w:val="20"/>
                <w:lang w:val="bg-BG"/>
              </w:rPr>
            </w:pPr>
            <w:r w:rsidRPr="00AC6A82">
              <w:rPr>
                <w:rFonts w:ascii="Calibri" w:hAnsi="Calibri" w:cs="Calibri"/>
                <w:b/>
                <w:szCs w:val="20"/>
                <w:lang w:val="bg-BG"/>
              </w:rPr>
              <w:t>14</w:t>
            </w:r>
          </w:p>
        </w:tc>
      </w:tr>
    </w:tbl>
    <w:p w:rsidR="00844758" w:rsidRPr="00AC6A82" w:rsidRDefault="00844758" w:rsidP="001A50AB">
      <w:pPr>
        <w:rPr>
          <w:rFonts w:ascii="Calibri" w:hAnsi="Calibri" w:cs="Calibri"/>
        </w:rPr>
      </w:pPr>
    </w:p>
    <w:p w:rsidR="008E2822" w:rsidRPr="00AC6A82" w:rsidRDefault="008E2822" w:rsidP="001A50AB">
      <w:pPr>
        <w:pStyle w:val="BodyText"/>
        <w:rPr>
          <w:rFonts w:ascii="Calibri" w:hAnsi="Calibri" w:cs="Calibri"/>
        </w:rPr>
      </w:pPr>
      <w:r w:rsidRPr="00AC6A82">
        <w:rPr>
          <w:rFonts w:ascii="Calibri" w:hAnsi="Calibri" w:cs="Calibri"/>
        </w:rPr>
        <w:t>Разчети със свързани лица</w:t>
      </w:r>
    </w:p>
    <w:p w:rsidR="00D4734D" w:rsidRPr="00AC6A82" w:rsidRDefault="0073788C" w:rsidP="001A50AB">
      <w:pPr>
        <w:rPr>
          <w:rFonts w:ascii="Calibri" w:hAnsi="Calibri" w:cs="Calibri"/>
        </w:rPr>
      </w:pPr>
      <w:r w:rsidRPr="00AC6A82">
        <w:rPr>
          <w:rFonts w:ascii="Calibri" w:hAnsi="Calibri" w:cs="Calibri"/>
        </w:rPr>
        <w:t xml:space="preserve">Разчетните взаимоотношения със свързани лица включват вземания по продажби </w:t>
      </w:r>
      <w:r w:rsidR="009C0CEA" w:rsidRPr="00AC6A82">
        <w:rPr>
          <w:rFonts w:ascii="Calibri" w:hAnsi="Calibri" w:cs="Calibri"/>
        </w:rPr>
        <w:t xml:space="preserve">и </w:t>
      </w:r>
      <w:r w:rsidRPr="00AC6A82">
        <w:rPr>
          <w:rFonts w:ascii="Calibri" w:hAnsi="Calibri" w:cs="Calibri"/>
        </w:rPr>
        <w:t xml:space="preserve">към </w:t>
      </w:r>
      <w:r w:rsidR="00F9646F" w:rsidRPr="00AC6A82">
        <w:rPr>
          <w:rFonts w:ascii="Calibri" w:hAnsi="Calibri" w:cs="Calibri"/>
        </w:rPr>
        <w:t>31</w:t>
      </w:r>
      <w:r w:rsidRPr="00AC6A82">
        <w:rPr>
          <w:rFonts w:ascii="Calibri" w:hAnsi="Calibri" w:cs="Calibri"/>
        </w:rPr>
        <w:t>.</w:t>
      </w:r>
      <w:r w:rsidR="00AC6A82">
        <w:rPr>
          <w:rFonts w:ascii="Calibri" w:hAnsi="Calibri" w:cs="Calibri"/>
        </w:rPr>
        <w:t>03</w:t>
      </w:r>
      <w:r w:rsidRPr="00AC6A82">
        <w:rPr>
          <w:rFonts w:ascii="Calibri" w:hAnsi="Calibri" w:cs="Calibri"/>
        </w:rPr>
        <w:t>.201</w:t>
      </w:r>
      <w:r w:rsidR="00AC6A82">
        <w:rPr>
          <w:rFonts w:ascii="Calibri" w:hAnsi="Calibri" w:cs="Calibri"/>
        </w:rPr>
        <w:t>9</w:t>
      </w:r>
      <w:r w:rsidRPr="00AC6A82">
        <w:rPr>
          <w:rFonts w:ascii="Calibri" w:hAnsi="Calibri" w:cs="Calibri"/>
        </w:rPr>
        <w:t xml:space="preserve"> г.</w:t>
      </w:r>
      <w:r w:rsidR="00C77D86" w:rsidRPr="00AC6A82">
        <w:rPr>
          <w:rFonts w:ascii="Calibri" w:hAnsi="Calibri" w:cs="Calibri"/>
        </w:rPr>
        <w:t xml:space="preserve">са в размер на </w:t>
      </w:r>
      <w:r w:rsidR="000F526F" w:rsidRPr="00AC6A82">
        <w:rPr>
          <w:rFonts w:ascii="Calibri" w:hAnsi="Calibri" w:cs="Calibri"/>
        </w:rPr>
        <w:t>1</w:t>
      </w:r>
      <w:r w:rsidR="00FE0339" w:rsidRPr="00AC6A82">
        <w:rPr>
          <w:rFonts w:ascii="Calibri" w:hAnsi="Calibri" w:cs="Calibri"/>
        </w:rPr>
        <w:t xml:space="preserve"> хил.</w:t>
      </w:r>
      <w:r w:rsidR="00C77D86" w:rsidRPr="00AC6A82">
        <w:rPr>
          <w:rFonts w:ascii="Calibri" w:hAnsi="Calibri" w:cs="Calibri"/>
        </w:rPr>
        <w:t xml:space="preserve"> лв</w:t>
      </w:r>
      <w:r w:rsidR="00FE0339" w:rsidRPr="00AC6A82">
        <w:rPr>
          <w:rFonts w:ascii="Calibri" w:hAnsi="Calibri" w:cs="Calibri"/>
        </w:rPr>
        <w:t>.</w:t>
      </w:r>
      <w:r w:rsidRPr="00AC6A82">
        <w:rPr>
          <w:rFonts w:ascii="Calibri" w:hAnsi="Calibri" w:cs="Calibri"/>
        </w:rPr>
        <w:t>(</w:t>
      </w:r>
      <w:r w:rsidR="00F9646F" w:rsidRPr="00AC6A82">
        <w:rPr>
          <w:rFonts w:ascii="Calibri" w:hAnsi="Calibri" w:cs="Calibri"/>
        </w:rPr>
        <w:t>31</w:t>
      </w:r>
      <w:r w:rsidRPr="00AC6A82">
        <w:rPr>
          <w:rFonts w:ascii="Calibri" w:hAnsi="Calibri" w:cs="Calibri"/>
        </w:rPr>
        <w:t>.</w:t>
      </w:r>
      <w:r w:rsidR="00AC6A82">
        <w:rPr>
          <w:rFonts w:ascii="Calibri" w:hAnsi="Calibri" w:cs="Calibri"/>
        </w:rPr>
        <w:t>03</w:t>
      </w:r>
      <w:r w:rsidRPr="00AC6A82">
        <w:rPr>
          <w:rFonts w:ascii="Calibri" w:hAnsi="Calibri" w:cs="Calibri"/>
        </w:rPr>
        <w:t>.201</w:t>
      </w:r>
      <w:r w:rsidR="00AC6A82">
        <w:rPr>
          <w:rFonts w:ascii="Calibri" w:hAnsi="Calibri" w:cs="Calibri"/>
        </w:rPr>
        <w:t>8</w:t>
      </w:r>
      <w:r w:rsidRPr="00AC6A82">
        <w:rPr>
          <w:rFonts w:ascii="Calibri" w:hAnsi="Calibri" w:cs="Calibri"/>
        </w:rPr>
        <w:t xml:space="preserve"> г: </w:t>
      </w:r>
      <w:r w:rsidR="004E3FBA" w:rsidRPr="00AC6A82">
        <w:rPr>
          <w:rFonts w:ascii="Calibri" w:hAnsi="Calibri" w:cs="Calibri"/>
        </w:rPr>
        <w:t>1</w:t>
      </w:r>
      <w:r w:rsidR="00D43A41" w:rsidRPr="00AC6A82">
        <w:rPr>
          <w:rFonts w:ascii="Calibri" w:hAnsi="Calibri" w:cs="Calibri"/>
        </w:rPr>
        <w:t xml:space="preserve"> хил. лв</w:t>
      </w:r>
      <w:r w:rsidR="00C77D86" w:rsidRPr="00AC6A82">
        <w:rPr>
          <w:rFonts w:ascii="Calibri" w:hAnsi="Calibri" w:cs="Calibri"/>
        </w:rPr>
        <w:t>.</w:t>
      </w:r>
      <w:r w:rsidRPr="00AC6A82">
        <w:rPr>
          <w:rFonts w:ascii="Calibri" w:hAnsi="Calibri" w:cs="Calibri"/>
        </w:rPr>
        <w:t>).</w:t>
      </w:r>
    </w:p>
    <w:p w:rsidR="00727506" w:rsidRPr="00AC6A82" w:rsidRDefault="00315833" w:rsidP="003030DD">
      <w:pPr>
        <w:pStyle w:val="SubNumbers"/>
      </w:pPr>
      <w:bookmarkStart w:id="80" w:name="_Toc7535449"/>
      <w:r w:rsidRPr="00AC6A82">
        <w:t>О</w:t>
      </w:r>
      <w:r w:rsidR="00727506" w:rsidRPr="00AC6A82">
        <w:t>с</w:t>
      </w:r>
      <w:r w:rsidRPr="00AC6A82">
        <w:t>н</w:t>
      </w:r>
      <w:r w:rsidR="00727506" w:rsidRPr="00AC6A82">
        <w:t>овен доход на акция</w:t>
      </w:r>
      <w:bookmarkEnd w:id="80"/>
    </w:p>
    <w:p w:rsidR="00421E59" w:rsidRPr="00AC6A82" w:rsidRDefault="00D03868" w:rsidP="001A50AB">
      <w:pPr>
        <w:rPr>
          <w:rFonts w:ascii="Calibri" w:hAnsi="Calibri" w:cs="Calibri"/>
        </w:rPr>
      </w:pPr>
      <w:r w:rsidRPr="00AC6A82">
        <w:rPr>
          <w:rFonts w:ascii="Calibri" w:hAnsi="Calibri" w:cs="Calibri"/>
        </w:rPr>
        <w:t xml:space="preserve">Нетната </w:t>
      </w:r>
      <w:r w:rsidR="00844758" w:rsidRPr="00AC6A82">
        <w:rPr>
          <w:rFonts w:ascii="Calibri" w:hAnsi="Calibri" w:cs="Calibri"/>
        </w:rPr>
        <w:t>печалба</w:t>
      </w:r>
      <w:r w:rsidR="00727506" w:rsidRPr="00AC6A82">
        <w:rPr>
          <w:rFonts w:ascii="Calibri" w:hAnsi="Calibri" w:cs="Calibri"/>
        </w:rPr>
        <w:t xml:space="preserve"> на една акция е изчислен</w:t>
      </w:r>
      <w:r w:rsidRPr="00AC6A82">
        <w:rPr>
          <w:rFonts w:ascii="Calibri" w:hAnsi="Calibri" w:cs="Calibri"/>
        </w:rPr>
        <w:t>а</w:t>
      </w:r>
      <w:r w:rsidR="00727506" w:rsidRPr="00AC6A82">
        <w:rPr>
          <w:rFonts w:ascii="Calibri" w:hAnsi="Calibri" w:cs="Calibri"/>
        </w:rPr>
        <w:t xml:space="preserve"> на база на нетната </w:t>
      </w:r>
      <w:r w:rsidR="00844758" w:rsidRPr="00AC6A82">
        <w:rPr>
          <w:rFonts w:ascii="Calibri" w:hAnsi="Calibri" w:cs="Calibri"/>
        </w:rPr>
        <w:t>печалба</w:t>
      </w:r>
      <w:r w:rsidR="00AC6A82">
        <w:rPr>
          <w:rFonts w:ascii="Calibri" w:hAnsi="Calibri" w:cs="Calibri"/>
        </w:rPr>
        <w:t xml:space="preserve"> </w:t>
      </w:r>
      <w:r w:rsidR="00D82022" w:rsidRPr="00AC6A82">
        <w:rPr>
          <w:rFonts w:ascii="Calibri" w:hAnsi="Calibri" w:cs="Calibri"/>
        </w:rPr>
        <w:t xml:space="preserve">на </w:t>
      </w:r>
      <w:r w:rsidR="00911394" w:rsidRPr="00AC6A82">
        <w:rPr>
          <w:rFonts w:ascii="Calibri" w:hAnsi="Calibri" w:cs="Calibri"/>
        </w:rPr>
        <w:t>„</w:t>
      </w:r>
      <w:r w:rsidR="00636F5A" w:rsidRPr="00AC6A82">
        <w:rPr>
          <w:rFonts w:ascii="Calibri" w:hAnsi="Calibri" w:cs="Calibri"/>
        </w:rPr>
        <w:t>Българска фондова борса</w:t>
      </w:r>
      <w:r w:rsidR="00911394" w:rsidRPr="00AC6A82">
        <w:rPr>
          <w:rFonts w:ascii="Calibri" w:hAnsi="Calibri" w:cs="Calibri"/>
        </w:rPr>
        <w:t>“ АД</w:t>
      </w:r>
      <w:r w:rsidR="00EE15CA">
        <w:rPr>
          <w:rFonts w:ascii="Calibri" w:hAnsi="Calibri" w:cs="Calibri"/>
          <w:lang w:val="en-US"/>
        </w:rPr>
        <w:t xml:space="preserve"> </w:t>
      </w:r>
      <w:r w:rsidR="00727506" w:rsidRPr="00AC6A82">
        <w:rPr>
          <w:rFonts w:ascii="Calibri" w:hAnsi="Calibri" w:cs="Calibri"/>
        </w:rPr>
        <w:t xml:space="preserve">за </w:t>
      </w:r>
      <w:r w:rsidRPr="00AC6A82">
        <w:rPr>
          <w:rFonts w:ascii="Calibri" w:hAnsi="Calibri" w:cs="Calibri"/>
        </w:rPr>
        <w:t xml:space="preserve">периода </w:t>
      </w:r>
      <w:r w:rsidR="00727506" w:rsidRPr="00AC6A82">
        <w:rPr>
          <w:rFonts w:ascii="Calibri" w:hAnsi="Calibri" w:cs="Calibri"/>
        </w:rPr>
        <w:t>и бро</w:t>
      </w:r>
      <w:r w:rsidRPr="00AC6A82">
        <w:rPr>
          <w:rFonts w:ascii="Calibri" w:hAnsi="Calibri" w:cs="Calibri"/>
        </w:rPr>
        <w:t>я</w:t>
      </w:r>
      <w:r w:rsidR="00727506" w:rsidRPr="00AC6A82">
        <w:rPr>
          <w:rFonts w:ascii="Calibri" w:hAnsi="Calibri" w:cs="Calibri"/>
        </w:rPr>
        <w:t xml:space="preserve"> на обикновен</w:t>
      </w:r>
      <w:r w:rsidR="00CB2BE3" w:rsidRPr="00AC6A82">
        <w:rPr>
          <w:rFonts w:ascii="Calibri" w:hAnsi="Calibri" w:cs="Calibri"/>
        </w:rPr>
        <w:t>ите акции през отчетния период.</w:t>
      </w:r>
    </w:p>
    <w:p w:rsidR="00421E59" w:rsidRPr="00AC6A82" w:rsidRDefault="00421E59">
      <w:pPr>
        <w:widowControl/>
        <w:spacing w:line="240" w:lineRule="auto"/>
        <w:jc w:val="left"/>
        <w:rPr>
          <w:rFonts w:ascii="Calibri" w:hAnsi="Calibri" w:cs="Calibri"/>
        </w:rPr>
      </w:pPr>
    </w:p>
    <w:p w:rsidR="00727506" w:rsidRPr="00AC6A82" w:rsidRDefault="00002529" w:rsidP="001A50AB">
      <w:pPr>
        <w:rPr>
          <w:rFonts w:ascii="Calibri" w:hAnsi="Calibri" w:cs="Calibri"/>
          <w:i/>
        </w:rPr>
      </w:pPr>
      <w:r w:rsidRPr="00AC6A82">
        <w:rPr>
          <w:rFonts w:ascii="Calibri" w:hAnsi="Calibri" w:cs="Calibri"/>
        </w:rPr>
        <w:t>Таблица 15</w:t>
      </w:r>
      <w:r w:rsidR="0098481A" w:rsidRPr="00AC6A82">
        <w:rPr>
          <w:rFonts w:ascii="Calibri" w:hAnsi="Calibri" w:cs="Calibri"/>
        </w:rPr>
        <w:t>. Доход на акция</w:t>
      </w:r>
    </w:p>
    <w:tbl>
      <w:tblPr>
        <w:tblW w:w="7803" w:type="dxa"/>
        <w:jc w:val="center"/>
        <w:tblCellMar>
          <w:left w:w="70" w:type="dxa"/>
          <w:right w:w="70" w:type="dxa"/>
        </w:tblCellMar>
        <w:tblLook w:val="04A0" w:firstRow="1" w:lastRow="0" w:firstColumn="1" w:lastColumn="0" w:noHBand="0" w:noVBand="1"/>
      </w:tblPr>
      <w:tblGrid>
        <w:gridCol w:w="4980"/>
        <w:gridCol w:w="1414"/>
        <w:gridCol w:w="1409"/>
      </w:tblGrid>
      <w:tr w:rsidR="0073788C" w:rsidRPr="00AC6A82" w:rsidTr="007B1E7A">
        <w:trPr>
          <w:trHeight w:val="170"/>
          <w:jc w:val="center"/>
        </w:trPr>
        <w:tc>
          <w:tcPr>
            <w:tcW w:w="4980" w:type="dxa"/>
            <w:tcBorders>
              <w:top w:val="single" w:sz="4" w:space="0" w:color="auto"/>
              <w:left w:val="single" w:sz="4" w:space="0" w:color="auto"/>
              <w:bottom w:val="single" w:sz="4" w:space="0" w:color="auto"/>
              <w:right w:val="single" w:sz="4" w:space="0" w:color="auto"/>
            </w:tcBorders>
            <w:shd w:val="clear" w:color="auto" w:fill="4F81BD" w:themeFill="accent1"/>
            <w:noWrap/>
            <w:vAlign w:val="bottom"/>
            <w:hideMark/>
          </w:tcPr>
          <w:p w:rsidR="0073788C" w:rsidRPr="00AC6A82" w:rsidRDefault="0073788C" w:rsidP="001A50AB">
            <w:pPr>
              <w:rPr>
                <w:rFonts w:ascii="Calibri" w:hAnsi="Calibri" w:cs="Calibri"/>
                <w:color w:val="FFFFFF" w:themeColor="background1"/>
              </w:rPr>
            </w:pPr>
            <w:r w:rsidRPr="00AC6A82">
              <w:rPr>
                <w:rFonts w:ascii="Calibri" w:hAnsi="Calibri" w:cs="Calibri"/>
                <w:color w:val="FFFFFF" w:themeColor="background1"/>
              </w:rPr>
              <w:t>Основен доход на акция</w:t>
            </w:r>
          </w:p>
        </w:tc>
        <w:tc>
          <w:tcPr>
            <w:tcW w:w="1414" w:type="dxa"/>
            <w:tcBorders>
              <w:top w:val="single" w:sz="4" w:space="0" w:color="auto"/>
              <w:left w:val="nil"/>
              <w:bottom w:val="single" w:sz="4" w:space="0" w:color="auto"/>
              <w:right w:val="single" w:sz="4" w:space="0" w:color="auto"/>
            </w:tcBorders>
            <w:shd w:val="clear" w:color="auto" w:fill="4F81BD" w:themeFill="accent1"/>
            <w:vAlign w:val="center"/>
            <w:hideMark/>
          </w:tcPr>
          <w:p w:rsidR="0073788C" w:rsidRPr="00AC6A82" w:rsidRDefault="00AC6A82" w:rsidP="004D1FE8">
            <w:pPr>
              <w:jc w:val="center"/>
              <w:rPr>
                <w:rFonts w:ascii="Calibri" w:hAnsi="Calibri" w:cs="Calibri"/>
                <w:color w:val="FFFFFF" w:themeColor="background1"/>
              </w:rPr>
            </w:pPr>
            <w:r>
              <w:rPr>
                <w:rFonts w:ascii="Calibri" w:hAnsi="Calibri" w:cs="Calibri"/>
                <w:color w:val="FFFFFF" w:themeColor="background1"/>
              </w:rPr>
              <w:t>31.03.2018</w:t>
            </w:r>
          </w:p>
        </w:tc>
        <w:tc>
          <w:tcPr>
            <w:tcW w:w="1409" w:type="dxa"/>
            <w:tcBorders>
              <w:top w:val="single" w:sz="4" w:space="0" w:color="auto"/>
              <w:left w:val="nil"/>
              <w:bottom w:val="single" w:sz="4" w:space="0" w:color="auto"/>
              <w:right w:val="single" w:sz="4" w:space="0" w:color="auto"/>
            </w:tcBorders>
            <w:shd w:val="clear" w:color="auto" w:fill="4F81BD" w:themeFill="accent1"/>
            <w:vAlign w:val="center"/>
            <w:hideMark/>
          </w:tcPr>
          <w:p w:rsidR="0073788C" w:rsidRPr="00AC6A82" w:rsidRDefault="00AC6A82" w:rsidP="000F526F">
            <w:pPr>
              <w:jc w:val="center"/>
              <w:rPr>
                <w:rFonts w:ascii="Calibri" w:hAnsi="Calibri" w:cs="Calibri"/>
                <w:color w:val="FFFFFF" w:themeColor="background1"/>
              </w:rPr>
            </w:pPr>
            <w:r>
              <w:rPr>
                <w:rFonts w:ascii="Calibri" w:hAnsi="Calibri" w:cs="Calibri"/>
                <w:color w:val="FFFFFF" w:themeColor="background1"/>
              </w:rPr>
              <w:t>31.03</w:t>
            </w:r>
            <w:r w:rsidR="00FE0339" w:rsidRPr="00AC6A82">
              <w:rPr>
                <w:rFonts w:ascii="Calibri" w:hAnsi="Calibri" w:cs="Calibri"/>
                <w:color w:val="FFFFFF" w:themeColor="background1"/>
              </w:rPr>
              <w:t>.201</w:t>
            </w:r>
            <w:r>
              <w:rPr>
                <w:rFonts w:ascii="Calibri" w:hAnsi="Calibri" w:cs="Calibri"/>
                <w:color w:val="FFFFFF" w:themeColor="background1"/>
              </w:rPr>
              <w:t>9</w:t>
            </w:r>
          </w:p>
        </w:tc>
      </w:tr>
      <w:tr w:rsidR="0073788C" w:rsidRPr="00AC6A82" w:rsidTr="0073788C">
        <w:trPr>
          <w:trHeight w:val="170"/>
          <w:jc w:val="center"/>
        </w:trPr>
        <w:tc>
          <w:tcPr>
            <w:tcW w:w="4980" w:type="dxa"/>
            <w:tcBorders>
              <w:top w:val="nil"/>
              <w:left w:val="single" w:sz="4" w:space="0" w:color="auto"/>
              <w:bottom w:val="single" w:sz="4" w:space="0" w:color="auto"/>
              <w:right w:val="single" w:sz="4" w:space="0" w:color="auto"/>
            </w:tcBorders>
            <w:shd w:val="clear" w:color="auto" w:fill="auto"/>
            <w:noWrap/>
            <w:vAlign w:val="center"/>
            <w:hideMark/>
          </w:tcPr>
          <w:p w:rsidR="0073788C" w:rsidRPr="00AC6A82" w:rsidRDefault="0073788C" w:rsidP="001A50AB">
            <w:pPr>
              <w:rPr>
                <w:rFonts w:ascii="Calibri" w:hAnsi="Calibri" w:cs="Calibri"/>
              </w:rPr>
            </w:pPr>
            <w:r w:rsidRPr="00AC6A82">
              <w:rPr>
                <w:rFonts w:ascii="Calibri" w:hAnsi="Calibri" w:cs="Calibri"/>
              </w:rPr>
              <w:t>Средно претеглен брой акции</w:t>
            </w:r>
          </w:p>
        </w:tc>
        <w:tc>
          <w:tcPr>
            <w:tcW w:w="1414" w:type="dxa"/>
            <w:tcBorders>
              <w:top w:val="nil"/>
              <w:left w:val="nil"/>
              <w:bottom w:val="single" w:sz="4" w:space="0" w:color="auto"/>
              <w:right w:val="single" w:sz="4" w:space="0" w:color="auto"/>
            </w:tcBorders>
            <w:shd w:val="clear" w:color="auto" w:fill="auto"/>
            <w:noWrap/>
            <w:vAlign w:val="center"/>
            <w:hideMark/>
          </w:tcPr>
          <w:p w:rsidR="0073788C" w:rsidRPr="00AC6A82" w:rsidRDefault="0035366A" w:rsidP="004D1FE8">
            <w:pPr>
              <w:jc w:val="right"/>
              <w:rPr>
                <w:rFonts w:ascii="Calibri" w:hAnsi="Calibri" w:cs="Calibri"/>
              </w:rPr>
            </w:pPr>
            <w:r w:rsidRPr="00AC6A82">
              <w:rPr>
                <w:rFonts w:ascii="Calibri" w:hAnsi="Calibri" w:cs="Calibri"/>
              </w:rPr>
              <w:t>6 </w:t>
            </w:r>
            <w:r w:rsidR="0073788C" w:rsidRPr="00AC6A82">
              <w:rPr>
                <w:rFonts w:ascii="Calibri" w:hAnsi="Calibri" w:cs="Calibri"/>
              </w:rPr>
              <w:t>582</w:t>
            </w:r>
            <w:r w:rsidR="00FE0339" w:rsidRPr="00AC6A82">
              <w:rPr>
                <w:rFonts w:ascii="Calibri" w:hAnsi="Calibri" w:cs="Calibri"/>
              </w:rPr>
              <w:t> </w:t>
            </w:r>
            <w:r w:rsidR="0073788C" w:rsidRPr="00AC6A82">
              <w:rPr>
                <w:rFonts w:ascii="Calibri" w:hAnsi="Calibri" w:cs="Calibri"/>
              </w:rPr>
              <w:t>860</w:t>
            </w:r>
          </w:p>
        </w:tc>
        <w:tc>
          <w:tcPr>
            <w:tcW w:w="1409" w:type="dxa"/>
            <w:tcBorders>
              <w:top w:val="nil"/>
              <w:left w:val="nil"/>
              <w:bottom w:val="single" w:sz="4" w:space="0" w:color="auto"/>
              <w:right w:val="single" w:sz="4" w:space="0" w:color="auto"/>
            </w:tcBorders>
            <w:shd w:val="clear" w:color="auto" w:fill="auto"/>
            <w:noWrap/>
            <w:vAlign w:val="center"/>
            <w:hideMark/>
          </w:tcPr>
          <w:p w:rsidR="0073788C" w:rsidRPr="00AC6A82" w:rsidRDefault="0073788C" w:rsidP="004D1FE8">
            <w:pPr>
              <w:jc w:val="right"/>
              <w:rPr>
                <w:rFonts w:ascii="Calibri" w:hAnsi="Calibri" w:cs="Calibri"/>
              </w:rPr>
            </w:pPr>
            <w:r w:rsidRPr="00AC6A82">
              <w:rPr>
                <w:rFonts w:ascii="Calibri" w:hAnsi="Calibri" w:cs="Calibri"/>
              </w:rPr>
              <w:t>6</w:t>
            </w:r>
            <w:r w:rsidR="0035366A" w:rsidRPr="00AC6A82">
              <w:rPr>
                <w:rFonts w:ascii="Calibri" w:hAnsi="Calibri" w:cs="Calibri"/>
              </w:rPr>
              <w:t> </w:t>
            </w:r>
            <w:r w:rsidRPr="00AC6A82">
              <w:rPr>
                <w:rFonts w:ascii="Calibri" w:hAnsi="Calibri" w:cs="Calibri"/>
              </w:rPr>
              <w:t>582860</w:t>
            </w:r>
          </w:p>
        </w:tc>
      </w:tr>
      <w:tr w:rsidR="0073788C" w:rsidRPr="00AC6A82" w:rsidTr="0073788C">
        <w:trPr>
          <w:trHeight w:val="170"/>
          <w:jc w:val="center"/>
        </w:trPr>
        <w:tc>
          <w:tcPr>
            <w:tcW w:w="4980" w:type="dxa"/>
            <w:tcBorders>
              <w:top w:val="nil"/>
              <w:left w:val="single" w:sz="4" w:space="0" w:color="auto"/>
              <w:bottom w:val="single" w:sz="4" w:space="0" w:color="auto"/>
              <w:right w:val="single" w:sz="4" w:space="0" w:color="auto"/>
            </w:tcBorders>
            <w:shd w:val="clear" w:color="auto" w:fill="auto"/>
            <w:noWrap/>
            <w:vAlign w:val="center"/>
            <w:hideMark/>
          </w:tcPr>
          <w:p w:rsidR="0073788C" w:rsidRPr="00AC6A82" w:rsidRDefault="0035366A" w:rsidP="00EE15CA">
            <w:pPr>
              <w:rPr>
                <w:rFonts w:ascii="Calibri" w:hAnsi="Calibri" w:cs="Calibri"/>
              </w:rPr>
            </w:pPr>
            <w:r w:rsidRPr="00AC6A82">
              <w:rPr>
                <w:rFonts w:ascii="Calibri" w:hAnsi="Calibri" w:cs="Calibri"/>
              </w:rPr>
              <w:t>З</w:t>
            </w:r>
            <w:r w:rsidR="0073788C" w:rsidRPr="00AC6A82">
              <w:rPr>
                <w:rFonts w:ascii="Calibri" w:hAnsi="Calibri" w:cs="Calibri"/>
              </w:rPr>
              <w:t xml:space="preserve">агуба/печалба за </w:t>
            </w:r>
            <w:r w:rsidR="00EE15CA">
              <w:rPr>
                <w:rFonts w:ascii="Calibri" w:hAnsi="Calibri" w:cs="Calibri"/>
              </w:rPr>
              <w:t>периода</w:t>
            </w:r>
            <w:r w:rsidR="0073788C" w:rsidRPr="00AC6A82">
              <w:rPr>
                <w:rFonts w:ascii="Calibri" w:hAnsi="Calibri" w:cs="Calibri"/>
              </w:rPr>
              <w:t xml:space="preserve"> (BGN’000)</w:t>
            </w:r>
          </w:p>
        </w:tc>
        <w:tc>
          <w:tcPr>
            <w:tcW w:w="1414" w:type="dxa"/>
            <w:tcBorders>
              <w:top w:val="nil"/>
              <w:left w:val="nil"/>
              <w:bottom w:val="single" w:sz="4" w:space="0" w:color="auto"/>
              <w:right w:val="single" w:sz="4" w:space="0" w:color="auto"/>
            </w:tcBorders>
            <w:shd w:val="clear" w:color="auto" w:fill="auto"/>
            <w:noWrap/>
            <w:vAlign w:val="center"/>
            <w:hideMark/>
          </w:tcPr>
          <w:p w:rsidR="0073788C" w:rsidRPr="00AC6A82" w:rsidRDefault="00AC6A82" w:rsidP="004D1FE8">
            <w:pPr>
              <w:jc w:val="right"/>
              <w:rPr>
                <w:rFonts w:ascii="Calibri" w:hAnsi="Calibri" w:cs="Calibri"/>
              </w:rPr>
            </w:pPr>
            <w:r>
              <w:rPr>
                <w:rFonts w:ascii="Calibri" w:hAnsi="Calibri" w:cs="Calibri"/>
              </w:rPr>
              <w:t>518</w:t>
            </w:r>
          </w:p>
        </w:tc>
        <w:tc>
          <w:tcPr>
            <w:tcW w:w="1409" w:type="dxa"/>
            <w:tcBorders>
              <w:top w:val="nil"/>
              <w:left w:val="nil"/>
              <w:bottom w:val="single" w:sz="4" w:space="0" w:color="auto"/>
              <w:right w:val="single" w:sz="4" w:space="0" w:color="auto"/>
            </w:tcBorders>
            <w:shd w:val="clear" w:color="auto" w:fill="auto"/>
            <w:noWrap/>
            <w:vAlign w:val="center"/>
            <w:hideMark/>
          </w:tcPr>
          <w:p w:rsidR="0073788C" w:rsidRPr="00AC6A82" w:rsidRDefault="00AC6A82" w:rsidP="004D1FE8">
            <w:pPr>
              <w:jc w:val="right"/>
              <w:rPr>
                <w:rFonts w:ascii="Calibri" w:hAnsi="Calibri" w:cs="Calibri"/>
              </w:rPr>
            </w:pPr>
            <w:r>
              <w:rPr>
                <w:rFonts w:ascii="Calibri" w:hAnsi="Calibri" w:cs="Calibri"/>
              </w:rPr>
              <w:t>-108</w:t>
            </w:r>
          </w:p>
        </w:tc>
      </w:tr>
      <w:tr w:rsidR="0073788C" w:rsidRPr="00AC6A82" w:rsidTr="0073788C">
        <w:trPr>
          <w:trHeight w:val="170"/>
          <w:jc w:val="center"/>
        </w:trPr>
        <w:tc>
          <w:tcPr>
            <w:tcW w:w="4980" w:type="dxa"/>
            <w:tcBorders>
              <w:top w:val="nil"/>
              <w:left w:val="single" w:sz="4" w:space="0" w:color="auto"/>
              <w:bottom w:val="single" w:sz="4" w:space="0" w:color="auto"/>
              <w:right w:val="single" w:sz="4" w:space="0" w:color="auto"/>
            </w:tcBorders>
            <w:shd w:val="clear" w:color="auto" w:fill="auto"/>
            <w:noWrap/>
            <w:vAlign w:val="center"/>
            <w:hideMark/>
          </w:tcPr>
          <w:p w:rsidR="0073788C" w:rsidRPr="00AC6A82" w:rsidRDefault="0073788C" w:rsidP="001A50AB">
            <w:pPr>
              <w:rPr>
                <w:rFonts w:ascii="Calibri" w:hAnsi="Calibri" w:cs="Calibri"/>
              </w:rPr>
            </w:pPr>
            <w:r w:rsidRPr="00AC6A82">
              <w:rPr>
                <w:rFonts w:ascii="Calibri" w:hAnsi="Calibri" w:cs="Calibri"/>
              </w:rPr>
              <w:t>Загуба/доход на акция (BGN)</w:t>
            </w:r>
          </w:p>
        </w:tc>
        <w:tc>
          <w:tcPr>
            <w:tcW w:w="1414" w:type="dxa"/>
            <w:tcBorders>
              <w:top w:val="nil"/>
              <w:left w:val="nil"/>
              <w:bottom w:val="single" w:sz="4" w:space="0" w:color="auto"/>
              <w:right w:val="single" w:sz="4" w:space="0" w:color="auto"/>
            </w:tcBorders>
            <w:shd w:val="clear" w:color="auto" w:fill="auto"/>
            <w:noWrap/>
            <w:vAlign w:val="center"/>
            <w:hideMark/>
          </w:tcPr>
          <w:p w:rsidR="0073788C" w:rsidRPr="00AC6A82" w:rsidRDefault="00FE0339" w:rsidP="004D1FE8">
            <w:pPr>
              <w:jc w:val="right"/>
              <w:rPr>
                <w:rFonts w:ascii="Calibri" w:hAnsi="Calibri" w:cs="Calibri"/>
              </w:rPr>
            </w:pPr>
            <w:r w:rsidRPr="00AC6A82">
              <w:rPr>
                <w:rFonts w:ascii="Calibri" w:hAnsi="Calibri" w:cs="Calibri"/>
              </w:rPr>
              <w:t>0,0</w:t>
            </w:r>
            <w:r w:rsidR="00AC6A82">
              <w:rPr>
                <w:rFonts w:ascii="Calibri" w:hAnsi="Calibri" w:cs="Calibri"/>
              </w:rPr>
              <w:t>8</w:t>
            </w:r>
          </w:p>
        </w:tc>
        <w:tc>
          <w:tcPr>
            <w:tcW w:w="1409" w:type="dxa"/>
            <w:tcBorders>
              <w:top w:val="nil"/>
              <w:left w:val="nil"/>
              <w:bottom w:val="single" w:sz="4" w:space="0" w:color="auto"/>
              <w:right w:val="single" w:sz="4" w:space="0" w:color="auto"/>
            </w:tcBorders>
            <w:shd w:val="clear" w:color="auto" w:fill="auto"/>
            <w:noWrap/>
            <w:vAlign w:val="center"/>
            <w:hideMark/>
          </w:tcPr>
          <w:p w:rsidR="0073788C" w:rsidRPr="00AC6A82" w:rsidRDefault="00AC6A82" w:rsidP="000F526F">
            <w:pPr>
              <w:jc w:val="right"/>
              <w:rPr>
                <w:rFonts w:ascii="Calibri" w:hAnsi="Calibri" w:cs="Calibri"/>
              </w:rPr>
            </w:pPr>
            <w:r>
              <w:rPr>
                <w:rFonts w:ascii="Calibri" w:hAnsi="Calibri" w:cs="Calibri"/>
              </w:rPr>
              <w:t>-0,02</w:t>
            </w:r>
          </w:p>
        </w:tc>
      </w:tr>
    </w:tbl>
    <w:p w:rsidR="00ED1EEC" w:rsidRPr="00AC6A82" w:rsidRDefault="00ED1EEC" w:rsidP="001A50AB">
      <w:pPr>
        <w:rPr>
          <w:rFonts w:ascii="Calibri" w:hAnsi="Calibri" w:cs="Calibri"/>
        </w:rPr>
      </w:pPr>
    </w:p>
    <w:sectPr w:rsidR="00ED1EEC" w:rsidRPr="00AC6A82" w:rsidSect="00596850">
      <w:headerReference w:type="even" r:id="rId23"/>
      <w:headerReference w:type="default" r:id="rId24"/>
      <w:footerReference w:type="even" r:id="rId25"/>
      <w:footerReference w:type="default" r:id="rId26"/>
      <w:headerReference w:type="first" r:id="rId27"/>
      <w:footerReference w:type="first" r:id="rId28"/>
      <w:pgSz w:w="11906" w:h="16838"/>
      <w:pgMar w:top="2268" w:right="1134" w:bottom="1134" w:left="1134" w:header="0" w:footer="227"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81AB5" w:rsidRDefault="00281AB5" w:rsidP="001A50AB">
      <w:r>
        <w:separator/>
      </w:r>
    </w:p>
  </w:endnote>
  <w:endnote w:type="continuationSeparator" w:id="0">
    <w:p w:rsidR="00281AB5" w:rsidRDefault="00281AB5" w:rsidP="001A50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News Gothic Cyr">
    <w:altName w:val="Microsoft YaHei"/>
    <w:charset w:val="CC"/>
    <w:family w:val="swiss"/>
    <w:pitch w:val="variable"/>
    <w:sig w:usb0="00000201" w:usb1="00000000" w:usb2="00000000" w:usb3="00000000" w:csb0="00000004"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embedRegular r:id="rId1" w:fontKey="{97FF4139-7472-4BBA-918F-31DDAEFB6527}"/>
    <w:embedBold r:id="rId2" w:fontKey="{D0AE704E-1182-4809-97D9-9B00E39C2BC6}"/>
    <w:embedItalic r:id="rId3" w:fontKey="{0794E479-B574-46B2-9813-1604459E9CA5}"/>
    <w:embedBoldItalic r:id="rId4" w:fontKey="{77E038D9-72A2-4CE3-94A4-1463568129D5}"/>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embedRegular r:id="rId5" w:fontKey="{3DCA61E0-E584-419F-B13E-8356535B49A6}"/>
  </w:font>
  <w:font w:name="Verdana">
    <w:panose1 w:val="020B0604030504040204"/>
    <w:charset w:val="CC"/>
    <w:family w:val="swiss"/>
    <w:pitch w:val="variable"/>
    <w:sig w:usb0="A10006FF" w:usb1="4000205B" w:usb2="00000010" w:usb3="00000000" w:csb0="0000019F" w:csb1="00000000"/>
    <w:embedBold r:id="rId6" w:fontKey="{E18E6485-38D8-4827-B913-171F948C656F}"/>
  </w:font>
  <w:font w:name="Vrinda">
    <w:panose1 w:val="020B0502040204020203"/>
    <w:charset w:val="00"/>
    <w:family w:val="swiss"/>
    <w:pitch w:val="variable"/>
    <w:sig w:usb0="00010003" w:usb1="00000000" w:usb2="00000000" w:usb3="00000000" w:csb0="00000001" w:csb1="00000000"/>
    <w:embedBold r:id="rId7" w:fontKey="{D2D09512-7FC1-48CD-A488-70B40D448D72}"/>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embedRegular r:id="rId8" w:fontKey="{25B34E6F-7D7A-4807-9995-91A1A1433F5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1F3F" w:rsidRDefault="00E61F3F" w:rsidP="001A50AB">
    <w:pPr>
      <w:rPr>
        <w:rStyle w:val="PageNumber"/>
      </w:rPr>
    </w:pPr>
    <w:r>
      <w:rPr>
        <w:rStyle w:val="PageNumber"/>
      </w:rPr>
      <w:fldChar w:fldCharType="begin"/>
    </w:r>
    <w:r>
      <w:rPr>
        <w:rStyle w:val="PageNumber"/>
      </w:rPr>
      <w:instrText xml:space="preserve">PAGE  </w:instrText>
    </w:r>
    <w:r>
      <w:rPr>
        <w:rStyle w:val="PageNumber"/>
      </w:rPr>
      <w:fldChar w:fldCharType="end"/>
    </w:r>
  </w:p>
  <w:p w:rsidR="00E61F3F" w:rsidRDefault="00E61F3F" w:rsidP="001A50AB"/>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1F3F" w:rsidRDefault="00E61F3F" w:rsidP="001A50AB">
    <w:r>
      <w:rPr>
        <w:noProof/>
      </w:rPr>
      <w:drawing>
        <wp:anchor distT="0" distB="0" distL="114300" distR="114300" simplePos="0" relativeHeight="251657216" behindDoc="1" locked="0" layoutInCell="1" allowOverlap="1">
          <wp:simplePos x="0" y="0"/>
          <wp:positionH relativeFrom="column">
            <wp:posOffset>-902335</wp:posOffset>
          </wp:positionH>
          <wp:positionV relativeFrom="paragraph">
            <wp:posOffset>-280670</wp:posOffset>
          </wp:positionV>
          <wp:extent cx="7863840" cy="683260"/>
          <wp:effectExtent l="0" t="0" r="3810" b="2540"/>
          <wp:wrapNone/>
          <wp:docPr id="14" name="Картина 1" descr="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oter"/>
                  <pic:cNvPicPr>
                    <a:picLocks noChangeAspect="1" noChangeArrowheads="1"/>
                  </pic:cNvPicPr>
                </pic:nvPicPr>
                <pic:blipFill>
                  <a:blip r:embed="rId1"/>
                  <a:srcRect/>
                  <a:stretch>
                    <a:fillRect/>
                  </a:stretch>
                </pic:blipFill>
                <pic:spPr bwMode="auto">
                  <a:xfrm>
                    <a:off x="0" y="0"/>
                    <a:ext cx="7863840" cy="683260"/>
                  </a:xfrm>
                  <a:prstGeom prst="rect">
                    <a:avLst/>
                  </a:prstGeom>
                  <a:noFill/>
                  <a:ln w="9525">
                    <a:noFill/>
                    <a:miter lim="800000"/>
                    <a:headEnd/>
                    <a:tailEnd/>
                  </a:ln>
                </pic:spPr>
              </pic:pic>
            </a:graphicData>
          </a:graphic>
        </wp:anchor>
      </w:drawing>
    </w:r>
    <w:r>
      <w:rPr>
        <w:rStyle w:val="PageNumber"/>
      </w:rPr>
      <w:fldChar w:fldCharType="begin"/>
    </w:r>
    <w:r>
      <w:rPr>
        <w:rStyle w:val="PageNumber"/>
      </w:rPr>
      <w:instrText xml:space="preserve">PAGE  </w:instrText>
    </w:r>
    <w:r>
      <w:rPr>
        <w:rStyle w:val="PageNumber"/>
      </w:rPr>
      <w:fldChar w:fldCharType="separate"/>
    </w:r>
    <w:r w:rsidR="00375E84">
      <w:rPr>
        <w:rStyle w:val="PageNumber"/>
        <w:noProof/>
      </w:rPr>
      <w:t>2</w:t>
    </w:r>
    <w:r>
      <w:rPr>
        <w:rStyle w:val="PageNumber"/>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1F3F" w:rsidRDefault="00E61F3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81AB5" w:rsidRDefault="00281AB5" w:rsidP="001A50AB">
      <w:r>
        <w:separator/>
      </w:r>
    </w:p>
  </w:footnote>
  <w:footnote w:type="continuationSeparator" w:id="0">
    <w:p w:rsidR="00281AB5" w:rsidRDefault="00281AB5" w:rsidP="001A50A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1F3F" w:rsidRDefault="00E61F3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1F3F" w:rsidRPr="0098260E" w:rsidRDefault="00E61F3F" w:rsidP="00C4001C">
    <w:pPr>
      <w:jc w:val="center"/>
      <w:rPr>
        <w:rFonts w:ascii="Calibri" w:hAnsi="Calibri"/>
        <w:lang w:val="en-US"/>
      </w:rPr>
    </w:pPr>
    <w:r>
      <w:rPr>
        <w:rFonts w:ascii="Calibri" w:hAnsi="Calibri"/>
        <w:noProof/>
      </w:rPr>
      <w:drawing>
        <wp:anchor distT="0" distB="0" distL="114300" distR="114300" simplePos="0" relativeHeight="251658240" behindDoc="1" locked="0" layoutInCell="1" allowOverlap="1">
          <wp:simplePos x="0" y="0"/>
          <wp:positionH relativeFrom="column">
            <wp:posOffset>-720090</wp:posOffset>
          </wp:positionH>
          <wp:positionV relativeFrom="paragraph">
            <wp:posOffset>-15903</wp:posOffset>
          </wp:positionV>
          <wp:extent cx="7553739" cy="1391285"/>
          <wp:effectExtent l="0" t="0" r="0" b="0"/>
          <wp:wrapNone/>
          <wp:docPr id="8" name="Picture 8" descr="D:\Documents and Settings\My Documents\работна - ПОВЕРИТЕЛНО\DVI\2019\Q1\head_b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ocuments and Settings\My Documents\работна - ПОВЕРИТЕЛНО\DVI\2019\Q1\head_bg.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7883" cy="1392048"/>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1F3F" w:rsidRDefault="00E61F3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14C85"/>
    <w:multiLevelType w:val="hybridMultilevel"/>
    <w:tmpl w:val="80687712"/>
    <w:lvl w:ilvl="0" w:tplc="CD2EE410">
      <w:numFmt w:val="bullet"/>
      <w:lvlText w:val="-"/>
      <w:lvlJc w:val="left"/>
      <w:pPr>
        <w:ind w:left="720" w:hanging="360"/>
      </w:pPr>
      <w:rPr>
        <w:rFonts w:ascii="News Gothic Cyr" w:eastAsia="Times New Roman" w:hAnsi="News Gothic Cyr"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8684028"/>
    <w:multiLevelType w:val="hybridMultilevel"/>
    <w:tmpl w:val="E2662592"/>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2">
    <w:nsid w:val="0C623999"/>
    <w:multiLevelType w:val="hybridMultilevel"/>
    <w:tmpl w:val="D33E8242"/>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nsid w:val="0CD03138"/>
    <w:multiLevelType w:val="hybridMultilevel"/>
    <w:tmpl w:val="D682E1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27F4456"/>
    <w:multiLevelType w:val="hybridMultilevel"/>
    <w:tmpl w:val="D60C4B7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nsid w:val="13BB2614"/>
    <w:multiLevelType w:val="hybridMultilevel"/>
    <w:tmpl w:val="8D8CE0BC"/>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
    <w:nsid w:val="158424C8"/>
    <w:multiLevelType w:val="hybridMultilevel"/>
    <w:tmpl w:val="780E46D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nsid w:val="182B5931"/>
    <w:multiLevelType w:val="hybridMultilevel"/>
    <w:tmpl w:val="0662504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nsid w:val="1B594F8F"/>
    <w:multiLevelType w:val="hybridMultilevel"/>
    <w:tmpl w:val="BD0E408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nsid w:val="2D0D08A9"/>
    <w:multiLevelType w:val="hybridMultilevel"/>
    <w:tmpl w:val="D094613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
    <w:nsid w:val="304F731A"/>
    <w:multiLevelType w:val="hybridMultilevel"/>
    <w:tmpl w:val="FF724B7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nsid w:val="310141C9"/>
    <w:multiLevelType w:val="hybridMultilevel"/>
    <w:tmpl w:val="1CEE24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93E4F5F"/>
    <w:multiLevelType w:val="hybridMultilevel"/>
    <w:tmpl w:val="43B4D3A8"/>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3">
    <w:nsid w:val="3D5B02FD"/>
    <w:multiLevelType w:val="hybridMultilevel"/>
    <w:tmpl w:val="A4CA4406"/>
    <w:lvl w:ilvl="0" w:tplc="04020001">
      <w:start w:val="1"/>
      <w:numFmt w:val="bullet"/>
      <w:lvlText w:val=""/>
      <w:lvlJc w:val="left"/>
      <w:pPr>
        <w:ind w:left="720" w:hanging="360"/>
      </w:pPr>
      <w:rPr>
        <w:rFonts w:ascii="Symbol" w:hAnsi="Symbol"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4">
    <w:nsid w:val="464A43B8"/>
    <w:multiLevelType w:val="hybridMultilevel"/>
    <w:tmpl w:val="327E9692"/>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5">
    <w:nsid w:val="55F732A7"/>
    <w:multiLevelType w:val="hybridMultilevel"/>
    <w:tmpl w:val="DDBAB67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nsid w:val="5C323B0A"/>
    <w:multiLevelType w:val="hybridMultilevel"/>
    <w:tmpl w:val="83246A7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64612435"/>
    <w:multiLevelType w:val="hybridMultilevel"/>
    <w:tmpl w:val="95D825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nsid w:val="6BA156C6"/>
    <w:multiLevelType w:val="hybridMultilevel"/>
    <w:tmpl w:val="724C40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nsid w:val="6FEA2A43"/>
    <w:multiLevelType w:val="multilevel"/>
    <w:tmpl w:val="A7747E74"/>
    <w:lvl w:ilvl="0">
      <w:start w:val="1"/>
      <w:numFmt w:val="decimal"/>
      <w:pStyle w:val="Heading1"/>
      <w:lvlText w:val="%1."/>
      <w:lvlJc w:val="left"/>
      <w:pPr>
        <w:tabs>
          <w:tab w:val="num" w:pos="-283"/>
        </w:tabs>
        <w:ind w:left="0" w:firstLine="0"/>
      </w:pPr>
      <w:rPr>
        <w:rFonts w:ascii="News Gothic Cyr" w:hAnsi="News Gothic Cyr" w:hint="default"/>
        <w:b/>
        <w:i w:val="0"/>
        <w:color w:val="auto"/>
        <w:sz w:val="24"/>
        <w:szCs w:val="24"/>
      </w:rPr>
    </w:lvl>
    <w:lvl w:ilvl="1">
      <w:start w:val="1"/>
      <w:numFmt w:val="decimal"/>
      <w:pStyle w:val="Heading2"/>
      <w:lvlText w:val="%1.%2."/>
      <w:lvlJc w:val="left"/>
      <w:pPr>
        <w:tabs>
          <w:tab w:val="num" w:pos="-283"/>
        </w:tabs>
        <w:ind w:left="0" w:firstLine="0"/>
      </w:pPr>
      <w:rPr>
        <w:rFonts w:ascii="News Gothic Cyr" w:hAnsi="News Gothic Cyr" w:hint="default"/>
        <w:b/>
        <w:i/>
        <w:sz w:val="24"/>
        <w:szCs w:val="24"/>
      </w:rPr>
    </w:lvl>
    <w:lvl w:ilvl="2">
      <w:start w:val="1"/>
      <w:numFmt w:val="decimal"/>
      <w:lvlText w:val="%1.%2.%3."/>
      <w:lvlJc w:val="left"/>
      <w:pPr>
        <w:tabs>
          <w:tab w:val="num" w:pos="873"/>
        </w:tabs>
        <w:ind w:left="0" w:firstLine="0"/>
      </w:pPr>
      <w:rPr>
        <w:rFonts w:ascii="News Gothic Cyr" w:hAnsi="News Gothic Cyr" w:hint="default"/>
        <w:b/>
        <w:i/>
        <w:sz w:val="24"/>
      </w:rPr>
    </w:lvl>
    <w:lvl w:ilvl="3">
      <w:start w:val="1"/>
      <w:numFmt w:val="decimal"/>
      <w:lvlText w:val="%1.%2.%3.%4."/>
      <w:lvlJc w:val="left"/>
      <w:pPr>
        <w:tabs>
          <w:tab w:val="num" w:pos="1233"/>
        </w:tabs>
        <w:ind w:left="1161" w:hanging="648"/>
      </w:pPr>
      <w:rPr>
        <w:rFonts w:hint="default"/>
      </w:rPr>
    </w:lvl>
    <w:lvl w:ilvl="4">
      <w:start w:val="1"/>
      <w:numFmt w:val="decimal"/>
      <w:lvlText w:val="%1.%2.%3.%4.%5."/>
      <w:lvlJc w:val="left"/>
      <w:pPr>
        <w:tabs>
          <w:tab w:val="num" w:pos="1953"/>
        </w:tabs>
        <w:ind w:left="1665" w:hanging="792"/>
      </w:pPr>
      <w:rPr>
        <w:rFonts w:hint="default"/>
      </w:rPr>
    </w:lvl>
    <w:lvl w:ilvl="5">
      <w:start w:val="1"/>
      <w:numFmt w:val="decimal"/>
      <w:lvlText w:val="%1.%2.%3.%4.%5.%6."/>
      <w:lvlJc w:val="left"/>
      <w:pPr>
        <w:tabs>
          <w:tab w:val="num" w:pos="2313"/>
        </w:tabs>
        <w:ind w:left="2169" w:hanging="936"/>
      </w:pPr>
      <w:rPr>
        <w:rFonts w:hint="default"/>
      </w:rPr>
    </w:lvl>
    <w:lvl w:ilvl="6">
      <w:start w:val="1"/>
      <w:numFmt w:val="decimal"/>
      <w:lvlText w:val="%1.%2.%3.%4.%5.%6.%7."/>
      <w:lvlJc w:val="left"/>
      <w:pPr>
        <w:tabs>
          <w:tab w:val="num" w:pos="3033"/>
        </w:tabs>
        <w:ind w:left="2673" w:hanging="1080"/>
      </w:pPr>
      <w:rPr>
        <w:rFonts w:hint="default"/>
      </w:rPr>
    </w:lvl>
    <w:lvl w:ilvl="7">
      <w:start w:val="1"/>
      <w:numFmt w:val="decimal"/>
      <w:lvlText w:val="%1.%2.%3.%4.%5.%6.%7.%8."/>
      <w:lvlJc w:val="left"/>
      <w:pPr>
        <w:tabs>
          <w:tab w:val="num" w:pos="3393"/>
        </w:tabs>
        <w:ind w:left="3177" w:hanging="1224"/>
      </w:pPr>
      <w:rPr>
        <w:rFonts w:hint="default"/>
      </w:rPr>
    </w:lvl>
    <w:lvl w:ilvl="8">
      <w:start w:val="1"/>
      <w:numFmt w:val="decimal"/>
      <w:lvlText w:val="%1.%2.%3.%4.%5.%6.%7.%8.%9."/>
      <w:lvlJc w:val="left"/>
      <w:pPr>
        <w:tabs>
          <w:tab w:val="num" w:pos="4113"/>
        </w:tabs>
        <w:ind w:left="3753" w:hanging="1440"/>
      </w:pPr>
      <w:rPr>
        <w:rFonts w:hint="default"/>
      </w:rPr>
    </w:lvl>
  </w:abstractNum>
  <w:abstractNum w:abstractNumId="20">
    <w:nsid w:val="7C644BA6"/>
    <w:multiLevelType w:val="hybridMultilevel"/>
    <w:tmpl w:val="D1624A0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nsid w:val="7F1408C5"/>
    <w:multiLevelType w:val="multilevel"/>
    <w:tmpl w:val="43C2C45E"/>
    <w:lvl w:ilvl="0">
      <w:start w:val="1"/>
      <w:numFmt w:val="decimal"/>
      <w:pStyle w:val="Mainnumbers"/>
      <w:lvlText w:val="%1."/>
      <w:lvlJc w:val="left"/>
      <w:pPr>
        <w:ind w:left="360" w:hanging="360"/>
      </w:pPr>
    </w:lvl>
    <w:lvl w:ilvl="1">
      <w:start w:val="1"/>
      <w:numFmt w:val="decimal"/>
      <w:pStyle w:val="SubNumbers"/>
      <w:lvlText w:val="%1.%2."/>
      <w:lvlJc w:val="left"/>
      <w:pPr>
        <w:ind w:left="792" w:hanging="432"/>
      </w:pPr>
      <w:rPr>
        <w:b/>
        <w:color w:val="auto"/>
      </w:rPr>
    </w:lvl>
    <w:lvl w:ilvl="2">
      <w:start w:val="1"/>
      <w:numFmt w:val="decimal"/>
      <w:pStyle w:val="SubSubNumber"/>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9"/>
  </w:num>
  <w:num w:numId="2">
    <w:abstractNumId w:val="21"/>
  </w:num>
  <w:num w:numId="3">
    <w:abstractNumId w:val="12"/>
  </w:num>
  <w:num w:numId="4">
    <w:abstractNumId w:val="14"/>
  </w:num>
  <w:num w:numId="5">
    <w:abstractNumId w:val="3"/>
  </w:num>
  <w:num w:numId="6">
    <w:abstractNumId w:val="21"/>
  </w:num>
  <w:num w:numId="7">
    <w:abstractNumId w:val="1"/>
  </w:num>
  <w:num w:numId="8">
    <w:abstractNumId w:val="11"/>
  </w:num>
  <w:num w:numId="9">
    <w:abstractNumId w:val="0"/>
  </w:num>
  <w:num w:numId="10">
    <w:abstractNumId w:val="17"/>
  </w:num>
  <w:num w:numId="11">
    <w:abstractNumId w:val="9"/>
  </w:num>
  <w:num w:numId="12">
    <w:abstractNumId w:val="6"/>
  </w:num>
  <w:num w:numId="13">
    <w:abstractNumId w:val="5"/>
  </w:num>
  <w:num w:numId="14">
    <w:abstractNumId w:val="21"/>
  </w:num>
  <w:num w:numId="15">
    <w:abstractNumId w:val="21"/>
  </w:num>
  <w:num w:numId="16">
    <w:abstractNumId w:val="21"/>
  </w:num>
  <w:num w:numId="17">
    <w:abstractNumId w:val="21"/>
  </w:num>
  <w:num w:numId="18">
    <w:abstractNumId w:val="21"/>
  </w:num>
  <w:num w:numId="19">
    <w:abstractNumId w:val="21"/>
  </w:num>
  <w:num w:numId="20">
    <w:abstractNumId w:val="21"/>
  </w:num>
  <w:num w:numId="21">
    <w:abstractNumId w:val="18"/>
  </w:num>
  <w:num w:numId="22">
    <w:abstractNumId w:val="8"/>
  </w:num>
  <w:num w:numId="23">
    <w:abstractNumId w:val="10"/>
  </w:num>
  <w:num w:numId="24">
    <w:abstractNumId w:val="2"/>
  </w:num>
  <w:num w:numId="25">
    <w:abstractNumId w:val="13"/>
  </w:num>
  <w:num w:numId="26">
    <w:abstractNumId w:val="4"/>
  </w:num>
  <w:num w:numId="27">
    <w:abstractNumId w:val="16"/>
  </w:num>
  <w:num w:numId="28">
    <w:abstractNumId w:val="20"/>
  </w:num>
  <w:num w:numId="29">
    <w:abstractNumId w:val="7"/>
  </w:num>
  <w:num w:numId="30">
    <w:abstractNumId w:val="1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TrueTypeFonts/>
  <w:activeWritingStyle w:appName="MSWord" w:lang="en-US" w:vendorID="64" w:dllVersion="6" w:nlCheck="1" w:checkStyle="1"/>
  <w:activeWritingStyle w:appName="MSWord" w:lang="en-GB" w:vendorID="64" w:dllVersion="6" w:nlCheck="1" w:checkStyle="1"/>
  <w:activeWritingStyle w:appName="MSWord" w:lang="en-US" w:vendorID="64" w:dllVersion="4096" w:nlCheck="1" w:checkStyle="0"/>
  <w:activeWritingStyle w:appName="MSWord" w:lang="bg-BG" w:vendorID="11" w:dllVersion="512" w:checkStyle="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6"/>
  <w:hyphenationZone w:val="425"/>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0N7M0NDCwMDc2tzQ0MzdR0lEKTi0uzszPAykwMq0FAEWTP5ItAAAA"/>
  </w:docVars>
  <w:rsids>
    <w:rsidRoot w:val="00376AC3"/>
    <w:rsid w:val="00000041"/>
    <w:rsid w:val="000003C5"/>
    <w:rsid w:val="00000571"/>
    <w:rsid w:val="000009B8"/>
    <w:rsid w:val="00000F09"/>
    <w:rsid w:val="000016E2"/>
    <w:rsid w:val="00002187"/>
    <w:rsid w:val="00002529"/>
    <w:rsid w:val="0000284A"/>
    <w:rsid w:val="000028E7"/>
    <w:rsid w:val="00002E19"/>
    <w:rsid w:val="000032B0"/>
    <w:rsid w:val="00003431"/>
    <w:rsid w:val="0000446D"/>
    <w:rsid w:val="000045A6"/>
    <w:rsid w:val="00004686"/>
    <w:rsid w:val="0000473D"/>
    <w:rsid w:val="0000684B"/>
    <w:rsid w:val="00006BAE"/>
    <w:rsid w:val="00006E0D"/>
    <w:rsid w:val="000077F6"/>
    <w:rsid w:val="00007AFC"/>
    <w:rsid w:val="000107C7"/>
    <w:rsid w:val="00011A3D"/>
    <w:rsid w:val="00011DAE"/>
    <w:rsid w:val="00011E88"/>
    <w:rsid w:val="00011F93"/>
    <w:rsid w:val="00012675"/>
    <w:rsid w:val="00013257"/>
    <w:rsid w:val="00013428"/>
    <w:rsid w:val="00013A0F"/>
    <w:rsid w:val="00013CE6"/>
    <w:rsid w:val="00013EE6"/>
    <w:rsid w:val="00014528"/>
    <w:rsid w:val="0001512F"/>
    <w:rsid w:val="0001531D"/>
    <w:rsid w:val="00015501"/>
    <w:rsid w:val="000159B7"/>
    <w:rsid w:val="00016463"/>
    <w:rsid w:val="0001647F"/>
    <w:rsid w:val="00016A61"/>
    <w:rsid w:val="00016C7D"/>
    <w:rsid w:val="0001760B"/>
    <w:rsid w:val="00017D76"/>
    <w:rsid w:val="00017EBE"/>
    <w:rsid w:val="00020154"/>
    <w:rsid w:val="000223C8"/>
    <w:rsid w:val="000229D2"/>
    <w:rsid w:val="00022A34"/>
    <w:rsid w:val="00024461"/>
    <w:rsid w:val="000244B4"/>
    <w:rsid w:val="00024649"/>
    <w:rsid w:val="00024B65"/>
    <w:rsid w:val="00024EE4"/>
    <w:rsid w:val="0002534C"/>
    <w:rsid w:val="00025905"/>
    <w:rsid w:val="00025C3F"/>
    <w:rsid w:val="00025ED9"/>
    <w:rsid w:val="00026072"/>
    <w:rsid w:val="00026660"/>
    <w:rsid w:val="00027FA6"/>
    <w:rsid w:val="000300D9"/>
    <w:rsid w:val="000302D7"/>
    <w:rsid w:val="000309D7"/>
    <w:rsid w:val="0003180C"/>
    <w:rsid w:val="0003194C"/>
    <w:rsid w:val="00032851"/>
    <w:rsid w:val="00032CB2"/>
    <w:rsid w:val="00032D3F"/>
    <w:rsid w:val="00034288"/>
    <w:rsid w:val="00034626"/>
    <w:rsid w:val="00035312"/>
    <w:rsid w:val="0003544F"/>
    <w:rsid w:val="00035496"/>
    <w:rsid w:val="00035636"/>
    <w:rsid w:val="00035A7E"/>
    <w:rsid w:val="00035AEF"/>
    <w:rsid w:val="00035AF0"/>
    <w:rsid w:val="000364A5"/>
    <w:rsid w:val="00036D66"/>
    <w:rsid w:val="0003723F"/>
    <w:rsid w:val="000372A6"/>
    <w:rsid w:val="00037954"/>
    <w:rsid w:val="00040C03"/>
    <w:rsid w:val="00040C2F"/>
    <w:rsid w:val="00041099"/>
    <w:rsid w:val="00041234"/>
    <w:rsid w:val="00041511"/>
    <w:rsid w:val="00041C39"/>
    <w:rsid w:val="00041F08"/>
    <w:rsid w:val="00042EB2"/>
    <w:rsid w:val="00043168"/>
    <w:rsid w:val="000432F0"/>
    <w:rsid w:val="00043FFF"/>
    <w:rsid w:val="0004416C"/>
    <w:rsid w:val="000443AD"/>
    <w:rsid w:val="000469F2"/>
    <w:rsid w:val="00046CD6"/>
    <w:rsid w:val="00047537"/>
    <w:rsid w:val="00047632"/>
    <w:rsid w:val="00047C32"/>
    <w:rsid w:val="000505B5"/>
    <w:rsid w:val="00050984"/>
    <w:rsid w:val="00050B58"/>
    <w:rsid w:val="000515C3"/>
    <w:rsid w:val="00051678"/>
    <w:rsid w:val="00052250"/>
    <w:rsid w:val="000523C7"/>
    <w:rsid w:val="000523D8"/>
    <w:rsid w:val="00052977"/>
    <w:rsid w:val="00052C64"/>
    <w:rsid w:val="00052D72"/>
    <w:rsid w:val="000534A3"/>
    <w:rsid w:val="00053D1C"/>
    <w:rsid w:val="00053F57"/>
    <w:rsid w:val="00054606"/>
    <w:rsid w:val="00054CA0"/>
    <w:rsid w:val="000556F7"/>
    <w:rsid w:val="000564E8"/>
    <w:rsid w:val="0005666C"/>
    <w:rsid w:val="00056A5B"/>
    <w:rsid w:val="00056B69"/>
    <w:rsid w:val="00056FA5"/>
    <w:rsid w:val="000575D3"/>
    <w:rsid w:val="000602B5"/>
    <w:rsid w:val="00060636"/>
    <w:rsid w:val="000608B9"/>
    <w:rsid w:val="000610AC"/>
    <w:rsid w:val="000617B9"/>
    <w:rsid w:val="00061BD0"/>
    <w:rsid w:val="00061F58"/>
    <w:rsid w:val="000623A9"/>
    <w:rsid w:val="00062A7D"/>
    <w:rsid w:val="00062B76"/>
    <w:rsid w:val="00062DD2"/>
    <w:rsid w:val="00062F33"/>
    <w:rsid w:val="000632C7"/>
    <w:rsid w:val="00063CBB"/>
    <w:rsid w:val="000657C1"/>
    <w:rsid w:val="00065D1E"/>
    <w:rsid w:val="000664A4"/>
    <w:rsid w:val="00066961"/>
    <w:rsid w:val="00066AB6"/>
    <w:rsid w:val="00066FD3"/>
    <w:rsid w:val="00067AF2"/>
    <w:rsid w:val="00067C56"/>
    <w:rsid w:val="00070105"/>
    <w:rsid w:val="000723C1"/>
    <w:rsid w:val="00073492"/>
    <w:rsid w:val="0007349E"/>
    <w:rsid w:val="00073BD3"/>
    <w:rsid w:val="00073FE0"/>
    <w:rsid w:val="00075F2B"/>
    <w:rsid w:val="0007657E"/>
    <w:rsid w:val="00076C6C"/>
    <w:rsid w:val="00076E41"/>
    <w:rsid w:val="0008045C"/>
    <w:rsid w:val="00081381"/>
    <w:rsid w:val="00081486"/>
    <w:rsid w:val="000817A4"/>
    <w:rsid w:val="00082FF5"/>
    <w:rsid w:val="0008301C"/>
    <w:rsid w:val="000832FA"/>
    <w:rsid w:val="000839FD"/>
    <w:rsid w:val="00083F1E"/>
    <w:rsid w:val="000847E0"/>
    <w:rsid w:val="0008501E"/>
    <w:rsid w:val="00085BEF"/>
    <w:rsid w:val="00086411"/>
    <w:rsid w:val="00086C0F"/>
    <w:rsid w:val="000873AD"/>
    <w:rsid w:val="00087A03"/>
    <w:rsid w:val="000901A2"/>
    <w:rsid w:val="00090367"/>
    <w:rsid w:val="0009038D"/>
    <w:rsid w:val="00092E42"/>
    <w:rsid w:val="00092EF7"/>
    <w:rsid w:val="0009310E"/>
    <w:rsid w:val="000935FE"/>
    <w:rsid w:val="00094E29"/>
    <w:rsid w:val="0009536E"/>
    <w:rsid w:val="00095414"/>
    <w:rsid w:val="00095700"/>
    <w:rsid w:val="000963E3"/>
    <w:rsid w:val="00096773"/>
    <w:rsid w:val="00096CBF"/>
    <w:rsid w:val="00096DB2"/>
    <w:rsid w:val="00096E0A"/>
    <w:rsid w:val="0009711E"/>
    <w:rsid w:val="000A05CE"/>
    <w:rsid w:val="000A0D88"/>
    <w:rsid w:val="000A0F0F"/>
    <w:rsid w:val="000A153F"/>
    <w:rsid w:val="000A1654"/>
    <w:rsid w:val="000A18F8"/>
    <w:rsid w:val="000A1E6D"/>
    <w:rsid w:val="000A24C6"/>
    <w:rsid w:val="000A2BF1"/>
    <w:rsid w:val="000A3418"/>
    <w:rsid w:val="000A34F2"/>
    <w:rsid w:val="000A377F"/>
    <w:rsid w:val="000A3890"/>
    <w:rsid w:val="000A3EE6"/>
    <w:rsid w:val="000A3F0D"/>
    <w:rsid w:val="000A4771"/>
    <w:rsid w:val="000A5174"/>
    <w:rsid w:val="000A5364"/>
    <w:rsid w:val="000A579B"/>
    <w:rsid w:val="000A5924"/>
    <w:rsid w:val="000A5A80"/>
    <w:rsid w:val="000A6355"/>
    <w:rsid w:val="000A64F7"/>
    <w:rsid w:val="000A660E"/>
    <w:rsid w:val="000A66A7"/>
    <w:rsid w:val="000A78FC"/>
    <w:rsid w:val="000A7A97"/>
    <w:rsid w:val="000A7D69"/>
    <w:rsid w:val="000B0F2B"/>
    <w:rsid w:val="000B135B"/>
    <w:rsid w:val="000B1819"/>
    <w:rsid w:val="000B1C6A"/>
    <w:rsid w:val="000B201E"/>
    <w:rsid w:val="000B27B7"/>
    <w:rsid w:val="000B28B4"/>
    <w:rsid w:val="000B2A15"/>
    <w:rsid w:val="000B2B69"/>
    <w:rsid w:val="000B2CDF"/>
    <w:rsid w:val="000B2F4F"/>
    <w:rsid w:val="000B3083"/>
    <w:rsid w:val="000B30FE"/>
    <w:rsid w:val="000B343F"/>
    <w:rsid w:val="000B480F"/>
    <w:rsid w:val="000B4A34"/>
    <w:rsid w:val="000B4D82"/>
    <w:rsid w:val="000B5FBD"/>
    <w:rsid w:val="000B69D4"/>
    <w:rsid w:val="000B770E"/>
    <w:rsid w:val="000B777B"/>
    <w:rsid w:val="000B79F0"/>
    <w:rsid w:val="000B7D3F"/>
    <w:rsid w:val="000B7D94"/>
    <w:rsid w:val="000C03C2"/>
    <w:rsid w:val="000C0F70"/>
    <w:rsid w:val="000C0FB7"/>
    <w:rsid w:val="000C15D0"/>
    <w:rsid w:val="000C2FF8"/>
    <w:rsid w:val="000C38F3"/>
    <w:rsid w:val="000C3CB4"/>
    <w:rsid w:val="000C56C3"/>
    <w:rsid w:val="000C5F29"/>
    <w:rsid w:val="000C60E3"/>
    <w:rsid w:val="000C6B48"/>
    <w:rsid w:val="000C6E5F"/>
    <w:rsid w:val="000C6F29"/>
    <w:rsid w:val="000C7723"/>
    <w:rsid w:val="000C784E"/>
    <w:rsid w:val="000C7D9D"/>
    <w:rsid w:val="000D1972"/>
    <w:rsid w:val="000D1AE1"/>
    <w:rsid w:val="000D2316"/>
    <w:rsid w:val="000D2738"/>
    <w:rsid w:val="000D289F"/>
    <w:rsid w:val="000D28BF"/>
    <w:rsid w:val="000D333F"/>
    <w:rsid w:val="000D3442"/>
    <w:rsid w:val="000D34BF"/>
    <w:rsid w:val="000D3604"/>
    <w:rsid w:val="000D3D97"/>
    <w:rsid w:val="000D48C7"/>
    <w:rsid w:val="000D4C66"/>
    <w:rsid w:val="000D4F07"/>
    <w:rsid w:val="000D51E6"/>
    <w:rsid w:val="000D537F"/>
    <w:rsid w:val="000D61CA"/>
    <w:rsid w:val="000D62D2"/>
    <w:rsid w:val="000D638B"/>
    <w:rsid w:val="000D657B"/>
    <w:rsid w:val="000D7398"/>
    <w:rsid w:val="000D78EA"/>
    <w:rsid w:val="000D7B56"/>
    <w:rsid w:val="000E0112"/>
    <w:rsid w:val="000E0180"/>
    <w:rsid w:val="000E103D"/>
    <w:rsid w:val="000E1A95"/>
    <w:rsid w:val="000E1BEA"/>
    <w:rsid w:val="000E2DAB"/>
    <w:rsid w:val="000E4544"/>
    <w:rsid w:val="000E456C"/>
    <w:rsid w:val="000E4B46"/>
    <w:rsid w:val="000E4B56"/>
    <w:rsid w:val="000E5568"/>
    <w:rsid w:val="000E5E19"/>
    <w:rsid w:val="000E7CDE"/>
    <w:rsid w:val="000E7DC3"/>
    <w:rsid w:val="000E7FFD"/>
    <w:rsid w:val="000F0066"/>
    <w:rsid w:val="000F032F"/>
    <w:rsid w:val="000F0877"/>
    <w:rsid w:val="000F094C"/>
    <w:rsid w:val="000F109B"/>
    <w:rsid w:val="000F16B4"/>
    <w:rsid w:val="000F1F2E"/>
    <w:rsid w:val="000F222A"/>
    <w:rsid w:val="000F24E2"/>
    <w:rsid w:val="000F2ED8"/>
    <w:rsid w:val="000F3256"/>
    <w:rsid w:val="000F3D5D"/>
    <w:rsid w:val="000F3EBA"/>
    <w:rsid w:val="000F4A83"/>
    <w:rsid w:val="000F4FEC"/>
    <w:rsid w:val="000F526F"/>
    <w:rsid w:val="000F5910"/>
    <w:rsid w:val="000F5A0B"/>
    <w:rsid w:val="000F62B5"/>
    <w:rsid w:val="000F6D9E"/>
    <w:rsid w:val="000F7EDE"/>
    <w:rsid w:val="00100E06"/>
    <w:rsid w:val="00101260"/>
    <w:rsid w:val="00101518"/>
    <w:rsid w:val="001016B1"/>
    <w:rsid w:val="001016B8"/>
    <w:rsid w:val="00101707"/>
    <w:rsid w:val="00101836"/>
    <w:rsid w:val="00102405"/>
    <w:rsid w:val="00103136"/>
    <w:rsid w:val="0010327A"/>
    <w:rsid w:val="001035E7"/>
    <w:rsid w:val="001042CE"/>
    <w:rsid w:val="00104785"/>
    <w:rsid w:val="001053D7"/>
    <w:rsid w:val="00106038"/>
    <w:rsid w:val="001068F1"/>
    <w:rsid w:val="00106A90"/>
    <w:rsid w:val="00106C72"/>
    <w:rsid w:val="00106F7F"/>
    <w:rsid w:val="001072CF"/>
    <w:rsid w:val="00111709"/>
    <w:rsid w:val="00111BF5"/>
    <w:rsid w:val="00113A76"/>
    <w:rsid w:val="00113FAF"/>
    <w:rsid w:val="00114071"/>
    <w:rsid w:val="001147B6"/>
    <w:rsid w:val="0011542D"/>
    <w:rsid w:val="00115992"/>
    <w:rsid w:val="00116F96"/>
    <w:rsid w:val="00117133"/>
    <w:rsid w:val="00117568"/>
    <w:rsid w:val="00117924"/>
    <w:rsid w:val="00117E7F"/>
    <w:rsid w:val="001201FF"/>
    <w:rsid w:val="00120522"/>
    <w:rsid w:val="001207DC"/>
    <w:rsid w:val="00120FCC"/>
    <w:rsid w:val="001210F5"/>
    <w:rsid w:val="00121438"/>
    <w:rsid w:val="00121516"/>
    <w:rsid w:val="00121AA5"/>
    <w:rsid w:val="00121BD9"/>
    <w:rsid w:val="00122383"/>
    <w:rsid w:val="001228FB"/>
    <w:rsid w:val="00122F00"/>
    <w:rsid w:val="001230A8"/>
    <w:rsid w:val="001241C2"/>
    <w:rsid w:val="0012430F"/>
    <w:rsid w:val="0012538C"/>
    <w:rsid w:val="00125597"/>
    <w:rsid w:val="00125854"/>
    <w:rsid w:val="0012666A"/>
    <w:rsid w:val="00126764"/>
    <w:rsid w:val="00126C44"/>
    <w:rsid w:val="00127044"/>
    <w:rsid w:val="00127255"/>
    <w:rsid w:val="001279D9"/>
    <w:rsid w:val="00127CB4"/>
    <w:rsid w:val="00130EFA"/>
    <w:rsid w:val="00131340"/>
    <w:rsid w:val="0013201F"/>
    <w:rsid w:val="00132668"/>
    <w:rsid w:val="00132B0B"/>
    <w:rsid w:val="001341A4"/>
    <w:rsid w:val="001341D9"/>
    <w:rsid w:val="001346A6"/>
    <w:rsid w:val="00134A7C"/>
    <w:rsid w:val="00134F13"/>
    <w:rsid w:val="0013500A"/>
    <w:rsid w:val="00135498"/>
    <w:rsid w:val="00137D58"/>
    <w:rsid w:val="00140553"/>
    <w:rsid w:val="00140B88"/>
    <w:rsid w:val="001418F8"/>
    <w:rsid w:val="00143351"/>
    <w:rsid w:val="00143563"/>
    <w:rsid w:val="0014393C"/>
    <w:rsid w:val="001441C9"/>
    <w:rsid w:val="0014482E"/>
    <w:rsid w:val="00144B4C"/>
    <w:rsid w:val="00145042"/>
    <w:rsid w:val="00145783"/>
    <w:rsid w:val="00145F07"/>
    <w:rsid w:val="0014716C"/>
    <w:rsid w:val="00147EAC"/>
    <w:rsid w:val="0015070E"/>
    <w:rsid w:val="00150F52"/>
    <w:rsid w:val="001510FD"/>
    <w:rsid w:val="00151F5C"/>
    <w:rsid w:val="00152300"/>
    <w:rsid w:val="001524A4"/>
    <w:rsid w:val="00152911"/>
    <w:rsid w:val="00154650"/>
    <w:rsid w:val="0015471C"/>
    <w:rsid w:val="0015482E"/>
    <w:rsid w:val="00155A28"/>
    <w:rsid w:val="00155CB5"/>
    <w:rsid w:val="00155EE6"/>
    <w:rsid w:val="00156B21"/>
    <w:rsid w:val="00156F26"/>
    <w:rsid w:val="00157013"/>
    <w:rsid w:val="00157448"/>
    <w:rsid w:val="00157A0A"/>
    <w:rsid w:val="00157CC9"/>
    <w:rsid w:val="00160306"/>
    <w:rsid w:val="00160443"/>
    <w:rsid w:val="0016071A"/>
    <w:rsid w:val="00160F66"/>
    <w:rsid w:val="00161882"/>
    <w:rsid w:val="00161CA5"/>
    <w:rsid w:val="0016268B"/>
    <w:rsid w:val="00163898"/>
    <w:rsid w:val="00163E78"/>
    <w:rsid w:val="001644C8"/>
    <w:rsid w:val="00164B08"/>
    <w:rsid w:val="001650BD"/>
    <w:rsid w:val="0016533A"/>
    <w:rsid w:val="00165B8B"/>
    <w:rsid w:val="00166755"/>
    <w:rsid w:val="00166924"/>
    <w:rsid w:val="00166ADD"/>
    <w:rsid w:val="00166E6C"/>
    <w:rsid w:val="00167059"/>
    <w:rsid w:val="00167528"/>
    <w:rsid w:val="00167897"/>
    <w:rsid w:val="00170A45"/>
    <w:rsid w:val="00171172"/>
    <w:rsid w:val="0017134E"/>
    <w:rsid w:val="00171A25"/>
    <w:rsid w:val="00172002"/>
    <w:rsid w:val="00172202"/>
    <w:rsid w:val="001728FC"/>
    <w:rsid w:val="00172FC0"/>
    <w:rsid w:val="001731B2"/>
    <w:rsid w:val="0017389D"/>
    <w:rsid w:val="00173A28"/>
    <w:rsid w:val="00174DE4"/>
    <w:rsid w:val="00174F05"/>
    <w:rsid w:val="00175600"/>
    <w:rsid w:val="00175B00"/>
    <w:rsid w:val="0017656B"/>
    <w:rsid w:val="001767D2"/>
    <w:rsid w:val="00177131"/>
    <w:rsid w:val="00177C23"/>
    <w:rsid w:val="00177D3D"/>
    <w:rsid w:val="001803A2"/>
    <w:rsid w:val="0018114E"/>
    <w:rsid w:val="00181C80"/>
    <w:rsid w:val="00181DAA"/>
    <w:rsid w:val="00182B8D"/>
    <w:rsid w:val="00182F8D"/>
    <w:rsid w:val="00183725"/>
    <w:rsid w:val="00183E8E"/>
    <w:rsid w:val="00184839"/>
    <w:rsid w:val="00184DB4"/>
    <w:rsid w:val="00185525"/>
    <w:rsid w:val="00185990"/>
    <w:rsid w:val="0018650C"/>
    <w:rsid w:val="00186C89"/>
    <w:rsid w:val="001876EF"/>
    <w:rsid w:val="00190D41"/>
    <w:rsid w:val="0019107B"/>
    <w:rsid w:val="00192957"/>
    <w:rsid w:val="00192F96"/>
    <w:rsid w:val="001930A0"/>
    <w:rsid w:val="00193641"/>
    <w:rsid w:val="00193E5C"/>
    <w:rsid w:val="00193E92"/>
    <w:rsid w:val="00194154"/>
    <w:rsid w:val="001945C8"/>
    <w:rsid w:val="0019559A"/>
    <w:rsid w:val="00195F93"/>
    <w:rsid w:val="0019633E"/>
    <w:rsid w:val="00197076"/>
    <w:rsid w:val="0019751E"/>
    <w:rsid w:val="00197828"/>
    <w:rsid w:val="001978F3"/>
    <w:rsid w:val="00197C40"/>
    <w:rsid w:val="00197E10"/>
    <w:rsid w:val="00197F4F"/>
    <w:rsid w:val="001A0C2A"/>
    <w:rsid w:val="001A0C3E"/>
    <w:rsid w:val="001A19C2"/>
    <w:rsid w:val="001A1A99"/>
    <w:rsid w:val="001A1E43"/>
    <w:rsid w:val="001A2238"/>
    <w:rsid w:val="001A2613"/>
    <w:rsid w:val="001A357C"/>
    <w:rsid w:val="001A42AC"/>
    <w:rsid w:val="001A458B"/>
    <w:rsid w:val="001A49B8"/>
    <w:rsid w:val="001A4C1F"/>
    <w:rsid w:val="001A4C36"/>
    <w:rsid w:val="001A4F35"/>
    <w:rsid w:val="001A50AB"/>
    <w:rsid w:val="001A50E0"/>
    <w:rsid w:val="001A5E57"/>
    <w:rsid w:val="001A600B"/>
    <w:rsid w:val="001A6168"/>
    <w:rsid w:val="001A672B"/>
    <w:rsid w:val="001A6A61"/>
    <w:rsid w:val="001A7A25"/>
    <w:rsid w:val="001A7DC4"/>
    <w:rsid w:val="001B13B6"/>
    <w:rsid w:val="001B1AEF"/>
    <w:rsid w:val="001B1F22"/>
    <w:rsid w:val="001B212B"/>
    <w:rsid w:val="001B2344"/>
    <w:rsid w:val="001B27C4"/>
    <w:rsid w:val="001B28EB"/>
    <w:rsid w:val="001B350E"/>
    <w:rsid w:val="001B352D"/>
    <w:rsid w:val="001B359F"/>
    <w:rsid w:val="001B41DF"/>
    <w:rsid w:val="001B6366"/>
    <w:rsid w:val="001B67EC"/>
    <w:rsid w:val="001B6B2B"/>
    <w:rsid w:val="001B6F76"/>
    <w:rsid w:val="001B720A"/>
    <w:rsid w:val="001B7422"/>
    <w:rsid w:val="001B7D06"/>
    <w:rsid w:val="001B7D6D"/>
    <w:rsid w:val="001C0795"/>
    <w:rsid w:val="001C0802"/>
    <w:rsid w:val="001C0EFA"/>
    <w:rsid w:val="001C1435"/>
    <w:rsid w:val="001C1786"/>
    <w:rsid w:val="001C1B9B"/>
    <w:rsid w:val="001C1D69"/>
    <w:rsid w:val="001C1EE9"/>
    <w:rsid w:val="001C23F0"/>
    <w:rsid w:val="001C2914"/>
    <w:rsid w:val="001C3244"/>
    <w:rsid w:val="001C3390"/>
    <w:rsid w:val="001C3990"/>
    <w:rsid w:val="001C3C2E"/>
    <w:rsid w:val="001C40A1"/>
    <w:rsid w:val="001C419F"/>
    <w:rsid w:val="001C4221"/>
    <w:rsid w:val="001C5C97"/>
    <w:rsid w:val="001C5E58"/>
    <w:rsid w:val="001C655A"/>
    <w:rsid w:val="001C6B36"/>
    <w:rsid w:val="001C6D2A"/>
    <w:rsid w:val="001C7761"/>
    <w:rsid w:val="001C7A07"/>
    <w:rsid w:val="001C7A22"/>
    <w:rsid w:val="001D0173"/>
    <w:rsid w:val="001D0429"/>
    <w:rsid w:val="001D0C95"/>
    <w:rsid w:val="001D2477"/>
    <w:rsid w:val="001D2A3D"/>
    <w:rsid w:val="001D3448"/>
    <w:rsid w:val="001D3AE7"/>
    <w:rsid w:val="001D4CBC"/>
    <w:rsid w:val="001D510C"/>
    <w:rsid w:val="001D653D"/>
    <w:rsid w:val="001D759C"/>
    <w:rsid w:val="001E052E"/>
    <w:rsid w:val="001E1229"/>
    <w:rsid w:val="001E16F0"/>
    <w:rsid w:val="001E1E9D"/>
    <w:rsid w:val="001E294C"/>
    <w:rsid w:val="001E2C30"/>
    <w:rsid w:val="001E3279"/>
    <w:rsid w:val="001E33C7"/>
    <w:rsid w:val="001E362C"/>
    <w:rsid w:val="001E39C4"/>
    <w:rsid w:val="001E4426"/>
    <w:rsid w:val="001E4CE0"/>
    <w:rsid w:val="001E51BC"/>
    <w:rsid w:val="001E57A6"/>
    <w:rsid w:val="001E5CCD"/>
    <w:rsid w:val="001E5D04"/>
    <w:rsid w:val="001E5FB6"/>
    <w:rsid w:val="001E69E4"/>
    <w:rsid w:val="001E6C9F"/>
    <w:rsid w:val="001E750F"/>
    <w:rsid w:val="001E773D"/>
    <w:rsid w:val="001E7C96"/>
    <w:rsid w:val="001F06A0"/>
    <w:rsid w:val="001F0994"/>
    <w:rsid w:val="001F0C6B"/>
    <w:rsid w:val="001F2A4C"/>
    <w:rsid w:val="001F2C29"/>
    <w:rsid w:val="001F2E05"/>
    <w:rsid w:val="001F3DB8"/>
    <w:rsid w:val="001F406D"/>
    <w:rsid w:val="001F41E5"/>
    <w:rsid w:val="001F4B76"/>
    <w:rsid w:val="001F5081"/>
    <w:rsid w:val="001F5398"/>
    <w:rsid w:val="001F5A78"/>
    <w:rsid w:val="001F5D33"/>
    <w:rsid w:val="001F63DA"/>
    <w:rsid w:val="001F68FE"/>
    <w:rsid w:val="001F6A69"/>
    <w:rsid w:val="001F6A7B"/>
    <w:rsid w:val="001F7702"/>
    <w:rsid w:val="00200153"/>
    <w:rsid w:val="00200924"/>
    <w:rsid w:val="00201CFE"/>
    <w:rsid w:val="00201E66"/>
    <w:rsid w:val="00202987"/>
    <w:rsid w:val="00202C0C"/>
    <w:rsid w:val="00202C25"/>
    <w:rsid w:val="00202CED"/>
    <w:rsid w:val="00203435"/>
    <w:rsid w:val="00203D44"/>
    <w:rsid w:val="00204316"/>
    <w:rsid w:val="0020460E"/>
    <w:rsid w:val="00204996"/>
    <w:rsid w:val="00205464"/>
    <w:rsid w:val="002062F9"/>
    <w:rsid w:val="00206996"/>
    <w:rsid w:val="00206DD2"/>
    <w:rsid w:val="00207015"/>
    <w:rsid w:val="002070AB"/>
    <w:rsid w:val="002071BD"/>
    <w:rsid w:val="002103C6"/>
    <w:rsid w:val="00210763"/>
    <w:rsid w:val="00210879"/>
    <w:rsid w:val="0021248C"/>
    <w:rsid w:val="00213288"/>
    <w:rsid w:val="00213A3B"/>
    <w:rsid w:val="00213F29"/>
    <w:rsid w:val="002143A9"/>
    <w:rsid w:val="00214EF0"/>
    <w:rsid w:val="00214F5C"/>
    <w:rsid w:val="00215C1C"/>
    <w:rsid w:val="00215C4D"/>
    <w:rsid w:val="00216775"/>
    <w:rsid w:val="00217441"/>
    <w:rsid w:val="00217608"/>
    <w:rsid w:val="00217C85"/>
    <w:rsid w:val="002212E9"/>
    <w:rsid w:val="002212F5"/>
    <w:rsid w:val="002217A5"/>
    <w:rsid w:val="00222118"/>
    <w:rsid w:val="002240DA"/>
    <w:rsid w:val="00224328"/>
    <w:rsid w:val="00224527"/>
    <w:rsid w:val="002253C7"/>
    <w:rsid w:val="00225A9C"/>
    <w:rsid w:val="00226B28"/>
    <w:rsid w:val="00227B68"/>
    <w:rsid w:val="0023013D"/>
    <w:rsid w:val="0023052A"/>
    <w:rsid w:val="00230891"/>
    <w:rsid w:val="00230F6B"/>
    <w:rsid w:val="0023102F"/>
    <w:rsid w:val="00232338"/>
    <w:rsid w:val="00232E5E"/>
    <w:rsid w:val="002334C9"/>
    <w:rsid w:val="002337D7"/>
    <w:rsid w:val="00233BCE"/>
    <w:rsid w:val="002344C6"/>
    <w:rsid w:val="00234E5E"/>
    <w:rsid w:val="00235507"/>
    <w:rsid w:val="0023571E"/>
    <w:rsid w:val="00235E39"/>
    <w:rsid w:val="00235EF0"/>
    <w:rsid w:val="00235F2F"/>
    <w:rsid w:val="00236A8D"/>
    <w:rsid w:val="00237462"/>
    <w:rsid w:val="002375D4"/>
    <w:rsid w:val="002377DC"/>
    <w:rsid w:val="00240387"/>
    <w:rsid w:val="00241A8A"/>
    <w:rsid w:val="00241ABE"/>
    <w:rsid w:val="00241B33"/>
    <w:rsid w:val="00242005"/>
    <w:rsid w:val="00242479"/>
    <w:rsid w:val="0024252B"/>
    <w:rsid w:val="00244470"/>
    <w:rsid w:val="0024544F"/>
    <w:rsid w:val="002468DB"/>
    <w:rsid w:val="00246BFA"/>
    <w:rsid w:val="00246EF2"/>
    <w:rsid w:val="00247C1F"/>
    <w:rsid w:val="00250690"/>
    <w:rsid w:val="002508DE"/>
    <w:rsid w:val="00250985"/>
    <w:rsid w:val="00251119"/>
    <w:rsid w:val="00251329"/>
    <w:rsid w:val="00251B6F"/>
    <w:rsid w:val="0025238E"/>
    <w:rsid w:val="00252CE9"/>
    <w:rsid w:val="00252E6D"/>
    <w:rsid w:val="002530AF"/>
    <w:rsid w:val="002531D1"/>
    <w:rsid w:val="00254AC3"/>
    <w:rsid w:val="00254C55"/>
    <w:rsid w:val="00256317"/>
    <w:rsid w:val="0025647A"/>
    <w:rsid w:val="00256730"/>
    <w:rsid w:val="00256954"/>
    <w:rsid w:val="00257221"/>
    <w:rsid w:val="002573C9"/>
    <w:rsid w:val="00257B9B"/>
    <w:rsid w:val="00260036"/>
    <w:rsid w:val="002600EE"/>
    <w:rsid w:val="00260465"/>
    <w:rsid w:val="00260598"/>
    <w:rsid w:val="002614C0"/>
    <w:rsid w:val="00261E32"/>
    <w:rsid w:val="00264414"/>
    <w:rsid w:val="00266E75"/>
    <w:rsid w:val="00267891"/>
    <w:rsid w:val="00270631"/>
    <w:rsid w:val="002706AA"/>
    <w:rsid w:val="00270D30"/>
    <w:rsid w:val="002711EB"/>
    <w:rsid w:val="00271248"/>
    <w:rsid w:val="0027179F"/>
    <w:rsid w:val="002717C5"/>
    <w:rsid w:val="00271DF2"/>
    <w:rsid w:val="00271FD6"/>
    <w:rsid w:val="002727BD"/>
    <w:rsid w:val="002735FE"/>
    <w:rsid w:val="00273917"/>
    <w:rsid w:val="00273E66"/>
    <w:rsid w:val="002740AD"/>
    <w:rsid w:val="0027431D"/>
    <w:rsid w:val="00274E87"/>
    <w:rsid w:val="0027517C"/>
    <w:rsid w:val="002753A0"/>
    <w:rsid w:val="00275B91"/>
    <w:rsid w:val="0027681C"/>
    <w:rsid w:val="00277073"/>
    <w:rsid w:val="0027714B"/>
    <w:rsid w:val="00277B80"/>
    <w:rsid w:val="0028074C"/>
    <w:rsid w:val="0028089B"/>
    <w:rsid w:val="002808EC"/>
    <w:rsid w:val="0028103D"/>
    <w:rsid w:val="00281831"/>
    <w:rsid w:val="002818BB"/>
    <w:rsid w:val="00281AB5"/>
    <w:rsid w:val="00281BAA"/>
    <w:rsid w:val="002823D4"/>
    <w:rsid w:val="00283925"/>
    <w:rsid w:val="00283BF9"/>
    <w:rsid w:val="002841D3"/>
    <w:rsid w:val="0028420D"/>
    <w:rsid w:val="00284243"/>
    <w:rsid w:val="0028469B"/>
    <w:rsid w:val="002849A1"/>
    <w:rsid w:val="0028523A"/>
    <w:rsid w:val="00285551"/>
    <w:rsid w:val="00286CCB"/>
    <w:rsid w:val="00286F36"/>
    <w:rsid w:val="00287460"/>
    <w:rsid w:val="002907D7"/>
    <w:rsid w:val="00290D4F"/>
    <w:rsid w:val="00290F1C"/>
    <w:rsid w:val="00291639"/>
    <w:rsid w:val="0029187D"/>
    <w:rsid w:val="002919DC"/>
    <w:rsid w:val="00291D06"/>
    <w:rsid w:val="0029290C"/>
    <w:rsid w:val="002936B6"/>
    <w:rsid w:val="00294981"/>
    <w:rsid w:val="00295027"/>
    <w:rsid w:val="002950A7"/>
    <w:rsid w:val="00295F7B"/>
    <w:rsid w:val="0029626B"/>
    <w:rsid w:val="002962A2"/>
    <w:rsid w:val="002968D5"/>
    <w:rsid w:val="002970BF"/>
    <w:rsid w:val="002A13F7"/>
    <w:rsid w:val="002A16D3"/>
    <w:rsid w:val="002A1CF3"/>
    <w:rsid w:val="002A2178"/>
    <w:rsid w:val="002A2194"/>
    <w:rsid w:val="002A21F2"/>
    <w:rsid w:val="002A226D"/>
    <w:rsid w:val="002A2859"/>
    <w:rsid w:val="002A2996"/>
    <w:rsid w:val="002A2F70"/>
    <w:rsid w:val="002A30E4"/>
    <w:rsid w:val="002A52FA"/>
    <w:rsid w:val="002A54B1"/>
    <w:rsid w:val="002A6963"/>
    <w:rsid w:val="002A6E95"/>
    <w:rsid w:val="002A78DE"/>
    <w:rsid w:val="002A7D51"/>
    <w:rsid w:val="002B0914"/>
    <w:rsid w:val="002B0CF0"/>
    <w:rsid w:val="002B0F7A"/>
    <w:rsid w:val="002B2569"/>
    <w:rsid w:val="002B3443"/>
    <w:rsid w:val="002B3777"/>
    <w:rsid w:val="002B39C4"/>
    <w:rsid w:val="002B494E"/>
    <w:rsid w:val="002B5E67"/>
    <w:rsid w:val="002B7604"/>
    <w:rsid w:val="002B7673"/>
    <w:rsid w:val="002B77E0"/>
    <w:rsid w:val="002B7836"/>
    <w:rsid w:val="002B788C"/>
    <w:rsid w:val="002C128C"/>
    <w:rsid w:val="002C1C01"/>
    <w:rsid w:val="002C2941"/>
    <w:rsid w:val="002C2D82"/>
    <w:rsid w:val="002C36A4"/>
    <w:rsid w:val="002C3897"/>
    <w:rsid w:val="002C3CC3"/>
    <w:rsid w:val="002C486F"/>
    <w:rsid w:val="002C4C7C"/>
    <w:rsid w:val="002C4D60"/>
    <w:rsid w:val="002C4DBD"/>
    <w:rsid w:val="002C4FE1"/>
    <w:rsid w:val="002C534A"/>
    <w:rsid w:val="002C53AC"/>
    <w:rsid w:val="002C54A7"/>
    <w:rsid w:val="002C5F5F"/>
    <w:rsid w:val="002C7171"/>
    <w:rsid w:val="002C77B6"/>
    <w:rsid w:val="002C7EDA"/>
    <w:rsid w:val="002D1002"/>
    <w:rsid w:val="002D176D"/>
    <w:rsid w:val="002D23EF"/>
    <w:rsid w:val="002D2572"/>
    <w:rsid w:val="002D2996"/>
    <w:rsid w:val="002D3A03"/>
    <w:rsid w:val="002D3A4D"/>
    <w:rsid w:val="002D3E25"/>
    <w:rsid w:val="002D48B8"/>
    <w:rsid w:val="002D4BC9"/>
    <w:rsid w:val="002D4F87"/>
    <w:rsid w:val="002D5AEB"/>
    <w:rsid w:val="002D5BD3"/>
    <w:rsid w:val="002D62F8"/>
    <w:rsid w:val="002D66DB"/>
    <w:rsid w:val="002D6848"/>
    <w:rsid w:val="002D70F4"/>
    <w:rsid w:val="002D77B0"/>
    <w:rsid w:val="002E045D"/>
    <w:rsid w:val="002E0C80"/>
    <w:rsid w:val="002E1503"/>
    <w:rsid w:val="002E18E3"/>
    <w:rsid w:val="002E2014"/>
    <w:rsid w:val="002E21A0"/>
    <w:rsid w:val="002E22D8"/>
    <w:rsid w:val="002E23E8"/>
    <w:rsid w:val="002E323B"/>
    <w:rsid w:val="002E3443"/>
    <w:rsid w:val="002E3FC1"/>
    <w:rsid w:val="002E4626"/>
    <w:rsid w:val="002E4649"/>
    <w:rsid w:val="002E48F8"/>
    <w:rsid w:val="002E5785"/>
    <w:rsid w:val="002E5EDB"/>
    <w:rsid w:val="002E6419"/>
    <w:rsid w:val="002E661F"/>
    <w:rsid w:val="002E6884"/>
    <w:rsid w:val="002E6D1A"/>
    <w:rsid w:val="002E7ADC"/>
    <w:rsid w:val="002E7B41"/>
    <w:rsid w:val="002F0304"/>
    <w:rsid w:val="002F0A25"/>
    <w:rsid w:val="002F182D"/>
    <w:rsid w:val="002F1CA0"/>
    <w:rsid w:val="002F2171"/>
    <w:rsid w:val="002F264A"/>
    <w:rsid w:val="002F323F"/>
    <w:rsid w:val="002F36EA"/>
    <w:rsid w:val="002F3DA7"/>
    <w:rsid w:val="002F412C"/>
    <w:rsid w:val="002F41A6"/>
    <w:rsid w:val="002F427B"/>
    <w:rsid w:val="002F4758"/>
    <w:rsid w:val="002F47E4"/>
    <w:rsid w:val="002F4FAD"/>
    <w:rsid w:val="002F5D9B"/>
    <w:rsid w:val="002F61E9"/>
    <w:rsid w:val="002F67F7"/>
    <w:rsid w:val="002F6880"/>
    <w:rsid w:val="002F69C2"/>
    <w:rsid w:val="002F6D5A"/>
    <w:rsid w:val="002F723A"/>
    <w:rsid w:val="002F7516"/>
    <w:rsid w:val="002F7A87"/>
    <w:rsid w:val="002F7FBB"/>
    <w:rsid w:val="00300443"/>
    <w:rsid w:val="00300896"/>
    <w:rsid w:val="00301445"/>
    <w:rsid w:val="00301500"/>
    <w:rsid w:val="00301EA7"/>
    <w:rsid w:val="0030267F"/>
    <w:rsid w:val="00302916"/>
    <w:rsid w:val="00302CCA"/>
    <w:rsid w:val="003030DD"/>
    <w:rsid w:val="0030358F"/>
    <w:rsid w:val="00304075"/>
    <w:rsid w:val="00304480"/>
    <w:rsid w:val="00304526"/>
    <w:rsid w:val="00304BC1"/>
    <w:rsid w:val="00304BDD"/>
    <w:rsid w:val="00304D47"/>
    <w:rsid w:val="003052B6"/>
    <w:rsid w:val="00305AEC"/>
    <w:rsid w:val="00305BD1"/>
    <w:rsid w:val="00306155"/>
    <w:rsid w:val="003070AE"/>
    <w:rsid w:val="0030735D"/>
    <w:rsid w:val="00307387"/>
    <w:rsid w:val="00307E33"/>
    <w:rsid w:val="00311917"/>
    <w:rsid w:val="00311B46"/>
    <w:rsid w:val="00311FB6"/>
    <w:rsid w:val="00312475"/>
    <w:rsid w:val="003127E9"/>
    <w:rsid w:val="00312CA7"/>
    <w:rsid w:val="00313903"/>
    <w:rsid w:val="00313ABA"/>
    <w:rsid w:val="00314AF2"/>
    <w:rsid w:val="00315833"/>
    <w:rsid w:val="00315B67"/>
    <w:rsid w:val="00315E3D"/>
    <w:rsid w:val="00315E8A"/>
    <w:rsid w:val="00315FD9"/>
    <w:rsid w:val="00316218"/>
    <w:rsid w:val="00316C04"/>
    <w:rsid w:val="00316DE1"/>
    <w:rsid w:val="00317686"/>
    <w:rsid w:val="0032119E"/>
    <w:rsid w:val="0032145D"/>
    <w:rsid w:val="0032299A"/>
    <w:rsid w:val="00325B8A"/>
    <w:rsid w:val="0032615D"/>
    <w:rsid w:val="00326727"/>
    <w:rsid w:val="003268A9"/>
    <w:rsid w:val="00326BCA"/>
    <w:rsid w:val="00326E61"/>
    <w:rsid w:val="00326F09"/>
    <w:rsid w:val="00327B2D"/>
    <w:rsid w:val="0033000C"/>
    <w:rsid w:val="00330CD8"/>
    <w:rsid w:val="00331039"/>
    <w:rsid w:val="00331084"/>
    <w:rsid w:val="0033108C"/>
    <w:rsid w:val="00331169"/>
    <w:rsid w:val="003316EC"/>
    <w:rsid w:val="00331DB1"/>
    <w:rsid w:val="00332D43"/>
    <w:rsid w:val="00332E61"/>
    <w:rsid w:val="003335AC"/>
    <w:rsid w:val="00334771"/>
    <w:rsid w:val="0033588E"/>
    <w:rsid w:val="00336120"/>
    <w:rsid w:val="0033625E"/>
    <w:rsid w:val="00336B60"/>
    <w:rsid w:val="00336D65"/>
    <w:rsid w:val="00336F32"/>
    <w:rsid w:val="0033725B"/>
    <w:rsid w:val="00340313"/>
    <w:rsid w:val="00340334"/>
    <w:rsid w:val="003421B4"/>
    <w:rsid w:val="00342FD3"/>
    <w:rsid w:val="003432A3"/>
    <w:rsid w:val="00343365"/>
    <w:rsid w:val="0034369C"/>
    <w:rsid w:val="00343E0B"/>
    <w:rsid w:val="00343FC4"/>
    <w:rsid w:val="00344236"/>
    <w:rsid w:val="003450E3"/>
    <w:rsid w:val="003457EB"/>
    <w:rsid w:val="00345DE7"/>
    <w:rsid w:val="0034641B"/>
    <w:rsid w:val="00346A80"/>
    <w:rsid w:val="00347992"/>
    <w:rsid w:val="003500EF"/>
    <w:rsid w:val="003507F8"/>
    <w:rsid w:val="0035099F"/>
    <w:rsid w:val="0035174A"/>
    <w:rsid w:val="00351B0A"/>
    <w:rsid w:val="00351D0D"/>
    <w:rsid w:val="0035213E"/>
    <w:rsid w:val="00352F9D"/>
    <w:rsid w:val="0035366A"/>
    <w:rsid w:val="00353841"/>
    <w:rsid w:val="0035395F"/>
    <w:rsid w:val="00353E85"/>
    <w:rsid w:val="003546D0"/>
    <w:rsid w:val="00354964"/>
    <w:rsid w:val="00354C4B"/>
    <w:rsid w:val="00354E76"/>
    <w:rsid w:val="00354F74"/>
    <w:rsid w:val="00355004"/>
    <w:rsid w:val="0035513A"/>
    <w:rsid w:val="0035517E"/>
    <w:rsid w:val="00355586"/>
    <w:rsid w:val="0035584A"/>
    <w:rsid w:val="00355B33"/>
    <w:rsid w:val="00356307"/>
    <w:rsid w:val="00356AF7"/>
    <w:rsid w:val="0035700F"/>
    <w:rsid w:val="00357C3E"/>
    <w:rsid w:val="00357D79"/>
    <w:rsid w:val="003605E8"/>
    <w:rsid w:val="00360DE9"/>
    <w:rsid w:val="00360E68"/>
    <w:rsid w:val="00361C31"/>
    <w:rsid w:val="00361E95"/>
    <w:rsid w:val="00361EB2"/>
    <w:rsid w:val="00361F9A"/>
    <w:rsid w:val="00362374"/>
    <w:rsid w:val="00362A95"/>
    <w:rsid w:val="00362CD4"/>
    <w:rsid w:val="00363783"/>
    <w:rsid w:val="0036389A"/>
    <w:rsid w:val="00363930"/>
    <w:rsid w:val="0036399A"/>
    <w:rsid w:val="00363ECC"/>
    <w:rsid w:val="00364941"/>
    <w:rsid w:val="00364E43"/>
    <w:rsid w:val="00364FB4"/>
    <w:rsid w:val="00365205"/>
    <w:rsid w:val="0036542D"/>
    <w:rsid w:val="00365470"/>
    <w:rsid w:val="003658E9"/>
    <w:rsid w:val="00367A48"/>
    <w:rsid w:val="00367A4D"/>
    <w:rsid w:val="00367DC5"/>
    <w:rsid w:val="00367EFF"/>
    <w:rsid w:val="00367F26"/>
    <w:rsid w:val="00367FAB"/>
    <w:rsid w:val="00370192"/>
    <w:rsid w:val="00370557"/>
    <w:rsid w:val="003706AF"/>
    <w:rsid w:val="00371410"/>
    <w:rsid w:val="003724E1"/>
    <w:rsid w:val="00372529"/>
    <w:rsid w:val="00373961"/>
    <w:rsid w:val="00373B2C"/>
    <w:rsid w:val="00373CC8"/>
    <w:rsid w:val="0037435D"/>
    <w:rsid w:val="003747C3"/>
    <w:rsid w:val="003758C7"/>
    <w:rsid w:val="00375E84"/>
    <w:rsid w:val="00376AC3"/>
    <w:rsid w:val="00376ADA"/>
    <w:rsid w:val="00376DC4"/>
    <w:rsid w:val="003772C7"/>
    <w:rsid w:val="00377431"/>
    <w:rsid w:val="00377B21"/>
    <w:rsid w:val="00377DB5"/>
    <w:rsid w:val="00380588"/>
    <w:rsid w:val="003809B7"/>
    <w:rsid w:val="00380EED"/>
    <w:rsid w:val="00380FD1"/>
    <w:rsid w:val="00381053"/>
    <w:rsid w:val="00381470"/>
    <w:rsid w:val="003815A7"/>
    <w:rsid w:val="003816E3"/>
    <w:rsid w:val="00382793"/>
    <w:rsid w:val="0038279E"/>
    <w:rsid w:val="00382A7B"/>
    <w:rsid w:val="00383121"/>
    <w:rsid w:val="00383656"/>
    <w:rsid w:val="0038365A"/>
    <w:rsid w:val="00383F32"/>
    <w:rsid w:val="003847E3"/>
    <w:rsid w:val="003849BB"/>
    <w:rsid w:val="003853FA"/>
    <w:rsid w:val="00385846"/>
    <w:rsid w:val="003859D6"/>
    <w:rsid w:val="00385A8B"/>
    <w:rsid w:val="003866BC"/>
    <w:rsid w:val="0038686A"/>
    <w:rsid w:val="00386C5F"/>
    <w:rsid w:val="00386E36"/>
    <w:rsid w:val="0038744B"/>
    <w:rsid w:val="003900D7"/>
    <w:rsid w:val="0039020B"/>
    <w:rsid w:val="003909E1"/>
    <w:rsid w:val="00391091"/>
    <w:rsid w:val="0039118C"/>
    <w:rsid w:val="00391F12"/>
    <w:rsid w:val="00392A8F"/>
    <w:rsid w:val="0039483E"/>
    <w:rsid w:val="00394A2F"/>
    <w:rsid w:val="00394C06"/>
    <w:rsid w:val="00395238"/>
    <w:rsid w:val="00395E50"/>
    <w:rsid w:val="00396537"/>
    <w:rsid w:val="00397812"/>
    <w:rsid w:val="00397C49"/>
    <w:rsid w:val="003A0530"/>
    <w:rsid w:val="003A0A60"/>
    <w:rsid w:val="003A12C9"/>
    <w:rsid w:val="003A1851"/>
    <w:rsid w:val="003A1A7E"/>
    <w:rsid w:val="003A1CC7"/>
    <w:rsid w:val="003A1E84"/>
    <w:rsid w:val="003A3770"/>
    <w:rsid w:val="003A3EF5"/>
    <w:rsid w:val="003A4206"/>
    <w:rsid w:val="003A431F"/>
    <w:rsid w:val="003A45F7"/>
    <w:rsid w:val="003A5661"/>
    <w:rsid w:val="003A574E"/>
    <w:rsid w:val="003A5F46"/>
    <w:rsid w:val="003A6912"/>
    <w:rsid w:val="003A6BEA"/>
    <w:rsid w:val="003A6CBB"/>
    <w:rsid w:val="003A6CCC"/>
    <w:rsid w:val="003A7A7E"/>
    <w:rsid w:val="003B025F"/>
    <w:rsid w:val="003B0282"/>
    <w:rsid w:val="003B0DDD"/>
    <w:rsid w:val="003B2497"/>
    <w:rsid w:val="003B2CA5"/>
    <w:rsid w:val="003B3796"/>
    <w:rsid w:val="003B3E62"/>
    <w:rsid w:val="003B40C0"/>
    <w:rsid w:val="003B4152"/>
    <w:rsid w:val="003B4513"/>
    <w:rsid w:val="003B4A54"/>
    <w:rsid w:val="003B50D1"/>
    <w:rsid w:val="003B62FC"/>
    <w:rsid w:val="003B6490"/>
    <w:rsid w:val="003B7DF1"/>
    <w:rsid w:val="003C0CDE"/>
    <w:rsid w:val="003C1C68"/>
    <w:rsid w:val="003C1D4F"/>
    <w:rsid w:val="003C2334"/>
    <w:rsid w:val="003C38A9"/>
    <w:rsid w:val="003C3C52"/>
    <w:rsid w:val="003C3D35"/>
    <w:rsid w:val="003C57F9"/>
    <w:rsid w:val="003C67FA"/>
    <w:rsid w:val="003C6C2F"/>
    <w:rsid w:val="003C6CB6"/>
    <w:rsid w:val="003C6E04"/>
    <w:rsid w:val="003C7301"/>
    <w:rsid w:val="003D09BC"/>
    <w:rsid w:val="003D0B7C"/>
    <w:rsid w:val="003D1308"/>
    <w:rsid w:val="003D1D31"/>
    <w:rsid w:val="003D2905"/>
    <w:rsid w:val="003D2F59"/>
    <w:rsid w:val="003D35E7"/>
    <w:rsid w:val="003D36FB"/>
    <w:rsid w:val="003D4CDE"/>
    <w:rsid w:val="003D4ED2"/>
    <w:rsid w:val="003D571C"/>
    <w:rsid w:val="003D5BEB"/>
    <w:rsid w:val="003D60A3"/>
    <w:rsid w:val="003D6459"/>
    <w:rsid w:val="003D688D"/>
    <w:rsid w:val="003D69A1"/>
    <w:rsid w:val="003D7469"/>
    <w:rsid w:val="003D7EEE"/>
    <w:rsid w:val="003E053F"/>
    <w:rsid w:val="003E223E"/>
    <w:rsid w:val="003E395E"/>
    <w:rsid w:val="003E4376"/>
    <w:rsid w:val="003E4CBC"/>
    <w:rsid w:val="003E5876"/>
    <w:rsid w:val="003E69EA"/>
    <w:rsid w:val="003E6CCB"/>
    <w:rsid w:val="003E7A74"/>
    <w:rsid w:val="003F00B3"/>
    <w:rsid w:val="003F010B"/>
    <w:rsid w:val="003F0DCF"/>
    <w:rsid w:val="003F1179"/>
    <w:rsid w:val="003F11DC"/>
    <w:rsid w:val="003F1308"/>
    <w:rsid w:val="003F1659"/>
    <w:rsid w:val="003F1A30"/>
    <w:rsid w:val="003F1CA4"/>
    <w:rsid w:val="003F1D15"/>
    <w:rsid w:val="003F1E31"/>
    <w:rsid w:val="003F24A5"/>
    <w:rsid w:val="003F262E"/>
    <w:rsid w:val="003F32E3"/>
    <w:rsid w:val="003F3B82"/>
    <w:rsid w:val="003F3C3E"/>
    <w:rsid w:val="003F40B5"/>
    <w:rsid w:val="003F492F"/>
    <w:rsid w:val="003F4A98"/>
    <w:rsid w:val="003F60F4"/>
    <w:rsid w:val="003F68D0"/>
    <w:rsid w:val="003F6B73"/>
    <w:rsid w:val="004002E9"/>
    <w:rsid w:val="00401398"/>
    <w:rsid w:val="00401893"/>
    <w:rsid w:val="00401922"/>
    <w:rsid w:val="00401DFB"/>
    <w:rsid w:val="00401E53"/>
    <w:rsid w:val="0040204D"/>
    <w:rsid w:val="004021CF"/>
    <w:rsid w:val="00402969"/>
    <w:rsid w:val="00403035"/>
    <w:rsid w:val="0040398A"/>
    <w:rsid w:val="00403994"/>
    <w:rsid w:val="00403A3B"/>
    <w:rsid w:val="00404581"/>
    <w:rsid w:val="004047F5"/>
    <w:rsid w:val="004048AB"/>
    <w:rsid w:val="00404CD8"/>
    <w:rsid w:val="00405090"/>
    <w:rsid w:val="004056E3"/>
    <w:rsid w:val="00405BA4"/>
    <w:rsid w:val="00406025"/>
    <w:rsid w:val="00406266"/>
    <w:rsid w:val="00407144"/>
    <w:rsid w:val="004101F6"/>
    <w:rsid w:val="00410B1B"/>
    <w:rsid w:val="00410BBE"/>
    <w:rsid w:val="00410DEA"/>
    <w:rsid w:val="00410E67"/>
    <w:rsid w:val="004114C8"/>
    <w:rsid w:val="00411B99"/>
    <w:rsid w:val="00411F42"/>
    <w:rsid w:val="00412676"/>
    <w:rsid w:val="00413061"/>
    <w:rsid w:val="00413352"/>
    <w:rsid w:val="00413808"/>
    <w:rsid w:val="0041400B"/>
    <w:rsid w:val="00414874"/>
    <w:rsid w:val="004149BE"/>
    <w:rsid w:val="0041563C"/>
    <w:rsid w:val="00415B34"/>
    <w:rsid w:val="004162DD"/>
    <w:rsid w:val="004167A9"/>
    <w:rsid w:val="0041744E"/>
    <w:rsid w:val="00417512"/>
    <w:rsid w:val="004175A8"/>
    <w:rsid w:val="00417731"/>
    <w:rsid w:val="0042005A"/>
    <w:rsid w:val="00421404"/>
    <w:rsid w:val="00421649"/>
    <w:rsid w:val="0042165D"/>
    <w:rsid w:val="00421E59"/>
    <w:rsid w:val="004224ED"/>
    <w:rsid w:val="00423E0E"/>
    <w:rsid w:val="00424B29"/>
    <w:rsid w:val="004250C1"/>
    <w:rsid w:val="00425CFE"/>
    <w:rsid w:val="0042662C"/>
    <w:rsid w:val="0042693A"/>
    <w:rsid w:val="00427F2A"/>
    <w:rsid w:val="0043026B"/>
    <w:rsid w:val="0043078C"/>
    <w:rsid w:val="00430F55"/>
    <w:rsid w:val="0043139B"/>
    <w:rsid w:val="0043153D"/>
    <w:rsid w:val="0043218F"/>
    <w:rsid w:val="004331D1"/>
    <w:rsid w:val="00433303"/>
    <w:rsid w:val="00433523"/>
    <w:rsid w:val="00433A83"/>
    <w:rsid w:val="0043444F"/>
    <w:rsid w:val="00434B11"/>
    <w:rsid w:val="00434D90"/>
    <w:rsid w:val="00435028"/>
    <w:rsid w:val="00435088"/>
    <w:rsid w:val="004353E4"/>
    <w:rsid w:val="0043567C"/>
    <w:rsid w:val="00435C04"/>
    <w:rsid w:val="00436F6A"/>
    <w:rsid w:val="00437EE7"/>
    <w:rsid w:val="004402E5"/>
    <w:rsid w:val="00440ACA"/>
    <w:rsid w:val="00440C1D"/>
    <w:rsid w:val="00441331"/>
    <w:rsid w:val="00441941"/>
    <w:rsid w:val="0044223F"/>
    <w:rsid w:val="004423B3"/>
    <w:rsid w:val="0044281A"/>
    <w:rsid w:val="004438CE"/>
    <w:rsid w:val="00443A53"/>
    <w:rsid w:val="00443AAB"/>
    <w:rsid w:val="00443D66"/>
    <w:rsid w:val="00444484"/>
    <w:rsid w:val="00444D57"/>
    <w:rsid w:val="00444E3C"/>
    <w:rsid w:val="00445404"/>
    <w:rsid w:val="00445A2B"/>
    <w:rsid w:val="00445FCD"/>
    <w:rsid w:val="0044619C"/>
    <w:rsid w:val="004465E1"/>
    <w:rsid w:val="00446DE6"/>
    <w:rsid w:val="00447B71"/>
    <w:rsid w:val="004502D5"/>
    <w:rsid w:val="00451061"/>
    <w:rsid w:val="00451466"/>
    <w:rsid w:val="00451D8E"/>
    <w:rsid w:val="0045205E"/>
    <w:rsid w:val="00452F31"/>
    <w:rsid w:val="0045382F"/>
    <w:rsid w:val="00453C3F"/>
    <w:rsid w:val="00453F6F"/>
    <w:rsid w:val="00454A48"/>
    <w:rsid w:val="00454A69"/>
    <w:rsid w:val="00454D2C"/>
    <w:rsid w:val="0045586C"/>
    <w:rsid w:val="00455C02"/>
    <w:rsid w:val="00455C89"/>
    <w:rsid w:val="0045643B"/>
    <w:rsid w:val="00457437"/>
    <w:rsid w:val="00457E1B"/>
    <w:rsid w:val="00457F73"/>
    <w:rsid w:val="0046035C"/>
    <w:rsid w:val="00461B1D"/>
    <w:rsid w:val="00461D63"/>
    <w:rsid w:val="00461DF2"/>
    <w:rsid w:val="00462739"/>
    <w:rsid w:val="00462B74"/>
    <w:rsid w:val="00462C4D"/>
    <w:rsid w:val="004632DF"/>
    <w:rsid w:val="00463761"/>
    <w:rsid w:val="004644B4"/>
    <w:rsid w:val="0046473E"/>
    <w:rsid w:val="004652A8"/>
    <w:rsid w:val="00465E78"/>
    <w:rsid w:val="00466E19"/>
    <w:rsid w:val="004678D4"/>
    <w:rsid w:val="0047007E"/>
    <w:rsid w:val="00470C31"/>
    <w:rsid w:val="00470FB1"/>
    <w:rsid w:val="0047128F"/>
    <w:rsid w:val="00471570"/>
    <w:rsid w:val="0047173E"/>
    <w:rsid w:val="004717D8"/>
    <w:rsid w:val="00471B1F"/>
    <w:rsid w:val="00473089"/>
    <w:rsid w:val="0047355D"/>
    <w:rsid w:val="00474FF7"/>
    <w:rsid w:val="0047614D"/>
    <w:rsid w:val="0047676C"/>
    <w:rsid w:val="004769AA"/>
    <w:rsid w:val="00476B64"/>
    <w:rsid w:val="00477171"/>
    <w:rsid w:val="004779BE"/>
    <w:rsid w:val="00480EB3"/>
    <w:rsid w:val="00480FF6"/>
    <w:rsid w:val="00481566"/>
    <w:rsid w:val="00481773"/>
    <w:rsid w:val="004818E4"/>
    <w:rsid w:val="00482242"/>
    <w:rsid w:val="00482443"/>
    <w:rsid w:val="00482CFE"/>
    <w:rsid w:val="00482D97"/>
    <w:rsid w:val="004837D9"/>
    <w:rsid w:val="00483BD6"/>
    <w:rsid w:val="00483C38"/>
    <w:rsid w:val="00485A99"/>
    <w:rsid w:val="0048664F"/>
    <w:rsid w:val="0048676E"/>
    <w:rsid w:val="00486D0C"/>
    <w:rsid w:val="00487408"/>
    <w:rsid w:val="0049026B"/>
    <w:rsid w:val="00490380"/>
    <w:rsid w:val="00490561"/>
    <w:rsid w:val="0049070B"/>
    <w:rsid w:val="00491096"/>
    <w:rsid w:val="0049144C"/>
    <w:rsid w:val="0049174F"/>
    <w:rsid w:val="004919A1"/>
    <w:rsid w:val="00491DEE"/>
    <w:rsid w:val="004929B1"/>
    <w:rsid w:val="00492D95"/>
    <w:rsid w:val="0049366D"/>
    <w:rsid w:val="00493783"/>
    <w:rsid w:val="00493C1D"/>
    <w:rsid w:val="00493D27"/>
    <w:rsid w:val="00493E7D"/>
    <w:rsid w:val="0049443E"/>
    <w:rsid w:val="004947C9"/>
    <w:rsid w:val="0049483E"/>
    <w:rsid w:val="004964D5"/>
    <w:rsid w:val="004968A5"/>
    <w:rsid w:val="0049694D"/>
    <w:rsid w:val="00497176"/>
    <w:rsid w:val="00497E75"/>
    <w:rsid w:val="004A019F"/>
    <w:rsid w:val="004A097B"/>
    <w:rsid w:val="004A1D59"/>
    <w:rsid w:val="004A2313"/>
    <w:rsid w:val="004A23E6"/>
    <w:rsid w:val="004A27F7"/>
    <w:rsid w:val="004A2BD0"/>
    <w:rsid w:val="004A3514"/>
    <w:rsid w:val="004A49C3"/>
    <w:rsid w:val="004A4D7A"/>
    <w:rsid w:val="004A4E80"/>
    <w:rsid w:val="004A557E"/>
    <w:rsid w:val="004A5F77"/>
    <w:rsid w:val="004A6042"/>
    <w:rsid w:val="004A7662"/>
    <w:rsid w:val="004A770C"/>
    <w:rsid w:val="004A7EB5"/>
    <w:rsid w:val="004B006C"/>
    <w:rsid w:val="004B045C"/>
    <w:rsid w:val="004B04CF"/>
    <w:rsid w:val="004B0B79"/>
    <w:rsid w:val="004B1369"/>
    <w:rsid w:val="004B299E"/>
    <w:rsid w:val="004B2AB6"/>
    <w:rsid w:val="004B306E"/>
    <w:rsid w:val="004B3936"/>
    <w:rsid w:val="004B3C95"/>
    <w:rsid w:val="004B434A"/>
    <w:rsid w:val="004B4D4E"/>
    <w:rsid w:val="004B518A"/>
    <w:rsid w:val="004B54C2"/>
    <w:rsid w:val="004B54F2"/>
    <w:rsid w:val="004B59E5"/>
    <w:rsid w:val="004B66C0"/>
    <w:rsid w:val="004B6706"/>
    <w:rsid w:val="004B712E"/>
    <w:rsid w:val="004C0801"/>
    <w:rsid w:val="004C158B"/>
    <w:rsid w:val="004C1718"/>
    <w:rsid w:val="004C1CC3"/>
    <w:rsid w:val="004C1DB1"/>
    <w:rsid w:val="004C2294"/>
    <w:rsid w:val="004C23AD"/>
    <w:rsid w:val="004C2598"/>
    <w:rsid w:val="004C26F7"/>
    <w:rsid w:val="004C2C6E"/>
    <w:rsid w:val="004C33AE"/>
    <w:rsid w:val="004C377C"/>
    <w:rsid w:val="004C3BC8"/>
    <w:rsid w:val="004C3C4C"/>
    <w:rsid w:val="004C3D11"/>
    <w:rsid w:val="004C46C5"/>
    <w:rsid w:val="004C4CBB"/>
    <w:rsid w:val="004C574E"/>
    <w:rsid w:val="004C61D4"/>
    <w:rsid w:val="004C69CC"/>
    <w:rsid w:val="004C6F9D"/>
    <w:rsid w:val="004C7706"/>
    <w:rsid w:val="004D0F54"/>
    <w:rsid w:val="004D1299"/>
    <w:rsid w:val="004D1C79"/>
    <w:rsid w:val="004D1FE8"/>
    <w:rsid w:val="004D21E9"/>
    <w:rsid w:val="004D21F9"/>
    <w:rsid w:val="004D2469"/>
    <w:rsid w:val="004D2587"/>
    <w:rsid w:val="004D2635"/>
    <w:rsid w:val="004D293E"/>
    <w:rsid w:val="004D2B66"/>
    <w:rsid w:val="004D2CC4"/>
    <w:rsid w:val="004D2D5A"/>
    <w:rsid w:val="004D2F95"/>
    <w:rsid w:val="004D30E5"/>
    <w:rsid w:val="004D3113"/>
    <w:rsid w:val="004D33F3"/>
    <w:rsid w:val="004D42BE"/>
    <w:rsid w:val="004D48E7"/>
    <w:rsid w:val="004D4F95"/>
    <w:rsid w:val="004D5B70"/>
    <w:rsid w:val="004D5CAC"/>
    <w:rsid w:val="004D722F"/>
    <w:rsid w:val="004D78ED"/>
    <w:rsid w:val="004E0189"/>
    <w:rsid w:val="004E2117"/>
    <w:rsid w:val="004E21EE"/>
    <w:rsid w:val="004E221E"/>
    <w:rsid w:val="004E2AB2"/>
    <w:rsid w:val="004E2DA2"/>
    <w:rsid w:val="004E340D"/>
    <w:rsid w:val="004E34D8"/>
    <w:rsid w:val="004E3D1F"/>
    <w:rsid w:val="004E3D2B"/>
    <w:rsid w:val="004E3FBA"/>
    <w:rsid w:val="004E42BD"/>
    <w:rsid w:val="004E42F0"/>
    <w:rsid w:val="004E4D14"/>
    <w:rsid w:val="004E5C33"/>
    <w:rsid w:val="004E6124"/>
    <w:rsid w:val="004E68EB"/>
    <w:rsid w:val="004E7019"/>
    <w:rsid w:val="004E71A2"/>
    <w:rsid w:val="004E7FB1"/>
    <w:rsid w:val="004F061F"/>
    <w:rsid w:val="004F0EB7"/>
    <w:rsid w:val="004F1465"/>
    <w:rsid w:val="004F1B9A"/>
    <w:rsid w:val="004F1C69"/>
    <w:rsid w:val="004F1EF3"/>
    <w:rsid w:val="004F243A"/>
    <w:rsid w:val="004F2C33"/>
    <w:rsid w:val="004F36AB"/>
    <w:rsid w:val="004F4543"/>
    <w:rsid w:val="004F4645"/>
    <w:rsid w:val="004F4FB5"/>
    <w:rsid w:val="004F5560"/>
    <w:rsid w:val="004F5DC7"/>
    <w:rsid w:val="004F60F1"/>
    <w:rsid w:val="004F75D7"/>
    <w:rsid w:val="004F775A"/>
    <w:rsid w:val="004F7E46"/>
    <w:rsid w:val="00500262"/>
    <w:rsid w:val="005003A9"/>
    <w:rsid w:val="005006A9"/>
    <w:rsid w:val="00500800"/>
    <w:rsid w:val="00500A89"/>
    <w:rsid w:val="00500DD0"/>
    <w:rsid w:val="00500F35"/>
    <w:rsid w:val="00501001"/>
    <w:rsid w:val="0050108C"/>
    <w:rsid w:val="00501586"/>
    <w:rsid w:val="00501B03"/>
    <w:rsid w:val="00502A08"/>
    <w:rsid w:val="00502DE3"/>
    <w:rsid w:val="00504287"/>
    <w:rsid w:val="00504D7C"/>
    <w:rsid w:val="00504ECE"/>
    <w:rsid w:val="0050540E"/>
    <w:rsid w:val="00505783"/>
    <w:rsid w:val="005058A4"/>
    <w:rsid w:val="005068DC"/>
    <w:rsid w:val="00506AF5"/>
    <w:rsid w:val="00506EAB"/>
    <w:rsid w:val="00506F8A"/>
    <w:rsid w:val="00506FCA"/>
    <w:rsid w:val="00507F4B"/>
    <w:rsid w:val="005104C3"/>
    <w:rsid w:val="00510570"/>
    <w:rsid w:val="00510A56"/>
    <w:rsid w:val="00510B90"/>
    <w:rsid w:val="00510FB0"/>
    <w:rsid w:val="0051127F"/>
    <w:rsid w:val="00512752"/>
    <w:rsid w:val="005127E5"/>
    <w:rsid w:val="00512DD4"/>
    <w:rsid w:val="005132DE"/>
    <w:rsid w:val="00513658"/>
    <w:rsid w:val="0051441F"/>
    <w:rsid w:val="00514693"/>
    <w:rsid w:val="005146A7"/>
    <w:rsid w:val="00514904"/>
    <w:rsid w:val="00514E61"/>
    <w:rsid w:val="00515D49"/>
    <w:rsid w:val="005160AC"/>
    <w:rsid w:val="00516EA6"/>
    <w:rsid w:val="00516EB7"/>
    <w:rsid w:val="0052053D"/>
    <w:rsid w:val="00520AEA"/>
    <w:rsid w:val="005216E9"/>
    <w:rsid w:val="00521B02"/>
    <w:rsid w:val="00521D18"/>
    <w:rsid w:val="005229B0"/>
    <w:rsid w:val="00523ACE"/>
    <w:rsid w:val="00523AF4"/>
    <w:rsid w:val="005241E4"/>
    <w:rsid w:val="005244DB"/>
    <w:rsid w:val="0052497A"/>
    <w:rsid w:val="00524A69"/>
    <w:rsid w:val="00524C13"/>
    <w:rsid w:val="005250F0"/>
    <w:rsid w:val="00525A0D"/>
    <w:rsid w:val="00525CA1"/>
    <w:rsid w:val="005264BD"/>
    <w:rsid w:val="0052667B"/>
    <w:rsid w:val="0052681E"/>
    <w:rsid w:val="00527031"/>
    <w:rsid w:val="0052788A"/>
    <w:rsid w:val="00530495"/>
    <w:rsid w:val="00530636"/>
    <w:rsid w:val="0053071A"/>
    <w:rsid w:val="00530CFF"/>
    <w:rsid w:val="00532396"/>
    <w:rsid w:val="0053386A"/>
    <w:rsid w:val="005351D2"/>
    <w:rsid w:val="00535BB3"/>
    <w:rsid w:val="00535CCF"/>
    <w:rsid w:val="005363E1"/>
    <w:rsid w:val="00536843"/>
    <w:rsid w:val="00536EBA"/>
    <w:rsid w:val="0053703F"/>
    <w:rsid w:val="00537863"/>
    <w:rsid w:val="00537AF6"/>
    <w:rsid w:val="005400E8"/>
    <w:rsid w:val="005402C1"/>
    <w:rsid w:val="0054031C"/>
    <w:rsid w:val="00541089"/>
    <w:rsid w:val="00541E23"/>
    <w:rsid w:val="0054233F"/>
    <w:rsid w:val="00542508"/>
    <w:rsid w:val="00542694"/>
    <w:rsid w:val="00542DBE"/>
    <w:rsid w:val="005433C2"/>
    <w:rsid w:val="0054382D"/>
    <w:rsid w:val="0054389A"/>
    <w:rsid w:val="005439E0"/>
    <w:rsid w:val="00544567"/>
    <w:rsid w:val="00544C6C"/>
    <w:rsid w:val="005460BC"/>
    <w:rsid w:val="0054660E"/>
    <w:rsid w:val="00546761"/>
    <w:rsid w:val="00546987"/>
    <w:rsid w:val="00546BAC"/>
    <w:rsid w:val="005505AB"/>
    <w:rsid w:val="00551003"/>
    <w:rsid w:val="00551218"/>
    <w:rsid w:val="00551887"/>
    <w:rsid w:val="00552358"/>
    <w:rsid w:val="00552A15"/>
    <w:rsid w:val="005538FA"/>
    <w:rsid w:val="00553A0E"/>
    <w:rsid w:val="005545E6"/>
    <w:rsid w:val="0055468B"/>
    <w:rsid w:val="005546AD"/>
    <w:rsid w:val="00555097"/>
    <w:rsid w:val="005559B4"/>
    <w:rsid w:val="00555CD2"/>
    <w:rsid w:val="00555E1D"/>
    <w:rsid w:val="005560D3"/>
    <w:rsid w:val="0055687B"/>
    <w:rsid w:val="00556D65"/>
    <w:rsid w:val="0055727A"/>
    <w:rsid w:val="005573C5"/>
    <w:rsid w:val="00557986"/>
    <w:rsid w:val="00557A8A"/>
    <w:rsid w:val="00557C36"/>
    <w:rsid w:val="0056027A"/>
    <w:rsid w:val="005603B4"/>
    <w:rsid w:val="00560AF7"/>
    <w:rsid w:val="00560CAD"/>
    <w:rsid w:val="00560D4F"/>
    <w:rsid w:val="00561A84"/>
    <w:rsid w:val="00561F7A"/>
    <w:rsid w:val="00561FAD"/>
    <w:rsid w:val="00565142"/>
    <w:rsid w:val="00565221"/>
    <w:rsid w:val="00565DE0"/>
    <w:rsid w:val="005663F3"/>
    <w:rsid w:val="00566D94"/>
    <w:rsid w:val="00567FB2"/>
    <w:rsid w:val="005700F3"/>
    <w:rsid w:val="0057175C"/>
    <w:rsid w:val="005717BA"/>
    <w:rsid w:val="00571C66"/>
    <w:rsid w:val="005720BE"/>
    <w:rsid w:val="00572814"/>
    <w:rsid w:val="00572CD0"/>
    <w:rsid w:val="00572CFD"/>
    <w:rsid w:val="00572D88"/>
    <w:rsid w:val="00572EE1"/>
    <w:rsid w:val="005738B5"/>
    <w:rsid w:val="00573AB9"/>
    <w:rsid w:val="00573CEF"/>
    <w:rsid w:val="00574233"/>
    <w:rsid w:val="00574A6F"/>
    <w:rsid w:val="00575729"/>
    <w:rsid w:val="00575A77"/>
    <w:rsid w:val="00576016"/>
    <w:rsid w:val="00576555"/>
    <w:rsid w:val="005769B4"/>
    <w:rsid w:val="00576BA4"/>
    <w:rsid w:val="0057752D"/>
    <w:rsid w:val="0058057B"/>
    <w:rsid w:val="00580977"/>
    <w:rsid w:val="00580C7B"/>
    <w:rsid w:val="005812C6"/>
    <w:rsid w:val="0058172B"/>
    <w:rsid w:val="00583274"/>
    <w:rsid w:val="00584286"/>
    <w:rsid w:val="0058436E"/>
    <w:rsid w:val="00584BBF"/>
    <w:rsid w:val="00584E9E"/>
    <w:rsid w:val="00585B38"/>
    <w:rsid w:val="0058603F"/>
    <w:rsid w:val="00586948"/>
    <w:rsid w:val="00586A20"/>
    <w:rsid w:val="00586DD4"/>
    <w:rsid w:val="00586F66"/>
    <w:rsid w:val="00587A34"/>
    <w:rsid w:val="00587E4B"/>
    <w:rsid w:val="00590147"/>
    <w:rsid w:val="00590372"/>
    <w:rsid w:val="0059089C"/>
    <w:rsid w:val="00590AF3"/>
    <w:rsid w:val="00590DF1"/>
    <w:rsid w:val="005914BA"/>
    <w:rsid w:val="00591A50"/>
    <w:rsid w:val="00591A57"/>
    <w:rsid w:val="00591CA2"/>
    <w:rsid w:val="005920E0"/>
    <w:rsid w:val="005925DE"/>
    <w:rsid w:val="00593264"/>
    <w:rsid w:val="00593A60"/>
    <w:rsid w:val="00593D72"/>
    <w:rsid w:val="00593DF8"/>
    <w:rsid w:val="00593E12"/>
    <w:rsid w:val="00594142"/>
    <w:rsid w:val="00594D1B"/>
    <w:rsid w:val="00594D9A"/>
    <w:rsid w:val="00595F0B"/>
    <w:rsid w:val="00596850"/>
    <w:rsid w:val="005A0470"/>
    <w:rsid w:val="005A0CB9"/>
    <w:rsid w:val="005A1939"/>
    <w:rsid w:val="005A1D57"/>
    <w:rsid w:val="005A242C"/>
    <w:rsid w:val="005A2843"/>
    <w:rsid w:val="005A2D6C"/>
    <w:rsid w:val="005A3753"/>
    <w:rsid w:val="005A398A"/>
    <w:rsid w:val="005A3A67"/>
    <w:rsid w:val="005A51DC"/>
    <w:rsid w:val="005A5978"/>
    <w:rsid w:val="005A5BA7"/>
    <w:rsid w:val="005A64E0"/>
    <w:rsid w:val="005B00B9"/>
    <w:rsid w:val="005B044C"/>
    <w:rsid w:val="005B0AB5"/>
    <w:rsid w:val="005B26E0"/>
    <w:rsid w:val="005B272E"/>
    <w:rsid w:val="005B2C4D"/>
    <w:rsid w:val="005B2DCB"/>
    <w:rsid w:val="005B2EC8"/>
    <w:rsid w:val="005B30E1"/>
    <w:rsid w:val="005B3638"/>
    <w:rsid w:val="005B3853"/>
    <w:rsid w:val="005B3FF0"/>
    <w:rsid w:val="005B51A9"/>
    <w:rsid w:val="005B543A"/>
    <w:rsid w:val="005B5451"/>
    <w:rsid w:val="005B5F8C"/>
    <w:rsid w:val="005B6FD0"/>
    <w:rsid w:val="005B7190"/>
    <w:rsid w:val="005B77D8"/>
    <w:rsid w:val="005B7B25"/>
    <w:rsid w:val="005B7BA3"/>
    <w:rsid w:val="005C0776"/>
    <w:rsid w:val="005C1243"/>
    <w:rsid w:val="005C14E3"/>
    <w:rsid w:val="005C171B"/>
    <w:rsid w:val="005C184E"/>
    <w:rsid w:val="005C1863"/>
    <w:rsid w:val="005C1DD2"/>
    <w:rsid w:val="005C25D7"/>
    <w:rsid w:val="005C2F47"/>
    <w:rsid w:val="005C3018"/>
    <w:rsid w:val="005C391D"/>
    <w:rsid w:val="005C4021"/>
    <w:rsid w:val="005C419D"/>
    <w:rsid w:val="005C44C0"/>
    <w:rsid w:val="005C44D6"/>
    <w:rsid w:val="005C462F"/>
    <w:rsid w:val="005C5271"/>
    <w:rsid w:val="005C5BFB"/>
    <w:rsid w:val="005C6569"/>
    <w:rsid w:val="005C6977"/>
    <w:rsid w:val="005C6D69"/>
    <w:rsid w:val="005C6E56"/>
    <w:rsid w:val="005C7298"/>
    <w:rsid w:val="005C7A2E"/>
    <w:rsid w:val="005D078A"/>
    <w:rsid w:val="005D1227"/>
    <w:rsid w:val="005D227F"/>
    <w:rsid w:val="005D24D5"/>
    <w:rsid w:val="005D2BF7"/>
    <w:rsid w:val="005D3E08"/>
    <w:rsid w:val="005D4447"/>
    <w:rsid w:val="005D46FA"/>
    <w:rsid w:val="005D4768"/>
    <w:rsid w:val="005D4A4D"/>
    <w:rsid w:val="005D4F74"/>
    <w:rsid w:val="005D614E"/>
    <w:rsid w:val="005D6A59"/>
    <w:rsid w:val="005D6C71"/>
    <w:rsid w:val="005D6FC6"/>
    <w:rsid w:val="005D7587"/>
    <w:rsid w:val="005D76A7"/>
    <w:rsid w:val="005D7840"/>
    <w:rsid w:val="005E03E9"/>
    <w:rsid w:val="005E0DB6"/>
    <w:rsid w:val="005E139C"/>
    <w:rsid w:val="005E190E"/>
    <w:rsid w:val="005E1DB2"/>
    <w:rsid w:val="005E1DFD"/>
    <w:rsid w:val="005E2016"/>
    <w:rsid w:val="005E22C9"/>
    <w:rsid w:val="005E2324"/>
    <w:rsid w:val="005E259D"/>
    <w:rsid w:val="005E2E7C"/>
    <w:rsid w:val="005E31AC"/>
    <w:rsid w:val="005E3681"/>
    <w:rsid w:val="005E3BEE"/>
    <w:rsid w:val="005E3D48"/>
    <w:rsid w:val="005E4198"/>
    <w:rsid w:val="005E4226"/>
    <w:rsid w:val="005E4916"/>
    <w:rsid w:val="005E4D4F"/>
    <w:rsid w:val="005E51B0"/>
    <w:rsid w:val="005E5719"/>
    <w:rsid w:val="005E5CDD"/>
    <w:rsid w:val="005E5D6C"/>
    <w:rsid w:val="005E693C"/>
    <w:rsid w:val="005E7B17"/>
    <w:rsid w:val="005F02A2"/>
    <w:rsid w:val="005F13ED"/>
    <w:rsid w:val="005F1705"/>
    <w:rsid w:val="005F261E"/>
    <w:rsid w:val="005F2FC8"/>
    <w:rsid w:val="005F32CC"/>
    <w:rsid w:val="005F32F4"/>
    <w:rsid w:val="005F33E8"/>
    <w:rsid w:val="005F3D86"/>
    <w:rsid w:val="005F3DB9"/>
    <w:rsid w:val="005F458C"/>
    <w:rsid w:val="005F4716"/>
    <w:rsid w:val="005F4900"/>
    <w:rsid w:val="005F4B86"/>
    <w:rsid w:val="005F4F05"/>
    <w:rsid w:val="005F535F"/>
    <w:rsid w:val="005F5628"/>
    <w:rsid w:val="005F5CC3"/>
    <w:rsid w:val="005F5E75"/>
    <w:rsid w:val="005F681B"/>
    <w:rsid w:val="005F69AB"/>
    <w:rsid w:val="005F69CF"/>
    <w:rsid w:val="005F6F49"/>
    <w:rsid w:val="005F7230"/>
    <w:rsid w:val="005F7ABE"/>
    <w:rsid w:val="005F7D03"/>
    <w:rsid w:val="006004B5"/>
    <w:rsid w:val="00600FB4"/>
    <w:rsid w:val="006011E9"/>
    <w:rsid w:val="00601C19"/>
    <w:rsid w:val="006020BE"/>
    <w:rsid w:val="006021B0"/>
    <w:rsid w:val="0060298B"/>
    <w:rsid w:val="006034FF"/>
    <w:rsid w:val="00603702"/>
    <w:rsid w:val="00603B87"/>
    <w:rsid w:val="006045D2"/>
    <w:rsid w:val="006046E9"/>
    <w:rsid w:val="00604B60"/>
    <w:rsid w:val="00604F8E"/>
    <w:rsid w:val="00605EE4"/>
    <w:rsid w:val="006061ED"/>
    <w:rsid w:val="00606326"/>
    <w:rsid w:val="006071F2"/>
    <w:rsid w:val="006076B0"/>
    <w:rsid w:val="00607CF8"/>
    <w:rsid w:val="00610833"/>
    <w:rsid w:val="00610CFD"/>
    <w:rsid w:val="00611A41"/>
    <w:rsid w:val="00611B43"/>
    <w:rsid w:val="00612436"/>
    <w:rsid w:val="00613B9F"/>
    <w:rsid w:val="00614928"/>
    <w:rsid w:val="00614DA3"/>
    <w:rsid w:val="00614E85"/>
    <w:rsid w:val="00614FCC"/>
    <w:rsid w:val="00615439"/>
    <w:rsid w:val="0061575E"/>
    <w:rsid w:val="006159CF"/>
    <w:rsid w:val="00615DDB"/>
    <w:rsid w:val="0061651B"/>
    <w:rsid w:val="0061729A"/>
    <w:rsid w:val="00620AD3"/>
    <w:rsid w:val="00621223"/>
    <w:rsid w:val="00621362"/>
    <w:rsid w:val="0062146C"/>
    <w:rsid w:val="00621B5D"/>
    <w:rsid w:val="00621FBF"/>
    <w:rsid w:val="00622188"/>
    <w:rsid w:val="00624795"/>
    <w:rsid w:val="00624D97"/>
    <w:rsid w:val="006253E4"/>
    <w:rsid w:val="00626A42"/>
    <w:rsid w:val="00627527"/>
    <w:rsid w:val="0062764E"/>
    <w:rsid w:val="0062776A"/>
    <w:rsid w:val="00627970"/>
    <w:rsid w:val="006309D3"/>
    <w:rsid w:val="00631290"/>
    <w:rsid w:val="00631703"/>
    <w:rsid w:val="006328D2"/>
    <w:rsid w:val="00632AB0"/>
    <w:rsid w:val="00633812"/>
    <w:rsid w:val="00633951"/>
    <w:rsid w:val="00633A49"/>
    <w:rsid w:val="00634248"/>
    <w:rsid w:val="00634E88"/>
    <w:rsid w:val="00635A63"/>
    <w:rsid w:val="00636F5A"/>
    <w:rsid w:val="0064019A"/>
    <w:rsid w:val="0064030C"/>
    <w:rsid w:val="00640E35"/>
    <w:rsid w:val="00640FE1"/>
    <w:rsid w:val="0064119C"/>
    <w:rsid w:val="00641279"/>
    <w:rsid w:val="00641A1D"/>
    <w:rsid w:val="00642045"/>
    <w:rsid w:val="006420AB"/>
    <w:rsid w:val="0064218C"/>
    <w:rsid w:val="00642313"/>
    <w:rsid w:val="0064287B"/>
    <w:rsid w:val="00642BE0"/>
    <w:rsid w:val="00642BED"/>
    <w:rsid w:val="00642C25"/>
    <w:rsid w:val="00642EAA"/>
    <w:rsid w:val="00643322"/>
    <w:rsid w:val="006441F7"/>
    <w:rsid w:val="006442F3"/>
    <w:rsid w:val="00644453"/>
    <w:rsid w:val="006447A3"/>
    <w:rsid w:val="00644B6E"/>
    <w:rsid w:val="00645790"/>
    <w:rsid w:val="0064649E"/>
    <w:rsid w:val="006464B1"/>
    <w:rsid w:val="00646F15"/>
    <w:rsid w:val="006473C2"/>
    <w:rsid w:val="00650585"/>
    <w:rsid w:val="00650CC3"/>
    <w:rsid w:val="00651075"/>
    <w:rsid w:val="00651D06"/>
    <w:rsid w:val="00652AAC"/>
    <w:rsid w:val="00652CB7"/>
    <w:rsid w:val="00652EE8"/>
    <w:rsid w:val="0065333D"/>
    <w:rsid w:val="00653AB5"/>
    <w:rsid w:val="00653B5D"/>
    <w:rsid w:val="00653E89"/>
    <w:rsid w:val="00653FC0"/>
    <w:rsid w:val="00654811"/>
    <w:rsid w:val="006562C4"/>
    <w:rsid w:val="00656716"/>
    <w:rsid w:val="00656AAC"/>
    <w:rsid w:val="00656D17"/>
    <w:rsid w:val="00657016"/>
    <w:rsid w:val="006572AB"/>
    <w:rsid w:val="0065789D"/>
    <w:rsid w:val="00657F22"/>
    <w:rsid w:val="006601CA"/>
    <w:rsid w:val="00660607"/>
    <w:rsid w:val="00660D58"/>
    <w:rsid w:val="006613CF"/>
    <w:rsid w:val="0066165E"/>
    <w:rsid w:val="00661FC8"/>
    <w:rsid w:val="006620E7"/>
    <w:rsid w:val="00664852"/>
    <w:rsid w:val="00664920"/>
    <w:rsid w:val="00664F2E"/>
    <w:rsid w:val="0066500E"/>
    <w:rsid w:val="0066589B"/>
    <w:rsid w:val="00665D11"/>
    <w:rsid w:val="00665E27"/>
    <w:rsid w:val="00666705"/>
    <w:rsid w:val="00666791"/>
    <w:rsid w:val="0066703E"/>
    <w:rsid w:val="0066715F"/>
    <w:rsid w:val="006674EB"/>
    <w:rsid w:val="00670163"/>
    <w:rsid w:val="006705A9"/>
    <w:rsid w:val="00671A51"/>
    <w:rsid w:val="0067224E"/>
    <w:rsid w:val="006723DC"/>
    <w:rsid w:val="0067282F"/>
    <w:rsid w:val="00672A07"/>
    <w:rsid w:val="00672B1A"/>
    <w:rsid w:val="00673556"/>
    <w:rsid w:val="00673DCA"/>
    <w:rsid w:val="0067451D"/>
    <w:rsid w:val="00674E05"/>
    <w:rsid w:val="006751A8"/>
    <w:rsid w:val="00675544"/>
    <w:rsid w:val="00675E2B"/>
    <w:rsid w:val="00676213"/>
    <w:rsid w:val="006768E3"/>
    <w:rsid w:val="00676B3E"/>
    <w:rsid w:val="00676D01"/>
    <w:rsid w:val="00677301"/>
    <w:rsid w:val="0067742B"/>
    <w:rsid w:val="006777FB"/>
    <w:rsid w:val="006804BD"/>
    <w:rsid w:val="00680B16"/>
    <w:rsid w:val="00680FA6"/>
    <w:rsid w:val="00682C46"/>
    <w:rsid w:val="006830C8"/>
    <w:rsid w:val="0068395E"/>
    <w:rsid w:val="00683CD4"/>
    <w:rsid w:val="00684BDE"/>
    <w:rsid w:val="0068556D"/>
    <w:rsid w:val="00686473"/>
    <w:rsid w:val="00686BAA"/>
    <w:rsid w:val="00687209"/>
    <w:rsid w:val="00687262"/>
    <w:rsid w:val="00690053"/>
    <w:rsid w:val="00690782"/>
    <w:rsid w:val="00690D22"/>
    <w:rsid w:val="00690EA1"/>
    <w:rsid w:val="00691732"/>
    <w:rsid w:val="006918E3"/>
    <w:rsid w:val="00691AC6"/>
    <w:rsid w:val="00691B3E"/>
    <w:rsid w:val="00691C64"/>
    <w:rsid w:val="00692235"/>
    <w:rsid w:val="00692514"/>
    <w:rsid w:val="00692CD0"/>
    <w:rsid w:val="006936FE"/>
    <w:rsid w:val="0069404C"/>
    <w:rsid w:val="006943DF"/>
    <w:rsid w:val="00694658"/>
    <w:rsid w:val="00694740"/>
    <w:rsid w:val="0069529F"/>
    <w:rsid w:val="006955FE"/>
    <w:rsid w:val="00695B26"/>
    <w:rsid w:val="006964A6"/>
    <w:rsid w:val="006975C0"/>
    <w:rsid w:val="00697D63"/>
    <w:rsid w:val="006A0388"/>
    <w:rsid w:val="006A08D0"/>
    <w:rsid w:val="006A0988"/>
    <w:rsid w:val="006A0D1D"/>
    <w:rsid w:val="006A0F5F"/>
    <w:rsid w:val="006A23A5"/>
    <w:rsid w:val="006A243D"/>
    <w:rsid w:val="006A27A6"/>
    <w:rsid w:val="006A2AB4"/>
    <w:rsid w:val="006A3BF8"/>
    <w:rsid w:val="006A3E67"/>
    <w:rsid w:val="006A4511"/>
    <w:rsid w:val="006A499E"/>
    <w:rsid w:val="006A4BC4"/>
    <w:rsid w:val="006A5227"/>
    <w:rsid w:val="006A5C20"/>
    <w:rsid w:val="006A5D55"/>
    <w:rsid w:val="006A63F1"/>
    <w:rsid w:val="006A6622"/>
    <w:rsid w:val="006A6B17"/>
    <w:rsid w:val="006A6F33"/>
    <w:rsid w:val="006A7B22"/>
    <w:rsid w:val="006A7FF4"/>
    <w:rsid w:val="006B0D94"/>
    <w:rsid w:val="006B0DFE"/>
    <w:rsid w:val="006B0E02"/>
    <w:rsid w:val="006B1A1A"/>
    <w:rsid w:val="006B2F15"/>
    <w:rsid w:val="006B3A71"/>
    <w:rsid w:val="006B3B6B"/>
    <w:rsid w:val="006B3CE0"/>
    <w:rsid w:val="006B4F9B"/>
    <w:rsid w:val="006B542F"/>
    <w:rsid w:val="006B56C2"/>
    <w:rsid w:val="006B5ED2"/>
    <w:rsid w:val="006B5F3C"/>
    <w:rsid w:val="006B67A1"/>
    <w:rsid w:val="006B7337"/>
    <w:rsid w:val="006B75B0"/>
    <w:rsid w:val="006B7DC5"/>
    <w:rsid w:val="006C0833"/>
    <w:rsid w:val="006C0EC7"/>
    <w:rsid w:val="006C14A5"/>
    <w:rsid w:val="006C1A9E"/>
    <w:rsid w:val="006C1C44"/>
    <w:rsid w:val="006C1C75"/>
    <w:rsid w:val="006C23D9"/>
    <w:rsid w:val="006C2FA7"/>
    <w:rsid w:val="006C304A"/>
    <w:rsid w:val="006C3459"/>
    <w:rsid w:val="006C3D95"/>
    <w:rsid w:val="006C3E03"/>
    <w:rsid w:val="006C44D3"/>
    <w:rsid w:val="006C459E"/>
    <w:rsid w:val="006C4815"/>
    <w:rsid w:val="006C4C0A"/>
    <w:rsid w:val="006C4C53"/>
    <w:rsid w:val="006C5F38"/>
    <w:rsid w:val="006C61AA"/>
    <w:rsid w:val="006C6221"/>
    <w:rsid w:val="006C62D3"/>
    <w:rsid w:val="006C6557"/>
    <w:rsid w:val="006C6813"/>
    <w:rsid w:val="006C6ABF"/>
    <w:rsid w:val="006C6C9C"/>
    <w:rsid w:val="006C7336"/>
    <w:rsid w:val="006C79E6"/>
    <w:rsid w:val="006D003E"/>
    <w:rsid w:val="006D0F7F"/>
    <w:rsid w:val="006D1277"/>
    <w:rsid w:val="006D132A"/>
    <w:rsid w:val="006D1DD6"/>
    <w:rsid w:val="006D2837"/>
    <w:rsid w:val="006D3500"/>
    <w:rsid w:val="006D42B8"/>
    <w:rsid w:val="006D42DA"/>
    <w:rsid w:val="006D4823"/>
    <w:rsid w:val="006D5565"/>
    <w:rsid w:val="006D571E"/>
    <w:rsid w:val="006D68C0"/>
    <w:rsid w:val="006D6E18"/>
    <w:rsid w:val="006D6F0B"/>
    <w:rsid w:val="006D770D"/>
    <w:rsid w:val="006D7BFB"/>
    <w:rsid w:val="006E0664"/>
    <w:rsid w:val="006E0D3B"/>
    <w:rsid w:val="006E14FF"/>
    <w:rsid w:val="006E285F"/>
    <w:rsid w:val="006E2F0D"/>
    <w:rsid w:val="006E2F1D"/>
    <w:rsid w:val="006E30D3"/>
    <w:rsid w:val="006E3868"/>
    <w:rsid w:val="006E3B13"/>
    <w:rsid w:val="006E3C44"/>
    <w:rsid w:val="006E421A"/>
    <w:rsid w:val="006E4E7E"/>
    <w:rsid w:val="006E4EC4"/>
    <w:rsid w:val="006E4F37"/>
    <w:rsid w:val="006E5C6B"/>
    <w:rsid w:val="006E6027"/>
    <w:rsid w:val="006E6686"/>
    <w:rsid w:val="006E723E"/>
    <w:rsid w:val="006E76F9"/>
    <w:rsid w:val="006E7A5E"/>
    <w:rsid w:val="006E7D46"/>
    <w:rsid w:val="006E7D54"/>
    <w:rsid w:val="006E7DA3"/>
    <w:rsid w:val="006F01CF"/>
    <w:rsid w:val="006F0328"/>
    <w:rsid w:val="006F0C38"/>
    <w:rsid w:val="006F0E03"/>
    <w:rsid w:val="006F2133"/>
    <w:rsid w:val="006F2969"/>
    <w:rsid w:val="006F2EE1"/>
    <w:rsid w:val="006F3201"/>
    <w:rsid w:val="006F3D05"/>
    <w:rsid w:val="006F405C"/>
    <w:rsid w:val="006F5171"/>
    <w:rsid w:val="006F5804"/>
    <w:rsid w:val="006F5B02"/>
    <w:rsid w:val="006F6626"/>
    <w:rsid w:val="006F6673"/>
    <w:rsid w:val="006F6AED"/>
    <w:rsid w:val="006F6E40"/>
    <w:rsid w:val="006F6EE0"/>
    <w:rsid w:val="006F6EFB"/>
    <w:rsid w:val="006F76C0"/>
    <w:rsid w:val="006F78EF"/>
    <w:rsid w:val="007010DB"/>
    <w:rsid w:val="007010E6"/>
    <w:rsid w:val="00701617"/>
    <w:rsid w:val="00702727"/>
    <w:rsid w:val="00702A78"/>
    <w:rsid w:val="00702AB0"/>
    <w:rsid w:val="007035D2"/>
    <w:rsid w:val="00703ACD"/>
    <w:rsid w:val="00703BE5"/>
    <w:rsid w:val="00703EE8"/>
    <w:rsid w:val="007044D4"/>
    <w:rsid w:val="00704620"/>
    <w:rsid w:val="007054A1"/>
    <w:rsid w:val="00705612"/>
    <w:rsid w:val="007060B5"/>
    <w:rsid w:val="00706DF3"/>
    <w:rsid w:val="0070789A"/>
    <w:rsid w:val="00707B59"/>
    <w:rsid w:val="00707CF0"/>
    <w:rsid w:val="00710F7A"/>
    <w:rsid w:val="00711092"/>
    <w:rsid w:val="00711328"/>
    <w:rsid w:val="007117DD"/>
    <w:rsid w:val="00711CC2"/>
    <w:rsid w:val="0071252D"/>
    <w:rsid w:val="00713285"/>
    <w:rsid w:val="007135A6"/>
    <w:rsid w:val="0071455E"/>
    <w:rsid w:val="00714573"/>
    <w:rsid w:val="00714856"/>
    <w:rsid w:val="00714C0B"/>
    <w:rsid w:val="0071580F"/>
    <w:rsid w:val="0071632D"/>
    <w:rsid w:val="007165CC"/>
    <w:rsid w:val="0071662F"/>
    <w:rsid w:val="007169BB"/>
    <w:rsid w:val="00716F1F"/>
    <w:rsid w:val="007174D1"/>
    <w:rsid w:val="007174E7"/>
    <w:rsid w:val="00717DCF"/>
    <w:rsid w:val="00717FD7"/>
    <w:rsid w:val="00720194"/>
    <w:rsid w:val="00720287"/>
    <w:rsid w:val="007206BD"/>
    <w:rsid w:val="007213CD"/>
    <w:rsid w:val="00721661"/>
    <w:rsid w:val="00721F40"/>
    <w:rsid w:val="00722ADB"/>
    <w:rsid w:val="00722FE9"/>
    <w:rsid w:val="0072340B"/>
    <w:rsid w:val="00723473"/>
    <w:rsid w:val="00723D46"/>
    <w:rsid w:val="00723E7C"/>
    <w:rsid w:val="007241D3"/>
    <w:rsid w:val="0072527E"/>
    <w:rsid w:val="00725E78"/>
    <w:rsid w:val="00726752"/>
    <w:rsid w:val="00726D0E"/>
    <w:rsid w:val="007273BA"/>
    <w:rsid w:val="00727506"/>
    <w:rsid w:val="007276CB"/>
    <w:rsid w:val="00730219"/>
    <w:rsid w:val="007308B2"/>
    <w:rsid w:val="00730935"/>
    <w:rsid w:val="0073095C"/>
    <w:rsid w:val="00730DF6"/>
    <w:rsid w:val="00730F1D"/>
    <w:rsid w:val="00731976"/>
    <w:rsid w:val="00731DD7"/>
    <w:rsid w:val="00731E14"/>
    <w:rsid w:val="00732C72"/>
    <w:rsid w:val="007333BB"/>
    <w:rsid w:val="007339B1"/>
    <w:rsid w:val="007339F6"/>
    <w:rsid w:val="00734AED"/>
    <w:rsid w:val="00735E27"/>
    <w:rsid w:val="007364B3"/>
    <w:rsid w:val="007366CD"/>
    <w:rsid w:val="007372BA"/>
    <w:rsid w:val="0073788C"/>
    <w:rsid w:val="00737C15"/>
    <w:rsid w:val="00740256"/>
    <w:rsid w:val="007406D6"/>
    <w:rsid w:val="00741018"/>
    <w:rsid w:val="007410C6"/>
    <w:rsid w:val="007413F1"/>
    <w:rsid w:val="007418AE"/>
    <w:rsid w:val="00741D6F"/>
    <w:rsid w:val="0074229B"/>
    <w:rsid w:val="00742A03"/>
    <w:rsid w:val="007437A9"/>
    <w:rsid w:val="007437B4"/>
    <w:rsid w:val="00743BEF"/>
    <w:rsid w:val="0074464A"/>
    <w:rsid w:val="00744EEE"/>
    <w:rsid w:val="00744F12"/>
    <w:rsid w:val="007453FE"/>
    <w:rsid w:val="00745C7D"/>
    <w:rsid w:val="00745FA6"/>
    <w:rsid w:val="00745FEF"/>
    <w:rsid w:val="007465D5"/>
    <w:rsid w:val="00746D7B"/>
    <w:rsid w:val="00746DFF"/>
    <w:rsid w:val="00747811"/>
    <w:rsid w:val="00747CE6"/>
    <w:rsid w:val="00747E32"/>
    <w:rsid w:val="00750A03"/>
    <w:rsid w:val="00751A51"/>
    <w:rsid w:val="00751DDB"/>
    <w:rsid w:val="0075213E"/>
    <w:rsid w:val="00752A2A"/>
    <w:rsid w:val="00752AB3"/>
    <w:rsid w:val="00753217"/>
    <w:rsid w:val="00753474"/>
    <w:rsid w:val="00754560"/>
    <w:rsid w:val="0075499B"/>
    <w:rsid w:val="00754E75"/>
    <w:rsid w:val="007551A5"/>
    <w:rsid w:val="007551E9"/>
    <w:rsid w:val="00755353"/>
    <w:rsid w:val="00755815"/>
    <w:rsid w:val="007569D4"/>
    <w:rsid w:val="00756AD6"/>
    <w:rsid w:val="00756E7F"/>
    <w:rsid w:val="00756F85"/>
    <w:rsid w:val="007579E4"/>
    <w:rsid w:val="00757B40"/>
    <w:rsid w:val="00757DC3"/>
    <w:rsid w:val="00760649"/>
    <w:rsid w:val="00760B8C"/>
    <w:rsid w:val="00761F87"/>
    <w:rsid w:val="00762139"/>
    <w:rsid w:val="00762C94"/>
    <w:rsid w:val="00762FC7"/>
    <w:rsid w:val="007631D0"/>
    <w:rsid w:val="00763468"/>
    <w:rsid w:val="00763CD3"/>
    <w:rsid w:val="00764388"/>
    <w:rsid w:val="00764742"/>
    <w:rsid w:val="00764F58"/>
    <w:rsid w:val="007657B3"/>
    <w:rsid w:val="007662EA"/>
    <w:rsid w:val="00766843"/>
    <w:rsid w:val="00767FDB"/>
    <w:rsid w:val="007700BA"/>
    <w:rsid w:val="00770754"/>
    <w:rsid w:val="0077222F"/>
    <w:rsid w:val="00772A63"/>
    <w:rsid w:val="00773327"/>
    <w:rsid w:val="007733ED"/>
    <w:rsid w:val="00773990"/>
    <w:rsid w:val="007740E1"/>
    <w:rsid w:val="00774622"/>
    <w:rsid w:val="00774652"/>
    <w:rsid w:val="007747F8"/>
    <w:rsid w:val="00774D56"/>
    <w:rsid w:val="007750EC"/>
    <w:rsid w:val="007756A8"/>
    <w:rsid w:val="00775AD9"/>
    <w:rsid w:val="00775C75"/>
    <w:rsid w:val="00776084"/>
    <w:rsid w:val="007765AF"/>
    <w:rsid w:val="0077707C"/>
    <w:rsid w:val="007779AE"/>
    <w:rsid w:val="00780065"/>
    <w:rsid w:val="0078019C"/>
    <w:rsid w:val="007804ED"/>
    <w:rsid w:val="00780613"/>
    <w:rsid w:val="007809BF"/>
    <w:rsid w:val="00780D24"/>
    <w:rsid w:val="00780D2C"/>
    <w:rsid w:val="00782232"/>
    <w:rsid w:val="00782881"/>
    <w:rsid w:val="00782B65"/>
    <w:rsid w:val="00782D5F"/>
    <w:rsid w:val="00783023"/>
    <w:rsid w:val="007832B8"/>
    <w:rsid w:val="00783443"/>
    <w:rsid w:val="00783F37"/>
    <w:rsid w:val="00784B0D"/>
    <w:rsid w:val="00784CF4"/>
    <w:rsid w:val="00785113"/>
    <w:rsid w:val="00785B0E"/>
    <w:rsid w:val="007866F2"/>
    <w:rsid w:val="007910D3"/>
    <w:rsid w:val="00791551"/>
    <w:rsid w:val="00792E45"/>
    <w:rsid w:val="007939A8"/>
    <w:rsid w:val="007942D8"/>
    <w:rsid w:val="00795098"/>
    <w:rsid w:val="00795169"/>
    <w:rsid w:val="00795278"/>
    <w:rsid w:val="007958EE"/>
    <w:rsid w:val="00795A63"/>
    <w:rsid w:val="00795F55"/>
    <w:rsid w:val="007964F7"/>
    <w:rsid w:val="00796630"/>
    <w:rsid w:val="00796886"/>
    <w:rsid w:val="00796E52"/>
    <w:rsid w:val="00797096"/>
    <w:rsid w:val="00797714"/>
    <w:rsid w:val="00797E3A"/>
    <w:rsid w:val="00797FF2"/>
    <w:rsid w:val="007A0E55"/>
    <w:rsid w:val="007A1BC9"/>
    <w:rsid w:val="007A1D61"/>
    <w:rsid w:val="007A2CC8"/>
    <w:rsid w:val="007A42E4"/>
    <w:rsid w:val="007A4581"/>
    <w:rsid w:val="007A45D5"/>
    <w:rsid w:val="007A513E"/>
    <w:rsid w:val="007A57FF"/>
    <w:rsid w:val="007A665C"/>
    <w:rsid w:val="007A6A3A"/>
    <w:rsid w:val="007A75AA"/>
    <w:rsid w:val="007A771B"/>
    <w:rsid w:val="007A7A88"/>
    <w:rsid w:val="007A7DEE"/>
    <w:rsid w:val="007B1E7A"/>
    <w:rsid w:val="007B25CE"/>
    <w:rsid w:val="007B2783"/>
    <w:rsid w:val="007B3DA3"/>
    <w:rsid w:val="007B58A5"/>
    <w:rsid w:val="007B5E60"/>
    <w:rsid w:val="007B617A"/>
    <w:rsid w:val="007B6E34"/>
    <w:rsid w:val="007B7717"/>
    <w:rsid w:val="007B7E27"/>
    <w:rsid w:val="007C01F2"/>
    <w:rsid w:val="007C048D"/>
    <w:rsid w:val="007C0B9C"/>
    <w:rsid w:val="007C112F"/>
    <w:rsid w:val="007C1898"/>
    <w:rsid w:val="007C1E73"/>
    <w:rsid w:val="007C248F"/>
    <w:rsid w:val="007C2C5A"/>
    <w:rsid w:val="007C2C9E"/>
    <w:rsid w:val="007C33B9"/>
    <w:rsid w:val="007C36A8"/>
    <w:rsid w:val="007C3F29"/>
    <w:rsid w:val="007C40FD"/>
    <w:rsid w:val="007C49F1"/>
    <w:rsid w:val="007C5064"/>
    <w:rsid w:val="007C508E"/>
    <w:rsid w:val="007C5285"/>
    <w:rsid w:val="007C59CB"/>
    <w:rsid w:val="007C600B"/>
    <w:rsid w:val="007C7111"/>
    <w:rsid w:val="007C7553"/>
    <w:rsid w:val="007C7729"/>
    <w:rsid w:val="007C7D81"/>
    <w:rsid w:val="007D005B"/>
    <w:rsid w:val="007D0492"/>
    <w:rsid w:val="007D04A6"/>
    <w:rsid w:val="007D04BE"/>
    <w:rsid w:val="007D0C1A"/>
    <w:rsid w:val="007D234D"/>
    <w:rsid w:val="007D3968"/>
    <w:rsid w:val="007D4A19"/>
    <w:rsid w:val="007D4BC2"/>
    <w:rsid w:val="007D524F"/>
    <w:rsid w:val="007D5537"/>
    <w:rsid w:val="007D5D98"/>
    <w:rsid w:val="007D7087"/>
    <w:rsid w:val="007D79FC"/>
    <w:rsid w:val="007E0A07"/>
    <w:rsid w:val="007E0ED1"/>
    <w:rsid w:val="007E15E0"/>
    <w:rsid w:val="007E1617"/>
    <w:rsid w:val="007E2111"/>
    <w:rsid w:val="007E2C3E"/>
    <w:rsid w:val="007E3648"/>
    <w:rsid w:val="007E40CA"/>
    <w:rsid w:val="007E50B1"/>
    <w:rsid w:val="007E51F3"/>
    <w:rsid w:val="007E53E8"/>
    <w:rsid w:val="007E54FC"/>
    <w:rsid w:val="007E6BD4"/>
    <w:rsid w:val="007E6CC9"/>
    <w:rsid w:val="007E6F53"/>
    <w:rsid w:val="007E77DC"/>
    <w:rsid w:val="007E7AA1"/>
    <w:rsid w:val="007E7EDC"/>
    <w:rsid w:val="007F05B6"/>
    <w:rsid w:val="007F0D0C"/>
    <w:rsid w:val="007F116E"/>
    <w:rsid w:val="007F1182"/>
    <w:rsid w:val="007F202C"/>
    <w:rsid w:val="007F23F0"/>
    <w:rsid w:val="007F2C40"/>
    <w:rsid w:val="007F2E58"/>
    <w:rsid w:val="007F3469"/>
    <w:rsid w:val="007F361A"/>
    <w:rsid w:val="007F3720"/>
    <w:rsid w:val="007F3F29"/>
    <w:rsid w:val="007F410C"/>
    <w:rsid w:val="007F4421"/>
    <w:rsid w:val="007F4786"/>
    <w:rsid w:val="007F4BB0"/>
    <w:rsid w:val="007F5C18"/>
    <w:rsid w:val="007F64F2"/>
    <w:rsid w:val="007F6ECA"/>
    <w:rsid w:val="007F7496"/>
    <w:rsid w:val="007F788C"/>
    <w:rsid w:val="008000DE"/>
    <w:rsid w:val="0080029D"/>
    <w:rsid w:val="00800626"/>
    <w:rsid w:val="0080084B"/>
    <w:rsid w:val="00800A2D"/>
    <w:rsid w:val="00800AB0"/>
    <w:rsid w:val="00800D61"/>
    <w:rsid w:val="00801781"/>
    <w:rsid w:val="008024EE"/>
    <w:rsid w:val="00803068"/>
    <w:rsid w:val="00803DC9"/>
    <w:rsid w:val="00804089"/>
    <w:rsid w:val="00804B1B"/>
    <w:rsid w:val="00806849"/>
    <w:rsid w:val="00806CF8"/>
    <w:rsid w:val="00806E04"/>
    <w:rsid w:val="00806EE1"/>
    <w:rsid w:val="00806EF6"/>
    <w:rsid w:val="008072DE"/>
    <w:rsid w:val="00807304"/>
    <w:rsid w:val="00807312"/>
    <w:rsid w:val="00807466"/>
    <w:rsid w:val="0080757F"/>
    <w:rsid w:val="00807F38"/>
    <w:rsid w:val="00811E6E"/>
    <w:rsid w:val="008125F8"/>
    <w:rsid w:val="0081291D"/>
    <w:rsid w:val="00812A66"/>
    <w:rsid w:val="00812EE3"/>
    <w:rsid w:val="00813A33"/>
    <w:rsid w:val="00813F55"/>
    <w:rsid w:val="00815DAF"/>
    <w:rsid w:val="00816022"/>
    <w:rsid w:val="008160AA"/>
    <w:rsid w:val="008160B4"/>
    <w:rsid w:val="00816406"/>
    <w:rsid w:val="00816D0A"/>
    <w:rsid w:val="0081703B"/>
    <w:rsid w:val="0081778B"/>
    <w:rsid w:val="00820176"/>
    <w:rsid w:val="00820207"/>
    <w:rsid w:val="00820339"/>
    <w:rsid w:val="00820C53"/>
    <w:rsid w:val="00820E88"/>
    <w:rsid w:val="00821A7C"/>
    <w:rsid w:val="00821BBB"/>
    <w:rsid w:val="0082201D"/>
    <w:rsid w:val="008220E8"/>
    <w:rsid w:val="008222A9"/>
    <w:rsid w:val="008225F9"/>
    <w:rsid w:val="008230D9"/>
    <w:rsid w:val="0082339C"/>
    <w:rsid w:val="008237D7"/>
    <w:rsid w:val="008239E5"/>
    <w:rsid w:val="00823D74"/>
    <w:rsid w:val="00823FBD"/>
    <w:rsid w:val="00823FC2"/>
    <w:rsid w:val="00823FD6"/>
    <w:rsid w:val="00824214"/>
    <w:rsid w:val="00824796"/>
    <w:rsid w:val="00824B28"/>
    <w:rsid w:val="00824CA7"/>
    <w:rsid w:val="00824EA5"/>
    <w:rsid w:val="00825276"/>
    <w:rsid w:val="00825348"/>
    <w:rsid w:val="0082599F"/>
    <w:rsid w:val="00825B34"/>
    <w:rsid w:val="00826206"/>
    <w:rsid w:val="0082622D"/>
    <w:rsid w:val="008267B4"/>
    <w:rsid w:val="00826E64"/>
    <w:rsid w:val="00827AA1"/>
    <w:rsid w:val="00827BE7"/>
    <w:rsid w:val="00830ABD"/>
    <w:rsid w:val="00830BC1"/>
    <w:rsid w:val="00830BC9"/>
    <w:rsid w:val="00831746"/>
    <w:rsid w:val="00832E19"/>
    <w:rsid w:val="00833680"/>
    <w:rsid w:val="00833EFB"/>
    <w:rsid w:val="00834067"/>
    <w:rsid w:val="00834DD1"/>
    <w:rsid w:val="00835BB3"/>
    <w:rsid w:val="00836DD7"/>
    <w:rsid w:val="00837111"/>
    <w:rsid w:val="00837B24"/>
    <w:rsid w:val="00837CE6"/>
    <w:rsid w:val="00837D66"/>
    <w:rsid w:val="008407F8"/>
    <w:rsid w:val="00840A8F"/>
    <w:rsid w:val="00840B0D"/>
    <w:rsid w:val="00841BC1"/>
    <w:rsid w:val="008423E3"/>
    <w:rsid w:val="008432F0"/>
    <w:rsid w:val="00843499"/>
    <w:rsid w:val="008439A2"/>
    <w:rsid w:val="00843B03"/>
    <w:rsid w:val="00843B83"/>
    <w:rsid w:val="00843D70"/>
    <w:rsid w:val="00844758"/>
    <w:rsid w:val="00844800"/>
    <w:rsid w:val="00844A5D"/>
    <w:rsid w:val="008452B2"/>
    <w:rsid w:val="0084589A"/>
    <w:rsid w:val="00845A03"/>
    <w:rsid w:val="00845EAB"/>
    <w:rsid w:val="00846966"/>
    <w:rsid w:val="00850AB5"/>
    <w:rsid w:val="00850BCE"/>
    <w:rsid w:val="008524BB"/>
    <w:rsid w:val="008525F6"/>
    <w:rsid w:val="00852A7A"/>
    <w:rsid w:val="00854DEE"/>
    <w:rsid w:val="00855697"/>
    <w:rsid w:val="0085592A"/>
    <w:rsid w:val="00855EE0"/>
    <w:rsid w:val="0085611A"/>
    <w:rsid w:val="008562AB"/>
    <w:rsid w:val="008572A2"/>
    <w:rsid w:val="008575FB"/>
    <w:rsid w:val="008577A6"/>
    <w:rsid w:val="00857824"/>
    <w:rsid w:val="008602EF"/>
    <w:rsid w:val="00860A76"/>
    <w:rsid w:val="00860DE3"/>
    <w:rsid w:val="008610F4"/>
    <w:rsid w:val="00861489"/>
    <w:rsid w:val="00861AA4"/>
    <w:rsid w:val="008633CA"/>
    <w:rsid w:val="0086345D"/>
    <w:rsid w:val="00863A48"/>
    <w:rsid w:val="00863DBA"/>
    <w:rsid w:val="00863E84"/>
    <w:rsid w:val="0086461F"/>
    <w:rsid w:val="00864645"/>
    <w:rsid w:val="00864FB5"/>
    <w:rsid w:val="0086557A"/>
    <w:rsid w:val="008658E7"/>
    <w:rsid w:val="00865F6B"/>
    <w:rsid w:val="0086680F"/>
    <w:rsid w:val="00867E08"/>
    <w:rsid w:val="00867E91"/>
    <w:rsid w:val="00867F06"/>
    <w:rsid w:val="00870280"/>
    <w:rsid w:val="00870AA4"/>
    <w:rsid w:val="0087161D"/>
    <w:rsid w:val="008716E0"/>
    <w:rsid w:val="008718CC"/>
    <w:rsid w:val="00873208"/>
    <w:rsid w:val="0087378F"/>
    <w:rsid w:val="00873987"/>
    <w:rsid w:val="00874362"/>
    <w:rsid w:val="00874EFC"/>
    <w:rsid w:val="008751F3"/>
    <w:rsid w:val="00875E7B"/>
    <w:rsid w:val="008768DA"/>
    <w:rsid w:val="008777AD"/>
    <w:rsid w:val="00877F8B"/>
    <w:rsid w:val="00880590"/>
    <w:rsid w:val="0088083E"/>
    <w:rsid w:val="00880B04"/>
    <w:rsid w:val="00880F0A"/>
    <w:rsid w:val="00881608"/>
    <w:rsid w:val="0088176B"/>
    <w:rsid w:val="00881799"/>
    <w:rsid w:val="00881C61"/>
    <w:rsid w:val="00882762"/>
    <w:rsid w:val="00882878"/>
    <w:rsid w:val="00882A7A"/>
    <w:rsid w:val="00882A89"/>
    <w:rsid w:val="00884708"/>
    <w:rsid w:val="00885186"/>
    <w:rsid w:val="008856F6"/>
    <w:rsid w:val="00885964"/>
    <w:rsid w:val="00886827"/>
    <w:rsid w:val="00886C86"/>
    <w:rsid w:val="00886CFD"/>
    <w:rsid w:val="00887B31"/>
    <w:rsid w:val="00887F50"/>
    <w:rsid w:val="008909B8"/>
    <w:rsid w:val="00890D36"/>
    <w:rsid w:val="008910A5"/>
    <w:rsid w:val="008914CC"/>
    <w:rsid w:val="008918D3"/>
    <w:rsid w:val="0089196E"/>
    <w:rsid w:val="00891CFA"/>
    <w:rsid w:val="00892229"/>
    <w:rsid w:val="00892402"/>
    <w:rsid w:val="00894006"/>
    <w:rsid w:val="0089433A"/>
    <w:rsid w:val="00894DCD"/>
    <w:rsid w:val="00895129"/>
    <w:rsid w:val="008953F2"/>
    <w:rsid w:val="008965BB"/>
    <w:rsid w:val="00896BB5"/>
    <w:rsid w:val="00896C30"/>
    <w:rsid w:val="00896D31"/>
    <w:rsid w:val="008973B6"/>
    <w:rsid w:val="00897639"/>
    <w:rsid w:val="008978C6"/>
    <w:rsid w:val="00897AF5"/>
    <w:rsid w:val="00897E8D"/>
    <w:rsid w:val="008A01DF"/>
    <w:rsid w:val="008A03F1"/>
    <w:rsid w:val="008A0E8D"/>
    <w:rsid w:val="008A1044"/>
    <w:rsid w:val="008A17F0"/>
    <w:rsid w:val="008A2270"/>
    <w:rsid w:val="008A3275"/>
    <w:rsid w:val="008A33D1"/>
    <w:rsid w:val="008A3562"/>
    <w:rsid w:val="008A393A"/>
    <w:rsid w:val="008A3A9A"/>
    <w:rsid w:val="008A459D"/>
    <w:rsid w:val="008A5107"/>
    <w:rsid w:val="008A6FD8"/>
    <w:rsid w:val="008A766A"/>
    <w:rsid w:val="008B083D"/>
    <w:rsid w:val="008B0E19"/>
    <w:rsid w:val="008B109D"/>
    <w:rsid w:val="008B1750"/>
    <w:rsid w:val="008B19C6"/>
    <w:rsid w:val="008B2C02"/>
    <w:rsid w:val="008B2F60"/>
    <w:rsid w:val="008B30C0"/>
    <w:rsid w:val="008B36D0"/>
    <w:rsid w:val="008B3B5A"/>
    <w:rsid w:val="008B44B8"/>
    <w:rsid w:val="008B4F27"/>
    <w:rsid w:val="008B513B"/>
    <w:rsid w:val="008B5297"/>
    <w:rsid w:val="008B54EA"/>
    <w:rsid w:val="008B55A1"/>
    <w:rsid w:val="008B5F5C"/>
    <w:rsid w:val="008B6322"/>
    <w:rsid w:val="008B6564"/>
    <w:rsid w:val="008B689B"/>
    <w:rsid w:val="008B69D9"/>
    <w:rsid w:val="008B7264"/>
    <w:rsid w:val="008B762F"/>
    <w:rsid w:val="008B7800"/>
    <w:rsid w:val="008C023E"/>
    <w:rsid w:val="008C079D"/>
    <w:rsid w:val="008C0FE6"/>
    <w:rsid w:val="008C0FF1"/>
    <w:rsid w:val="008C147E"/>
    <w:rsid w:val="008C14A7"/>
    <w:rsid w:val="008C341E"/>
    <w:rsid w:val="008C3EB9"/>
    <w:rsid w:val="008C47C4"/>
    <w:rsid w:val="008C54E1"/>
    <w:rsid w:val="008C553A"/>
    <w:rsid w:val="008C5C68"/>
    <w:rsid w:val="008C742B"/>
    <w:rsid w:val="008C7ACF"/>
    <w:rsid w:val="008C7C52"/>
    <w:rsid w:val="008D0115"/>
    <w:rsid w:val="008D0743"/>
    <w:rsid w:val="008D1CCC"/>
    <w:rsid w:val="008D1D49"/>
    <w:rsid w:val="008D1E64"/>
    <w:rsid w:val="008D44F0"/>
    <w:rsid w:val="008D44F9"/>
    <w:rsid w:val="008D49D3"/>
    <w:rsid w:val="008D6707"/>
    <w:rsid w:val="008D6BE8"/>
    <w:rsid w:val="008D7306"/>
    <w:rsid w:val="008D78BA"/>
    <w:rsid w:val="008D7F1D"/>
    <w:rsid w:val="008D7FB5"/>
    <w:rsid w:val="008E11FB"/>
    <w:rsid w:val="008E13B8"/>
    <w:rsid w:val="008E1617"/>
    <w:rsid w:val="008E16B8"/>
    <w:rsid w:val="008E1889"/>
    <w:rsid w:val="008E1EEE"/>
    <w:rsid w:val="008E24FF"/>
    <w:rsid w:val="008E2703"/>
    <w:rsid w:val="008E271A"/>
    <w:rsid w:val="008E2822"/>
    <w:rsid w:val="008E3A51"/>
    <w:rsid w:val="008E411F"/>
    <w:rsid w:val="008E4270"/>
    <w:rsid w:val="008E4373"/>
    <w:rsid w:val="008E46FE"/>
    <w:rsid w:val="008E4768"/>
    <w:rsid w:val="008E535E"/>
    <w:rsid w:val="008E5807"/>
    <w:rsid w:val="008E5D44"/>
    <w:rsid w:val="008E5EEA"/>
    <w:rsid w:val="008E6943"/>
    <w:rsid w:val="008E79B8"/>
    <w:rsid w:val="008E7E2D"/>
    <w:rsid w:val="008F159B"/>
    <w:rsid w:val="008F1EF5"/>
    <w:rsid w:val="008F2769"/>
    <w:rsid w:val="008F292C"/>
    <w:rsid w:val="008F2CFD"/>
    <w:rsid w:val="008F2D1A"/>
    <w:rsid w:val="008F30C8"/>
    <w:rsid w:val="008F335A"/>
    <w:rsid w:val="008F45D7"/>
    <w:rsid w:val="008F46F7"/>
    <w:rsid w:val="008F4D4C"/>
    <w:rsid w:val="008F5FCF"/>
    <w:rsid w:val="008F61B7"/>
    <w:rsid w:val="008F6864"/>
    <w:rsid w:val="008F74C3"/>
    <w:rsid w:val="0090052F"/>
    <w:rsid w:val="00901124"/>
    <w:rsid w:val="00901ABF"/>
    <w:rsid w:val="0090242D"/>
    <w:rsid w:val="0090297D"/>
    <w:rsid w:val="00902DE2"/>
    <w:rsid w:val="00902F28"/>
    <w:rsid w:val="0090309A"/>
    <w:rsid w:val="00903B70"/>
    <w:rsid w:val="00903F80"/>
    <w:rsid w:val="00904396"/>
    <w:rsid w:val="0090469A"/>
    <w:rsid w:val="009047C6"/>
    <w:rsid w:val="00904861"/>
    <w:rsid w:val="00904A29"/>
    <w:rsid w:val="00904CD9"/>
    <w:rsid w:val="00904D33"/>
    <w:rsid w:val="009050C8"/>
    <w:rsid w:val="00905AD2"/>
    <w:rsid w:val="00905D6A"/>
    <w:rsid w:val="00906098"/>
    <w:rsid w:val="009065D1"/>
    <w:rsid w:val="00906866"/>
    <w:rsid w:val="00906933"/>
    <w:rsid w:val="00907EF3"/>
    <w:rsid w:val="009100E7"/>
    <w:rsid w:val="009105C0"/>
    <w:rsid w:val="0091084F"/>
    <w:rsid w:val="00911171"/>
    <w:rsid w:val="00911394"/>
    <w:rsid w:val="00911486"/>
    <w:rsid w:val="009114C9"/>
    <w:rsid w:val="0091315D"/>
    <w:rsid w:val="00913271"/>
    <w:rsid w:val="00913E4B"/>
    <w:rsid w:val="00914D21"/>
    <w:rsid w:val="00915084"/>
    <w:rsid w:val="00915577"/>
    <w:rsid w:val="009156F7"/>
    <w:rsid w:val="00915CCE"/>
    <w:rsid w:val="00916229"/>
    <w:rsid w:val="00917463"/>
    <w:rsid w:val="009174BA"/>
    <w:rsid w:val="00920742"/>
    <w:rsid w:val="0092156D"/>
    <w:rsid w:val="00921CCF"/>
    <w:rsid w:val="00921E26"/>
    <w:rsid w:val="00922399"/>
    <w:rsid w:val="00922C3F"/>
    <w:rsid w:val="00923127"/>
    <w:rsid w:val="00923F7C"/>
    <w:rsid w:val="009248F9"/>
    <w:rsid w:val="0092502F"/>
    <w:rsid w:val="0092537A"/>
    <w:rsid w:val="009257F6"/>
    <w:rsid w:val="00926A56"/>
    <w:rsid w:val="009272B2"/>
    <w:rsid w:val="009273F5"/>
    <w:rsid w:val="009275C3"/>
    <w:rsid w:val="00931032"/>
    <w:rsid w:val="009311A9"/>
    <w:rsid w:val="0093147C"/>
    <w:rsid w:val="00931A38"/>
    <w:rsid w:val="009333A0"/>
    <w:rsid w:val="00933503"/>
    <w:rsid w:val="0093360A"/>
    <w:rsid w:val="00933AFB"/>
    <w:rsid w:val="0093442E"/>
    <w:rsid w:val="00934B6D"/>
    <w:rsid w:val="00935014"/>
    <w:rsid w:val="00936F21"/>
    <w:rsid w:val="00937338"/>
    <w:rsid w:val="00940293"/>
    <w:rsid w:val="00940A19"/>
    <w:rsid w:val="00940D3C"/>
    <w:rsid w:val="0094154D"/>
    <w:rsid w:val="00941C9C"/>
    <w:rsid w:val="00941CB7"/>
    <w:rsid w:val="00942AFB"/>
    <w:rsid w:val="00943E6A"/>
    <w:rsid w:val="009443A4"/>
    <w:rsid w:val="00944A58"/>
    <w:rsid w:val="0094520F"/>
    <w:rsid w:val="009453E7"/>
    <w:rsid w:val="00945E50"/>
    <w:rsid w:val="009471DD"/>
    <w:rsid w:val="009476FB"/>
    <w:rsid w:val="009477C8"/>
    <w:rsid w:val="009500B7"/>
    <w:rsid w:val="00950A64"/>
    <w:rsid w:val="00950A6E"/>
    <w:rsid w:val="00951130"/>
    <w:rsid w:val="00951192"/>
    <w:rsid w:val="00951476"/>
    <w:rsid w:val="0095154D"/>
    <w:rsid w:val="009517DF"/>
    <w:rsid w:val="009518CC"/>
    <w:rsid w:val="0095198A"/>
    <w:rsid w:val="00951B1A"/>
    <w:rsid w:val="00952357"/>
    <w:rsid w:val="00952B4D"/>
    <w:rsid w:val="00952B76"/>
    <w:rsid w:val="0095361A"/>
    <w:rsid w:val="00953C4D"/>
    <w:rsid w:val="00953D6F"/>
    <w:rsid w:val="00954A52"/>
    <w:rsid w:val="00954D04"/>
    <w:rsid w:val="00955BAE"/>
    <w:rsid w:val="0095652D"/>
    <w:rsid w:val="009610D0"/>
    <w:rsid w:val="00961609"/>
    <w:rsid w:val="00961F9B"/>
    <w:rsid w:val="00962A5B"/>
    <w:rsid w:val="00962ED3"/>
    <w:rsid w:val="0096345A"/>
    <w:rsid w:val="0096362A"/>
    <w:rsid w:val="00963643"/>
    <w:rsid w:val="00963C1C"/>
    <w:rsid w:val="00963D12"/>
    <w:rsid w:val="00963FF2"/>
    <w:rsid w:val="00964113"/>
    <w:rsid w:val="009651B9"/>
    <w:rsid w:val="009658A2"/>
    <w:rsid w:val="00965E2F"/>
    <w:rsid w:val="0096622D"/>
    <w:rsid w:val="00966420"/>
    <w:rsid w:val="00966818"/>
    <w:rsid w:val="00967574"/>
    <w:rsid w:val="00967E50"/>
    <w:rsid w:val="009711F4"/>
    <w:rsid w:val="0097218D"/>
    <w:rsid w:val="00972516"/>
    <w:rsid w:val="00972896"/>
    <w:rsid w:val="00972B88"/>
    <w:rsid w:val="00972D8A"/>
    <w:rsid w:val="00974105"/>
    <w:rsid w:val="00974CEA"/>
    <w:rsid w:val="00976B74"/>
    <w:rsid w:val="0097713B"/>
    <w:rsid w:val="00977B6E"/>
    <w:rsid w:val="00980E33"/>
    <w:rsid w:val="0098163F"/>
    <w:rsid w:val="00981DAF"/>
    <w:rsid w:val="00981E56"/>
    <w:rsid w:val="00981F6E"/>
    <w:rsid w:val="00981F96"/>
    <w:rsid w:val="0098260E"/>
    <w:rsid w:val="009826F9"/>
    <w:rsid w:val="00983D1F"/>
    <w:rsid w:val="00983E04"/>
    <w:rsid w:val="009841F4"/>
    <w:rsid w:val="00984612"/>
    <w:rsid w:val="0098481A"/>
    <w:rsid w:val="009851C3"/>
    <w:rsid w:val="009859D8"/>
    <w:rsid w:val="00986063"/>
    <w:rsid w:val="009868FF"/>
    <w:rsid w:val="00986904"/>
    <w:rsid w:val="00986B98"/>
    <w:rsid w:val="00986DC8"/>
    <w:rsid w:val="00987B90"/>
    <w:rsid w:val="00987D4D"/>
    <w:rsid w:val="00987ED4"/>
    <w:rsid w:val="00987ED7"/>
    <w:rsid w:val="0099025F"/>
    <w:rsid w:val="0099129E"/>
    <w:rsid w:val="009917FD"/>
    <w:rsid w:val="00991A79"/>
    <w:rsid w:val="00991FE8"/>
    <w:rsid w:val="009920A9"/>
    <w:rsid w:val="00992424"/>
    <w:rsid w:val="00992736"/>
    <w:rsid w:val="00992857"/>
    <w:rsid w:val="00993282"/>
    <w:rsid w:val="00994289"/>
    <w:rsid w:val="009943FE"/>
    <w:rsid w:val="009948A8"/>
    <w:rsid w:val="00994D7C"/>
    <w:rsid w:val="0099555F"/>
    <w:rsid w:val="00995A9B"/>
    <w:rsid w:val="00995D33"/>
    <w:rsid w:val="00995D39"/>
    <w:rsid w:val="00995D94"/>
    <w:rsid w:val="00996260"/>
    <w:rsid w:val="0099662B"/>
    <w:rsid w:val="00996639"/>
    <w:rsid w:val="009968E2"/>
    <w:rsid w:val="0099787F"/>
    <w:rsid w:val="009A098C"/>
    <w:rsid w:val="009A0A82"/>
    <w:rsid w:val="009A1164"/>
    <w:rsid w:val="009A1949"/>
    <w:rsid w:val="009A21F5"/>
    <w:rsid w:val="009A37F2"/>
    <w:rsid w:val="009A39A6"/>
    <w:rsid w:val="009A3F7B"/>
    <w:rsid w:val="009A57F4"/>
    <w:rsid w:val="009A6554"/>
    <w:rsid w:val="009A793F"/>
    <w:rsid w:val="009B0515"/>
    <w:rsid w:val="009B0BD2"/>
    <w:rsid w:val="009B0FC9"/>
    <w:rsid w:val="009B18C6"/>
    <w:rsid w:val="009B1906"/>
    <w:rsid w:val="009B284D"/>
    <w:rsid w:val="009B292F"/>
    <w:rsid w:val="009B30B6"/>
    <w:rsid w:val="009B4494"/>
    <w:rsid w:val="009B4C3E"/>
    <w:rsid w:val="009B5B6B"/>
    <w:rsid w:val="009B7198"/>
    <w:rsid w:val="009B78D3"/>
    <w:rsid w:val="009B7955"/>
    <w:rsid w:val="009B79B9"/>
    <w:rsid w:val="009C012E"/>
    <w:rsid w:val="009C05A8"/>
    <w:rsid w:val="009C07F6"/>
    <w:rsid w:val="009C0CEA"/>
    <w:rsid w:val="009C23DB"/>
    <w:rsid w:val="009C2A38"/>
    <w:rsid w:val="009C2E2C"/>
    <w:rsid w:val="009C2E51"/>
    <w:rsid w:val="009C30AA"/>
    <w:rsid w:val="009C3790"/>
    <w:rsid w:val="009C4671"/>
    <w:rsid w:val="009C47BF"/>
    <w:rsid w:val="009C49A3"/>
    <w:rsid w:val="009C4AD0"/>
    <w:rsid w:val="009C4D89"/>
    <w:rsid w:val="009C4E14"/>
    <w:rsid w:val="009C571E"/>
    <w:rsid w:val="009C5CE2"/>
    <w:rsid w:val="009C5E0C"/>
    <w:rsid w:val="009C5F03"/>
    <w:rsid w:val="009C65F3"/>
    <w:rsid w:val="009C6686"/>
    <w:rsid w:val="009C66C7"/>
    <w:rsid w:val="009C6920"/>
    <w:rsid w:val="009C6E5F"/>
    <w:rsid w:val="009C7159"/>
    <w:rsid w:val="009C794A"/>
    <w:rsid w:val="009D00D6"/>
    <w:rsid w:val="009D030D"/>
    <w:rsid w:val="009D0400"/>
    <w:rsid w:val="009D1152"/>
    <w:rsid w:val="009D11F7"/>
    <w:rsid w:val="009D1C69"/>
    <w:rsid w:val="009D24E4"/>
    <w:rsid w:val="009D2F1D"/>
    <w:rsid w:val="009D2FFC"/>
    <w:rsid w:val="009D4271"/>
    <w:rsid w:val="009D43DD"/>
    <w:rsid w:val="009D506A"/>
    <w:rsid w:val="009D5D3B"/>
    <w:rsid w:val="009D67C4"/>
    <w:rsid w:val="009D6AA9"/>
    <w:rsid w:val="009D6DE4"/>
    <w:rsid w:val="009E0020"/>
    <w:rsid w:val="009E0B7F"/>
    <w:rsid w:val="009E1860"/>
    <w:rsid w:val="009E2021"/>
    <w:rsid w:val="009E2983"/>
    <w:rsid w:val="009E6349"/>
    <w:rsid w:val="009E6547"/>
    <w:rsid w:val="009E65E4"/>
    <w:rsid w:val="009E694F"/>
    <w:rsid w:val="009E6CEB"/>
    <w:rsid w:val="009E7DD8"/>
    <w:rsid w:val="009E7F8A"/>
    <w:rsid w:val="009F03A6"/>
    <w:rsid w:val="009F0984"/>
    <w:rsid w:val="009F0C1C"/>
    <w:rsid w:val="009F0C1D"/>
    <w:rsid w:val="009F1D22"/>
    <w:rsid w:val="009F2B4E"/>
    <w:rsid w:val="009F2F18"/>
    <w:rsid w:val="009F3990"/>
    <w:rsid w:val="009F39A4"/>
    <w:rsid w:val="009F3CA7"/>
    <w:rsid w:val="009F4583"/>
    <w:rsid w:val="009F471F"/>
    <w:rsid w:val="009F4910"/>
    <w:rsid w:val="009F4BAF"/>
    <w:rsid w:val="009F4DB5"/>
    <w:rsid w:val="009F4F03"/>
    <w:rsid w:val="009F5BF2"/>
    <w:rsid w:val="009F74D0"/>
    <w:rsid w:val="009F7E30"/>
    <w:rsid w:val="00A0006B"/>
    <w:rsid w:val="00A00269"/>
    <w:rsid w:val="00A00A56"/>
    <w:rsid w:val="00A00A93"/>
    <w:rsid w:val="00A00B6F"/>
    <w:rsid w:val="00A04D91"/>
    <w:rsid w:val="00A04ECE"/>
    <w:rsid w:val="00A04F60"/>
    <w:rsid w:val="00A0539E"/>
    <w:rsid w:val="00A05539"/>
    <w:rsid w:val="00A05BBB"/>
    <w:rsid w:val="00A05D3C"/>
    <w:rsid w:val="00A060DF"/>
    <w:rsid w:val="00A0653D"/>
    <w:rsid w:val="00A066F9"/>
    <w:rsid w:val="00A06F8C"/>
    <w:rsid w:val="00A11B1B"/>
    <w:rsid w:val="00A135FD"/>
    <w:rsid w:val="00A13C0D"/>
    <w:rsid w:val="00A13CEF"/>
    <w:rsid w:val="00A13FAE"/>
    <w:rsid w:val="00A140E7"/>
    <w:rsid w:val="00A1468D"/>
    <w:rsid w:val="00A14762"/>
    <w:rsid w:val="00A15601"/>
    <w:rsid w:val="00A164F7"/>
    <w:rsid w:val="00A16714"/>
    <w:rsid w:val="00A16BFC"/>
    <w:rsid w:val="00A16F30"/>
    <w:rsid w:val="00A2073D"/>
    <w:rsid w:val="00A2073F"/>
    <w:rsid w:val="00A21938"/>
    <w:rsid w:val="00A21F0A"/>
    <w:rsid w:val="00A22320"/>
    <w:rsid w:val="00A2285B"/>
    <w:rsid w:val="00A23C89"/>
    <w:rsid w:val="00A246F1"/>
    <w:rsid w:val="00A247B5"/>
    <w:rsid w:val="00A25243"/>
    <w:rsid w:val="00A2579A"/>
    <w:rsid w:val="00A25AB8"/>
    <w:rsid w:val="00A25DAE"/>
    <w:rsid w:val="00A25FC6"/>
    <w:rsid w:val="00A2698B"/>
    <w:rsid w:val="00A2721B"/>
    <w:rsid w:val="00A27938"/>
    <w:rsid w:val="00A27F35"/>
    <w:rsid w:val="00A30E78"/>
    <w:rsid w:val="00A3251C"/>
    <w:rsid w:val="00A325E3"/>
    <w:rsid w:val="00A32757"/>
    <w:rsid w:val="00A32E7F"/>
    <w:rsid w:val="00A33B2C"/>
    <w:rsid w:val="00A33F82"/>
    <w:rsid w:val="00A34EFF"/>
    <w:rsid w:val="00A34F4D"/>
    <w:rsid w:val="00A3512C"/>
    <w:rsid w:val="00A35988"/>
    <w:rsid w:val="00A36EA3"/>
    <w:rsid w:val="00A4005D"/>
    <w:rsid w:val="00A4026C"/>
    <w:rsid w:val="00A407A6"/>
    <w:rsid w:val="00A40BC5"/>
    <w:rsid w:val="00A40CD4"/>
    <w:rsid w:val="00A41CEF"/>
    <w:rsid w:val="00A42EE1"/>
    <w:rsid w:val="00A4310F"/>
    <w:rsid w:val="00A43561"/>
    <w:rsid w:val="00A43879"/>
    <w:rsid w:val="00A43C15"/>
    <w:rsid w:val="00A45F20"/>
    <w:rsid w:val="00A46DD9"/>
    <w:rsid w:val="00A474BB"/>
    <w:rsid w:val="00A47770"/>
    <w:rsid w:val="00A4781E"/>
    <w:rsid w:val="00A500BA"/>
    <w:rsid w:val="00A50646"/>
    <w:rsid w:val="00A5077B"/>
    <w:rsid w:val="00A50C23"/>
    <w:rsid w:val="00A50F97"/>
    <w:rsid w:val="00A513B8"/>
    <w:rsid w:val="00A51639"/>
    <w:rsid w:val="00A5166A"/>
    <w:rsid w:val="00A5183C"/>
    <w:rsid w:val="00A518F8"/>
    <w:rsid w:val="00A51BF3"/>
    <w:rsid w:val="00A51FC9"/>
    <w:rsid w:val="00A5251F"/>
    <w:rsid w:val="00A52ED3"/>
    <w:rsid w:val="00A52F59"/>
    <w:rsid w:val="00A537A3"/>
    <w:rsid w:val="00A53F93"/>
    <w:rsid w:val="00A5409B"/>
    <w:rsid w:val="00A54A30"/>
    <w:rsid w:val="00A54B7D"/>
    <w:rsid w:val="00A54E12"/>
    <w:rsid w:val="00A54E67"/>
    <w:rsid w:val="00A55057"/>
    <w:rsid w:val="00A559A6"/>
    <w:rsid w:val="00A568A8"/>
    <w:rsid w:val="00A569C7"/>
    <w:rsid w:val="00A57247"/>
    <w:rsid w:val="00A57623"/>
    <w:rsid w:val="00A57F93"/>
    <w:rsid w:val="00A60180"/>
    <w:rsid w:val="00A6086C"/>
    <w:rsid w:val="00A608AC"/>
    <w:rsid w:val="00A615FE"/>
    <w:rsid w:val="00A617CC"/>
    <w:rsid w:val="00A6240E"/>
    <w:rsid w:val="00A62914"/>
    <w:rsid w:val="00A6295E"/>
    <w:rsid w:val="00A62B4D"/>
    <w:rsid w:val="00A63690"/>
    <w:rsid w:val="00A63C13"/>
    <w:rsid w:val="00A64348"/>
    <w:rsid w:val="00A648BD"/>
    <w:rsid w:val="00A64CBD"/>
    <w:rsid w:val="00A64E68"/>
    <w:rsid w:val="00A6568D"/>
    <w:rsid w:val="00A656C1"/>
    <w:rsid w:val="00A657ED"/>
    <w:rsid w:val="00A660EA"/>
    <w:rsid w:val="00A66DCA"/>
    <w:rsid w:val="00A674EC"/>
    <w:rsid w:val="00A67A91"/>
    <w:rsid w:val="00A67AB7"/>
    <w:rsid w:val="00A70822"/>
    <w:rsid w:val="00A70965"/>
    <w:rsid w:val="00A7104F"/>
    <w:rsid w:val="00A722B2"/>
    <w:rsid w:val="00A7331A"/>
    <w:rsid w:val="00A73956"/>
    <w:rsid w:val="00A73C6B"/>
    <w:rsid w:val="00A740E9"/>
    <w:rsid w:val="00A75F8B"/>
    <w:rsid w:val="00A75F9D"/>
    <w:rsid w:val="00A76126"/>
    <w:rsid w:val="00A767D8"/>
    <w:rsid w:val="00A76EF2"/>
    <w:rsid w:val="00A772D2"/>
    <w:rsid w:val="00A77823"/>
    <w:rsid w:val="00A77FFC"/>
    <w:rsid w:val="00A801C5"/>
    <w:rsid w:val="00A83688"/>
    <w:rsid w:val="00A83D1E"/>
    <w:rsid w:val="00A83FAE"/>
    <w:rsid w:val="00A8474B"/>
    <w:rsid w:val="00A84E6E"/>
    <w:rsid w:val="00A85845"/>
    <w:rsid w:val="00A85B27"/>
    <w:rsid w:val="00A86E92"/>
    <w:rsid w:val="00A87193"/>
    <w:rsid w:val="00A87B8C"/>
    <w:rsid w:val="00A90581"/>
    <w:rsid w:val="00A9074C"/>
    <w:rsid w:val="00A90CF7"/>
    <w:rsid w:val="00A90DC9"/>
    <w:rsid w:val="00A9109A"/>
    <w:rsid w:val="00A916CF"/>
    <w:rsid w:val="00A918DA"/>
    <w:rsid w:val="00A91955"/>
    <w:rsid w:val="00A91CD6"/>
    <w:rsid w:val="00A92373"/>
    <w:rsid w:val="00A923FE"/>
    <w:rsid w:val="00A92527"/>
    <w:rsid w:val="00A92738"/>
    <w:rsid w:val="00A93873"/>
    <w:rsid w:val="00A94F48"/>
    <w:rsid w:val="00A959F0"/>
    <w:rsid w:val="00A95BA3"/>
    <w:rsid w:val="00A966EA"/>
    <w:rsid w:val="00A9706E"/>
    <w:rsid w:val="00AA0661"/>
    <w:rsid w:val="00AA0C64"/>
    <w:rsid w:val="00AA0FD4"/>
    <w:rsid w:val="00AA113C"/>
    <w:rsid w:val="00AA1499"/>
    <w:rsid w:val="00AA16E4"/>
    <w:rsid w:val="00AA19AD"/>
    <w:rsid w:val="00AA1E3F"/>
    <w:rsid w:val="00AA209C"/>
    <w:rsid w:val="00AA2592"/>
    <w:rsid w:val="00AA2602"/>
    <w:rsid w:val="00AA2FC3"/>
    <w:rsid w:val="00AA3C0E"/>
    <w:rsid w:val="00AA422A"/>
    <w:rsid w:val="00AA461F"/>
    <w:rsid w:val="00AA47C7"/>
    <w:rsid w:val="00AA48F2"/>
    <w:rsid w:val="00AA4A0A"/>
    <w:rsid w:val="00AA4AFD"/>
    <w:rsid w:val="00AA4D1F"/>
    <w:rsid w:val="00AA51F3"/>
    <w:rsid w:val="00AA583A"/>
    <w:rsid w:val="00AA617A"/>
    <w:rsid w:val="00AA626E"/>
    <w:rsid w:val="00AA6ADC"/>
    <w:rsid w:val="00AA713D"/>
    <w:rsid w:val="00AB072A"/>
    <w:rsid w:val="00AB0EC1"/>
    <w:rsid w:val="00AB10F6"/>
    <w:rsid w:val="00AB27E9"/>
    <w:rsid w:val="00AB2B80"/>
    <w:rsid w:val="00AB3112"/>
    <w:rsid w:val="00AB3701"/>
    <w:rsid w:val="00AB53AF"/>
    <w:rsid w:val="00AB54A9"/>
    <w:rsid w:val="00AB6232"/>
    <w:rsid w:val="00AB664A"/>
    <w:rsid w:val="00AB7770"/>
    <w:rsid w:val="00AC012C"/>
    <w:rsid w:val="00AC0853"/>
    <w:rsid w:val="00AC21AC"/>
    <w:rsid w:val="00AC2EA9"/>
    <w:rsid w:val="00AC3501"/>
    <w:rsid w:val="00AC353B"/>
    <w:rsid w:val="00AC3C08"/>
    <w:rsid w:val="00AC4075"/>
    <w:rsid w:val="00AC4D1A"/>
    <w:rsid w:val="00AC5D0F"/>
    <w:rsid w:val="00AC62A3"/>
    <w:rsid w:val="00AC63D9"/>
    <w:rsid w:val="00AC64FE"/>
    <w:rsid w:val="00AC6710"/>
    <w:rsid w:val="00AC6A82"/>
    <w:rsid w:val="00AC7CFA"/>
    <w:rsid w:val="00AD0051"/>
    <w:rsid w:val="00AD03AC"/>
    <w:rsid w:val="00AD0C94"/>
    <w:rsid w:val="00AD0FE1"/>
    <w:rsid w:val="00AD1244"/>
    <w:rsid w:val="00AD1AAC"/>
    <w:rsid w:val="00AD2A30"/>
    <w:rsid w:val="00AD3FDE"/>
    <w:rsid w:val="00AD44AF"/>
    <w:rsid w:val="00AD5ED1"/>
    <w:rsid w:val="00AD5F5B"/>
    <w:rsid w:val="00AD73E6"/>
    <w:rsid w:val="00AD7708"/>
    <w:rsid w:val="00AD7760"/>
    <w:rsid w:val="00AD7B36"/>
    <w:rsid w:val="00AE023A"/>
    <w:rsid w:val="00AE0B75"/>
    <w:rsid w:val="00AE0D4B"/>
    <w:rsid w:val="00AE0E0A"/>
    <w:rsid w:val="00AE0EB0"/>
    <w:rsid w:val="00AE1846"/>
    <w:rsid w:val="00AE19C8"/>
    <w:rsid w:val="00AE1E73"/>
    <w:rsid w:val="00AE22C9"/>
    <w:rsid w:val="00AE3183"/>
    <w:rsid w:val="00AE37AF"/>
    <w:rsid w:val="00AE3CE4"/>
    <w:rsid w:val="00AE4056"/>
    <w:rsid w:val="00AE4D9A"/>
    <w:rsid w:val="00AE5199"/>
    <w:rsid w:val="00AE5721"/>
    <w:rsid w:val="00AE580B"/>
    <w:rsid w:val="00AE5D97"/>
    <w:rsid w:val="00AE712A"/>
    <w:rsid w:val="00AE7C14"/>
    <w:rsid w:val="00AE7E5A"/>
    <w:rsid w:val="00AF0309"/>
    <w:rsid w:val="00AF0C61"/>
    <w:rsid w:val="00AF0D82"/>
    <w:rsid w:val="00AF1838"/>
    <w:rsid w:val="00AF18A8"/>
    <w:rsid w:val="00AF204F"/>
    <w:rsid w:val="00AF242F"/>
    <w:rsid w:val="00AF27EF"/>
    <w:rsid w:val="00AF2B20"/>
    <w:rsid w:val="00AF325E"/>
    <w:rsid w:val="00AF32B3"/>
    <w:rsid w:val="00AF3372"/>
    <w:rsid w:val="00AF34EB"/>
    <w:rsid w:val="00AF47AF"/>
    <w:rsid w:val="00AF49EC"/>
    <w:rsid w:val="00AF4D6F"/>
    <w:rsid w:val="00AF5CA3"/>
    <w:rsid w:val="00AF5F3B"/>
    <w:rsid w:val="00AF6015"/>
    <w:rsid w:val="00AF65D9"/>
    <w:rsid w:val="00AF66E4"/>
    <w:rsid w:val="00AF74D9"/>
    <w:rsid w:val="00AF7DB8"/>
    <w:rsid w:val="00AF7E22"/>
    <w:rsid w:val="00B000BA"/>
    <w:rsid w:val="00B00BD1"/>
    <w:rsid w:val="00B0147B"/>
    <w:rsid w:val="00B015A0"/>
    <w:rsid w:val="00B01B38"/>
    <w:rsid w:val="00B0301F"/>
    <w:rsid w:val="00B031E7"/>
    <w:rsid w:val="00B049FE"/>
    <w:rsid w:val="00B04A6F"/>
    <w:rsid w:val="00B05AD0"/>
    <w:rsid w:val="00B05C92"/>
    <w:rsid w:val="00B05ECD"/>
    <w:rsid w:val="00B067DC"/>
    <w:rsid w:val="00B0705D"/>
    <w:rsid w:val="00B0757A"/>
    <w:rsid w:val="00B076BB"/>
    <w:rsid w:val="00B07739"/>
    <w:rsid w:val="00B07781"/>
    <w:rsid w:val="00B07C49"/>
    <w:rsid w:val="00B07C88"/>
    <w:rsid w:val="00B1074F"/>
    <w:rsid w:val="00B112F7"/>
    <w:rsid w:val="00B11C24"/>
    <w:rsid w:val="00B121DB"/>
    <w:rsid w:val="00B14289"/>
    <w:rsid w:val="00B15188"/>
    <w:rsid w:val="00B15AFD"/>
    <w:rsid w:val="00B15E94"/>
    <w:rsid w:val="00B176ED"/>
    <w:rsid w:val="00B1799D"/>
    <w:rsid w:val="00B17C44"/>
    <w:rsid w:val="00B17DEE"/>
    <w:rsid w:val="00B20B10"/>
    <w:rsid w:val="00B2148C"/>
    <w:rsid w:val="00B215CD"/>
    <w:rsid w:val="00B229CB"/>
    <w:rsid w:val="00B2319A"/>
    <w:rsid w:val="00B2354A"/>
    <w:rsid w:val="00B237DD"/>
    <w:rsid w:val="00B23C6F"/>
    <w:rsid w:val="00B23FBF"/>
    <w:rsid w:val="00B2463D"/>
    <w:rsid w:val="00B24815"/>
    <w:rsid w:val="00B24C35"/>
    <w:rsid w:val="00B2577F"/>
    <w:rsid w:val="00B259E9"/>
    <w:rsid w:val="00B2730B"/>
    <w:rsid w:val="00B3081A"/>
    <w:rsid w:val="00B30AED"/>
    <w:rsid w:val="00B30EB6"/>
    <w:rsid w:val="00B31888"/>
    <w:rsid w:val="00B31BB4"/>
    <w:rsid w:val="00B32C82"/>
    <w:rsid w:val="00B32E57"/>
    <w:rsid w:val="00B333F3"/>
    <w:rsid w:val="00B33BC6"/>
    <w:rsid w:val="00B34525"/>
    <w:rsid w:val="00B3564B"/>
    <w:rsid w:val="00B36094"/>
    <w:rsid w:val="00B36661"/>
    <w:rsid w:val="00B36B10"/>
    <w:rsid w:val="00B377A7"/>
    <w:rsid w:val="00B37D37"/>
    <w:rsid w:val="00B37E4D"/>
    <w:rsid w:val="00B37FF6"/>
    <w:rsid w:val="00B4141F"/>
    <w:rsid w:val="00B415C4"/>
    <w:rsid w:val="00B42039"/>
    <w:rsid w:val="00B42435"/>
    <w:rsid w:val="00B42AAA"/>
    <w:rsid w:val="00B4482A"/>
    <w:rsid w:val="00B4517F"/>
    <w:rsid w:val="00B462A7"/>
    <w:rsid w:val="00B47F08"/>
    <w:rsid w:val="00B501B0"/>
    <w:rsid w:val="00B503AB"/>
    <w:rsid w:val="00B50EB5"/>
    <w:rsid w:val="00B5288E"/>
    <w:rsid w:val="00B530C5"/>
    <w:rsid w:val="00B53128"/>
    <w:rsid w:val="00B533E7"/>
    <w:rsid w:val="00B536EC"/>
    <w:rsid w:val="00B54311"/>
    <w:rsid w:val="00B545E1"/>
    <w:rsid w:val="00B549E1"/>
    <w:rsid w:val="00B54B1C"/>
    <w:rsid w:val="00B5502D"/>
    <w:rsid w:val="00B552E2"/>
    <w:rsid w:val="00B55838"/>
    <w:rsid w:val="00B55F6B"/>
    <w:rsid w:val="00B56324"/>
    <w:rsid w:val="00B56356"/>
    <w:rsid w:val="00B56712"/>
    <w:rsid w:val="00B56794"/>
    <w:rsid w:val="00B56CBC"/>
    <w:rsid w:val="00B571B2"/>
    <w:rsid w:val="00B57238"/>
    <w:rsid w:val="00B57370"/>
    <w:rsid w:val="00B5773B"/>
    <w:rsid w:val="00B577CD"/>
    <w:rsid w:val="00B60023"/>
    <w:rsid w:val="00B60160"/>
    <w:rsid w:val="00B604D7"/>
    <w:rsid w:val="00B62B56"/>
    <w:rsid w:val="00B62C17"/>
    <w:rsid w:val="00B62E0C"/>
    <w:rsid w:val="00B62FE2"/>
    <w:rsid w:val="00B6345B"/>
    <w:rsid w:val="00B65145"/>
    <w:rsid w:val="00B652A2"/>
    <w:rsid w:val="00B65AEF"/>
    <w:rsid w:val="00B66212"/>
    <w:rsid w:val="00B664D2"/>
    <w:rsid w:val="00B6695A"/>
    <w:rsid w:val="00B66B59"/>
    <w:rsid w:val="00B670D2"/>
    <w:rsid w:val="00B700DC"/>
    <w:rsid w:val="00B7019A"/>
    <w:rsid w:val="00B7080C"/>
    <w:rsid w:val="00B710B7"/>
    <w:rsid w:val="00B71455"/>
    <w:rsid w:val="00B71A52"/>
    <w:rsid w:val="00B71BB8"/>
    <w:rsid w:val="00B7219D"/>
    <w:rsid w:val="00B72528"/>
    <w:rsid w:val="00B73132"/>
    <w:rsid w:val="00B73FCC"/>
    <w:rsid w:val="00B74238"/>
    <w:rsid w:val="00B7629C"/>
    <w:rsid w:val="00B76968"/>
    <w:rsid w:val="00B77D22"/>
    <w:rsid w:val="00B828AE"/>
    <w:rsid w:val="00B82C06"/>
    <w:rsid w:val="00B83F33"/>
    <w:rsid w:val="00B85953"/>
    <w:rsid w:val="00B85FFF"/>
    <w:rsid w:val="00B86200"/>
    <w:rsid w:val="00B876BB"/>
    <w:rsid w:val="00B87BE0"/>
    <w:rsid w:val="00B9053A"/>
    <w:rsid w:val="00B90924"/>
    <w:rsid w:val="00B910E9"/>
    <w:rsid w:val="00B9185E"/>
    <w:rsid w:val="00B92BE1"/>
    <w:rsid w:val="00B934AB"/>
    <w:rsid w:val="00B93B72"/>
    <w:rsid w:val="00B9406E"/>
    <w:rsid w:val="00B9438A"/>
    <w:rsid w:val="00B950EA"/>
    <w:rsid w:val="00B9528B"/>
    <w:rsid w:val="00B95553"/>
    <w:rsid w:val="00B95CA6"/>
    <w:rsid w:val="00B9680D"/>
    <w:rsid w:val="00B96A5D"/>
    <w:rsid w:val="00B97093"/>
    <w:rsid w:val="00BA02EA"/>
    <w:rsid w:val="00BA03DD"/>
    <w:rsid w:val="00BA0490"/>
    <w:rsid w:val="00BA1255"/>
    <w:rsid w:val="00BA1484"/>
    <w:rsid w:val="00BA19BF"/>
    <w:rsid w:val="00BA19CA"/>
    <w:rsid w:val="00BA2736"/>
    <w:rsid w:val="00BA2FEF"/>
    <w:rsid w:val="00BA3232"/>
    <w:rsid w:val="00BA3CC7"/>
    <w:rsid w:val="00BA3D26"/>
    <w:rsid w:val="00BA3FE9"/>
    <w:rsid w:val="00BA40BC"/>
    <w:rsid w:val="00BA4CF8"/>
    <w:rsid w:val="00BA5492"/>
    <w:rsid w:val="00BA5E0B"/>
    <w:rsid w:val="00BA6528"/>
    <w:rsid w:val="00BA6F97"/>
    <w:rsid w:val="00BA7074"/>
    <w:rsid w:val="00BA70B8"/>
    <w:rsid w:val="00BA72AA"/>
    <w:rsid w:val="00BA7356"/>
    <w:rsid w:val="00BA7C54"/>
    <w:rsid w:val="00BA7DC9"/>
    <w:rsid w:val="00BA7FDB"/>
    <w:rsid w:val="00BB018C"/>
    <w:rsid w:val="00BB0AE7"/>
    <w:rsid w:val="00BB1BEB"/>
    <w:rsid w:val="00BB266B"/>
    <w:rsid w:val="00BB28B0"/>
    <w:rsid w:val="00BB2AA1"/>
    <w:rsid w:val="00BB3051"/>
    <w:rsid w:val="00BB35F4"/>
    <w:rsid w:val="00BB3934"/>
    <w:rsid w:val="00BB404C"/>
    <w:rsid w:val="00BB4743"/>
    <w:rsid w:val="00BB5581"/>
    <w:rsid w:val="00BB55BB"/>
    <w:rsid w:val="00BB62E0"/>
    <w:rsid w:val="00BB68BF"/>
    <w:rsid w:val="00BB7206"/>
    <w:rsid w:val="00BC124D"/>
    <w:rsid w:val="00BC1847"/>
    <w:rsid w:val="00BC1EF8"/>
    <w:rsid w:val="00BC25F1"/>
    <w:rsid w:val="00BC26DB"/>
    <w:rsid w:val="00BC28E1"/>
    <w:rsid w:val="00BC2B43"/>
    <w:rsid w:val="00BC4777"/>
    <w:rsid w:val="00BC4BF0"/>
    <w:rsid w:val="00BC5066"/>
    <w:rsid w:val="00BC5267"/>
    <w:rsid w:val="00BC52B7"/>
    <w:rsid w:val="00BC596E"/>
    <w:rsid w:val="00BC6023"/>
    <w:rsid w:val="00BC6155"/>
    <w:rsid w:val="00BC62BB"/>
    <w:rsid w:val="00BC63B3"/>
    <w:rsid w:val="00BC7A89"/>
    <w:rsid w:val="00BD07DB"/>
    <w:rsid w:val="00BD0C38"/>
    <w:rsid w:val="00BD0D4D"/>
    <w:rsid w:val="00BD0E6E"/>
    <w:rsid w:val="00BD15D6"/>
    <w:rsid w:val="00BD27C5"/>
    <w:rsid w:val="00BD37E1"/>
    <w:rsid w:val="00BD3D98"/>
    <w:rsid w:val="00BD4026"/>
    <w:rsid w:val="00BD46FA"/>
    <w:rsid w:val="00BD4728"/>
    <w:rsid w:val="00BD5108"/>
    <w:rsid w:val="00BD5A6E"/>
    <w:rsid w:val="00BD724A"/>
    <w:rsid w:val="00BD778B"/>
    <w:rsid w:val="00BD7B38"/>
    <w:rsid w:val="00BE01A7"/>
    <w:rsid w:val="00BE0D85"/>
    <w:rsid w:val="00BE0D96"/>
    <w:rsid w:val="00BE111F"/>
    <w:rsid w:val="00BE156B"/>
    <w:rsid w:val="00BE2407"/>
    <w:rsid w:val="00BE3F38"/>
    <w:rsid w:val="00BE45BC"/>
    <w:rsid w:val="00BE4B78"/>
    <w:rsid w:val="00BE586D"/>
    <w:rsid w:val="00BE5917"/>
    <w:rsid w:val="00BE68A5"/>
    <w:rsid w:val="00BE7500"/>
    <w:rsid w:val="00BE7A77"/>
    <w:rsid w:val="00BE7EE7"/>
    <w:rsid w:val="00BF0944"/>
    <w:rsid w:val="00BF0976"/>
    <w:rsid w:val="00BF0E2C"/>
    <w:rsid w:val="00BF19C3"/>
    <w:rsid w:val="00BF1E4C"/>
    <w:rsid w:val="00BF237B"/>
    <w:rsid w:val="00BF24CB"/>
    <w:rsid w:val="00BF405F"/>
    <w:rsid w:val="00BF4A0C"/>
    <w:rsid w:val="00BF5438"/>
    <w:rsid w:val="00BF5AB9"/>
    <w:rsid w:val="00BF5D00"/>
    <w:rsid w:val="00BF6339"/>
    <w:rsid w:val="00BF6699"/>
    <w:rsid w:val="00BF6FFD"/>
    <w:rsid w:val="00BF7078"/>
    <w:rsid w:val="00BF78B4"/>
    <w:rsid w:val="00BF7A2A"/>
    <w:rsid w:val="00BF7BC7"/>
    <w:rsid w:val="00C00140"/>
    <w:rsid w:val="00C008EE"/>
    <w:rsid w:val="00C009C0"/>
    <w:rsid w:val="00C00FCC"/>
    <w:rsid w:val="00C01962"/>
    <w:rsid w:val="00C01AC8"/>
    <w:rsid w:val="00C01B21"/>
    <w:rsid w:val="00C01FAF"/>
    <w:rsid w:val="00C021D8"/>
    <w:rsid w:val="00C02C2C"/>
    <w:rsid w:val="00C02E1F"/>
    <w:rsid w:val="00C02F0B"/>
    <w:rsid w:val="00C0372F"/>
    <w:rsid w:val="00C0441E"/>
    <w:rsid w:val="00C0498A"/>
    <w:rsid w:val="00C053A7"/>
    <w:rsid w:val="00C068AD"/>
    <w:rsid w:val="00C06F29"/>
    <w:rsid w:val="00C0707B"/>
    <w:rsid w:val="00C07923"/>
    <w:rsid w:val="00C079D4"/>
    <w:rsid w:val="00C07D51"/>
    <w:rsid w:val="00C10666"/>
    <w:rsid w:val="00C1130F"/>
    <w:rsid w:val="00C11DF4"/>
    <w:rsid w:val="00C12A7A"/>
    <w:rsid w:val="00C12E2D"/>
    <w:rsid w:val="00C13CCD"/>
    <w:rsid w:val="00C1444D"/>
    <w:rsid w:val="00C14DAB"/>
    <w:rsid w:val="00C15009"/>
    <w:rsid w:val="00C15103"/>
    <w:rsid w:val="00C155A4"/>
    <w:rsid w:val="00C15CA0"/>
    <w:rsid w:val="00C15D65"/>
    <w:rsid w:val="00C17272"/>
    <w:rsid w:val="00C1730A"/>
    <w:rsid w:val="00C176A0"/>
    <w:rsid w:val="00C17EF6"/>
    <w:rsid w:val="00C20031"/>
    <w:rsid w:val="00C207AE"/>
    <w:rsid w:val="00C20F8F"/>
    <w:rsid w:val="00C22210"/>
    <w:rsid w:val="00C222F3"/>
    <w:rsid w:val="00C22364"/>
    <w:rsid w:val="00C22881"/>
    <w:rsid w:val="00C22CDC"/>
    <w:rsid w:val="00C2306E"/>
    <w:rsid w:val="00C23BF4"/>
    <w:rsid w:val="00C23F8C"/>
    <w:rsid w:val="00C24DB5"/>
    <w:rsid w:val="00C25A7F"/>
    <w:rsid w:val="00C25AE2"/>
    <w:rsid w:val="00C2636C"/>
    <w:rsid w:val="00C265F7"/>
    <w:rsid w:val="00C2687D"/>
    <w:rsid w:val="00C271F3"/>
    <w:rsid w:val="00C27505"/>
    <w:rsid w:val="00C27641"/>
    <w:rsid w:val="00C27B27"/>
    <w:rsid w:val="00C311E6"/>
    <w:rsid w:val="00C314C8"/>
    <w:rsid w:val="00C31DFD"/>
    <w:rsid w:val="00C31F8A"/>
    <w:rsid w:val="00C32822"/>
    <w:rsid w:val="00C32ACE"/>
    <w:rsid w:val="00C32D38"/>
    <w:rsid w:val="00C32FEE"/>
    <w:rsid w:val="00C331F0"/>
    <w:rsid w:val="00C33583"/>
    <w:rsid w:val="00C33905"/>
    <w:rsid w:val="00C34500"/>
    <w:rsid w:val="00C34701"/>
    <w:rsid w:val="00C34D1C"/>
    <w:rsid w:val="00C34FE7"/>
    <w:rsid w:val="00C35787"/>
    <w:rsid w:val="00C36CEC"/>
    <w:rsid w:val="00C4001C"/>
    <w:rsid w:val="00C40DE4"/>
    <w:rsid w:val="00C40E79"/>
    <w:rsid w:val="00C413DA"/>
    <w:rsid w:val="00C41505"/>
    <w:rsid w:val="00C42178"/>
    <w:rsid w:val="00C42F50"/>
    <w:rsid w:val="00C43B1E"/>
    <w:rsid w:val="00C43E77"/>
    <w:rsid w:val="00C45079"/>
    <w:rsid w:val="00C4520E"/>
    <w:rsid w:val="00C45E17"/>
    <w:rsid w:val="00C47216"/>
    <w:rsid w:val="00C472FC"/>
    <w:rsid w:val="00C478C4"/>
    <w:rsid w:val="00C479CA"/>
    <w:rsid w:val="00C47A38"/>
    <w:rsid w:val="00C50657"/>
    <w:rsid w:val="00C50B49"/>
    <w:rsid w:val="00C5194B"/>
    <w:rsid w:val="00C5207D"/>
    <w:rsid w:val="00C525C0"/>
    <w:rsid w:val="00C528DA"/>
    <w:rsid w:val="00C53E9A"/>
    <w:rsid w:val="00C54314"/>
    <w:rsid w:val="00C543B0"/>
    <w:rsid w:val="00C54818"/>
    <w:rsid w:val="00C55CC6"/>
    <w:rsid w:val="00C563A5"/>
    <w:rsid w:val="00C56C13"/>
    <w:rsid w:val="00C56CCA"/>
    <w:rsid w:val="00C5723D"/>
    <w:rsid w:val="00C57A3B"/>
    <w:rsid w:val="00C607AF"/>
    <w:rsid w:val="00C607E8"/>
    <w:rsid w:val="00C608CA"/>
    <w:rsid w:val="00C60B14"/>
    <w:rsid w:val="00C60D56"/>
    <w:rsid w:val="00C614F1"/>
    <w:rsid w:val="00C619B5"/>
    <w:rsid w:val="00C625A6"/>
    <w:rsid w:val="00C62634"/>
    <w:rsid w:val="00C63DCB"/>
    <w:rsid w:val="00C64AD7"/>
    <w:rsid w:val="00C64B7B"/>
    <w:rsid w:val="00C64C85"/>
    <w:rsid w:val="00C66627"/>
    <w:rsid w:val="00C66895"/>
    <w:rsid w:val="00C6798B"/>
    <w:rsid w:val="00C67D3E"/>
    <w:rsid w:val="00C70518"/>
    <w:rsid w:val="00C7064E"/>
    <w:rsid w:val="00C70AB5"/>
    <w:rsid w:val="00C70EC9"/>
    <w:rsid w:val="00C70FF4"/>
    <w:rsid w:val="00C720B4"/>
    <w:rsid w:val="00C7255D"/>
    <w:rsid w:val="00C72659"/>
    <w:rsid w:val="00C7330E"/>
    <w:rsid w:val="00C737FD"/>
    <w:rsid w:val="00C74A99"/>
    <w:rsid w:val="00C74BF8"/>
    <w:rsid w:val="00C75D08"/>
    <w:rsid w:val="00C76720"/>
    <w:rsid w:val="00C7672B"/>
    <w:rsid w:val="00C76B84"/>
    <w:rsid w:val="00C76C2D"/>
    <w:rsid w:val="00C778D9"/>
    <w:rsid w:val="00C77D86"/>
    <w:rsid w:val="00C809F6"/>
    <w:rsid w:val="00C80C0B"/>
    <w:rsid w:val="00C80E3F"/>
    <w:rsid w:val="00C810E9"/>
    <w:rsid w:val="00C816E8"/>
    <w:rsid w:val="00C81D9D"/>
    <w:rsid w:val="00C82AFD"/>
    <w:rsid w:val="00C835B9"/>
    <w:rsid w:val="00C83A5F"/>
    <w:rsid w:val="00C844BE"/>
    <w:rsid w:val="00C8473F"/>
    <w:rsid w:val="00C84A8C"/>
    <w:rsid w:val="00C84B30"/>
    <w:rsid w:val="00C85987"/>
    <w:rsid w:val="00C85AAD"/>
    <w:rsid w:val="00C85FE0"/>
    <w:rsid w:val="00C86580"/>
    <w:rsid w:val="00C8669F"/>
    <w:rsid w:val="00C8673C"/>
    <w:rsid w:val="00C86E20"/>
    <w:rsid w:val="00C87419"/>
    <w:rsid w:val="00C875BC"/>
    <w:rsid w:val="00C907ED"/>
    <w:rsid w:val="00C918C0"/>
    <w:rsid w:val="00C91ACA"/>
    <w:rsid w:val="00C91E89"/>
    <w:rsid w:val="00C91EDF"/>
    <w:rsid w:val="00C932FC"/>
    <w:rsid w:val="00C93500"/>
    <w:rsid w:val="00C93788"/>
    <w:rsid w:val="00C940FD"/>
    <w:rsid w:val="00C9448E"/>
    <w:rsid w:val="00C945C9"/>
    <w:rsid w:val="00C949B8"/>
    <w:rsid w:val="00C94B35"/>
    <w:rsid w:val="00C94D37"/>
    <w:rsid w:val="00C94F07"/>
    <w:rsid w:val="00C94F86"/>
    <w:rsid w:val="00C95D17"/>
    <w:rsid w:val="00C976FF"/>
    <w:rsid w:val="00C97D4F"/>
    <w:rsid w:val="00CA0FBA"/>
    <w:rsid w:val="00CA10DA"/>
    <w:rsid w:val="00CA1784"/>
    <w:rsid w:val="00CA1A93"/>
    <w:rsid w:val="00CA1D90"/>
    <w:rsid w:val="00CA1E59"/>
    <w:rsid w:val="00CA2293"/>
    <w:rsid w:val="00CA25A2"/>
    <w:rsid w:val="00CA30BB"/>
    <w:rsid w:val="00CA3118"/>
    <w:rsid w:val="00CA35F7"/>
    <w:rsid w:val="00CA3FB7"/>
    <w:rsid w:val="00CA4C0E"/>
    <w:rsid w:val="00CA5650"/>
    <w:rsid w:val="00CA595D"/>
    <w:rsid w:val="00CA6517"/>
    <w:rsid w:val="00CA65F3"/>
    <w:rsid w:val="00CA6FD5"/>
    <w:rsid w:val="00CA7528"/>
    <w:rsid w:val="00CA7718"/>
    <w:rsid w:val="00CB12B6"/>
    <w:rsid w:val="00CB13ED"/>
    <w:rsid w:val="00CB172D"/>
    <w:rsid w:val="00CB1BD8"/>
    <w:rsid w:val="00CB1E16"/>
    <w:rsid w:val="00CB2BE3"/>
    <w:rsid w:val="00CB340B"/>
    <w:rsid w:val="00CB380E"/>
    <w:rsid w:val="00CB3A1F"/>
    <w:rsid w:val="00CB4A5D"/>
    <w:rsid w:val="00CB517F"/>
    <w:rsid w:val="00CB522F"/>
    <w:rsid w:val="00CB5BDE"/>
    <w:rsid w:val="00CB6265"/>
    <w:rsid w:val="00CB63FF"/>
    <w:rsid w:val="00CB6C39"/>
    <w:rsid w:val="00CB70A5"/>
    <w:rsid w:val="00CB72BB"/>
    <w:rsid w:val="00CB758C"/>
    <w:rsid w:val="00CB7BE8"/>
    <w:rsid w:val="00CC0F2C"/>
    <w:rsid w:val="00CC120E"/>
    <w:rsid w:val="00CC1FB9"/>
    <w:rsid w:val="00CC21A4"/>
    <w:rsid w:val="00CC27AA"/>
    <w:rsid w:val="00CC2B94"/>
    <w:rsid w:val="00CC32BF"/>
    <w:rsid w:val="00CC362B"/>
    <w:rsid w:val="00CC371D"/>
    <w:rsid w:val="00CC39F1"/>
    <w:rsid w:val="00CC3F5A"/>
    <w:rsid w:val="00CC4D5C"/>
    <w:rsid w:val="00CC4F32"/>
    <w:rsid w:val="00CC4F7E"/>
    <w:rsid w:val="00CC53C9"/>
    <w:rsid w:val="00CC5E86"/>
    <w:rsid w:val="00CC69D7"/>
    <w:rsid w:val="00CC7437"/>
    <w:rsid w:val="00CC7A2A"/>
    <w:rsid w:val="00CC7D69"/>
    <w:rsid w:val="00CD013A"/>
    <w:rsid w:val="00CD04E8"/>
    <w:rsid w:val="00CD13DE"/>
    <w:rsid w:val="00CD1C61"/>
    <w:rsid w:val="00CD1D26"/>
    <w:rsid w:val="00CD2545"/>
    <w:rsid w:val="00CD2679"/>
    <w:rsid w:val="00CD2681"/>
    <w:rsid w:val="00CD3FB4"/>
    <w:rsid w:val="00CD3FC8"/>
    <w:rsid w:val="00CD430D"/>
    <w:rsid w:val="00CD4C7A"/>
    <w:rsid w:val="00CD4F2D"/>
    <w:rsid w:val="00CD5088"/>
    <w:rsid w:val="00CD55AD"/>
    <w:rsid w:val="00CD5603"/>
    <w:rsid w:val="00CD6250"/>
    <w:rsid w:val="00CD6448"/>
    <w:rsid w:val="00CD6573"/>
    <w:rsid w:val="00CD6AE9"/>
    <w:rsid w:val="00CD74FF"/>
    <w:rsid w:val="00CD7520"/>
    <w:rsid w:val="00CD7570"/>
    <w:rsid w:val="00CD7973"/>
    <w:rsid w:val="00CD7B65"/>
    <w:rsid w:val="00CD7E47"/>
    <w:rsid w:val="00CD7FAD"/>
    <w:rsid w:val="00CE106A"/>
    <w:rsid w:val="00CE127A"/>
    <w:rsid w:val="00CE172C"/>
    <w:rsid w:val="00CE1971"/>
    <w:rsid w:val="00CE28B8"/>
    <w:rsid w:val="00CE3414"/>
    <w:rsid w:val="00CE3C9B"/>
    <w:rsid w:val="00CE408A"/>
    <w:rsid w:val="00CE6D2C"/>
    <w:rsid w:val="00CE72A5"/>
    <w:rsid w:val="00CE73AF"/>
    <w:rsid w:val="00CE7831"/>
    <w:rsid w:val="00CE79EE"/>
    <w:rsid w:val="00CF0300"/>
    <w:rsid w:val="00CF0387"/>
    <w:rsid w:val="00CF0938"/>
    <w:rsid w:val="00CF1D30"/>
    <w:rsid w:val="00CF222B"/>
    <w:rsid w:val="00CF26AF"/>
    <w:rsid w:val="00CF36F7"/>
    <w:rsid w:val="00CF3711"/>
    <w:rsid w:val="00CF3ABF"/>
    <w:rsid w:val="00CF4069"/>
    <w:rsid w:val="00CF43E8"/>
    <w:rsid w:val="00CF4B6C"/>
    <w:rsid w:val="00CF5422"/>
    <w:rsid w:val="00CF5885"/>
    <w:rsid w:val="00CF5D93"/>
    <w:rsid w:val="00CF64EC"/>
    <w:rsid w:val="00CF716A"/>
    <w:rsid w:val="00CF7C44"/>
    <w:rsid w:val="00CF7D6C"/>
    <w:rsid w:val="00D00A0F"/>
    <w:rsid w:val="00D011FE"/>
    <w:rsid w:val="00D017D2"/>
    <w:rsid w:val="00D02206"/>
    <w:rsid w:val="00D02FAC"/>
    <w:rsid w:val="00D03868"/>
    <w:rsid w:val="00D03DCA"/>
    <w:rsid w:val="00D03DF4"/>
    <w:rsid w:val="00D04786"/>
    <w:rsid w:val="00D04FF8"/>
    <w:rsid w:val="00D053A6"/>
    <w:rsid w:val="00D05E7A"/>
    <w:rsid w:val="00D069BF"/>
    <w:rsid w:val="00D06A17"/>
    <w:rsid w:val="00D06C89"/>
    <w:rsid w:val="00D0759C"/>
    <w:rsid w:val="00D07869"/>
    <w:rsid w:val="00D07CA1"/>
    <w:rsid w:val="00D10180"/>
    <w:rsid w:val="00D10445"/>
    <w:rsid w:val="00D10F06"/>
    <w:rsid w:val="00D1145B"/>
    <w:rsid w:val="00D12E72"/>
    <w:rsid w:val="00D13807"/>
    <w:rsid w:val="00D13C3A"/>
    <w:rsid w:val="00D13F8F"/>
    <w:rsid w:val="00D14694"/>
    <w:rsid w:val="00D14BDF"/>
    <w:rsid w:val="00D15055"/>
    <w:rsid w:val="00D15074"/>
    <w:rsid w:val="00D15BAE"/>
    <w:rsid w:val="00D15FF6"/>
    <w:rsid w:val="00D16648"/>
    <w:rsid w:val="00D1722C"/>
    <w:rsid w:val="00D1727B"/>
    <w:rsid w:val="00D17299"/>
    <w:rsid w:val="00D174C7"/>
    <w:rsid w:val="00D20608"/>
    <w:rsid w:val="00D20C6A"/>
    <w:rsid w:val="00D21A56"/>
    <w:rsid w:val="00D22313"/>
    <w:rsid w:val="00D229E2"/>
    <w:rsid w:val="00D2371F"/>
    <w:rsid w:val="00D23ADC"/>
    <w:rsid w:val="00D23EF3"/>
    <w:rsid w:val="00D242F4"/>
    <w:rsid w:val="00D246B4"/>
    <w:rsid w:val="00D2532A"/>
    <w:rsid w:val="00D2543D"/>
    <w:rsid w:val="00D25A9D"/>
    <w:rsid w:val="00D25E33"/>
    <w:rsid w:val="00D25E66"/>
    <w:rsid w:val="00D26159"/>
    <w:rsid w:val="00D26770"/>
    <w:rsid w:val="00D26899"/>
    <w:rsid w:val="00D2694F"/>
    <w:rsid w:val="00D27A55"/>
    <w:rsid w:val="00D30FB7"/>
    <w:rsid w:val="00D31C76"/>
    <w:rsid w:val="00D329A0"/>
    <w:rsid w:val="00D33164"/>
    <w:rsid w:val="00D33237"/>
    <w:rsid w:val="00D339E6"/>
    <w:rsid w:val="00D34967"/>
    <w:rsid w:val="00D34FFF"/>
    <w:rsid w:val="00D3548E"/>
    <w:rsid w:val="00D359AD"/>
    <w:rsid w:val="00D35B1F"/>
    <w:rsid w:val="00D362AC"/>
    <w:rsid w:val="00D369EE"/>
    <w:rsid w:val="00D37548"/>
    <w:rsid w:val="00D377B8"/>
    <w:rsid w:val="00D37D12"/>
    <w:rsid w:val="00D37E95"/>
    <w:rsid w:val="00D40056"/>
    <w:rsid w:val="00D40C3C"/>
    <w:rsid w:val="00D4121A"/>
    <w:rsid w:val="00D412E0"/>
    <w:rsid w:val="00D418B5"/>
    <w:rsid w:val="00D41F22"/>
    <w:rsid w:val="00D42B37"/>
    <w:rsid w:val="00D43A41"/>
    <w:rsid w:val="00D43D44"/>
    <w:rsid w:val="00D44765"/>
    <w:rsid w:val="00D44845"/>
    <w:rsid w:val="00D449AE"/>
    <w:rsid w:val="00D44F20"/>
    <w:rsid w:val="00D45879"/>
    <w:rsid w:val="00D45C00"/>
    <w:rsid w:val="00D460F8"/>
    <w:rsid w:val="00D4619D"/>
    <w:rsid w:val="00D46337"/>
    <w:rsid w:val="00D47111"/>
    <w:rsid w:val="00D47146"/>
    <w:rsid w:val="00D4734D"/>
    <w:rsid w:val="00D47A8D"/>
    <w:rsid w:val="00D47BC2"/>
    <w:rsid w:val="00D5094E"/>
    <w:rsid w:val="00D50D49"/>
    <w:rsid w:val="00D511AC"/>
    <w:rsid w:val="00D5145E"/>
    <w:rsid w:val="00D5195F"/>
    <w:rsid w:val="00D51AB4"/>
    <w:rsid w:val="00D52E6E"/>
    <w:rsid w:val="00D5308A"/>
    <w:rsid w:val="00D538A6"/>
    <w:rsid w:val="00D53FCA"/>
    <w:rsid w:val="00D544F7"/>
    <w:rsid w:val="00D5453D"/>
    <w:rsid w:val="00D5472E"/>
    <w:rsid w:val="00D548F1"/>
    <w:rsid w:val="00D54D63"/>
    <w:rsid w:val="00D5544C"/>
    <w:rsid w:val="00D55A9E"/>
    <w:rsid w:val="00D55E08"/>
    <w:rsid w:val="00D56DE2"/>
    <w:rsid w:val="00D57EF3"/>
    <w:rsid w:val="00D6024F"/>
    <w:rsid w:val="00D6103D"/>
    <w:rsid w:val="00D629AB"/>
    <w:rsid w:val="00D63F77"/>
    <w:rsid w:val="00D6444E"/>
    <w:rsid w:val="00D64D60"/>
    <w:rsid w:val="00D6575D"/>
    <w:rsid w:val="00D65EB6"/>
    <w:rsid w:val="00D66722"/>
    <w:rsid w:val="00D66B58"/>
    <w:rsid w:val="00D67AA0"/>
    <w:rsid w:val="00D67DD7"/>
    <w:rsid w:val="00D70391"/>
    <w:rsid w:val="00D703F0"/>
    <w:rsid w:val="00D70829"/>
    <w:rsid w:val="00D716DE"/>
    <w:rsid w:val="00D7219B"/>
    <w:rsid w:val="00D7229B"/>
    <w:rsid w:val="00D7316E"/>
    <w:rsid w:val="00D7384B"/>
    <w:rsid w:val="00D73C80"/>
    <w:rsid w:val="00D74379"/>
    <w:rsid w:val="00D743BE"/>
    <w:rsid w:val="00D7496E"/>
    <w:rsid w:val="00D74A9E"/>
    <w:rsid w:val="00D758CC"/>
    <w:rsid w:val="00D764B2"/>
    <w:rsid w:val="00D76EC7"/>
    <w:rsid w:val="00D77519"/>
    <w:rsid w:val="00D77D20"/>
    <w:rsid w:val="00D80F51"/>
    <w:rsid w:val="00D81747"/>
    <w:rsid w:val="00D81E0F"/>
    <w:rsid w:val="00D82022"/>
    <w:rsid w:val="00D821CB"/>
    <w:rsid w:val="00D82D02"/>
    <w:rsid w:val="00D83395"/>
    <w:rsid w:val="00D8404F"/>
    <w:rsid w:val="00D8457E"/>
    <w:rsid w:val="00D85D09"/>
    <w:rsid w:val="00D905FC"/>
    <w:rsid w:val="00D907C7"/>
    <w:rsid w:val="00D90C70"/>
    <w:rsid w:val="00D92336"/>
    <w:rsid w:val="00D92A1A"/>
    <w:rsid w:val="00D92B30"/>
    <w:rsid w:val="00D92ED4"/>
    <w:rsid w:val="00D93706"/>
    <w:rsid w:val="00D93F9A"/>
    <w:rsid w:val="00D945A3"/>
    <w:rsid w:val="00D94A3E"/>
    <w:rsid w:val="00D94C96"/>
    <w:rsid w:val="00D95438"/>
    <w:rsid w:val="00D955DB"/>
    <w:rsid w:val="00D961FE"/>
    <w:rsid w:val="00D96266"/>
    <w:rsid w:val="00D96C71"/>
    <w:rsid w:val="00D96E90"/>
    <w:rsid w:val="00D96EB3"/>
    <w:rsid w:val="00D9797F"/>
    <w:rsid w:val="00D97A31"/>
    <w:rsid w:val="00DA2743"/>
    <w:rsid w:val="00DA2C40"/>
    <w:rsid w:val="00DA30F7"/>
    <w:rsid w:val="00DA3B3F"/>
    <w:rsid w:val="00DA3CF2"/>
    <w:rsid w:val="00DA43D3"/>
    <w:rsid w:val="00DA51B6"/>
    <w:rsid w:val="00DA53FD"/>
    <w:rsid w:val="00DA5640"/>
    <w:rsid w:val="00DA57AF"/>
    <w:rsid w:val="00DA5D47"/>
    <w:rsid w:val="00DA7F13"/>
    <w:rsid w:val="00DB0EBA"/>
    <w:rsid w:val="00DB145D"/>
    <w:rsid w:val="00DB1D8B"/>
    <w:rsid w:val="00DB1F07"/>
    <w:rsid w:val="00DB47BB"/>
    <w:rsid w:val="00DB4C01"/>
    <w:rsid w:val="00DB4C80"/>
    <w:rsid w:val="00DB5B45"/>
    <w:rsid w:val="00DB5D9D"/>
    <w:rsid w:val="00DB5E59"/>
    <w:rsid w:val="00DB5F15"/>
    <w:rsid w:val="00DB60B9"/>
    <w:rsid w:val="00DB64D4"/>
    <w:rsid w:val="00DB65BF"/>
    <w:rsid w:val="00DB6D28"/>
    <w:rsid w:val="00DB76B5"/>
    <w:rsid w:val="00DB772B"/>
    <w:rsid w:val="00DB7B6B"/>
    <w:rsid w:val="00DB7D99"/>
    <w:rsid w:val="00DB7DD4"/>
    <w:rsid w:val="00DC05E3"/>
    <w:rsid w:val="00DC07D8"/>
    <w:rsid w:val="00DC0AEB"/>
    <w:rsid w:val="00DC0C1D"/>
    <w:rsid w:val="00DC0E95"/>
    <w:rsid w:val="00DC0F91"/>
    <w:rsid w:val="00DC1F5D"/>
    <w:rsid w:val="00DC1FAD"/>
    <w:rsid w:val="00DC2392"/>
    <w:rsid w:val="00DC282E"/>
    <w:rsid w:val="00DC3C0C"/>
    <w:rsid w:val="00DC3CAF"/>
    <w:rsid w:val="00DC40E1"/>
    <w:rsid w:val="00DC55CA"/>
    <w:rsid w:val="00DC5CE8"/>
    <w:rsid w:val="00DC63D9"/>
    <w:rsid w:val="00DC7E08"/>
    <w:rsid w:val="00DD0955"/>
    <w:rsid w:val="00DD0CF1"/>
    <w:rsid w:val="00DD0EB7"/>
    <w:rsid w:val="00DD15E8"/>
    <w:rsid w:val="00DD1C51"/>
    <w:rsid w:val="00DD3429"/>
    <w:rsid w:val="00DD3998"/>
    <w:rsid w:val="00DD5339"/>
    <w:rsid w:val="00DD5629"/>
    <w:rsid w:val="00DD5826"/>
    <w:rsid w:val="00DD5998"/>
    <w:rsid w:val="00DD5C7D"/>
    <w:rsid w:val="00DD5F09"/>
    <w:rsid w:val="00DD6092"/>
    <w:rsid w:val="00DD66A6"/>
    <w:rsid w:val="00DD7098"/>
    <w:rsid w:val="00DD7173"/>
    <w:rsid w:val="00DD7269"/>
    <w:rsid w:val="00DE0188"/>
    <w:rsid w:val="00DE068D"/>
    <w:rsid w:val="00DE07CA"/>
    <w:rsid w:val="00DE09D6"/>
    <w:rsid w:val="00DE266E"/>
    <w:rsid w:val="00DE277A"/>
    <w:rsid w:val="00DE27EC"/>
    <w:rsid w:val="00DE2BF5"/>
    <w:rsid w:val="00DE3353"/>
    <w:rsid w:val="00DE3467"/>
    <w:rsid w:val="00DE44AA"/>
    <w:rsid w:val="00DE4829"/>
    <w:rsid w:val="00DE4AFD"/>
    <w:rsid w:val="00DE5453"/>
    <w:rsid w:val="00DE5EFF"/>
    <w:rsid w:val="00DE61EB"/>
    <w:rsid w:val="00DE6300"/>
    <w:rsid w:val="00DE63F6"/>
    <w:rsid w:val="00DE6A9A"/>
    <w:rsid w:val="00DE6F10"/>
    <w:rsid w:val="00DE7178"/>
    <w:rsid w:val="00DE7514"/>
    <w:rsid w:val="00DE7ECF"/>
    <w:rsid w:val="00DF0835"/>
    <w:rsid w:val="00DF12F8"/>
    <w:rsid w:val="00DF1346"/>
    <w:rsid w:val="00DF14E9"/>
    <w:rsid w:val="00DF203D"/>
    <w:rsid w:val="00DF2399"/>
    <w:rsid w:val="00DF29ED"/>
    <w:rsid w:val="00DF2A3E"/>
    <w:rsid w:val="00DF3162"/>
    <w:rsid w:val="00DF3490"/>
    <w:rsid w:val="00DF4DB9"/>
    <w:rsid w:val="00DF5258"/>
    <w:rsid w:val="00DF61EC"/>
    <w:rsid w:val="00DF63C7"/>
    <w:rsid w:val="00DF6DDB"/>
    <w:rsid w:val="00DF6E82"/>
    <w:rsid w:val="00DF7387"/>
    <w:rsid w:val="00DF795C"/>
    <w:rsid w:val="00E0051F"/>
    <w:rsid w:val="00E00C3E"/>
    <w:rsid w:val="00E00E66"/>
    <w:rsid w:val="00E00E9E"/>
    <w:rsid w:val="00E00F4C"/>
    <w:rsid w:val="00E032A9"/>
    <w:rsid w:val="00E03E62"/>
    <w:rsid w:val="00E0421F"/>
    <w:rsid w:val="00E0439F"/>
    <w:rsid w:val="00E05B83"/>
    <w:rsid w:val="00E060B3"/>
    <w:rsid w:val="00E060C2"/>
    <w:rsid w:val="00E063D9"/>
    <w:rsid w:val="00E06932"/>
    <w:rsid w:val="00E10751"/>
    <w:rsid w:val="00E1089B"/>
    <w:rsid w:val="00E11060"/>
    <w:rsid w:val="00E1195D"/>
    <w:rsid w:val="00E11A38"/>
    <w:rsid w:val="00E11F66"/>
    <w:rsid w:val="00E12132"/>
    <w:rsid w:val="00E12575"/>
    <w:rsid w:val="00E129D2"/>
    <w:rsid w:val="00E132B8"/>
    <w:rsid w:val="00E14800"/>
    <w:rsid w:val="00E14A80"/>
    <w:rsid w:val="00E14C28"/>
    <w:rsid w:val="00E152F7"/>
    <w:rsid w:val="00E15C8E"/>
    <w:rsid w:val="00E15D8C"/>
    <w:rsid w:val="00E1686D"/>
    <w:rsid w:val="00E169C2"/>
    <w:rsid w:val="00E175D8"/>
    <w:rsid w:val="00E20014"/>
    <w:rsid w:val="00E206A0"/>
    <w:rsid w:val="00E20938"/>
    <w:rsid w:val="00E213A6"/>
    <w:rsid w:val="00E21643"/>
    <w:rsid w:val="00E21CED"/>
    <w:rsid w:val="00E21FC5"/>
    <w:rsid w:val="00E233D1"/>
    <w:rsid w:val="00E236BD"/>
    <w:rsid w:val="00E23D6E"/>
    <w:rsid w:val="00E23E09"/>
    <w:rsid w:val="00E23E79"/>
    <w:rsid w:val="00E24744"/>
    <w:rsid w:val="00E24D4F"/>
    <w:rsid w:val="00E24EC2"/>
    <w:rsid w:val="00E25483"/>
    <w:rsid w:val="00E25644"/>
    <w:rsid w:val="00E259D8"/>
    <w:rsid w:val="00E25C24"/>
    <w:rsid w:val="00E26072"/>
    <w:rsid w:val="00E2620B"/>
    <w:rsid w:val="00E26306"/>
    <w:rsid w:val="00E27309"/>
    <w:rsid w:val="00E277E1"/>
    <w:rsid w:val="00E3044C"/>
    <w:rsid w:val="00E30658"/>
    <w:rsid w:val="00E30884"/>
    <w:rsid w:val="00E31D9B"/>
    <w:rsid w:val="00E31F3A"/>
    <w:rsid w:val="00E33FB8"/>
    <w:rsid w:val="00E34030"/>
    <w:rsid w:val="00E34048"/>
    <w:rsid w:val="00E341D8"/>
    <w:rsid w:val="00E341F8"/>
    <w:rsid w:val="00E35D69"/>
    <w:rsid w:val="00E368B3"/>
    <w:rsid w:val="00E3691F"/>
    <w:rsid w:val="00E36D5E"/>
    <w:rsid w:val="00E37007"/>
    <w:rsid w:val="00E37078"/>
    <w:rsid w:val="00E40C98"/>
    <w:rsid w:val="00E412B3"/>
    <w:rsid w:val="00E41CFC"/>
    <w:rsid w:val="00E41F04"/>
    <w:rsid w:val="00E422B1"/>
    <w:rsid w:val="00E42918"/>
    <w:rsid w:val="00E429AF"/>
    <w:rsid w:val="00E42BAB"/>
    <w:rsid w:val="00E42E29"/>
    <w:rsid w:val="00E42F1C"/>
    <w:rsid w:val="00E434FD"/>
    <w:rsid w:val="00E436C8"/>
    <w:rsid w:val="00E438C3"/>
    <w:rsid w:val="00E43B81"/>
    <w:rsid w:val="00E43C77"/>
    <w:rsid w:val="00E441C3"/>
    <w:rsid w:val="00E45189"/>
    <w:rsid w:val="00E4538A"/>
    <w:rsid w:val="00E45AE9"/>
    <w:rsid w:val="00E45B0A"/>
    <w:rsid w:val="00E46EAA"/>
    <w:rsid w:val="00E46FD7"/>
    <w:rsid w:val="00E474BC"/>
    <w:rsid w:val="00E47CE2"/>
    <w:rsid w:val="00E501C1"/>
    <w:rsid w:val="00E508B1"/>
    <w:rsid w:val="00E509F3"/>
    <w:rsid w:val="00E50F81"/>
    <w:rsid w:val="00E52720"/>
    <w:rsid w:val="00E53842"/>
    <w:rsid w:val="00E53980"/>
    <w:rsid w:val="00E53F06"/>
    <w:rsid w:val="00E542DB"/>
    <w:rsid w:val="00E548FB"/>
    <w:rsid w:val="00E550E6"/>
    <w:rsid w:val="00E55412"/>
    <w:rsid w:val="00E556E5"/>
    <w:rsid w:val="00E55CA8"/>
    <w:rsid w:val="00E5642F"/>
    <w:rsid w:val="00E56451"/>
    <w:rsid w:val="00E56561"/>
    <w:rsid w:val="00E566FE"/>
    <w:rsid w:val="00E56CD5"/>
    <w:rsid w:val="00E56D6C"/>
    <w:rsid w:val="00E56E43"/>
    <w:rsid w:val="00E57439"/>
    <w:rsid w:val="00E57B86"/>
    <w:rsid w:val="00E6128C"/>
    <w:rsid w:val="00E6153D"/>
    <w:rsid w:val="00E61F3F"/>
    <w:rsid w:val="00E62288"/>
    <w:rsid w:val="00E62ABA"/>
    <w:rsid w:val="00E63253"/>
    <w:rsid w:val="00E63DC4"/>
    <w:rsid w:val="00E64F47"/>
    <w:rsid w:val="00E65FEF"/>
    <w:rsid w:val="00E662AF"/>
    <w:rsid w:val="00E66827"/>
    <w:rsid w:val="00E6732F"/>
    <w:rsid w:val="00E67755"/>
    <w:rsid w:val="00E67BB0"/>
    <w:rsid w:val="00E67FE0"/>
    <w:rsid w:val="00E70388"/>
    <w:rsid w:val="00E70902"/>
    <w:rsid w:val="00E70E8F"/>
    <w:rsid w:val="00E71533"/>
    <w:rsid w:val="00E71B6B"/>
    <w:rsid w:val="00E721EA"/>
    <w:rsid w:val="00E7254D"/>
    <w:rsid w:val="00E72E99"/>
    <w:rsid w:val="00E72EB7"/>
    <w:rsid w:val="00E74629"/>
    <w:rsid w:val="00E75580"/>
    <w:rsid w:val="00E755EF"/>
    <w:rsid w:val="00E75655"/>
    <w:rsid w:val="00E7595B"/>
    <w:rsid w:val="00E75D1C"/>
    <w:rsid w:val="00E75FDE"/>
    <w:rsid w:val="00E76AAF"/>
    <w:rsid w:val="00E76FFE"/>
    <w:rsid w:val="00E77269"/>
    <w:rsid w:val="00E777C3"/>
    <w:rsid w:val="00E80099"/>
    <w:rsid w:val="00E80152"/>
    <w:rsid w:val="00E80DCC"/>
    <w:rsid w:val="00E814F5"/>
    <w:rsid w:val="00E8191C"/>
    <w:rsid w:val="00E8205E"/>
    <w:rsid w:val="00E823A0"/>
    <w:rsid w:val="00E82871"/>
    <w:rsid w:val="00E82911"/>
    <w:rsid w:val="00E829FC"/>
    <w:rsid w:val="00E82A1A"/>
    <w:rsid w:val="00E82D13"/>
    <w:rsid w:val="00E83B71"/>
    <w:rsid w:val="00E84662"/>
    <w:rsid w:val="00E84F61"/>
    <w:rsid w:val="00E85152"/>
    <w:rsid w:val="00E854AE"/>
    <w:rsid w:val="00E860E1"/>
    <w:rsid w:val="00E860FD"/>
    <w:rsid w:val="00E86C55"/>
    <w:rsid w:val="00E87468"/>
    <w:rsid w:val="00E8774C"/>
    <w:rsid w:val="00E87E3E"/>
    <w:rsid w:val="00E9002C"/>
    <w:rsid w:val="00E90B57"/>
    <w:rsid w:val="00E90EE9"/>
    <w:rsid w:val="00E917A6"/>
    <w:rsid w:val="00E92057"/>
    <w:rsid w:val="00E9212A"/>
    <w:rsid w:val="00E92392"/>
    <w:rsid w:val="00E92F18"/>
    <w:rsid w:val="00E94B1D"/>
    <w:rsid w:val="00E951DF"/>
    <w:rsid w:val="00E95C06"/>
    <w:rsid w:val="00E95C8F"/>
    <w:rsid w:val="00E95F46"/>
    <w:rsid w:val="00E96025"/>
    <w:rsid w:val="00E9671F"/>
    <w:rsid w:val="00E96735"/>
    <w:rsid w:val="00E9734D"/>
    <w:rsid w:val="00EA16B1"/>
    <w:rsid w:val="00EA25DC"/>
    <w:rsid w:val="00EA2765"/>
    <w:rsid w:val="00EA336E"/>
    <w:rsid w:val="00EA3811"/>
    <w:rsid w:val="00EA396D"/>
    <w:rsid w:val="00EA3B7E"/>
    <w:rsid w:val="00EA5762"/>
    <w:rsid w:val="00EA58CC"/>
    <w:rsid w:val="00EA5921"/>
    <w:rsid w:val="00EA5BA8"/>
    <w:rsid w:val="00EA5FBD"/>
    <w:rsid w:val="00EA6002"/>
    <w:rsid w:val="00EA7140"/>
    <w:rsid w:val="00EA74AD"/>
    <w:rsid w:val="00EA7886"/>
    <w:rsid w:val="00EA7A4C"/>
    <w:rsid w:val="00EB0CB0"/>
    <w:rsid w:val="00EB0EFA"/>
    <w:rsid w:val="00EB1911"/>
    <w:rsid w:val="00EB1B78"/>
    <w:rsid w:val="00EB227E"/>
    <w:rsid w:val="00EB2321"/>
    <w:rsid w:val="00EB2839"/>
    <w:rsid w:val="00EB31EF"/>
    <w:rsid w:val="00EB31FA"/>
    <w:rsid w:val="00EB37D1"/>
    <w:rsid w:val="00EB488E"/>
    <w:rsid w:val="00EB600D"/>
    <w:rsid w:val="00EB62DC"/>
    <w:rsid w:val="00EB6337"/>
    <w:rsid w:val="00EB657E"/>
    <w:rsid w:val="00EB690F"/>
    <w:rsid w:val="00EB705F"/>
    <w:rsid w:val="00EB71C7"/>
    <w:rsid w:val="00EB7A20"/>
    <w:rsid w:val="00EC04CE"/>
    <w:rsid w:val="00EC1665"/>
    <w:rsid w:val="00EC20A1"/>
    <w:rsid w:val="00EC2AB1"/>
    <w:rsid w:val="00EC383A"/>
    <w:rsid w:val="00EC424F"/>
    <w:rsid w:val="00EC4349"/>
    <w:rsid w:val="00EC4446"/>
    <w:rsid w:val="00EC4781"/>
    <w:rsid w:val="00EC557C"/>
    <w:rsid w:val="00EC61A1"/>
    <w:rsid w:val="00EC6CD4"/>
    <w:rsid w:val="00EC6E2E"/>
    <w:rsid w:val="00EC700D"/>
    <w:rsid w:val="00EC70CE"/>
    <w:rsid w:val="00EC7183"/>
    <w:rsid w:val="00EC7635"/>
    <w:rsid w:val="00EC7779"/>
    <w:rsid w:val="00EC784F"/>
    <w:rsid w:val="00EC7C53"/>
    <w:rsid w:val="00ED0AC1"/>
    <w:rsid w:val="00ED0AE5"/>
    <w:rsid w:val="00ED1140"/>
    <w:rsid w:val="00ED1A5A"/>
    <w:rsid w:val="00ED1EEC"/>
    <w:rsid w:val="00ED222C"/>
    <w:rsid w:val="00ED25B4"/>
    <w:rsid w:val="00ED263E"/>
    <w:rsid w:val="00ED2D6E"/>
    <w:rsid w:val="00ED2F4C"/>
    <w:rsid w:val="00ED33F1"/>
    <w:rsid w:val="00ED37A5"/>
    <w:rsid w:val="00ED3C4B"/>
    <w:rsid w:val="00ED3CC3"/>
    <w:rsid w:val="00ED44CF"/>
    <w:rsid w:val="00ED4E24"/>
    <w:rsid w:val="00ED5120"/>
    <w:rsid w:val="00ED5432"/>
    <w:rsid w:val="00ED62BD"/>
    <w:rsid w:val="00ED63FF"/>
    <w:rsid w:val="00ED69E0"/>
    <w:rsid w:val="00ED6AE2"/>
    <w:rsid w:val="00ED6D17"/>
    <w:rsid w:val="00ED750F"/>
    <w:rsid w:val="00EE11EE"/>
    <w:rsid w:val="00EE15CA"/>
    <w:rsid w:val="00EE1C00"/>
    <w:rsid w:val="00EE300E"/>
    <w:rsid w:val="00EE337B"/>
    <w:rsid w:val="00EE349B"/>
    <w:rsid w:val="00EE3A7B"/>
    <w:rsid w:val="00EE4046"/>
    <w:rsid w:val="00EE5214"/>
    <w:rsid w:val="00EE5460"/>
    <w:rsid w:val="00EE5783"/>
    <w:rsid w:val="00EE5B06"/>
    <w:rsid w:val="00EE696A"/>
    <w:rsid w:val="00EE769F"/>
    <w:rsid w:val="00EF0828"/>
    <w:rsid w:val="00EF1F23"/>
    <w:rsid w:val="00EF2E3E"/>
    <w:rsid w:val="00EF3285"/>
    <w:rsid w:val="00EF336C"/>
    <w:rsid w:val="00EF50CD"/>
    <w:rsid w:val="00EF52C1"/>
    <w:rsid w:val="00EF58F4"/>
    <w:rsid w:val="00EF5932"/>
    <w:rsid w:val="00EF5B30"/>
    <w:rsid w:val="00EF62E9"/>
    <w:rsid w:val="00EF6537"/>
    <w:rsid w:val="00EF69AF"/>
    <w:rsid w:val="00EF74BF"/>
    <w:rsid w:val="00EF7B9E"/>
    <w:rsid w:val="00EF7C96"/>
    <w:rsid w:val="00EF7CD6"/>
    <w:rsid w:val="00F0003C"/>
    <w:rsid w:val="00F0006A"/>
    <w:rsid w:val="00F0020E"/>
    <w:rsid w:val="00F0042C"/>
    <w:rsid w:val="00F0063B"/>
    <w:rsid w:val="00F014A2"/>
    <w:rsid w:val="00F01BE4"/>
    <w:rsid w:val="00F023BC"/>
    <w:rsid w:val="00F024D6"/>
    <w:rsid w:val="00F02957"/>
    <w:rsid w:val="00F03863"/>
    <w:rsid w:val="00F04C67"/>
    <w:rsid w:val="00F04C7D"/>
    <w:rsid w:val="00F0522A"/>
    <w:rsid w:val="00F0578F"/>
    <w:rsid w:val="00F058F9"/>
    <w:rsid w:val="00F05F29"/>
    <w:rsid w:val="00F062A3"/>
    <w:rsid w:val="00F063B4"/>
    <w:rsid w:val="00F07BBE"/>
    <w:rsid w:val="00F10224"/>
    <w:rsid w:val="00F10BDE"/>
    <w:rsid w:val="00F11366"/>
    <w:rsid w:val="00F1154F"/>
    <w:rsid w:val="00F11C3A"/>
    <w:rsid w:val="00F11F77"/>
    <w:rsid w:val="00F12528"/>
    <w:rsid w:val="00F12EE4"/>
    <w:rsid w:val="00F13120"/>
    <w:rsid w:val="00F133C9"/>
    <w:rsid w:val="00F1349B"/>
    <w:rsid w:val="00F14079"/>
    <w:rsid w:val="00F14AB5"/>
    <w:rsid w:val="00F15131"/>
    <w:rsid w:val="00F15C8D"/>
    <w:rsid w:val="00F15FE4"/>
    <w:rsid w:val="00F16783"/>
    <w:rsid w:val="00F16844"/>
    <w:rsid w:val="00F16CBD"/>
    <w:rsid w:val="00F16E9A"/>
    <w:rsid w:val="00F1741A"/>
    <w:rsid w:val="00F17E64"/>
    <w:rsid w:val="00F21560"/>
    <w:rsid w:val="00F215ED"/>
    <w:rsid w:val="00F225E5"/>
    <w:rsid w:val="00F225FE"/>
    <w:rsid w:val="00F2275D"/>
    <w:rsid w:val="00F22934"/>
    <w:rsid w:val="00F22BA8"/>
    <w:rsid w:val="00F23F72"/>
    <w:rsid w:val="00F240DD"/>
    <w:rsid w:val="00F2453C"/>
    <w:rsid w:val="00F24A14"/>
    <w:rsid w:val="00F24CFF"/>
    <w:rsid w:val="00F24DC8"/>
    <w:rsid w:val="00F25539"/>
    <w:rsid w:val="00F25852"/>
    <w:rsid w:val="00F2592C"/>
    <w:rsid w:val="00F26BD6"/>
    <w:rsid w:val="00F26BE6"/>
    <w:rsid w:val="00F26ED0"/>
    <w:rsid w:val="00F2731E"/>
    <w:rsid w:val="00F27DFB"/>
    <w:rsid w:val="00F30919"/>
    <w:rsid w:val="00F3132A"/>
    <w:rsid w:val="00F31C2D"/>
    <w:rsid w:val="00F32392"/>
    <w:rsid w:val="00F3274F"/>
    <w:rsid w:val="00F32E3D"/>
    <w:rsid w:val="00F33CA6"/>
    <w:rsid w:val="00F341D3"/>
    <w:rsid w:val="00F341F0"/>
    <w:rsid w:val="00F342B6"/>
    <w:rsid w:val="00F34780"/>
    <w:rsid w:val="00F34BE6"/>
    <w:rsid w:val="00F350CE"/>
    <w:rsid w:val="00F35114"/>
    <w:rsid w:val="00F356F0"/>
    <w:rsid w:val="00F35E47"/>
    <w:rsid w:val="00F35EA1"/>
    <w:rsid w:val="00F3739A"/>
    <w:rsid w:val="00F37409"/>
    <w:rsid w:val="00F37C63"/>
    <w:rsid w:val="00F37D6D"/>
    <w:rsid w:val="00F37EAD"/>
    <w:rsid w:val="00F40358"/>
    <w:rsid w:val="00F40609"/>
    <w:rsid w:val="00F40AE2"/>
    <w:rsid w:val="00F40FA4"/>
    <w:rsid w:val="00F410F3"/>
    <w:rsid w:val="00F41C94"/>
    <w:rsid w:val="00F41E11"/>
    <w:rsid w:val="00F4265D"/>
    <w:rsid w:val="00F4289D"/>
    <w:rsid w:val="00F42F3C"/>
    <w:rsid w:val="00F4381F"/>
    <w:rsid w:val="00F43985"/>
    <w:rsid w:val="00F442E6"/>
    <w:rsid w:val="00F44982"/>
    <w:rsid w:val="00F44AC4"/>
    <w:rsid w:val="00F44E3E"/>
    <w:rsid w:val="00F45001"/>
    <w:rsid w:val="00F464D1"/>
    <w:rsid w:val="00F46782"/>
    <w:rsid w:val="00F47A44"/>
    <w:rsid w:val="00F47E73"/>
    <w:rsid w:val="00F5024A"/>
    <w:rsid w:val="00F51050"/>
    <w:rsid w:val="00F513D9"/>
    <w:rsid w:val="00F51744"/>
    <w:rsid w:val="00F51880"/>
    <w:rsid w:val="00F51A7B"/>
    <w:rsid w:val="00F52FEF"/>
    <w:rsid w:val="00F5307A"/>
    <w:rsid w:val="00F532B1"/>
    <w:rsid w:val="00F53312"/>
    <w:rsid w:val="00F536D2"/>
    <w:rsid w:val="00F53B88"/>
    <w:rsid w:val="00F54317"/>
    <w:rsid w:val="00F54976"/>
    <w:rsid w:val="00F55340"/>
    <w:rsid w:val="00F55446"/>
    <w:rsid w:val="00F555E5"/>
    <w:rsid w:val="00F579B7"/>
    <w:rsid w:val="00F57B20"/>
    <w:rsid w:val="00F57FA8"/>
    <w:rsid w:val="00F60914"/>
    <w:rsid w:val="00F620CE"/>
    <w:rsid w:val="00F621B2"/>
    <w:rsid w:val="00F62A7B"/>
    <w:rsid w:val="00F63753"/>
    <w:rsid w:val="00F6383D"/>
    <w:rsid w:val="00F639EC"/>
    <w:rsid w:val="00F640BB"/>
    <w:rsid w:val="00F64A28"/>
    <w:rsid w:val="00F65652"/>
    <w:rsid w:val="00F65B37"/>
    <w:rsid w:val="00F65E38"/>
    <w:rsid w:val="00F6610E"/>
    <w:rsid w:val="00F6613C"/>
    <w:rsid w:val="00F665DC"/>
    <w:rsid w:val="00F66E98"/>
    <w:rsid w:val="00F6707D"/>
    <w:rsid w:val="00F671D9"/>
    <w:rsid w:val="00F67685"/>
    <w:rsid w:val="00F67A37"/>
    <w:rsid w:val="00F67C7E"/>
    <w:rsid w:val="00F70955"/>
    <w:rsid w:val="00F70CAD"/>
    <w:rsid w:val="00F70CFA"/>
    <w:rsid w:val="00F70F5C"/>
    <w:rsid w:val="00F7239B"/>
    <w:rsid w:val="00F72642"/>
    <w:rsid w:val="00F728A0"/>
    <w:rsid w:val="00F731D6"/>
    <w:rsid w:val="00F73386"/>
    <w:rsid w:val="00F7343B"/>
    <w:rsid w:val="00F73B65"/>
    <w:rsid w:val="00F73BCC"/>
    <w:rsid w:val="00F73C97"/>
    <w:rsid w:val="00F740E7"/>
    <w:rsid w:val="00F7417B"/>
    <w:rsid w:val="00F744EB"/>
    <w:rsid w:val="00F74581"/>
    <w:rsid w:val="00F74DF8"/>
    <w:rsid w:val="00F754BA"/>
    <w:rsid w:val="00F7568C"/>
    <w:rsid w:val="00F767F2"/>
    <w:rsid w:val="00F773AD"/>
    <w:rsid w:val="00F77D3D"/>
    <w:rsid w:val="00F77F0D"/>
    <w:rsid w:val="00F80468"/>
    <w:rsid w:val="00F80EC7"/>
    <w:rsid w:val="00F80EF3"/>
    <w:rsid w:val="00F8155C"/>
    <w:rsid w:val="00F8162A"/>
    <w:rsid w:val="00F81AB6"/>
    <w:rsid w:val="00F8252E"/>
    <w:rsid w:val="00F8262F"/>
    <w:rsid w:val="00F829B9"/>
    <w:rsid w:val="00F83C1A"/>
    <w:rsid w:val="00F845F0"/>
    <w:rsid w:val="00F84619"/>
    <w:rsid w:val="00F85038"/>
    <w:rsid w:val="00F857D1"/>
    <w:rsid w:val="00F85874"/>
    <w:rsid w:val="00F85A27"/>
    <w:rsid w:val="00F85E00"/>
    <w:rsid w:val="00F863E1"/>
    <w:rsid w:val="00F86590"/>
    <w:rsid w:val="00F8663C"/>
    <w:rsid w:val="00F8716A"/>
    <w:rsid w:val="00F87456"/>
    <w:rsid w:val="00F902A8"/>
    <w:rsid w:val="00F910BC"/>
    <w:rsid w:val="00F912D2"/>
    <w:rsid w:val="00F9213A"/>
    <w:rsid w:val="00F924A3"/>
    <w:rsid w:val="00F928EA"/>
    <w:rsid w:val="00F93674"/>
    <w:rsid w:val="00F93CD0"/>
    <w:rsid w:val="00F9425A"/>
    <w:rsid w:val="00F942D7"/>
    <w:rsid w:val="00F95023"/>
    <w:rsid w:val="00F95042"/>
    <w:rsid w:val="00F9512D"/>
    <w:rsid w:val="00F9617E"/>
    <w:rsid w:val="00F963F0"/>
    <w:rsid w:val="00F9646F"/>
    <w:rsid w:val="00F964C3"/>
    <w:rsid w:val="00F96F83"/>
    <w:rsid w:val="00F96FB8"/>
    <w:rsid w:val="00FA056B"/>
    <w:rsid w:val="00FA120C"/>
    <w:rsid w:val="00FA23E4"/>
    <w:rsid w:val="00FA2DC7"/>
    <w:rsid w:val="00FA355B"/>
    <w:rsid w:val="00FA3B28"/>
    <w:rsid w:val="00FA3FCD"/>
    <w:rsid w:val="00FA4774"/>
    <w:rsid w:val="00FA4C81"/>
    <w:rsid w:val="00FA4EDB"/>
    <w:rsid w:val="00FA50F5"/>
    <w:rsid w:val="00FA54BD"/>
    <w:rsid w:val="00FA600B"/>
    <w:rsid w:val="00FA639A"/>
    <w:rsid w:val="00FA6B11"/>
    <w:rsid w:val="00FA6F82"/>
    <w:rsid w:val="00FA768A"/>
    <w:rsid w:val="00FA7C14"/>
    <w:rsid w:val="00FA7D65"/>
    <w:rsid w:val="00FB01A5"/>
    <w:rsid w:val="00FB0AFF"/>
    <w:rsid w:val="00FB105A"/>
    <w:rsid w:val="00FB1155"/>
    <w:rsid w:val="00FB1440"/>
    <w:rsid w:val="00FB1ADB"/>
    <w:rsid w:val="00FB24AC"/>
    <w:rsid w:val="00FB264D"/>
    <w:rsid w:val="00FB4271"/>
    <w:rsid w:val="00FB55DC"/>
    <w:rsid w:val="00FB5660"/>
    <w:rsid w:val="00FB5BA7"/>
    <w:rsid w:val="00FB5CAC"/>
    <w:rsid w:val="00FB5D77"/>
    <w:rsid w:val="00FB60B0"/>
    <w:rsid w:val="00FB657D"/>
    <w:rsid w:val="00FB679D"/>
    <w:rsid w:val="00FB714A"/>
    <w:rsid w:val="00FB7435"/>
    <w:rsid w:val="00FB79E5"/>
    <w:rsid w:val="00FB7F3D"/>
    <w:rsid w:val="00FC087E"/>
    <w:rsid w:val="00FC120D"/>
    <w:rsid w:val="00FC14AF"/>
    <w:rsid w:val="00FC18D3"/>
    <w:rsid w:val="00FC1BCD"/>
    <w:rsid w:val="00FC2748"/>
    <w:rsid w:val="00FC2932"/>
    <w:rsid w:val="00FC3D31"/>
    <w:rsid w:val="00FC495F"/>
    <w:rsid w:val="00FC4BF8"/>
    <w:rsid w:val="00FC5A12"/>
    <w:rsid w:val="00FC72D0"/>
    <w:rsid w:val="00FC7438"/>
    <w:rsid w:val="00FC78E4"/>
    <w:rsid w:val="00FD06E7"/>
    <w:rsid w:val="00FD0AF4"/>
    <w:rsid w:val="00FD0E9B"/>
    <w:rsid w:val="00FD1333"/>
    <w:rsid w:val="00FD1849"/>
    <w:rsid w:val="00FD24D8"/>
    <w:rsid w:val="00FD29C8"/>
    <w:rsid w:val="00FD2E86"/>
    <w:rsid w:val="00FD316C"/>
    <w:rsid w:val="00FD3372"/>
    <w:rsid w:val="00FD3ABA"/>
    <w:rsid w:val="00FD4454"/>
    <w:rsid w:val="00FD48C3"/>
    <w:rsid w:val="00FD51B5"/>
    <w:rsid w:val="00FD5430"/>
    <w:rsid w:val="00FD5613"/>
    <w:rsid w:val="00FD5852"/>
    <w:rsid w:val="00FD5A02"/>
    <w:rsid w:val="00FD6173"/>
    <w:rsid w:val="00FD65D0"/>
    <w:rsid w:val="00FE0339"/>
    <w:rsid w:val="00FE0A16"/>
    <w:rsid w:val="00FE1118"/>
    <w:rsid w:val="00FE12A4"/>
    <w:rsid w:val="00FE1B76"/>
    <w:rsid w:val="00FE1C26"/>
    <w:rsid w:val="00FE1E9C"/>
    <w:rsid w:val="00FE20DE"/>
    <w:rsid w:val="00FE2402"/>
    <w:rsid w:val="00FE2D83"/>
    <w:rsid w:val="00FE3C70"/>
    <w:rsid w:val="00FE3D16"/>
    <w:rsid w:val="00FE547C"/>
    <w:rsid w:val="00FE57E1"/>
    <w:rsid w:val="00FE5A74"/>
    <w:rsid w:val="00FE5C13"/>
    <w:rsid w:val="00FE5DDA"/>
    <w:rsid w:val="00FE6120"/>
    <w:rsid w:val="00FE66FE"/>
    <w:rsid w:val="00FE6A9D"/>
    <w:rsid w:val="00FE6FB0"/>
    <w:rsid w:val="00FE75AE"/>
    <w:rsid w:val="00FE76D7"/>
    <w:rsid w:val="00FF035A"/>
    <w:rsid w:val="00FF116F"/>
    <w:rsid w:val="00FF163E"/>
    <w:rsid w:val="00FF1840"/>
    <w:rsid w:val="00FF1DC8"/>
    <w:rsid w:val="00FF217C"/>
    <w:rsid w:val="00FF250D"/>
    <w:rsid w:val="00FF2643"/>
    <w:rsid w:val="00FF2804"/>
    <w:rsid w:val="00FF4147"/>
    <w:rsid w:val="00FF48BC"/>
    <w:rsid w:val="00FF5990"/>
    <w:rsid w:val="00FF654B"/>
    <w:rsid w:val="00FF698B"/>
  </w:rsids>
  <m:mathPr>
    <m:mathFont m:val="Cambria Math"/>
    <m:brkBin m:val="before"/>
    <m:brkBinSub m:val="--"/>
    <m:smallFrac/>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bg-BG" w:eastAsia="bg-BG"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50AB"/>
    <w:pPr>
      <w:widowControl w:val="0"/>
      <w:spacing w:line="276" w:lineRule="auto"/>
      <w:jc w:val="both"/>
    </w:pPr>
    <w:rPr>
      <w:rFonts w:asciiTheme="minorHAnsi" w:hAnsiTheme="minorHAnsi"/>
      <w:sz w:val="22"/>
      <w:szCs w:val="24"/>
    </w:rPr>
  </w:style>
  <w:style w:type="paragraph" w:styleId="Heading1">
    <w:name w:val="heading 1"/>
    <w:basedOn w:val="Normal"/>
    <w:next w:val="Normal"/>
    <w:link w:val="Heading1Char"/>
    <w:autoRedefine/>
    <w:qFormat/>
    <w:rsid w:val="004E3D1F"/>
    <w:pPr>
      <w:numPr>
        <w:numId w:val="1"/>
      </w:numPr>
      <w:tabs>
        <w:tab w:val="left" w:pos="360"/>
      </w:tabs>
      <w:outlineLvl w:val="0"/>
    </w:pPr>
    <w:rPr>
      <w:rFonts w:cs="Arial"/>
      <w:b/>
      <w:bCs/>
      <w:kern w:val="32"/>
      <w:sz w:val="24"/>
      <w:szCs w:val="32"/>
    </w:rPr>
  </w:style>
  <w:style w:type="paragraph" w:styleId="Heading2">
    <w:name w:val="heading 2"/>
    <w:basedOn w:val="Normal"/>
    <w:next w:val="Normal"/>
    <w:qFormat/>
    <w:rsid w:val="00721F40"/>
    <w:pPr>
      <w:keepNext/>
      <w:numPr>
        <w:ilvl w:val="1"/>
        <w:numId w:val="1"/>
      </w:numPr>
      <w:spacing w:before="240" w:after="120"/>
      <w:outlineLvl w:val="1"/>
    </w:pPr>
    <w:rPr>
      <w:rFonts w:cs="Arial"/>
      <w:b/>
      <w:bCs/>
      <w:i/>
      <w:iCs/>
    </w:rPr>
  </w:style>
  <w:style w:type="paragraph" w:styleId="Heading3">
    <w:name w:val="heading 3"/>
    <w:basedOn w:val="Normal"/>
    <w:next w:val="Normal"/>
    <w:qFormat/>
    <w:rsid w:val="001A50AB"/>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F62E9"/>
    <w:rPr>
      <w:rFonts w:ascii="News Gothic Cyr" w:hAnsi="News Gothic Cyr" w:cs="Arial"/>
      <w:b/>
      <w:bCs/>
      <w:kern w:val="32"/>
      <w:sz w:val="24"/>
      <w:szCs w:val="32"/>
    </w:rPr>
  </w:style>
  <w:style w:type="paragraph" w:styleId="BalloonText">
    <w:name w:val="Balloon Text"/>
    <w:basedOn w:val="Normal"/>
    <w:link w:val="BalloonTextChar"/>
    <w:uiPriority w:val="99"/>
    <w:semiHidden/>
    <w:unhideWhenUsed/>
    <w:rsid w:val="008C14A7"/>
    <w:rPr>
      <w:rFonts w:ascii="Tahoma" w:hAnsi="Tahoma" w:cs="Tahoma"/>
      <w:sz w:val="16"/>
      <w:szCs w:val="16"/>
    </w:rPr>
  </w:style>
  <w:style w:type="character" w:customStyle="1" w:styleId="BalloonTextChar">
    <w:name w:val="Balloon Text Char"/>
    <w:basedOn w:val="DefaultParagraphFont"/>
    <w:link w:val="BalloonText"/>
    <w:uiPriority w:val="99"/>
    <w:semiHidden/>
    <w:rsid w:val="008C14A7"/>
    <w:rPr>
      <w:rFonts w:ascii="Tahoma" w:hAnsi="Tahoma" w:cs="Tahoma"/>
      <w:sz w:val="16"/>
      <w:szCs w:val="16"/>
    </w:rPr>
  </w:style>
  <w:style w:type="character" w:styleId="PageNumber">
    <w:name w:val="page number"/>
    <w:basedOn w:val="DefaultParagraphFont"/>
    <w:rsid w:val="00673556"/>
  </w:style>
  <w:style w:type="paragraph" w:customStyle="1" w:styleId="Number">
    <w:name w:val="Number"/>
    <w:basedOn w:val="Normal"/>
    <w:rsid w:val="00F40FA4"/>
    <w:pPr>
      <w:ind w:firstLine="720"/>
    </w:pPr>
    <w:rPr>
      <w:rFonts w:ascii="Verdana" w:hAnsi="Verdana"/>
      <w:b/>
      <w:bCs/>
      <w:sz w:val="20"/>
      <w:szCs w:val="20"/>
    </w:rPr>
  </w:style>
  <w:style w:type="paragraph" w:customStyle="1" w:styleId="SubSubNumber">
    <w:name w:val="SubSubNumber"/>
    <w:basedOn w:val="SubNumbers"/>
    <w:link w:val="SubSubNumberChar"/>
    <w:qFormat/>
    <w:rsid w:val="001524A4"/>
    <w:pPr>
      <w:numPr>
        <w:ilvl w:val="2"/>
      </w:numPr>
      <w:tabs>
        <w:tab w:val="left" w:pos="1701"/>
      </w:tabs>
    </w:pPr>
  </w:style>
  <w:style w:type="paragraph" w:customStyle="1" w:styleId="SubNumbers">
    <w:name w:val="SubNumbers"/>
    <w:basedOn w:val="Mainnumbers"/>
    <w:link w:val="SubNumbersChar"/>
    <w:qFormat/>
    <w:rsid w:val="003030DD"/>
    <w:pPr>
      <w:numPr>
        <w:ilvl w:val="1"/>
      </w:numPr>
      <w:tabs>
        <w:tab w:val="clear" w:pos="851"/>
        <w:tab w:val="left" w:pos="-2127"/>
      </w:tabs>
      <w:ind w:left="1134" w:hanging="774"/>
      <w:outlineLvl w:val="1"/>
    </w:pPr>
    <w:rPr>
      <w:rFonts w:ascii="Calibri" w:hAnsi="Calibri" w:cs="Calibri"/>
    </w:rPr>
  </w:style>
  <w:style w:type="paragraph" w:customStyle="1" w:styleId="Mainnumbers">
    <w:name w:val="Main numbers"/>
    <w:basedOn w:val="Normal"/>
    <w:link w:val="MainnumbersChar"/>
    <w:qFormat/>
    <w:rsid w:val="002D5AEB"/>
    <w:pPr>
      <w:widowControl/>
      <w:numPr>
        <w:numId w:val="2"/>
      </w:numPr>
      <w:tabs>
        <w:tab w:val="left" w:pos="851"/>
      </w:tabs>
      <w:spacing w:before="240" w:after="240"/>
      <w:ind w:left="851" w:hanging="851"/>
      <w:outlineLvl w:val="0"/>
    </w:pPr>
    <w:rPr>
      <w:rFonts w:cs="News Gothic Cyr"/>
      <w:b/>
      <w:lang w:eastAsia="en-US"/>
    </w:rPr>
  </w:style>
  <w:style w:type="character" w:customStyle="1" w:styleId="MainnumbersChar">
    <w:name w:val="Main numbers Char"/>
    <w:basedOn w:val="DefaultParagraphFont"/>
    <w:link w:val="Mainnumbers"/>
    <w:rsid w:val="002D5AEB"/>
    <w:rPr>
      <w:rFonts w:ascii="News Gothic Cyr" w:hAnsi="News Gothic Cyr" w:cs="News Gothic Cyr"/>
      <w:b/>
      <w:sz w:val="22"/>
      <w:szCs w:val="24"/>
      <w:lang w:eastAsia="en-US"/>
    </w:rPr>
  </w:style>
  <w:style w:type="character" w:customStyle="1" w:styleId="SubNumbersChar">
    <w:name w:val="SubNumbers Char"/>
    <w:basedOn w:val="MainnumbersChar"/>
    <w:link w:val="SubNumbers"/>
    <w:rsid w:val="003030DD"/>
    <w:rPr>
      <w:rFonts w:ascii="Calibri" w:hAnsi="Calibri" w:cs="Calibri"/>
      <w:b/>
      <w:sz w:val="22"/>
      <w:szCs w:val="24"/>
      <w:lang w:eastAsia="en-US"/>
    </w:rPr>
  </w:style>
  <w:style w:type="character" w:customStyle="1" w:styleId="SubSubNumberChar">
    <w:name w:val="SubSubNumber Char"/>
    <w:basedOn w:val="SubNumbersChar"/>
    <w:link w:val="SubSubNumber"/>
    <w:rsid w:val="001524A4"/>
    <w:rPr>
      <w:rFonts w:ascii="News Gothic Cyr" w:hAnsi="News Gothic Cyr" w:cs="News Gothic Cyr"/>
      <w:b/>
      <w:sz w:val="22"/>
      <w:szCs w:val="24"/>
      <w:lang w:eastAsia="en-US"/>
    </w:rPr>
  </w:style>
  <w:style w:type="paragraph" w:styleId="BodyText">
    <w:name w:val="Body Text"/>
    <w:basedOn w:val="Normal"/>
    <w:link w:val="BodyTextChar"/>
    <w:rsid w:val="003D6459"/>
    <w:rPr>
      <w:rFonts w:cs="Vrinda"/>
      <w:b/>
      <w:bCs/>
      <w:lang w:eastAsia="en-US" w:bidi="bn-BD"/>
    </w:rPr>
  </w:style>
  <w:style w:type="table" w:styleId="TableGrid">
    <w:name w:val="Table Grid"/>
    <w:basedOn w:val="TableNormal"/>
    <w:rsid w:val="00541089"/>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445A2B"/>
    <w:pPr>
      <w:widowControl/>
      <w:spacing w:before="100" w:beforeAutospacing="1" w:after="100" w:afterAutospacing="1"/>
      <w:jc w:val="left"/>
    </w:pPr>
    <w:rPr>
      <w:rFonts w:ascii="Times New Roman" w:hAnsi="Times New Roman"/>
      <w:sz w:val="24"/>
    </w:rPr>
  </w:style>
  <w:style w:type="paragraph" w:styleId="Header">
    <w:name w:val="header"/>
    <w:basedOn w:val="Normal"/>
    <w:link w:val="HeaderChar"/>
    <w:uiPriority w:val="99"/>
    <w:unhideWhenUsed/>
    <w:rsid w:val="005C5BFB"/>
    <w:pPr>
      <w:tabs>
        <w:tab w:val="center" w:pos="4536"/>
        <w:tab w:val="right" w:pos="9072"/>
      </w:tabs>
    </w:pPr>
  </w:style>
  <w:style w:type="character" w:customStyle="1" w:styleId="HeaderChar">
    <w:name w:val="Header Char"/>
    <w:basedOn w:val="DefaultParagraphFont"/>
    <w:link w:val="Header"/>
    <w:uiPriority w:val="99"/>
    <w:rsid w:val="005C5BFB"/>
    <w:rPr>
      <w:rFonts w:ascii="News Gothic Cyr" w:hAnsi="News Gothic Cyr"/>
      <w:sz w:val="22"/>
      <w:szCs w:val="24"/>
    </w:rPr>
  </w:style>
  <w:style w:type="paragraph" w:styleId="Footer">
    <w:name w:val="footer"/>
    <w:basedOn w:val="Normal"/>
    <w:link w:val="FooterChar"/>
    <w:uiPriority w:val="99"/>
    <w:unhideWhenUsed/>
    <w:rsid w:val="005C5BFB"/>
    <w:pPr>
      <w:tabs>
        <w:tab w:val="center" w:pos="4536"/>
        <w:tab w:val="right" w:pos="9072"/>
      </w:tabs>
    </w:pPr>
  </w:style>
  <w:style w:type="character" w:customStyle="1" w:styleId="FooterChar">
    <w:name w:val="Footer Char"/>
    <w:basedOn w:val="DefaultParagraphFont"/>
    <w:link w:val="Footer"/>
    <w:uiPriority w:val="99"/>
    <w:rsid w:val="005C5BFB"/>
    <w:rPr>
      <w:rFonts w:ascii="News Gothic Cyr" w:hAnsi="News Gothic Cyr"/>
      <w:sz w:val="22"/>
      <w:szCs w:val="24"/>
    </w:rPr>
  </w:style>
  <w:style w:type="character" w:customStyle="1" w:styleId="BodyTextChar">
    <w:name w:val="Body Text Char"/>
    <w:basedOn w:val="DefaultParagraphFont"/>
    <w:link w:val="BodyText"/>
    <w:rsid w:val="008E2822"/>
    <w:rPr>
      <w:rFonts w:ascii="News Gothic Cyr" w:hAnsi="News Gothic Cyr" w:cs="Vrinda"/>
      <w:b/>
      <w:bCs/>
      <w:sz w:val="22"/>
      <w:szCs w:val="24"/>
      <w:lang w:eastAsia="en-US" w:bidi="bn-BD"/>
    </w:rPr>
  </w:style>
  <w:style w:type="paragraph" w:styleId="TOC1">
    <w:name w:val="toc 1"/>
    <w:basedOn w:val="Normal"/>
    <w:next w:val="Normal"/>
    <w:autoRedefine/>
    <w:uiPriority w:val="39"/>
    <w:unhideWhenUsed/>
    <w:rsid w:val="007E50B1"/>
    <w:pPr>
      <w:tabs>
        <w:tab w:val="left" w:pos="440"/>
        <w:tab w:val="right" w:leader="dot" w:pos="9211"/>
      </w:tabs>
    </w:pPr>
  </w:style>
  <w:style w:type="paragraph" w:styleId="TOC2">
    <w:name w:val="toc 2"/>
    <w:basedOn w:val="Normal"/>
    <w:next w:val="Normal"/>
    <w:autoRedefine/>
    <w:uiPriority w:val="39"/>
    <w:unhideWhenUsed/>
    <w:rsid w:val="00A54A30"/>
    <w:pPr>
      <w:tabs>
        <w:tab w:val="left" w:pos="880"/>
        <w:tab w:val="right" w:leader="dot" w:pos="9211"/>
      </w:tabs>
      <w:ind w:left="221"/>
    </w:pPr>
  </w:style>
  <w:style w:type="paragraph" w:styleId="TOC3">
    <w:name w:val="toc 3"/>
    <w:basedOn w:val="Normal"/>
    <w:next w:val="Normal"/>
    <w:autoRedefine/>
    <w:uiPriority w:val="39"/>
    <w:unhideWhenUsed/>
    <w:rsid w:val="00E508B1"/>
    <w:pPr>
      <w:spacing w:after="100"/>
      <w:ind w:left="440"/>
    </w:pPr>
  </w:style>
  <w:style w:type="character" w:styleId="Hyperlink">
    <w:name w:val="Hyperlink"/>
    <w:basedOn w:val="DefaultParagraphFont"/>
    <w:uiPriority w:val="99"/>
    <w:unhideWhenUsed/>
    <w:rsid w:val="00E508B1"/>
    <w:rPr>
      <w:color w:val="0000FF" w:themeColor="hyperlink"/>
      <w:u w:val="single"/>
    </w:rPr>
  </w:style>
  <w:style w:type="paragraph" w:styleId="ListParagraph">
    <w:name w:val="List Paragraph"/>
    <w:basedOn w:val="Normal"/>
    <w:uiPriority w:val="99"/>
    <w:qFormat/>
    <w:rsid w:val="00795169"/>
    <w:pPr>
      <w:ind w:left="720"/>
      <w:contextualSpacing/>
    </w:pPr>
  </w:style>
  <w:style w:type="paragraph" w:customStyle="1" w:styleId="a">
    <w:name w:val="Текст в таблица"/>
    <w:basedOn w:val="Normal"/>
    <w:next w:val="Normal"/>
    <w:link w:val="Char"/>
    <w:rsid w:val="009A3F7B"/>
    <w:rPr>
      <w:sz w:val="20"/>
    </w:rPr>
  </w:style>
  <w:style w:type="character" w:customStyle="1" w:styleId="Char">
    <w:name w:val="Текст в таблица Char"/>
    <w:basedOn w:val="DefaultParagraphFont"/>
    <w:link w:val="a"/>
    <w:rsid w:val="009A3F7B"/>
    <w:rPr>
      <w:rFonts w:ascii="News Gothic Cyr" w:hAnsi="News Gothic Cyr"/>
      <w:szCs w:val="24"/>
    </w:rPr>
  </w:style>
  <w:style w:type="paragraph" w:customStyle="1" w:styleId="a0">
    <w:name w:val="Числа в таблица"/>
    <w:basedOn w:val="Normal"/>
    <w:rsid w:val="009A3F7B"/>
    <w:pPr>
      <w:jc w:val="right"/>
    </w:pPr>
    <w:rPr>
      <w:sz w:val="20"/>
    </w:rPr>
  </w:style>
  <w:style w:type="character" w:styleId="Emphasis">
    <w:name w:val="Emphasis"/>
    <w:basedOn w:val="DefaultParagraphFont"/>
    <w:uiPriority w:val="20"/>
    <w:qFormat/>
    <w:rsid w:val="00CD74FF"/>
    <w:rPr>
      <w:i/>
      <w:iCs/>
    </w:rPr>
  </w:style>
  <w:style w:type="paragraph" w:customStyle="1" w:styleId="a1">
    <w:name w:val="Етикет на таблица"/>
    <w:basedOn w:val="Normal"/>
    <w:rsid w:val="004F60F1"/>
    <w:pPr>
      <w:jc w:val="center"/>
    </w:pPr>
    <w:rPr>
      <w:i/>
      <w:sz w:val="20"/>
    </w:rPr>
  </w:style>
  <w:style w:type="paragraph" w:styleId="NoSpacing">
    <w:name w:val="No Spacing"/>
    <w:uiPriority w:val="1"/>
    <w:qFormat/>
    <w:rsid w:val="004F60F1"/>
    <w:pPr>
      <w:widowControl w:val="0"/>
      <w:jc w:val="both"/>
    </w:pPr>
    <w:rPr>
      <w:rFonts w:ascii="News Gothic Cyr" w:hAnsi="News Gothic Cyr"/>
      <w:sz w:val="22"/>
      <w:szCs w:val="24"/>
    </w:rPr>
  </w:style>
  <w:style w:type="paragraph" w:styleId="FootnoteText">
    <w:name w:val="footnote text"/>
    <w:basedOn w:val="Normal"/>
    <w:link w:val="FootnoteTextChar"/>
    <w:uiPriority w:val="99"/>
    <w:semiHidden/>
    <w:unhideWhenUsed/>
    <w:rsid w:val="00094E29"/>
    <w:pPr>
      <w:widowControl/>
      <w:jc w:val="left"/>
    </w:pPr>
    <w:rPr>
      <w:rFonts w:eastAsiaTheme="minorHAnsi" w:cstheme="minorBidi"/>
      <w:sz w:val="20"/>
      <w:szCs w:val="20"/>
      <w:lang w:val="en-GB" w:eastAsia="en-US"/>
    </w:rPr>
  </w:style>
  <w:style w:type="character" w:customStyle="1" w:styleId="FootnoteTextChar">
    <w:name w:val="Footnote Text Char"/>
    <w:basedOn w:val="DefaultParagraphFont"/>
    <w:link w:val="FootnoteText"/>
    <w:uiPriority w:val="99"/>
    <w:semiHidden/>
    <w:rsid w:val="00094E29"/>
    <w:rPr>
      <w:rFonts w:asciiTheme="minorHAnsi" w:eastAsiaTheme="minorHAnsi" w:hAnsiTheme="minorHAnsi" w:cstheme="minorBidi"/>
      <w:lang w:val="en-GB" w:eastAsia="en-US"/>
    </w:rPr>
  </w:style>
  <w:style w:type="character" w:styleId="FootnoteReference">
    <w:name w:val="footnote reference"/>
    <w:basedOn w:val="DefaultParagraphFont"/>
    <w:uiPriority w:val="99"/>
    <w:semiHidden/>
    <w:unhideWhenUsed/>
    <w:rsid w:val="00094E29"/>
    <w:rPr>
      <w:vertAlign w:val="superscript"/>
    </w:rPr>
  </w:style>
  <w:style w:type="character" w:styleId="CommentReference">
    <w:name w:val="annotation reference"/>
    <w:basedOn w:val="DefaultParagraphFont"/>
    <w:uiPriority w:val="99"/>
    <w:semiHidden/>
    <w:unhideWhenUsed/>
    <w:rsid w:val="008F1EF5"/>
    <w:rPr>
      <w:sz w:val="16"/>
      <w:szCs w:val="16"/>
    </w:rPr>
  </w:style>
  <w:style w:type="paragraph" w:styleId="CommentText">
    <w:name w:val="annotation text"/>
    <w:basedOn w:val="Normal"/>
    <w:link w:val="CommentTextChar"/>
    <w:uiPriority w:val="99"/>
    <w:semiHidden/>
    <w:unhideWhenUsed/>
    <w:rsid w:val="008F1EF5"/>
    <w:rPr>
      <w:sz w:val="20"/>
      <w:szCs w:val="20"/>
    </w:rPr>
  </w:style>
  <w:style w:type="character" w:customStyle="1" w:styleId="CommentTextChar">
    <w:name w:val="Comment Text Char"/>
    <w:basedOn w:val="DefaultParagraphFont"/>
    <w:link w:val="CommentText"/>
    <w:uiPriority w:val="99"/>
    <w:semiHidden/>
    <w:rsid w:val="008F1EF5"/>
    <w:rPr>
      <w:rFonts w:ascii="News Gothic Cyr" w:hAnsi="News Gothic Cyr"/>
    </w:rPr>
  </w:style>
  <w:style w:type="paragraph" w:styleId="CommentSubject">
    <w:name w:val="annotation subject"/>
    <w:basedOn w:val="CommentText"/>
    <w:next w:val="CommentText"/>
    <w:link w:val="CommentSubjectChar"/>
    <w:uiPriority w:val="99"/>
    <w:semiHidden/>
    <w:unhideWhenUsed/>
    <w:rsid w:val="008F1EF5"/>
    <w:rPr>
      <w:b/>
      <w:bCs/>
    </w:rPr>
  </w:style>
  <w:style w:type="character" w:customStyle="1" w:styleId="CommentSubjectChar">
    <w:name w:val="Comment Subject Char"/>
    <w:basedOn w:val="CommentTextChar"/>
    <w:link w:val="CommentSubject"/>
    <w:uiPriority w:val="99"/>
    <w:semiHidden/>
    <w:rsid w:val="008F1EF5"/>
    <w:rPr>
      <w:rFonts w:ascii="News Gothic Cyr" w:hAnsi="News Gothic Cyr"/>
      <w:b/>
      <w:bCs/>
    </w:rPr>
  </w:style>
  <w:style w:type="paragraph" w:styleId="EndnoteText">
    <w:name w:val="endnote text"/>
    <w:basedOn w:val="Normal"/>
    <w:link w:val="EndnoteTextChar"/>
    <w:uiPriority w:val="99"/>
    <w:semiHidden/>
    <w:unhideWhenUsed/>
    <w:rsid w:val="000B2B69"/>
    <w:rPr>
      <w:sz w:val="20"/>
      <w:szCs w:val="20"/>
    </w:rPr>
  </w:style>
  <w:style w:type="character" w:customStyle="1" w:styleId="EndnoteTextChar">
    <w:name w:val="Endnote Text Char"/>
    <w:basedOn w:val="DefaultParagraphFont"/>
    <w:link w:val="EndnoteText"/>
    <w:uiPriority w:val="99"/>
    <w:semiHidden/>
    <w:rsid w:val="000B2B69"/>
    <w:rPr>
      <w:rFonts w:ascii="News Gothic Cyr" w:hAnsi="News Gothic Cyr"/>
    </w:rPr>
  </w:style>
  <w:style w:type="character" w:styleId="EndnoteReference">
    <w:name w:val="endnote reference"/>
    <w:basedOn w:val="DefaultParagraphFont"/>
    <w:uiPriority w:val="99"/>
    <w:semiHidden/>
    <w:unhideWhenUsed/>
    <w:rsid w:val="000B2B69"/>
    <w:rPr>
      <w:vertAlign w:val="superscript"/>
    </w:rPr>
  </w:style>
  <w:style w:type="paragraph" w:customStyle="1" w:styleId="a2">
    <w:name w:val="табл. текст"/>
    <w:basedOn w:val="Normal"/>
    <w:qFormat/>
    <w:rsid w:val="000F526F"/>
    <w:pPr>
      <w:widowControl/>
      <w:autoSpaceDE w:val="0"/>
      <w:autoSpaceDN w:val="0"/>
      <w:adjustRightInd w:val="0"/>
      <w:spacing w:line="240" w:lineRule="auto"/>
      <w:jc w:val="left"/>
    </w:pPr>
    <w:rPr>
      <w:rFonts w:ascii="News Gothic Cyr" w:hAnsi="News Gothic Cyr" w:cs="News Gothic Cyr"/>
      <w:color w:val="000000"/>
      <w:sz w:val="20"/>
      <w:lang w:val="en-US"/>
    </w:rPr>
  </w:style>
  <w:style w:type="paragraph" w:customStyle="1" w:styleId="a3">
    <w:name w:val="табл. числа"/>
    <w:basedOn w:val="Normal"/>
    <w:qFormat/>
    <w:rsid w:val="000F526F"/>
    <w:pPr>
      <w:widowControl/>
      <w:autoSpaceDE w:val="0"/>
      <w:autoSpaceDN w:val="0"/>
      <w:adjustRightInd w:val="0"/>
      <w:spacing w:line="240" w:lineRule="auto"/>
      <w:jc w:val="right"/>
    </w:pPr>
    <w:rPr>
      <w:rFonts w:ascii="News Gothic Cyr" w:hAnsi="News Gothic Cyr" w:cs="News Gothic Cyr"/>
      <w:color w:val="000000"/>
      <w:sz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bg-BG" w:eastAsia="bg-BG"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50AB"/>
    <w:pPr>
      <w:widowControl w:val="0"/>
      <w:spacing w:line="276" w:lineRule="auto"/>
      <w:jc w:val="both"/>
    </w:pPr>
    <w:rPr>
      <w:rFonts w:asciiTheme="minorHAnsi" w:hAnsiTheme="minorHAnsi"/>
      <w:sz w:val="22"/>
      <w:szCs w:val="24"/>
    </w:rPr>
  </w:style>
  <w:style w:type="paragraph" w:styleId="Heading1">
    <w:name w:val="heading 1"/>
    <w:basedOn w:val="Normal"/>
    <w:next w:val="Normal"/>
    <w:link w:val="Heading1Char"/>
    <w:autoRedefine/>
    <w:qFormat/>
    <w:rsid w:val="004E3D1F"/>
    <w:pPr>
      <w:numPr>
        <w:numId w:val="1"/>
      </w:numPr>
      <w:tabs>
        <w:tab w:val="left" w:pos="360"/>
      </w:tabs>
      <w:outlineLvl w:val="0"/>
    </w:pPr>
    <w:rPr>
      <w:rFonts w:cs="Arial"/>
      <w:b/>
      <w:bCs/>
      <w:kern w:val="32"/>
      <w:sz w:val="24"/>
      <w:szCs w:val="32"/>
    </w:rPr>
  </w:style>
  <w:style w:type="paragraph" w:styleId="Heading2">
    <w:name w:val="heading 2"/>
    <w:basedOn w:val="Normal"/>
    <w:next w:val="Normal"/>
    <w:qFormat/>
    <w:rsid w:val="00721F40"/>
    <w:pPr>
      <w:keepNext/>
      <w:numPr>
        <w:ilvl w:val="1"/>
        <w:numId w:val="1"/>
      </w:numPr>
      <w:spacing w:before="240" w:after="120"/>
      <w:outlineLvl w:val="1"/>
    </w:pPr>
    <w:rPr>
      <w:rFonts w:cs="Arial"/>
      <w:b/>
      <w:bCs/>
      <w:i/>
      <w:iCs/>
    </w:rPr>
  </w:style>
  <w:style w:type="paragraph" w:styleId="Heading3">
    <w:name w:val="heading 3"/>
    <w:basedOn w:val="Normal"/>
    <w:next w:val="Normal"/>
    <w:qFormat/>
    <w:rsid w:val="001A50AB"/>
    <w:pPr>
      <w:keepNext/>
      <w:spacing w:before="240" w:after="60"/>
      <w:outlineLvl w:val="2"/>
    </w:pPr>
    <w:rPr>
      <w:rFonts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F62E9"/>
    <w:rPr>
      <w:rFonts w:ascii="News Gothic Cyr" w:hAnsi="News Gothic Cyr" w:cs="Arial"/>
      <w:b/>
      <w:bCs/>
      <w:kern w:val="32"/>
      <w:sz w:val="24"/>
      <w:szCs w:val="32"/>
    </w:rPr>
  </w:style>
  <w:style w:type="paragraph" w:styleId="BalloonText">
    <w:name w:val="Balloon Text"/>
    <w:basedOn w:val="Normal"/>
    <w:link w:val="BalloonTextChar"/>
    <w:uiPriority w:val="99"/>
    <w:semiHidden/>
    <w:unhideWhenUsed/>
    <w:rsid w:val="008C14A7"/>
    <w:rPr>
      <w:rFonts w:ascii="Tahoma" w:hAnsi="Tahoma" w:cs="Tahoma"/>
      <w:sz w:val="16"/>
      <w:szCs w:val="16"/>
    </w:rPr>
  </w:style>
  <w:style w:type="character" w:customStyle="1" w:styleId="BalloonTextChar">
    <w:name w:val="Balloon Text Char"/>
    <w:basedOn w:val="DefaultParagraphFont"/>
    <w:link w:val="BalloonText"/>
    <w:uiPriority w:val="99"/>
    <w:semiHidden/>
    <w:rsid w:val="008C14A7"/>
    <w:rPr>
      <w:rFonts w:ascii="Tahoma" w:hAnsi="Tahoma" w:cs="Tahoma"/>
      <w:sz w:val="16"/>
      <w:szCs w:val="16"/>
    </w:rPr>
  </w:style>
  <w:style w:type="character" w:styleId="PageNumber">
    <w:name w:val="page number"/>
    <w:basedOn w:val="DefaultParagraphFont"/>
    <w:rsid w:val="00673556"/>
  </w:style>
  <w:style w:type="paragraph" w:customStyle="1" w:styleId="Number">
    <w:name w:val="Number"/>
    <w:basedOn w:val="Normal"/>
    <w:rsid w:val="00F40FA4"/>
    <w:pPr>
      <w:ind w:firstLine="720"/>
    </w:pPr>
    <w:rPr>
      <w:rFonts w:ascii="Verdana" w:hAnsi="Verdana"/>
      <w:b/>
      <w:bCs/>
      <w:sz w:val="20"/>
      <w:szCs w:val="20"/>
    </w:rPr>
  </w:style>
  <w:style w:type="paragraph" w:customStyle="1" w:styleId="SubSubNumber">
    <w:name w:val="SubSubNumber"/>
    <w:basedOn w:val="SubNumbers"/>
    <w:link w:val="SubSubNumberChar"/>
    <w:qFormat/>
    <w:rsid w:val="001524A4"/>
    <w:pPr>
      <w:numPr>
        <w:ilvl w:val="2"/>
      </w:numPr>
      <w:tabs>
        <w:tab w:val="left" w:pos="1701"/>
      </w:tabs>
    </w:pPr>
  </w:style>
  <w:style w:type="paragraph" w:customStyle="1" w:styleId="SubNumbers">
    <w:name w:val="SubNumbers"/>
    <w:basedOn w:val="Mainnumbers"/>
    <w:link w:val="SubNumbersChar"/>
    <w:qFormat/>
    <w:rsid w:val="003030DD"/>
    <w:pPr>
      <w:numPr>
        <w:ilvl w:val="1"/>
      </w:numPr>
      <w:tabs>
        <w:tab w:val="clear" w:pos="851"/>
        <w:tab w:val="left" w:pos="-2127"/>
      </w:tabs>
      <w:ind w:left="1134" w:hanging="774"/>
      <w:outlineLvl w:val="1"/>
    </w:pPr>
    <w:rPr>
      <w:rFonts w:ascii="Calibri" w:hAnsi="Calibri" w:cs="Calibri"/>
    </w:rPr>
  </w:style>
  <w:style w:type="paragraph" w:customStyle="1" w:styleId="Mainnumbers">
    <w:name w:val="Main numbers"/>
    <w:basedOn w:val="Normal"/>
    <w:link w:val="MainnumbersChar"/>
    <w:qFormat/>
    <w:rsid w:val="002D5AEB"/>
    <w:pPr>
      <w:widowControl/>
      <w:numPr>
        <w:numId w:val="2"/>
      </w:numPr>
      <w:tabs>
        <w:tab w:val="left" w:pos="851"/>
      </w:tabs>
      <w:spacing w:before="240" w:after="240"/>
      <w:ind w:left="851" w:hanging="851"/>
      <w:outlineLvl w:val="0"/>
    </w:pPr>
    <w:rPr>
      <w:rFonts w:cs="News Gothic Cyr"/>
      <w:b/>
      <w:lang w:eastAsia="en-US"/>
    </w:rPr>
  </w:style>
  <w:style w:type="character" w:customStyle="1" w:styleId="MainnumbersChar">
    <w:name w:val="Main numbers Char"/>
    <w:basedOn w:val="DefaultParagraphFont"/>
    <w:link w:val="Mainnumbers"/>
    <w:rsid w:val="002D5AEB"/>
    <w:rPr>
      <w:rFonts w:ascii="News Gothic Cyr" w:hAnsi="News Gothic Cyr" w:cs="News Gothic Cyr"/>
      <w:b/>
      <w:sz w:val="22"/>
      <w:szCs w:val="24"/>
      <w:lang w:eastAsia="en-US"/>
    </w:rPr>
  </w:style>
  <w:style w:type="character" w:customStyle="1" w:styleId="SubNumbersChar">
    <w:name w:val="SubNumbers Char"/>
    <w:basedOn w:val="MainnumbersChar"/>
    <w:link w:val="SubNumbers"/>
    <w:rsid w:val="003030DD"/>
    <w:rPr>
      <w:rFonts w:ascii="Calibri" w:hAnsi="Calibri" w:cs="Calibri"/>
      <w:b/>
      <w:sz w:val="22"/>
      <w:szCs w:val="24"/>
      <w:lang w:eastAsia="en-US"/>
    </w:rPr>
  </w:style>
  <w:style w:type="character" w:customStyle="1" w:styleId="SubSubNumberChar">
    <w:name w:val="SubSubNumber Char"/>
    <w:basedOn w:val="SubNumbersChar"/>
    <w:link w:val="SubSubNumber"/>
    <w:rsid w:val="001524A4"/>
    <w:rPr>
      <w:rFonts w:ascii="News Gothic Cyr" w:hAnsi="News Gothic Cyr" w:cs="News Gothic Cyr"/>
      <w:b/>
      <w:sz w:val="22"/>
      <w:szCs w:val="24"/>
      <w:lang w:eastAsia="en-US"/>
    </w:rPr>
  </w:style>
  <w:style w:type="paragraph" w:styleId="BodyText">
    <w:name w:val="Body Text"/>
    <w:basedOn w:val="Normal"/>
    <w:link w:val="BodyTextChar"/>
    <w:rsid w:val="003D6459"/>
    <w:rPr>
      <w:rFonts w:cs="Vrinda"/>
      <w:b/>
      <w:bCs/>
      <w:lang w:eastAsia="en-US" w:bidi="bn-BD"/>
    </w:rPr>
  </w:style>
  <w:style w:type="table" w:styleId="TableGrid">
    <w:name w:val="Table Grid"/>
    <w:basedOn w:val="TableNormal"/>
    <w:rsid w:val="00541089"/>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445A2B"/>
    <w:pPr>
      <w:widowControl/>
      <w:spacing w:before="100" w:beforeAutospacing="1" w:after="100" w:afterAutospacing="1"/>
      <w:jc w:val="left"/>
    </w:pPr>
    <w:rPr>
      <w:rFonts w:ascii="Times New Roman" w:hAnsi="Times New Roman"/>
      <w:sz w:val="24"/>
    </w:rPr>
  </w:style>
  <w:style w:type="paragraph" w:styleId="Header">
    <w:name w:val="header"/>
    <w:basedOn w:val="Normal"/>
    <w:link w:val="HeaderChar"/>
    <w:uiPriority w:val="99"/>
    <w:unhideWhenUsed/>
    <w:rsid w:val="005C5BFB"/>
    <w:pPr>
      <w:tabs>
        <w:tab w:val="center" w:pos="4536"/>
        <w:tab w:val="right" w:pos="9072"/>
      </w:tabs>
    </w:pPr>
  </w:style>
  <w:style w:type="character" w:customStyle="1" w:styleId="HeaderChar">
    <w:name w:val="Header Char"/>
    <w:basedOn w:val="DefaultParagraphFont"/>
    <w:link w:val="Header"/>
    <w:uiPriority w:val="99"/>
    <w:rsid w:val="005C5BFB"/>
    <w:rPr>
      <w:rFonts w:ascii="News Gothic Cyr" w:hAnsi="News Gothic Cyr"/>
      <w:sz w:val="22"/>
      <w:szCs w:val="24"/>
    </w:rPr>
  </w:style>
  <w:style w:type="paragraph" w:styleId="Footer">
    <w:name w:val="footer"/>
    <w:basedOn w:val="Normal"/>
    <w:link w:val="FooterChar"/>
    <w:uiPriority w:val="99"/>
    <w:unhideWhenUsed/>
    <w:rsid w:val="005C5BFB"/>
    <w:pPr>
      <w:tabs>
        <w:tab w:val="center" w:pos="4536"/>
        <w:tab w:val="right" w:pos="9072"/>
      </w:tabs>
    </w:pPr>
  </w:style>
  <w:style w:type="character" w:customStyle="1" w:styleId="FooterChar">
    <w:name w:val="Footer Char"/>
    <w:basedOn w:val="DefaultParagraphFont"/>
    <w:link w:val="Footer"/>
    <w:uiPriority w:val="99"/>
    <w:rsid w:val="005C5BFB"/>
    <w:rPr>
      <w:rFonts w:ascii="News Gothic Cyr" w:hAnsi="News Gothic Cyr"/>
      <w:sz w:val="22"/>
      <w:szCs w:val="24"/>
    </w:rPr>
  </w:style>
  <w:style w:type="character" w:customStyle="1" w:styleId="BodyTextChar">
    <w:name w:val="Body Text Char"/>
    <w:basedOn w:val="DefaultParagraphFont"/>
    <w:link w:val="BodyText"/>
    <w:rsid w:val="008E2822"/>
    <w:rPr>
      <w:rFonts w:ascii="News Gothic Cyr" w:hAnsi="News Gothic Cyr" w:cs="Vrinda"/>
      <w:b/>
      <w:bCs/>
      <w:sz w:val="22"/>
      <w:szCs w:val="24"/>
      <w:lang w:eastAsia="en-US" w:bidi="bn-BD"/>
    </w:rPr>
  </w:style>
  <w:style w:type="paragraph" w:styleId="TOC1">
    <w:name w:val="toc 1"/>
    <w:basedOn w:val="Normal"/>
    <w:next w:val="Normal"/>
    <w:autoRedefine/>
    <w:uiPriority w:val="39"/>
    <w:unhideWhenUsed/>
    <w:rsid w:val="007E50B1"/>
    <w:pPr>
      <w:tabs>
        <w:tab w:val="left" w:pos="440"/>
        <w:tab w:val="right" w:leader="dot" w:pos="9211"/>
      </w:tabs>
    </w:pPr>
  </w:style>
  <w:style w:type="paragraph" w:styleId="TOC2">
    <w:name w:val="toc 2"/>
    <w:basedOn w:val="Normal"/>
    <w:next w:val="Normal"/>
    <w:autoRedefine/>
    <w:uiPriority w:val="39"/>
    <w:unhideWhenUsed/>
    <w:rsid w:val="00A54A30"/>
    <w:pPr>
      <w:tabs>
        <w:tab w:val="left" w:pos="880"/>
        <w:tab w:val="right" w:leader="dot" w:pos="9211"/>
      </w:tabs>
      <w:ind w:left="221"/>
    </w:pPr>
  </w:style>
  <w:style w:type="paragraph" w:styleId="TOC3">
    <w:name w:val="toc 3"/>
    <w:basedOn w:val="Normal"/>
    <w:next w:val="Normal"/>
    <w:autoRedefine/>
    <w:uiPriority w:val="39"/>
    <w:unhideWhenUsed/>
    <w:rsid w:val="00E508B1"/>
    <w:pPr>
      <w:spacing w:after="100"/>
      <w:ind w:left="440"/>
    </w:pPr>
  </w:style>
  <w:style w:type="character" w:styleId="Hyperlink">
    <w:name w:val="Hyperlink"/>
    <w:basedOn w:val="DefaultParagraphFont"/>
    <w:uiPriority w:val="99"/>
    <w:unhideWhenUsed/>
    <w:rsid w:val="00E508B1"/>
    <w:rPr>
      <w:color w:val="0000FF" w:themeColor="hyperlink"/>
      <w:u w:val="single"/>
    </w:rPr>
  </w:style>
  <w:style w:type="paragraph" w:styleId="ListParagraph">
    <w:name w:val="List Paragraph"/>
    <w:basedOn w:val="Normal"/>
    <w:uiPriority w:val="99"/>
    <w:qFormat/>
    <w:rsid w:val="00795169"/>
    <w:pPr>
      <w:ind w:left="720"/>
      <w:contextualSpacing/>
    </w:pPr>
  </w:style>
  <w:style w:type="paragraph" w:customStyle="1" w:styleId="a">
    <w:name w:val="Текст в таблица"/>
    <w:basedOn w:val="Normal"/>
    <w:next w:val="Normal"/>
    <w:link w:val="Char"/>
    <w:rsid w:val="009A3F7B"/>
    <w:rPr>
      <w:sz w:val="20"/>
    </w:rPr>
  </w:style>
  <w:style w:type="character" w:customStyle="1" w:styleId="Char">
    <w:name w:val="Текст в таблица Char"/>
    <w:basedOn w:val="DefaultParagraphFont"/>
    <w:link w:val="a"/>
    <w:rsid w:val="009A3F7B"/>
    <w:rPr>
      <w:rFonts w:ascii="News Gothic Cyr" w:hAnsi="News Gothic Cyr"/>
      <w:szCs w:val="24"/>
    </w:rPr>
  </w:style>
  <w:style w:type="paragraph" w:customStyle="1" w:styleId="a0">
    <w:name w:val="Числа в таблица"/>
    <w:basedOn w:val="Normal"/>
    <w:rsid w:val="009A3F7B"/>
    <w:pPr>
      <w:jc w:val="right"/>
    </w:pPr>
    <w:rPr>
      <w:sz w:val="20"/>
    </w:rPr>
  </w:style>
  <w:style w:type="character" w:styleId="Emphasis">
    <w:name w:val="Emphasis"/>
    <w:basedOn w:val="DefaultParagraphFont"/>
    <w:uiPriority w:val="20"/>
    <w:qFormat/>
    <w:rsid w:val="00CD74FF"/>
    <w:rPr>
      <w:i/>
      <w:iCs/>
    </w:rPr>
  </w:style>
  <w:style w:type="paragraph" w:customStyle="1" w:styleId="a1">
    <w:name w:val="Етикет на таблица"/>
    <w:basedOn w:val="Normal"/>
    <w:rsid w:val="004F60F1"/>
    <w:pPr>
      <w:jc w:val="center"/>
    </w:pPr>
    <w:rPr>
      <w:i/>
      <w:sz w:val="20"/>
    </w:rPr>
  </w:style>
  <w:style w:type="paragraph" w:styleId="NoSpacing">
    <w:name w:val="No Spacing"/>
    <w:uiPriority w:val="1"/>
    <w:qFormat/>
    <w:rsid w:val="004F60F1"/>
    <w:pPr>
      <w:widowControl w:val="0"/>
      <w:jc w:val="both"/>
    </w:pPr>
    <w:rPr>
      <w:rFonts w:ascii="News Gothic Cyr" w:hAnsi="News Gothic Cyr"/>
      <w:sz w:val="22"/>
      <w:szCs w:val="24"/>
    </w:rPr>
  </w:style>
  <w:style w:type="paragraph" w:styleId="FootnoteText">
    <w:name w:val="footnote text"/>
    <w:basedOn w:val="Normal"/>
    <w:link w:val="FootnoteTextChar"/>
    <w:uiPriority w:val="99"/>
    <w:semiHidden/>
    <w:unhideWhenUsed/>
    <w:rsid w:val="00094E29"/>
    <w:pPr>
      <w:widowControl/>
      <w:jc w:val="left"/>
    </w:pPr>
    <w:rPr>
      <w:rFonts w:eastAsiaTheme="minorHAnsi" w:cstheme="minorBidi"/>
      <w:sz w:val="20"/>
      <w:szCs w:val="20"/>
      <w:lang w:val="en-GB" w:eastAsia="en-US"/>
    </w:rPr>
  </w:style>
  <w:style w:type="character" w:customStyle="1" w:styleId="FootnoteTextChar">
    <w:name w:val="Footnote Text Char"/>
    <w:basedOn w:val="DefaultParagraphFont"/>
    <w:link w:val="FootnoteText"/>
    <w:uiPriority w:val="99"/>
    <w:semiHidden/>
    <w:rsid w:val="00094E29"/>
    <w:rPr>
      <w:rFonts w:asciiTheme="minorHAnsi" w:eastAsiaTheme="minorHAnsi" w:hAnsiTheme="minorHAnsi" w:cstheme="minorBidi"/>
      <w:lang w:val="en-GB" w:eastAsia="en-US"/>
    </w:rPr>
  </w:style>
  <w:style w:type="character" w:styleId="FootnoteReference">
    <w:name w:val="footnote reference"/>
    <w:basedOn w:val="DefaultParagraphFont"/>
    <w:uiPriority w:val="99"/>
    <w:semiHidden/>
    <w:unhideWhenUsed/>
    <w:rsid w:val="00094E29"/>
    <w:rPr>
      <w:vertAlign w:val="superscript"/>
    </w:rPr>
  </w:style>
  <w:style w:type="character" w:styleId="CommentReference">
    <w:name w:val="annotation reference"/>
    <w:basedOn w:val="DefaultParagraphFont"/>
    <w:uiPriority w:val="99"/>
    <w:semiHidden/>
    <w:unhideWhenUsed/>
    <w:rsid w:val="008F1EF5"/>
    <w:rPr>
      <w:sz w:val="16"/>
      <w:szCs w:val="16"/>
    </w:rPr>
  </w:style>
  <w:style w:type="paragraph" w:styleId="CommentText">
    <w:name w:val="annotation text"/>
    <w:basedOn w:val="Normal"/>
    <w:link w:val="CommentTextChar"/>
    <w:uiPriority w:val="99"/>
    <w:semiHidden/>
    <w:unhideWhenUsed/>
    <w:rsid w:val="008F1EF5"/>
    <w:rPr>
      <w:sz w:val="20"/>
      <w:szCs w:val="20"/>
    </w:rPr>
  </w:style>
  <w:style w:type="character" w:customStyle="1" w:styleId="CommentTextChar">
    <w:name w:val="Comment Text Char"/>
    <w:basedOn w:val="DefaultParagraphFont"/>
    <w:link w:val="CommentText"/>
    <w:uiPriority w:val="99"/>
    <w:semiHidden/>
    <w:rsid w:val="008F1EF5"/>
    <w:rPr>
      <w:rFonts w:ascii="News Gothic Cyr" w:hAnsi="News Gothic Cyr"/>
    </w:rPr>
  </w:style>
  <w:style w:type="paragraph" w:styleId="CommentSubject">
    <w:name w:val="annotation subject"/>
    <w:basedOn w:val="CommentText"/>
    <w:next w:val="CommentText"/>
    <w:link w:val="CommentSubjectChar"/>
    <w:uiPriority w:val="99"/>
    <w:semiHidden/>
    <w:unhideWhenUsed/>
    <w:rsid w:val="008F1EF5"/>
    <w:rPr>
      <w:b/>
      <w:bCs/>
    </w:rPr>
  </w:style>
  <w:style w:type="character" w:customStyle="1" w:styleId="CommentSubjectChar">
    <w:name w:val="Comment Subject Char"/>
    <w:basedOn w:val="CommentTextChar"/>
    <w:link w:val="CommentSubject"/>
    <w:uiPriority w:val="99"/>
    <w:semiHidden/>
    <w:rsid w:val="008F1EF5"/>
    <w:rPr>
      <w:rFonts w:ascii="News Gothic Cyr" w:hAnsi="News Gothic Cyr"/>
      <w:b/>
      <w:bCs/>
    </w:rPr>
  </w:style>
  <w:style w:type="paragraph" w:styleId="EndnoteText">
    <w:name w:val="endnote text"/>
    <w:basedOn w:val="Normal"/>
    <w:link w:val="EndnoteTextChar"/>
    <w:uiPriority w:val="99"/>
    <w:semiHidden/>
    <w:unhideWhenUsed/>
    <w:rsid w:val="000B2B69"/>
    <w:rPr>
      <w:sz w:val="20"/>
      <w:szCs w:val="20"/>
    </w:rPr>
  </w:style>
  <w:style w:type="character" w:customStyle="1" w:styleId="EndnoteTextChar">
    <w:name w:val="Endnote Text Char"/>
    <w:basedOn w:val="DefaultParagraphFont"/>
    <w:link w:val="EndnoteText"/>
    <w:uiPriority w:val="99"/>
    <w:semiHidden/>
    <w:rsid w:val="000B2B69"/>
    <w:rPr>
      <w:rFonts w:ascii="News Gothic Cyr" w:hAnsi="News Gothic Cyr"/>
    </w:rPr>
  </w:style>
  <w:style w:type="character" w:styleId="EndnoteReference">
    <w:name w:val="endnote reference"/>
    <w:basedOn w:val="DefaultParagraphFont"/>
    <w:uiPriority w:val="99"/>
    <w:semiHidden/>
    <w:unhideWhenUsed/>
    <w:rsid w:val="000B2B69"/>
    <w:rPr>
      <w:vertAlign w:val="superscript"/>
    </w:rPr>
  </w:style>
  <w:style w:type="paragraph" w:customStyle="1" w:styleId="a2">
    <w:name w:val="табл. текст"/>
    <w:basedOn w:val="Normal"/>
    <w:qFormat/>
    <w:rsid w:val="000F526F"/>
    <w:pPr>
      <w:widowControl/>
      <w:autoSpaceDE w:val="0"/>
      <w:autoSpaceDN w:val="0"/>
      <w:adjustRightInd w:val="0"/>
      <w:spacing w:line="240" w:lineRule="auto"/>
      <w:jc w:val="left"/>
    </w:pPr>
    <w:rPr>
      <w:rFonts w:ascii="News Gothic Cyr" w:hAnsi="News Gothic Cyr" w:cs="News Gothic Cyr"/>
      <w:color w:val="000000"/>
      <w:sz w:val="20"/>
      <w:lang w:val="en-US"/>
    </w:rPr>
  </w:style>
  <w:style w:type="paragraph" w:customStyle="1" w:styleId="a3">
    <w:name w:val="табл. числа"/>
    <w:basedOn w:val="Normal"/>
    <w:qFormat/>
    <w:rsid w:val="000F526F"/>
    <w:pPr>
      <w:widowControl/>
      <w:autoSpaceDE w:val="0"/>
      <w:autoSpaceDN w:val="0"/>
      <w:adjustRightInd w:val="0"/>
      <w:spacing w:line="240" w:lineRule="auto"/>
      <w:jc w:val="right"/>
    </w:pPr>
    <w:rPr>
      <w:rFonts w:ascii="News Gothic Cyr" w:hAnsi="News Gothic Cyr" w:cs="News Gothic Cyr"/>
      <w:color w:val="000000"/>
      <w:sz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4808">
      <w:bodyDiv w:val="1"/>
      <w:marLeft w:val="0"/>
      <w:marRight w:val="0"/>
      <w:marTop w:val="0"/>
      <w:marBottom w:val="0"/>
      <w:divBdr>
        <w:top w:val="none" w:sz="0" w:space="0" w:color="auto"/>
        <w:left w:val="none" w:sz="0" w:space="0" w:color="auto"/>
        <w:bottom w:val="none" w:sz="0" w:space="0" w:color="auto"/>
        <w:right w:val="none" w:sz="0" w:space="0" w:color="auto"/>
      </w:divBdr>
    </w:div>
    <w:div w:id="737862">
      <w:bodyDiv w:val="1"/>
      <w:marLeft w:val="0"/>
      <w:marRight w:val="0"/>
      <w:marTop w:val="0"/>
      <w:marBottom w:val="0"/>
      <w:divBdr>
        <w:top w:val="none" w:sz="0" w:space="0" w:color="auto"/>
        <w:left w:val="none" w:sz="0" w:space="0" w:color="auto"/>
        <w:bottom w:val="none" w:sz="0" w:space="0" w:color="auto"/>
        <w:right w:val="none" w:sz="0" w:space="0" w:color="auto"/>
      </w:divBdr>
    </w:div>
    <w:div w:id="1706087">
      <w:bodyDiv w:val="1"/>
      <w:marLeft w:val="0"/>
      <w:marRight w:val="0"/>
      <w:marTop w:val="0"/>
      <w:marBottom w:val="0"/>
      <w:divBdr>
        <w:top w:val="none" w:sz="0" w:space="0" w:color="auto"/>
        <w:left w:val="none" w:sz="0" w:space="0" w:color="auto"/>
        <w:bottom w:val="none" w:sz="0" w:space="0" w:color="auto"/>
        <w:right w:val="none" w:sz="0" w:space="0" w:color="auto"/>
      </w:divBdr>
    </w:div>
    <w:div w:id="8990089">
      <w:bodyDiv w:val="1"/>
      <w:marLeft w:val="0"/>
      <w:marRight w:val="0"/>
      <w:marTop w:val="0"/>
      <w:marBottom w:val="0"/>
      <w:divBdr>
        <w:top w:val="none" w:sz="0" w:space="0" w:color="auto"/>
        <w:left w:val="none" w:sz="0" w:space="0" w:color="auto"/>
        <w:bottom w:val="none" w:sz="0" w:space="0" w:color="auto"/>
        <w:right w:val="none" w:sz="0" w:space="0" w:color="auto"/>
      </w:divBdr>
    </w:div>
    <w:div w:id="11807565">
      <w:bodyDiv w:val="1"/>
      <w:marLeft w:val="0"/>
      <w:marRight w:val="0"/>
      <w:marTop w:val="0"/>
      <w:marBottom w:val="0"/>
      <w:divBdr>
        <w:top w:val="none" w:sz="0" w:space="0" w:color="auto"/>
        <w:left w:val="none" w:sz="0" w:space="0" w:color="auto"/>
        <w:bottom w:val="none" w:sz="0" w:space="0" w:color="auto"/>
        <w:right w:val="none" w:sz="0" w:space="0" w:color="auto"/>
      </w:divBdr>
    </w:div>
    <w:div w:id="14314647">
      <w:bodyDiv w:val="1"/>
      <w:marLeft w:val="0"/>
      <w:marRight w:val="0"/>
      <w:marTop w:val="0"/>
      <w:marBottom w:val="0"/>
      <w:divBdr>
        <w:top w:val="none" w:sz="0" w:space="0" w:color="auto"/>
        <w:left w:val="none" w:sz="0" w:space="0" w:color="auto"/>
        <w:bottom w:val="none" w:sz="0" w:space="0" w:color="auto"/>
        <w:right w:val="none" w:sz="0" w:space="0" w:color="auto"/>
      </w:divBdr>
    </w:div>
    <w:div w:id="21758335">
      <w:bodyDiv w:val="1"/>
      <w:marLeft w:val="0"/>
      <w:marRight w:val="0"/>
      <w:marTop w:val="0"/>
      <w:marBottom w:val="0"/>
      <w:divBdr>
        <w:top w:val="none" w:sz="0" w:space="0" w:color="auto"/>
        <w:left w:val="none" w:sz="0" w:space="0" w:color="auto"/>
        <w:bottom w:val="none" w:sz="0" w:space="0" w:color="auto"/>
        <w:right w:val="none" w:sz="0" w:space="0" w:color="auto"/>
      </w:divBdr>
    </w:div>
    <w:div w:id="26562486">
      <w:bodyDiv w:val="1"/>
      <w:marLeft w:val="0"/>
      <w:marRight w:val="0"/>
      <w:marTop w:val="0"/>
      <w:marBottom w:val="0"/>
      <w:divBdr>
        <w:top w:val="none" w:sz="0" w:space="0" w:color="auto"/>
        <w:left w:val="none" w:sz="0" w:space="0" w:color="auto"/>
        <w:bottom w:val="none" w:sz="0" w:space="0" w:color="auto"/>
        <w:right w:val="none" w:sz="0" w:space="0" w:color="auto"/>
      </w:divBdr>
    </w:div>
    <w:div w:id="32968721">
      <w:bodyDiv w:val="1"/>
      <w:marLeft w:val="0"/>
      <w:marRight w:val="0"/>
      <w:marTop w:val="0"/>
      <w:marBottom w:val="0"/>
      <w:divBdr>
        <w:top w:val="none" w:sz="0" w:space="0" w:color="auto"/>
        <w:left w:val="none" w:sz="0" w:space="0" w:color="auto"/>
        <w:bottom w:val="none" w:sz="0" w:space="0" w:color="auto"/>
        <w:right w:val="none" w:sz="0" w:space="0" w:color="auto"/>
      </w:divBdr>
    </w:div>
    <w:div w:id="33163988">
      <w:bodyDiv w:val="1"/>
      <w:marLeft w:val="0"/>
      <w:marRight w:val="0"/>
      <w:marTop w:val="0"/>
      <w:marBottom w:val="0"/>
      <w:divBdr>
        <w:top w:val="none" w:sz="0" w:space="0" w:color="auto"/>
        <w:left w:val="none" w:sz="0" w:space="0" w:color="auto"/>
        <w:bottom w:val="none" w:sz="0" w:space="0" w:color="auto"/>
        <w:right w:val="none" w:sz="0" w:space="0" w:color="auto"/>
      </w:divBdr>
    </w:div>
    <w:div w:id="44112772">
      <w:bodyDiv w:val="1"/>
      <w:marLeft w:val="0"/>
      <w:marRight w:val="0"/>
      <w:marTop w:val="0"/>
      <w:marBottom w:val="0"/>
      <w:divBdr>
        <w:top w:val="none" w:sz="0" w:space="0" w:color="auto"/>
        <w:left w:val="none" w:sz="0" w:space="0" w:color="auto"/>
        <w:bottom w:val="none" w:sz="0" w:space="0" w:color="auto"/>
        <w:right w:val="none" w:sz="0" w:space="0" w:color="auto"/>
      </w:divBdr>
    </w:div>
    <w:div w:id="46733859">
      <w:bodyDiv w:val="1"/>
      <w:marLeft w:val="0"/>
      <w:marRight w:val="0"/>
      <w:marTop w:val="0"/>
      <w:marBottom w:val="0"/>
      <w:divBdr>
        <w:top w:val="none" w:sz="0" w:space="0" w:color="auto"/>
        <w:left w:val="none" w:sz="0" w:space="0" w:color="auto"/>
        <w:bottom w:val="none" w:sz="0" w:space="0" w:color="auto"/>
        <w:right w:val="none" w:sz="0" w:space="0" w:color="auto"/>
      </w:divBdr>
    </w:div>
    <w:div w:id="48459039">
      <w:bodyDiv w:val="1"/>
      <w:marLeft w:val="0"/>
      <w:marRight w:val="0"/>
      <w:marTop w:val="0"/>
      <w:marBottom w:val="0"/>
      <w:divBdr>
        <w:top w:val="none" w:sz="0" w:space="0" w:color="auto"/>
        <w:left w:val="none" w:sz="0" w:space="0" w:color="auto"/>
        <w:bottom w:val="none" w:sz="0" w:space="0" w:color="auto"/>
        <w:right w:val="none" w:sz="0" w:space="0" w:color="auto"/>
      </w:divBdr>
    </w:div>
    <w:div w:id="48768486">
      <w:bodyDiv w:val="1"/>
      <w:marLeft w:val="0"/>
      <w:marRight w:val="0"/>
      <w:marTop w:val="0"/>
      <w:marBottom w:val="0"/>
      <w:divBdr>
        <w:top w:val="none" w:sz="0" w:space="0" w:color="auto"/>
        <w:left w:val="none" w:sz="0" w:space="0" w:color="auto"/>
        <w:bottom w:val="none" w:sz="0" w:space="0" w:color="auto"/>
        <w:right w:val="none" w:sz="0" w:space="0" w:color="auto"/>
      </w:divBdr>
    </w:div>
    <w:div w:id="49308641">
      <w:bodyDiv w:val="1"/>
      <w:marLeft w:val="0"/>
      <w:marRight w:val="0"/>
      <w:marTop w:val="0"/>
      <w:marBottom w:val="0"/>
      <w:divBdr>
        <w:top w:val="none" w:sz="0" w:space="0" w:color="auto"/>
        <w:left w:val="none" w:sz="0" w:space="0" w:color="auto"/>
        <w:bottom w:val="none" w:sz="0" w:space="0" w:color="auto"/>
        <w:right w:val="none" w:sz="0" w:space="0" w:color="auto"/>
      </w:divBdr>
    </w:div>
    <w:div w:id="49694337">
      <w:bodyDiv w:val="1"/>
      <w:marLeft w:val="0"/>
      <w:marRight w:val="0"/>
      <w:marTop w:val="0"/>
      <w:marBottom w:val="0"/>
      <w:divBdr>
        <w:top w:val="none" w:sz="0" w:space="0" w:color="auto"/>
        <w:left w:val="none" w:sz="0" w:space="0" w:color="auto"/>
        <w:bottom w:val="none" w:sz="0" w:space="0" w:color="auto"/>
        <w:right w:val="none" w:sz="0" w:space="0" w:color="auto"/>
      </w:divBdr>
    </w:div>
    <w:div w:id="55279260">
      <w:bodyDiv w:val="1"/>
      <w:marLeft w:val="0"/>
      <w:marRight w:val="0"/>
      <w:marTop w:val="0"/>
      <w:marBottom w:val="0"/>
      <w:divBdr>
        <w:top w:val="none" w:sz="0" w:space="0" w:color="auto"/>
        <w:left w:val="none" w:sz="0" w:space="0" w:color="auto"/>
        <w:bottom w:val="none" w:sz="0" w:space="0" w:color="auto"/>
        <w:right w:val="none" w:sz="0" w:space="0" w:color="auto"/>
      </w:divBdr>
    </w:div>
    <w:div w:id="56785541">
      <w:bodyDiv w:val="1"/>
      <w:marLeft w:val="0"/>
      <w:marRight w:val="0"/>
      <w:marTop w:val="0"/>
      <w:marBottom w:val="0"/>
      <w:divBdr>
        <w:top w:val="none" w:sz="0" w:space="0" w:color="auto"/>
        <w:left w:val="none" w:sz="0" w:space="0" w:color="auto"/>
        <w:bottom w:val="none" w:sz="0" w:space="0" w:color="auto"/>
        <w:right w:val="none" w:sz="0" w:space="0" w:color="auto"/>
      </w:divBdr>
    </w:div>
    <w:div w:id="58671319">
      <w:bodyDiv w:val="1"/>
      <w:marLeft w:val="0"/>
      <w:marRight w:val="0"/>
      <w:marTop w:val="0"/>
      <w:marBottom w:val="0"/>
      <w:divBdr>
        <w:top w:val="none" w:sz="0" w:space="0" w:color="auto"/>
        <w:left w:val="none" w:sz="0" w:space="0" w:color="auto"/>
        <w:bottom w:val="none" w:sz="0" w:space="0" w:color="auto"/>
        <w:right w:val="none" w:sz="0" w:space="0" w:color="auto"/>
      </w:divBdr>
    </w:div>
    <w:div w:id="58750120">
      <w:bodyDiv w:val="1"/>
      <w:marLeft w:val="0"/>
      <w:marRight w:val="0"/>
      <w:marTop w:val="0"/>
      <w:marBottom w:val="0"/>
      <w:divBdr>
        <w:top w:val="none" w:sz="0" w:space="0" w:color="auto"/>
        <w:left w:val="none" w:sz="0" w:space="0" w:color="auto"/>
        <w:bottom w:val="none" w:sz="0" w:space="0" w:color="auto"/>
        <w:right w:val="none" w:sz="0" w:space="0" w:color="auto"/>
      </w:divBdr>
    </w:div>
    <w:div w:id="58940755">
      <w:bodyDiv w:val="1"/>
      <w:marLeft w:val="0"/>
      <w:marRight w:val="0"/>
      <w:marTop w:val="0"/>
      <w:marBottom w:val="0"/>
      <w:divBdr>
        <w:top w:val="none" w:sz="0" w:space="0" w:color="auto"/>
        <w:left w:val="none" w:sz="0" w:space="0" w:color="auto"/>
        <w:bottom w:val="none" w:sz="0" w:space="0" w:color="auto"/>
        <w:right w:val="none" w:sz="0" w:space="0" w:color="auto"/>
      </w:divBdr>
    </w:div>
    <w:div w:id="62916016">
      <w:bodyDiv w:val="1"/>
      <w:marLeft w:val="0"/>
      <w:marRight w:val="0"/>
      <w:marTop w:val="0"/>
      <w:marBottom w:val="0"/>
      <w:divBdr>
        <w:top w:val="none" w:sz="0" w:space="0" w:color="auto"/>
        <w:left w:val="none" w:sz="0" w:space="0" w:color="auto"/>
        <w:bottom w:val="none" w:sz="0" w:space="0" w:color="auto"/>
        <w:right w:val="none" w:sz="0" w:space="0" w:color="auto"/>
      </w:divBdr>
    </w:div>
    <w:div w:id="68698147">
      <w:bodyDiv w:val="1"/>
      <w:marLeft w:val="0"/>
      <w:marRight w:val="0"/>
      <w:marTop w:val="0"/>
      <w:marBottom w:val="0"/>
      <w:divBdr>
        <w:top w:val="none" w:sz="0" w:space="0" w:color="auto"/>
        <w:left w:val="none" w:sz="0" w:space="0" w:color="auto"/>
        <w:bottom w:val="none" w:sz="0" w:space="0" w:color="auto"/>
        <w:right w:val="none" w:sz="0" w:space="0" w:color="auto"/>
      </w:divBdr>
    </w:div>
    <w:div w:id="72313707">
      <w:bodyDiv w:val="1"/>
      <w:marLeft w:val="0"/>
      <w:marRight w:val="0"/>
      <w:marTop w:val="0"/>
      <w:marBottom w:val="0"/>
      <w:divBdr>
        <w:top w:val="none" w:sz="0" w:space="0" w:color="auto"/>
        <w:left w:val="none" w:sz="0" w:space="0" w:color="auto"/>
        <w:bottom w:val="none" w:sz="0" w:space="0" w:color="auto"/>
        <w:right w:val="none" w:sz="0" w:space="0" w:color="auto"/>
      </w:divBdr>
    </w:div>
    <w:div w:id="89552614">
      <w:bodyDiv w:val="1"/>
      <w:marLeft w:val="0"/>
      <w:marRight w:val="0"/>
      <w:marTop w:val="0"/>
      <w:marBottom w:val="0"/>
      <w:divBdr>
        <w:top w:val="none" w:sz="0" w:space="0" w:color="auto"/>
        <w:left w:val="none" w:sz="0" w:space="0" w:color="auto"/>
        <w:bottom w:val="none" w:sz="0" w:space="0" w:color="auto"/>
        <w:right w:val="none" w:sz="0" w:space="0" w:color="auto"/>
      </w:divBdr>
    </w:div>
    <w:div w:id="92630236">
      <w:bodyDiv w:val="1"/>
      <w:marLeft w:val="0"/>
      <w:marRight w:val="0"/>
      <w:marTop w:val="0"/>
      <w:marBottom w:val="0"/>
      <w:divBdr>
        <w:top w:val="none" w:sz="0" w:space="0" w:color="auto"/>
        <w:left w:val="none" w:sz="0" w:space="0" w:color="auto"/>
        <w:bottom w:val="none" w:sz="0" w:space="0" w:color="auto"/>
        <w:right w:val="none" w:sz="0" w:space="0" w:color="auto"/>
      </w:divBdr>
    </w:div>
    <w:div w:id="101146134">
      <w:bodyDiv w:val="1"/>
      <w:marLeft w:val="0"/>
      <w:marRight w:val="0"/>
      <w:marTop w:val="0"/>
      <w:marBottom w:val="0"/>
      <w:divBdr>
        <w:top w:val="none" w:sz="0" w:space="0" w:color="auto"/>
        <w:left w:val="none" w:sz="0" w:space="0" w:color="auto"/>
        <w:bottom w:val="none" w:sz="0" w:space="0" w:color="auto"/>
        <w:right w:val="none" w:sz="0" w:space="0" w:color="auto"/>
      </w:divBdr>
    </w:div>
    <w:div w:id="104496576">
      <w:bodyDiv w:val="1"/>
      <w:marLeft w:val="0"/>
      <w:marRight w:val="0"/>
      <w:marTop w:val="0"/>
      <w:marBottom w:val="0"/>
      <w:divBdr>
        <w:top w:val="none" w:sz="0" w:space="0" w:color="auto"/>
        <w:left w:val="none" w:sz="0" w:space="0" w:color="auto"/>
        <w:bottom w:val="none" w:sz="0" w:space="0" w:color="auto"/>
        <w:right w:val="none" w:sz="0" w:space="0" w:color="auto"/>
      </w:divBdr>
    </w:div>
    <w:div w:id="107429057">
      <w:bodyDiv w:val="1"/>
      <w:marLeft w:val="0"/>
      <w:marRight w:val="0"/>
      <w:marTop w:val="0"/>
      <w:marBottom w:val="0"/>
      <w:divBdr>
        <w:top w:val="none" w:sz="0" w:space="0" w:color="auto"/>
        <w:left w:val="none" w:sz="0" w:space="0" w:color="auto"/>
        <w:bottom w:val="none" w:sz="0" w:space="0" w:color="auto"/>
        <w:right w:val="none" w:sz="0" w:space="0" w:color="auto"/>
      </w:divBdr>
    </w:div>
    <w:div w:id="108278521">
      <w:bodyDiv w:val="1"/>
      <w:marLeft w:val="0"/>
      <w:marRight w:val="0"/>
      <w:marTop w:val="0"/>
      <w:marBottom w:val="0"/>
      <w:divBdr>
        <w:top w:val="none" w:sz="0" w:space="0" w:color="auto"/>
        <w:left w:val="none" w:sz="0" w:space="0" w:color="auto"/>
        <w:bottom w:val="none" w:sz="0" w:space="0" w:color="auto"/>
        <w:right w:val="none" w:sz="0" w:space="0" w:color="auto"/>
      </w:divBdr>
    </w:div>
    <w:div w:id="109932554">
      <w:bodyDiv w:val="1"/>
      <w:marLeft w:val="0"/>
      <w:marRight w:val="0"/>
      <w:marTop w:val="0"/>
      <w:marBottom w:val="0"/>
      <w:divBdr>
        <w:top w:val="none" w:sz="0" w:space="0" w:color="auto"/>
        <w:left w:val="none" w:sz="0" w:space="0" w:color="auto"/>
        <w:bottom w:val="none" w:sz="0" w:space="0" w:color="auto"/>
        <w:right w:val="none" w:sz="0" w:space="0" w:color="auto"/>
      </w:divBdr>
    </w:div>
    <w:div w:id="116023147">
      <w:bodyDiv w:val="1"/>
      <w:marLeft w:val="0"/>
      <w:marRight w:val="0"/>
      <w:marTop w:val="0"/>
      <w:marBottom w:val="0"/>
      <w:divBdr>
        <w:top w:val="none" w:sz="0" w:space="0" w:color="auto"/>
        <w:left w:val="none" w:sz="0" w:space="0" w:color="auto"/>
        <w:bottom w:val="none" w:sz="0" w:space="0" w:color="auto"/>
        <w:right w:val="none" w:sz="0" w:space="0" w:color="auto"/>
      </w:divBdr>
    </w:div>
    <w:div w:id="118765879">
      <w:bodyDiv w:val="1"/>
      <w:marLeft w:val="0"/>
      <w:marRight w:val="0"/>
      <w:marTop w:val="0"/>
      <w:marBottom w:val="0"/>
      <w:divBdr>
        <w:top w:val="none" w:sz="0" w:space="0" w:color="auto"/>
        <w:left w:val="none" w:sz="0" w:space="0" w:color="auto"/>
        <w:bottom w:val="none" w:sz="0" w:space="0" w:color="auto"/>
        <w:right w:val="none" w:sz="0" w:space="0" w:color="auto"/>
      </w:divBdr>
    </w:div>
    <w:div w:id="131800290">
      <w:bodyDiv w:val="1"/>
      <w:marLeft w:val="0"/>
      <w:marRight w:val="0"/>
      <w:marTop w:val="0"/>
      <w:marBottom w:val="0"/>
      <w:divBdr>
        <w:top w:val="none" w:sz="0" w:space="0" w:color="auto"/>
        <w:left w:val="none" w:sz="0" w:space="0" w:color="auto"/>
        <w:bottom w:val="none" w:sz="0" w:space="0" w:color="auto"/>
        <w:right w:val="none" w:sz="0" w:space="0" w:color="auto"/>
      </w:divBdr>
    </w:div>
    <w:div w:id="133719793">
      <w:bodyDiv w:val="1"/>
      <w:marLeft w:val="0"/>
      <w:marRight w:val="0"/>
      <w:marTop w:val="0"/>
      <w:marBottom w:val="0"/>
      <w:divBdr>
        <w:top w:val="none" w:sz="0" w:space="0" w:color="auto"/>
        <w:left w:val="none" w:sz="0" w:space="0" w:color="auto"/>
        <w:bottom w:val="none" w:sz="0" w:space="0" w:color="auto"/>
        <w:right w:val="none" w:sz="0" w:space="0" w:color="auto"/>
      </w:divBdr>
    </w:div>
    <w:div w:id="135533250">
      <w:bodyDiv w:val="1"/>
      <w:marLeft w:val="0"/>
      <w:marRight w:val="0"/>
      <w:marTop w:val="0"/>
      <w:marBottom w:val="0"/>
      <w:divBdr>
        <w:top w:val="none" w:sz="0" w:space="0" w:color="auto"/>
        <w:left w:val="none" w:sz="0" w:space="0" w:color="auto"/>
        <w:bottom w:val="none" w:sz="0" w:space="0" w:color="auto"/>
        <w:right w:val="none" w:sz="0" w:space="0" w:color="auto"/>
      </w:divBdr>
      <w:divsChild>
        <w:div w:id="765610720">
          <w:marLeft w:val="0"/>
          <w:marRight w:val="0"/>
          <w:marTop w:val="0"/>
          <w:marBottom w:val="0"/>
          <w:divBdr>
            <w:top w:val="none" w:sz="0" w:space="0" w:color="auto"/>
            <w:left w:val="none" w:sz="0" w:space="0" w:color="auto"/>
            <w:bottom w:val="none" w:sz="0" w:space="0" w:color="auto"/>
            <w:right w:val="none" w:sz="0" w:space="0" w:color="auto"/>
          </w:divBdr>
        </w:div>
      </w:divsChild>
    </w:div>
    <w:div w:id="138084880">
      <w:bodyDiv w:val="1"/>
      <w:marLeft w:val="0"/>
      <w:marRight w:val="0"/>
      <w:marTop w:val="0"/>
      <w:marBottom w:val="0"/>
      <w:divBdr>
        <w:top w:val="none" w:sz="0" w:space="0" w:color="auto"/>
        <w:left w:val="none" w:sz="0" w:space="0" w:color="auto"/>
        <w:bottom w:val="none" w:sz="0" w:space="0" w:color="auto"/>
        <w:right w:val="none" w:sz="0" w:space="0" w:color="auto"/>
      </w:divBdr>
    </w:div>
    <w:div w:id="145557841">
      <w:bodyDiv w:val="1"/>
      <w:marLeft w:val="0"/>
      <w:marRight w:val="0"/>
      <w:marTop w:val="0"/>
      <w:marBottom w:val="0"/>
      <w:divBdr>
        <w:top w:val="none" w:sz="0" w:space="0" w:color="auto"/>
        <w:left w:val="none" w:sz="0" w:space="0" w:color="auto"/>
        <w:bottom w:val="none" w:sz="0" w:space="0" w:color="auto"/>
        <w:right w:val="none" w:sz="0" w:space="0" w:color="auto"/>
      </w:divBdr>
    </w:div>
    <w:div w:id="148909995">
      <w:bodyDiv w:val="1"/>
      <w:marLeft w:val="0"/>
      <w:marRight w:val="0"/>
      <w:marTop w:val="0"/>
      <w:marBottom w:val="0"/>
      <w:divBdr>
        <w:top w:val="none" w:sz="0" w:space="0" w:color="auto"/>
        <w:left w:val="none" w:sz="0" w:space="0" w:color="auto"/>
        <w:bottom w:val="none" w:sz="0" w:space="0" w:color="auto"/>
        <w:right w:val="none" w:sz="0" w:space="0" w:color="auto"/>
      </w:divBdr>
    </w:div>
    <w:div w:id="149829900">
      <w:bodyDiv w:val="1"/>
      <w:marLeft w:val="0"/>
      <w:marRight w:val="0"/>
      <w:marTop w:val="0"/>
      <w:marBottom w:val="0"/>
      <w:divBdr>
        <w:top w:val="none" w:sz="0" w:space="0" w:color="auto"/>
        <w:left w:val="none" w:sz="0" w:space="0" w:color="auto"/>
        <w:bottom w:val="none" w:sz="0" w:space="0" w:color="auto"/>
        <w:right w:val="none" w:sz="0" w:space="0" w:color="auto"/>
      </w:divBdr>
    </w:div>
    <w:div w:id="153376122">
      <w:bodyDiv w:val="1"/>
      <w:marLeft w:val="0"/>
      <w:marRight w:val="0"/>
      <w:marTop w:val="0"/>
      <w:marBottom w:val="0"/>
      <w:divBdr>
        <w:top w:val="none" w:sz="0" w:space="0" w:color="auto"/>
        <w:left w:val="none" w:sz="0" w:space="0" w:color="auto"/>
        <w:bottom w:val="none" w:sz="0" w:space="0" w:color="auto"/>
        <w:right w:val="none" w:sz="0" w:space="0" w:color="auto"/>
      </w:divBdr>
    </w:div>
    <w:div w:id="164635042">
      <w:bodyDiv w:val="1"/>
      <w:marLeft w:val="0"/>
      <w:marRight w:val="0"/>
      <w:marTop w:val="0"/>
      <w:marBottom w:val="0"/>
      <w:divBdr>
        <w:top w:val="none" w:sz="0" w:space="0" w:color="auto"/>
        <w:left w:val="none" w:sz="0" w:space="0" w:color="auto"/>
        <w:bottom w:val="none" w:sz="0" w:space="0" w:color="auto"/>
        <w:right w:val="none" w:sz="0" w:space="0" w:color="auto"/>
      </w:divBdr>
    </w:div>
    <w:div w:id="165704984">
      <w:bodyDiv w:val="1"/>
      <w:marLeft w:val="0"/>
      <w:marRight w:val="0"/>
      <w:marTop w:val="0"/>
      <w:marBottom w:val="0"/>
      <w:divBdr>
        <w:top w:val="none" w:sz="0" w:space="0" w:color="auto"/>
        <w:left w:val="none" w:sz="0" w:space="0" w:color="auto"/>
        <w:bottom w:val="none" w:sz="0" w:space="0" w:color="auto"/>
        <w:right w:val="none" w:sz="0" w:space="0" w:color="auto"/>
      </w:divBdr>
    </w:div>
    <w:div w:id="165752485">
      <w:bodyDiv w:val="1"/>
      <w:marLeft w:val="0"/>
      <w:marRight w:val="0"/>
      <w:marTop w:val="0"/>
      <w:marBottom w:val="0"/>
      <w:divBdr>
        <w:top w:val="none" w:sz="0" w:space="0" w:color="auto"/>
        <w:left w:val="none" w:sz="0" w:space="0" w:color="auto"/>
        <w:bottom w:val="none" w:sz="0" w:space="0" w:color="auto"/>
        <w:right w:val="none" w:sz="0" w:space="0" w:color="auto"/>
      </w:divBdr>
    </w:div>
    <w:div w:id="165823883">
      <w:bodyDiv w:val="1"/>
      <w:marLeft w:val="0"/>
      <w:marRight w:val="0"/>
      <w:marTop w:val="0"/>
      <w:marBottom w:val="0"/>
      <w:divBdr>
        <w:top w:val="none" w:sz="0" w:space="0" w:color="auto"/>
        <w:left w:val="none" w:sz="0" w:space="0" w:color="auto"/>
        <w:bottom w:val="none" w:sz="0" w:space="0" w:color="auto"/>
        <w:right w:val="none" w:sz="0" w:space="0" w:color="auto"/>
      </w:divBdr>
    </w:div>
    <w:div w:id="167136820">
      <w:bodyDiv w:val="1"/>
      <w:marLeft w:val="0"/>
      <w:marRight w:val="0"/>
      <w:marTop w:val="0"/>
      <w:marBottom w:val="0"/>
      <w:divBdr>
        <w:top w:val="none" w:sz="0" w:space="0" w:color="auto"/>
        <w:left w:val="none" w:sz="0" w:space="0" w:color="auto"/>
        <w:bottom w:val="none" w:sz="0" w:space="0" w:color="auto"/>
        <w:right w:val="none" w:sz="0" w:space="0" w:color="auto"/>
      </w:divBdr>
    </w:div>
    <w:div w:id="172033457">
      <w:bodyDiv w:val="1"/>
      <w:marLeft w:val="0"/>
      <w:marRight w:val="0"/>
      <w:marTop w:val="0"/>
      <w:marBottom w:val="0"/>
      <w:divBdr>
        <w:top w:val="none" w:sz="0" w:space="0" w:color="auto"/>
        <w:left w:val="none" w:sz="0" w:space="0" w:color="auto"/>
        <w:bottom w:val="none" w:sz="0" w:space="0" w:color="auto"/>
        <w:right w:val="none" w:sz="0" w:space="0" w:color="auto"/>
      </w:divBdr>
    </w:div>
    <w:div w:id="174269726">
      <w:bodyDiv w:val="1"/>
      <w:marLeft w:val="0"/>
      <w:marRight w:val="0"/>
      <w:marTop w:val="0"/>
      <w:marBottom w:val="0"/>
      <w:divBdr>
        <w:top w:val="none" w:sz="0" w:space="0" w:color="auto"/>
        <w:left w:val="none" w:sz="0" w:space="0" w:color="auto"/>
        <w:bottom w:val="none" w:sz="0" w:space="0" w:color="auto"/>
        <w:right w:val="none" w:sz="0" w:space="0" w:color="auto"/>
      </w:divBdr>
    </w:div>
    <w:div w:id="177042350">
      <w:bodyDiv w:val="1"/>
      <w:marLeft w:val="0"/>
      <w:marRight w:val="0"/>
      <w:marTop w:val="0"/>
      <w:marBottom w:val="0"/>
      <w:divBdr>
        <w:top w:val="none" w:sz="0" w:space="0" w:color="auto"/>
        <w:left w:val="none" w:sz="0" w:space="0" w:color="auto"/>
        <w:bottom w:val="none" w:sz="0" w:space="0" w:color="auto"/>
        <w:right w:val="none" w:sz="0" w:space="0" w:color="auto"/>
      </w:divBdr>
    </w:div>
    <w:div w:id="178006545">
      <w:bodyDiv w:val="1"/>
      <w:marLeft w:val="0"/>
      <w:marRight w:val="0"/>
      <w:marTop w:val="0"/>
      <w:marBottom w:val="0"/>
      <w:divBdr>
        <w:top w:val="none" w:sz="0" w:space="0" w:color="auto"/>
        <w:left w:val="none" w:sz="0" w:space="0" w:color="auto"/>
        <w:bottom w:val="none" w:sz="0" w:space="0" w:color="auto"/>
        <w:right w:val="none" w:sz="0" w:space="0" w:color="auto"/>
      </w:divBdr>
    </w:div>
    <w:div w:id="178351831">
      <w:bodyDiv w:val="1"/>
      <w:marLeft w:val="0"/>
      <w:marRight w:val="0"/>
      <w:marTop w:val="0"/>
      <w:marBottom w:val="0"/>
      <w:divBdr>
        <w:top w:val="none" w:sz="0" w:space="0" w:color="auto"/>
        <w:left w:val="none" w:sz="0" w:space="0" w:color="auto"/>
        <w:bottom w:val="none" w:sz="0" w:space="0" w:color="auto"/>
        <w:right w:val="none" w:sz="0" w:space="0" w:color="auto"/>
      </w:divBdr>
    </w:div>
    <w:div w:id="179242420">
      <w:bodyDiv w:val="1"/>
      <w:marLeft w:val="0"/>
      <w:marRight w:val="0"/>
      <w:marTop w:val="0"/>
      <w:marBottom w:val="0"/>
      <w:divBdr>
        <w:top w:val="none" w:sz="0" w:space="0" w:color="auto"/>
        <w:left w:val="none" w:sz="0" w:space="0" w:color="auto"/>
        <w:bottom w:val="none" w:sz="0" w:space="0" w:color="auto"/>
        <w:right w:val="none" w:sz="0" w:space="0" w:color="auto"/>
      </w:divBdr>
    </w:div>
    <w:div w:id="182132816">
      <w:bodyDiv w:val="1"/>
      <w:marLeft w:val="0"/>
      <w:marRight w:val="0"/>
      <w:marTop w:val="0"/>
      <w:marBottom w:val="0"/>
      <w:divBdr>
        <w:top w:val="none" w:sz="0" w:space="0" w:color="auto"/>
        <w:left w:val="none" w:sz="0" w:space="0" w:color="auto"/>
        <w:bottom w:val="none" w:sz="0" w:space="0" w:color="auto"/>
        <w:right w:val="none" w:sz="0" w:space="0" w:color="auto"/>
      </w:divBdr>
    </w:div>
    <w:div w:id="183130448">
      <w:bodyDiv w:val="1"/>
      <w:marLeft w:val="0"/>
      <w:marRight w:val="0"/>
      <w:marTop w:val="0"/>
      <w:marBottom w:val="0"/>
      <w:divBdr>
        <w:top w:val="none" w:sz="0" w:space="0" w:color="auto"/>
        <w:left w:val="none" w:sz="0" w:space="0" w:color="auto"/>
        <w:bottom w:val="none" w:sz="0" w:space="0" w:color="auto"/>
        <w:right w:val="none" w:sz="0" w:space="0" w:color="auto"/>
      </w:divBdr>
    </w:div>
    <w:div w:id="186220150">
      <w:bodyDiv w:val="1"/>
      <w:marLeft w:val="0"/>
      <w:marRight w:val="0"/>
      <w:marTop w:val="0"/>
      <w:marBottom w:val="0"/>
      <w:divBdr>
        <w:top w:val="none" w:sz="0" w:space="0" w:color="auto"/>
        <w:left w:val="none" w:sz="0" w:space="0" w:color="auto"/>
        <w:bottom w:val="none" w:sz="0" w:space="0" w:color="auto"/>
        <w:right w:val="none" w:sz="0" w:space="0" w:color="auto"/>
      </w:divBdr>
    </w:div>
    <w:div w:id="186917249">
      <w:bodyDiv w:val="1"/>
      <w:marLeft w:val="0"/>
      <w:marRight w:val="0"/>
      <w:marTop w:val="0"/>
      <w:marBottom w:val="0"/>
      <w:divBdr>
        <w:top w:val="none" w:sz="0" w:space="0" w:color="auto"/>
        <w:left w:val="none" w:sz="0" w:space="0" w:color="auto"/>
        <w:bottom w:val="none" w:sz="0" w:space="0" w:color="auto"/>
        <w:right w:val="none" w:sz="0" w:space="0" w:color="auto"/>
      </w:divBdr>
    </w:div>
    <w:div w:id="197088533">
      <w:bodyDiv w:val="1"/>
      <w:marLeft w:val="0"/>
      <w:marRight w:val="0"/>
      <w:marTop w:val="0"/>
      <w:marBottom w:val="0"/>
      <w:divBdr>
        <w:top w:val="none" w:sz="0" w:space="0" w:color="auto"/>
        <w:left w:val="none" w:sz="0" w:space="0" w:color="auto"/>
        <w:bottom w:val="none" w:sz="0" w:space="0" w:color="auto"/>
        <w:right w:val="none" w:sz="0" w:space="0" w:color="auto"/>
      </w:divBdr>
    </w:div>
    <w:div w:id="197933512">
      <w:bodyDiv w:val="1"/>
      <w:marLeft w:val="0"/>
      <w:marRight w:val="0"/>
      <w:marTop w:val="0"/>
      <w:marBottom w:val="0"/>
      <w:divBdr>
        <w:top w:val="none" w:sz="0" w:space="0" w:color="auto"/>
        <w:left w:val="none" w:sz="0" w:space="0" w:color="auto"/>
        <w:bottom w:val="none" w:sz="0" w:space="0" w:color="auto"/>
        <w:right w:val="none" w:sz="0" w:space="0" w:color="auto"/>
      </w:divBdr>
    </w:div>
    <w:div w:id="198325629">
      <w:bodyDiv w:val="1"/>
      <w:marLeft w:val="0"/>
      <w:marRight w:val="0"/>
      <w:marTop w:val="0"/>
      <w:marBottom w:val="0"/>
      <w:divBdr>
        <w:top w:val="none" w:sz="0" w:space="0" w:color="auto"/>
        <w:left w:val="none" w:sz="0" w:space="0" w:color="auto"/>
        <w:bottom w:val="none" w:sz="0" w:space="0" w:color="auto"/>
        <w:right w:val="none" w:sz="0" w:space="0" w:color="auto"/>
      </w:divBdr>
    </w:div>
    <w:div w:id="199054379">
      <w:bodyDiv w:val="1"/>
      <w:marLeft w:val="0"/>
      <w:marRight w:val="0"/>
      <w:marTop w:val="0"/>
      <w:marBottom w:val="0"/>
      <w:divBdr>
        <w:top w:val="none" w:sz="0" w:space="0" w:color="auto"/>
        <w:left w:val="none" w:sz="0" w:space="0" w:color="auto"/>
        <w:bottom w:val="none" w:sz="0" w:space="0" w:color="auto"/>
        <w:right w:val="none" w:sz="0" w:space="0" w:color="auto"/>
      </w:divBdr>
    </w:div>
    <w:div w:id="214396842">
      <w:bodyDiv w:val="1"/>
      <w:marLeft w:val="0"/>
      <w:marRight w:val="0"/>
      <w:marTop w:val="0"/>
      <w:marBottom w:val="0"/>
      <w:divBdr>
        <w:top w:val="none" w:sz="0" w:space="0" w:color="auto"/>
        <w:left w:val="none" w:sz="0" w:space="0" w:color="auto"/>
        <w:bottom w:val="none" w:sz="0" w:space="0" w:color="auto"/>
        <w:right w:val="none" w:sz="0" w:space="0" w:color="auto"/>
      </w:divBdr>
    </w:div>
    <w:div w:id="215355436">
      <w:bodyDiv w:val="1"/>
      <w:marLeft w:val="0"/>
      <w:marRight w:val="0"/>
      <w:marTop w:val="0"/>
      <w:marBottom w:val="0"/>
      <w:divBdr>
        <w:top w:val="none" w:sz="0" w:space="0" w:color="auto"/>
        <w:left w:val="none" w:sz="0" w:space="0" w:color="auto"/>
        <w:bottom w:val="none" w:sz="0" w:space="0" w:color="auto"/>
        <w:right w:val="none" w:sz="0" w:space="0" w:color="auto"/>
      </w:divBdr>
    </w:div>
    <w:div w:id="215702011">
      <w:bodyDiv w:val="1"/>
      <w:marLeft w:val="0"/>
      <w:marRight w:val="0"/>
      <w:marTop w:val="0"/>
      <w:marBottom w:val="0"/>
      <w:divBdr>
        <w:top w:val="none" w:sz="0" w:space="0" w:color="auto"/>
        <w:left w:val="none" w:sz="0" w:space="0" w:color="auto"/>
        <w:bottom w:val="none" w:sz="0" w:space="0" w:color="auto"/>
        <w:right w:val="none" w:sz="0" w:space="0" w:color="auto"/>
      </w:divBdr>
    </w:div>
    <w:div w:id="217058219">
      <w:bodyDiv w:val="1"/>
      <w:marLeft w:val="0"/>
      <w:marRight w:val="0"/>
      <w:marTop w:val="0"/>
      <w:marBottom w:val="0"/>
      <w:divBdr>
        <w:top w:val="none" w:sz="0" w:space="0" w:color="auto"/>
        <w:left w:val="none" w:sz="0" w:space="0" w:color="auto"/>
        <w:bottom w:val="none" w:sz="0" w:space="0" w:color="auto"/>
        <w:right w:val="none" w:sz="0" w:space="0" w:color="auto"/>
      </w:divBdr>
    </w:div>
    <w:div w:id="217085446">
      <w:bodyDiv w:val="1"/>
      <w:marLeft w:val="0"/>
      <w:marRight w:val="0"/>
      <w:marTop w:val="0"/>
      <w:marBottom w:val="0"/>
      <w:divBdr>
        <w:top w:val="none" w:sz="0" w:space="0" w:color="auto"/>
        <w:left w:val="none" w:sz="0" w:space="0" w:color="auto"/>
        <w:bottom w:val="none" w:sz="0" w:space="0" w:color="auto"/>
        <w:right w:val="none" w:sz="0" w:space="0" w:color="auto"/>
      </w:divBdr>
    </w:div>
    <w:div w:id="217203286">
      <w:bodyDiv w:val="1"/>
      <w:marLeft w:val="0"/>
      <w:marRight w:val="0"/>
      <w:marTop w:val="0"/>
      <w:marBottom w:val="0"/>
      <w:divBdr>
        <w:top w:val="none" w:sz="0" w:space="0" w:color="auto"/>
        <w:left w:val="none" w:sz="0" w:space="0" w:color="auto"/>
        <w:bottom w:val="none" w:sz="0" w:space="0" w:color="auto"/>
        <w:right w:val="none" w:sz="0" w:space="0" w:color="auto"/>
      </w:divBdr>
    </w:div>
    <w:div w:id="217204773">
      <w:bodyDiv w:val="1"/>
      <w:marLeft w:val="0"/>
      <w:marRight w:val="0"/>
      <w:marTop w:val="0"/>
      <w:marBottom w:val="0"/>
      <w:divBdr>
        <w:top w:val="none" w:sz="0" w:space="0" w:color="auto"/>
        <w:left w:val="none" w:sz="0" w:space="0" w:color="auto"/>
        <w:bottom w:val="none" w:sz="0" w:space="0" w:color="auto"/>
        <w:right w:val="none" w:sz="0" w:space="0" w:color="auto"/>
      </w:divBdr>
    </w:div>
    <w:div w:id="217210066">
      <w:bodyDiv w:val="1"/>
      <w:marLeft w:val="0"/>
      <w:marRight w:val="0"/>
      <w:marTop w:val="0"/>
      <w:marBottom w:val="0"/>
      <w:divBdr>
        <w:top w:val="none" w:sz="0" w:space="0" w:color="auto"/>
        <w:left w:val="none" w:sz="0" w:space="0" w:color="auto"/>
        <w:bottom w:val="none" w:sz="0" w:space="0" w:color="auto"/>
        <w:right w:val="none" w:sz="0" w:space="0" w:color="auto"/>
      </w:divBdr>
    </w:div>
    <w:div w:id="225577995">
      <w:bodyDiv w:val="1"/>
      <w:marLeft w:val="0"/>
      <w:marRight w:val="0"/>
      <w:marTop w:val="0"/>
      <w:marBottom w:val="0"/>
      <w:divBdr>
        <w:top w:val="none" w:sz="0" w:space="0" w:color="auto"/>
        <w:left w:val="none" w:sz="0" w:space="0" w:color="auto"/>
        <w:bottom w:val="none" w:sz="0" w:space="0" w:color="auto"/>
        <w:right w:val="none" w:sz="0" w:space="0" w:color="auto"/>
      </w:divBdr>
    </w:div>
    <w:div w:id="226840630">
      <w:bodyDiv w:val="1"/>
      <w:marLeft w:val="0"/>
      <w:marRight w:val="0"/>
      <w:marTop w:val="0"/>
      <w:marBottom w:val="0"/>
      <w:divBdr>
        <w:top w:val="none" w:sz="0" w:space="0" w:color="auto"/>
        <w:left w:val="none" w:sz="0" w:space="0" w:color="auto"/>
        <w:bottom w:val="none" w:sz="0" w:space="0" w:color="auto"/>
        <w:right w:val="none" w:sz="0" w:space="0" w:color="auto"/>
      </w:divBdr>
    </w:div>
    <w:div w:id="233972772">
      <w:bodyDiv w:val="1"/>
      <w:marLeft w:val="0"/>
      <w:marRight w:val="0"/>
      <w:marTop w:val="0"/>
      <w:marBottom w:val="0"/>
      <w:divBdr>
        <w:top w:val="none" w:sz="0" w:space="0" w:color="auto"/>
        <w:left w:val="none" w:sz="0" w:space="0" w:color="auto"/>
        <w:bottom w:val="none" w:sz="0" w:space="0" w:color="auto"/>
        <w:right w:val="none" w:sz="0" w:space="0" w:color="auto"/>
      </w:divBdr>
    </w:div>
    <w:div w:id="245193495">
      <w:bodyDiv w:val="1"/>
      <w:marLeft w:val="0"/>
      <w:marRight w:val="0"/>
      <w:marTop w:val="0"/>
      <w:marBottom w:val="0"/>
      <w:divBdr>
        <w:top w:val="none" w:sz="0" w:space="0" w:color="auto"/>
        <w:left w:val="none" w:sz="0" w:space="0" w:color="auto"/>
        <w:bottom w:val="none" w:sz="0" w:space="0" w:color="auto"/>
        <w:right w:val="none" w:sz="0" w:space="0" w:color="auto"/>
      </w:divBdr>
    </w:div>
    <w:div w:id="247007950">
      <w:bodyDiv w:val="1"/>
      <w:marLeft w:val="0"/>
      <w:marRight w:val="0"/>
      <w:marTop w:val="0"/>
      <w:marBottom w:val="0"/>
      <w:divBdr>
        <w:top w:val="none" w:sz="0" w:space="0" w:color="auto"/>
        <w:left w:val="none" w:sz="0" w:space="0" w:color="auto"/>
        <w:bottom w:val="none" w:sz="0" w:space="0" w:color="auto"/>
        <w:right w:val="none" w:sz="0" w:space="0" w:color="auto"/>
      </w:divBdr>
    </w:div>
    <w:div w:id="247622497">
      <w:bodyDiv w:val="1"/>
      <w:marLeft w:val="0"/>
      <w:marRight w:val="0"/>
      <w:marTop w:val="0"/>
      <w:marBottom w:val="0"/>
      <w:divBdr>
        <w:top w:val="none" w:sz="0" w:space="0" w:color="auto"/>
        <w:left w:val="none" w:sz="0" w:space="0" w:color="auto"/>
        <w:bottom w:val="none" w:sz="0" w:space="0" w:color="auto"/>
        <w:right w:val="none" w:sz="0" w:space="0" w:color="auto"/>
      </w:divBdr>
    </w:div>
    <w:div w:id="251280773">
      <w:bodyDiv w:val="1"/>
      <w:marLeft w:val="0"/>
      <w:marRight w:val="0"/>
      <w:marTop w:val="0"/>
      <w:marBottom w:val="0"/>
      <w:divBdr>
        <w:top w:val="none" w:sz="0" w:space="0" w:color="auto"/>
        <w:left w:val="none" w:sz="0" w:space="0" w:color="auto"/>
        <w:bottom w:val="none" w:sz="0" w:space="0" w:color="auto"/>
        <w:right w:val="none" w:sz="0" w:space="0" w:color="auto"/>
      </w:divBdr>
    </w:div>
    <w:div w:id="254438043">
      <w:bodyDiv w:val="1"/>
      <w:marLeft w:val="0"/>
      <w:marRight w:val="0"/>
      <w:marTop w:val="0"/>
      <w:marBottom w:val="0"/>
      <w:divBdr>
        <w:top w:val="none" w:sz="0" w:space="0" w:color="auto"/>
        <w:left w:val="none" w:sz="0" w:space="0" w:color="auto"/>
        <w:bottom w:val="none" w:sz="0" w:space="0" w:color="auto"/>
        <w:right w:val="none" w:sz="0" w:space="0" w:color="auto"/>
      </w:divBdr>
    </w:div>
    <w:div w:id="267391709">
      <w:bodyDiv w:val="1"/>
      <w:marLeft w:val="0"/>
      <w:marRight w:val="0"/>
      <w:marTop w:val="0"/>
      <w:marBottom w:val="0"/>
      <w:divBdr>
        <w:top w:val="none" w:sz="0" w:space="0" w:color="auto"/>
        <w:left w:val="none" w:sz="0" w:space="0" w:color="auto"/>
        <w:bottom w:val="none" w:sz="0" w:space="0" w:color="auto"/>
        <w:right w:val="none" w:sz="0" w:space="0" w:color="auto"/>
      </w:divBdr>
    </w:div>
    <w:div w:id="267472470">
      <w:bodyDiv w:val="1"/>
      <w:marLeft w:val="0"/>
      <w:marRight w:val="0"/>
      <w:marTop w:val="0"/>
      <w:marBottom w:val="0"/>
      <w:divBdr>
        <w:top w:val="none" w:sz="0" w:space="0" w:color="auto"/>
        <w:left w:val="none" w:sz="0" w:space="0" w:color="auto"/>
        <w:bottom w:val="none" w:sz="0" w:space="0" w:color="auto"/>
        <w:right w:val="none" w:sz="0" w:space="0" w:color="auto"/>
      </w:divBdr>
    </w:div>
    <w:div w:id="271474851">
      <w:bodyDiv w:val="1"/>
      <w:marLeft w:val="0"/>
      <w:marRight w:val="0"/>
      <w:marTop w:val="0"/>
      <w:marBottom w:val="0"/>
      <w:divBdr>
        <w:top w:val="none" w:sz="0" w:space="0" w:color="auto"/>
        <w:left w:val="none" w:sz="0" w:space="0" w:color="auto"/>
        <w:bottom w:val="none" w:sz="0" w:space="0" w:color="auto"/>
        <w:right w:val="none" w:sz="0" w:space="0" w:color="auto"/>
      </w:divBdr>
    </w:div>
    <w:div w:id="274482005">
      <w:bodyDiv w:val="1"/>
      <w:marLeft w:val="0"/>
      <w:marRight w:val="0"/>
      <w:marTop w:val="0"/>
      <w:marBottom w:val="0"/>
      <w:divBdr>
        <w:top w:val="none" w:sz="0" w:space="0" w:color="auto"/>
        <w:left w:val="none" w:sz="0" w:space="0" w:color="auto"/>
        <w:bottom w:val="none" w:sz="0" w:space="0" w:color="auto"/>
        <w:right w:val="none" w:sz="0" w:space="0" w:color="auto"/>
      </w:divBdr>
    </w:div>
    <w:div w:id="278491463">
      <w:bodyDiv w:val="1"/>
      <w:marLeft w:val="0"/>
      <w:marRight w:val="0"/>
      <w:marTop w:val="0"/>
      <w:marBottom w:val="0"/>
      <w:divBdr>
        <w:top w:val="none" w:sz="0" w:space="0" w:color="auto"/>
        <w:left w:val="none" w:sz="0" w:space="0" w:color="auto"/>
        <w:bottom w:val="none" w:sz="0" w:space="0" w:color="auto"/>
        <w:right w:val="none" w:sz="0" w:space="0" w:color="auto"/>
      </w:divBdr>
    </w:div>
    <w:div w:id="281032864">
      <w:bodyDiv w:val="1"/>
      <w:marLeft w:val="0"/>
      <w:marRight w:val="0"/>
      <w:marTop w:val="0"/>
      <w:marBottom w:val="0"/>
      <w:divBdr>
        <w:top w:val="none" w:sz="0" w:space="0" w:color="auto"/>
        <w:left w:val="none" w:sz="0" w:space="0" w:color="auto"/>
        <w:bottom w:val="none" w:sz="0" w:space="0" w:color="auto"/>
        <w:right w:val="none" w:sz="0" w:space="0" w:color="auto"/>
      </w:divBdr>
    </w:div>
    <w:div w:id="282738504">
      <w:bodyDiv w:val="1"/>
      <w:marLeft w:val="0"/>
      <w:marRight w:val="0"/>
      <w:marTop w:val="0"/>
      <w:marBottom w:val="0"/>
      <w:divBdr>
        <w:top w:val="none" w:sz="0" w:space="0" w:color="auto"/>
        <w:left w:val="none" w:sz="0" w:space="0" w:color="auto"/>
        <w:bottom w:val="none" w:sz="0" w:space="0" w:color="auto"/>
        <w:right w:val="none" w:sz="0" w:space="0" w:color="auto"/>
      </w:divBdr>
    </w:div>
    <w:div w:id="283776496">
      <w:bodyDiv w:val="1"/>
      <w:marLeft w:val="0"/>
      <w:marRight w:val="0"/>
      <w:marTop w:val="0"/>
      <w:marBottom w:val="0"/>
      <w:divBdr>
        <w:top w:val="none" w:sz="0" w:space="0" w:color="auto"/>
        <w:left w:val="none" w:sz="0" w:space="0" w:color="auto"/>
        <w:bottom w:val="none" w:sz="0" w:space="0" w:color="auto"/>
        <w:right w:val="none" w:sz="0" w:space="0" w:color="auto"/>
      </w:divBdr>
    </w:div>
    <w:div w:id="286085280">
      <w:bodyDiv w:val="1"/>
      <w:marLeft w:val="0"/>
      <w:marRight w:val="0"/>
      <w:marTop w:val="0"/>
      <w:marBottom w:val="0"/>
      <w:divBdr>
        <w:top w:val="none" w:sz="0" w:space="0" w:color="auto"/>
        <w:left w:val="none" w:sz="0" w:space="0" w:color="auto"/>
        <w:bottom w:val="none" w:sz="0" w:space="0" w:color="auto"/>
        <w:right w:val="none" w:sz="0" w:space="0" w:color="auto"/>
      </w:divBdr>
    </w:div>
    <w:div w:id="289288987">
      <w:bodyDiv w:val="1"/>
      <w:marLeft w:val="0"/>
      <w:marRight w:val="0"/>
      <w:marTop w:val="0"/>
      <w:marBottom w:val="0"/>
      <w:divBdr>
        <w:top w:val="none" w:sz="0" w:space="0" w:color="auto"/>
        <w:left w:val="none" w:sz="0" w:space="0" w:color="auto"/>
        <w:bottom w:val="none" w:sz="0" w:space="0" w:color="auto"/>
        <w:right w:val="none" w:sz="0" w:space="0" w:color="auto"/>
      </w:divBdr>
    </w:div>
    <w:div w:id="289432986">
      <w:bodyDiv w:val="1"/>
      <w:marLeft w:val="0"/>
      <w:marRight w:val="0"/>
      <w:marTop w:val="0"/>
      <w:marBottom w:val="0"/>
      <w:divBdr>
        <w:top w:val="none" w:sz="0" w:space="0" w:color="auto"/>
        <w:left w:val="none" w:sz="0" w:space="0" w:color="auto"/>
        <w:bottom w:val="none" w:sz="0" w:space="0" w:color="auto"/>
        <w:right w:val="none" w:sz="0" w:space="0" w:color="auto"/>
      </w:divBdr>
    </w:div>
    <w:div w:id="289671977">
      <w:bodyDiv w:val="1"/>
      <w:marLeft w:val="0"/>
      <w:marRight w:val="0"/>
      <w:marTop w:val="0"/>
      <w:marBottom w:val="0"/>
      <w:divBdr>
        <w:top w:val="none" w:sz="0" w:space="0" w:color="auto"/>
        <w:left w:val="none" w:sz="0" w:space="0" w:color="auto"/>
        <w:bottom w:val="none" w:sz="0" w:space="0" w:color="auto"/>
        <w:right w:val="none" w:sz="0" w:space="0" w:color="auto"/>
      </w:divBdr>
    </w:div>
    <w:div w:id="290790905">
      <w:bodyDiv w:val="1"/>
      <w:marLeft w:val="0"/>
      <w:marRight w:val="0"/>
      <w:marTop w:val="0"/>
      <w:marBottom w:val="0"/>
      <w:divBdr>
        <w:top w:val="none" w:sz="0" w:space="0" w:color="auto"/>
        <w:left w:val="none" w:sz="0" w:space="0" w:color="auto"/>
        <w:bottom w:val="none" w:sz="0" w:space="0" w:color="auto"/>
        <w:right w:val="none" w:sz="0" w:space="0" w:color="auto"/>
      </w:divBdr>
    </w:div>
    <w:div w:id="293491614">
      <w:bodyDiv w:val="1"/>
      <w:marLeft w:val="0"/>
      <w:marRight w:val="0"/>
      <w:marTop w:val="0"/>
      <w:marBottom w:val="0"/>
      <w:divBdr>
        <w:top w:val="none" w:sz="0" w:space="0" w:color="auto"/>
        <w:left w:val="none" w:sz="0" w:space="0" w:color="auto"/>
        <w:bottom w:val="none" w:sz="0" w:space="0" w:color="auto"/>
        <w:right w:val="none" w:sz="0" w:space="0" w:color="auto"/>
      </w:divBdr>
    </w:div>
    <w:div w:id="301473041">
      <w:bodyDiv w:val="1"/>
      <w:marLeft w:val="0"/>
      <w:marRight w:val="0"/>
      <w:marTop w:val="0"/>
      <w:marBottom w:val="0"/>
      <w:divBdr>
        <w:top w:val="none" w:sz="0" w:space="0" w:color="auto"/>
        <w:left w:val="none" w:sz="0" w:space="0" w:color="auto"/>
        <w:bottom w:val="none" w:sz="0" w:space="0" w:color="auto"/>
        <w:right w:val="none" w:sz="0" w:space="0" w:color="auto"/>
      </w:divBdr>
    </w:div>
    <w:div w:id="303196277">
      <w:bodyDiv w:val="1"/>
      <w:marLeft w:val="0"/>
      <w:marRight w:val="0"/>
      <w:marTop w:val="0"/>
      <w:marBottom w:val="0"/>
      <w:divBdr>
        <w:top w:val="none" w:sz="0" w:space="0" w:color="auto"/>
        <w:left w:val="none" w:sz="0" w:space="0" w:color="auto"/>
        <w:bottom w:val="none" w:sz="0" w:space="0" w:color="auto"/>
        <w:right w:val="none" w:sz="0" w:space="0" w:color="auto"/>
      </w:divBdr>
    </w:div>
    <w:div w:id="312684781">
      <w:bodyDiv w:val="1"/>
      <w:marLeft w:val="0"/>
      <w:marRight w:val="0"/>
      <w:marTop w:val="0"/>
      <w:marBottom w:val="0"/>
      <w:divBdr>
        <w:top w:val="none" w:sz="0" w:space="0" w:color="auto"/>
        <w:left w:val="none" w:sz="0" w:space="0" w:color="auto"/>
        <w:bottom w:val="none" w:sz="0" w:space="0" w:color="auto"/>
        <w:right w:val="none" w:sz="0" w:space="0" w:color="auto"/>
      </w:divBdr>
    </w:div>
    <w:div w:id="313066868">
      <w:bodyDiv w:val="1"/>
      <w:marLeft w:val="0"/>
      <w:marRight w:val="0"/>
      <w:marTop w:val="0"/>
      <w:marBottom w:val="0"/>
      <w:divBdr>
        <w:top w:val="none" w:sz="0" w:space="0" w:color="auto"/>
        <w:left w:val="none" w:sz="0" w:space="0" w:color="auto"/>
        <w:bottom w:val="none" w:sz="0" w:space="0" w:color="auto"/>
        <w:right w:val="none" w:sz="0" w:space="0" w:color="auto"/>
      </w:divBdr>
    </w:div>
    <w:div w:id="314920588">
      <w:bodyDiv w:val="1"/>
      <w:marLeft w:val="0"/>
      <w:marRight w:val="0"/>
      <w:marTop w:val="0"/>
      <w:marBottom w:val="0"/>
      <w:divBdr>
        <w:top w:val="none" w:sz="0" w:space="0" w:color="auto"/>
        <w:left w:val="none" w:sz="0" w:space="0" w:color="auto"/>
        <w:bottom w:val="none" w:sz="0" w:space="0" w:color="auto"/>
        <w:right w:val="none" w:sz="0" w:space="0" w:color="auto"/>
      </w:divBdr>
    </w:div>
    <w:div w:id="323826048">
      <w:bodyDiv w:val="1"/>
      <w:marLeft w:val="0"/>
      <w:marRight w:val="0"/>
      <w:marTop w:val="0"/>
      <w:marBottom w:val="0"/>
      <w:divBdr>
        <w:top w:val="none" w:sz="0" w:space="0" w:color="auto"/>
        <w:left w:val="none" w:sz="0" w:space="0" w:color="auto"/>
        <w:bottom w:val="none" w:sz="0" w:space="0" w:color="auto"/>
        <w:right w:val="none" w:sz="0" w:space="0" w:color="auto"/>
      </w:divBdr>
    </w:div>
    <w:div w:id="325282802">
      <w:bodyDiv w:val="1"/>
      <w:marLeft w:val="0"/>
      <w:marRight w:val="0"/>
      <w:marTop w:val="0"/>
      <w:marBottom w:val="0"/>
      <w:divBdr>
        <w:top w:val="none" w:sz="0" w:space="0" w:color="auto"/>
        <w:left w:val="none" w:sz="0" w:space="0" w:color="auto"/>
        <w:bottom w:val="none" w:sz="0" w:space="0" w:color="auto"/>
        <w:right w:val="none" w:sz="0" w:space="0" w:color="auto"/>
      </w:divBdr>
    </w:div>
    <w:div w:id="327171497">
      <w:bodyDiv w:val="1"/>
      <w:marLeft w:val="0"/>
      <w:marRight w:val="0"/>
      <w:marTop w:val="0"/>
      <w:marBottom w:val="0"/>
      <w:divBdr>
        <w:top w:val="none" w:sz="0" w:space="0" w:color="auto"/>
        <w:left w:val="none" w:sz="0" w:space="0" w:color="auto"/>
        <w:bottom w:val="none" w:sz="0" w:space="0" w:color="auto"/>
        <w:right w:val="none" w:sz="0" w:space="0" w:color="auto"/>
      </w:divBdr>
    </w:div>
    <w:div w:id="333579920">
      <w:bodyDiv w:val="1"/>
      <w:marLeft w:val="0"/>
      <w:marRight w:val="0"/>
      <w:marTop w:val="0"/>
      <w:marBottom w:val="0"/>
      <w:divBdr>
        <w:top w:val="none" w:sz="0" w:space="0" w:color="auto"/>
        <w:left w:val="none" w:sz="0" w:space="0" w:color="auto"/>
        <w:bottom w:val="none" w:sz="0" w:space="0" w:color="auto"/>
        <w:right w:val="none" w:sz="0" w:space="0" w:color="auto"/>
      </w:divBdr>
    </w:div>
    <w:div w:id="337464611">
      <w:bodyDiv w:val="1"/>
      <w:marLeft w:val="0"/>
      <w:marRight w:val="0"/>
      <w:marTop w:val="0"/>
      <w:marBottom w:val="0"/>
      <w:divBdr>
        <w:top w:val="none" w:sz="0" w:space="0" w:color="auto"/>
        <w:left w:val="none" w:sz="0" w:space="0" w:color="auto"/>
        <w:bottom w:val="none" w:sz="0" w:space="0" w:color="auto"/>
        <w:right w:val="none" w:sz="0" w:space="0" w:color="auto"/>
      </w:divBdr>
    </w:div>
    <w:div w:id="350690188">
      <w:bodyDiv w:val="1"/>
      <w:marLeft w:val="0"/>
      <w:marRight w:val="0"/>
      <w:marTop w:val="0"/>
      <w:marBottom w:val="0"/>
      <w:divBdr>
        <w:top w:val="none" w:sz="0" w:space="0" w:color="auto"/>
        <w:left w:val="none" w:sz="0" w:space="0" w:color="auto"/>
        <w:bottom w:val="none" w:sz="0" w:space="0" w:color="auto"/>
        <w:right w:val="none" w:sz="0" w:space="0" w:color="auto"/>
      </w:divBdr>
    </w:div>
    <w:div w:id="353842875">
      <w:bodyDiv w:val="1"/>
      <w:marLeft w:val="0"/>
      <w:marRight w:val="0"/>
      <w:marTop w:val="0"/>
      <w:marBottom w:val="0"/>
      <w:divBdr>
        <w:top w:val="none" w:sz="0" w:space="0" w:color="auto"/>
        <w:left w:val="none" w:sz="0" w:space="0" w:color="auto"/>
        <w:bottom w:val="none" w:sz="0" w:space="0" w:color="auto"/>
        <w:right w:val="none" w:sz="0" w:space="0" w:color="auto"/>
      </w:divBdr>
    </w:div>
    <w:div w:id="353923245">
      <w:bodyDiv w:val="1"/>
      <w:marLeft w:val="0"/>
      <w:marRight w:val="0"/>
      <w:marTop w:val="0"/>
      <w:marBottom w:val="0"/>
      <w:divBdr>
        <w:top w:val="none" w:sz="0" w:space="0" w:color="auto"/>
        <w:left w:val="none" w:sz="0" w:space="0" w:color="auto"/>
        <w:bottom w:val="none" w:sz="0" w:space="0" w:color="auto"/>
        <w:right w:val="none" w:sz="0" w:space="0" w:color="auto"/>
      </w:divBdr>
    </w:div>
    <w:div w:id="354771815">
      <w:bodyDiv w:val="1"/>
      <w:marLeft w:val="0"/>
      <w:marRight w:val="0"/>
      <w:marTop w:val="0"/>
      <w:marBottom w:val="0"/>
      <w:divBdr>
        <w:top w:val="none" w:sz="0" w:space="0" w:color="auto"/>
        <w:left w:val="none" w:sz="0" w:space="0" w:color="auto"/>
        <w:bottom w:val="none" w:sz="0" w:space="0" w:color="auto"/>
        <w:right w:val="none" w:sz="0" w:space="0" w:color="auto"/>
      </w:divBdr>
    </w:div>
    <w:div w:id="355277347">
      <w:bodyDiv w:val="1"/>
      <w:marLeft w:val="0"/>
      <w:marRight w:val="0"/>
      <w:marTop w:val="0"/>
      <w:marBottom w:val="0"/>
      <w:divBdr>
        <w:top w:val="none" w:sz="0" w:space="0" w:color="auto"/>
        <w:left w:val="none" w:sz="0" w:space="0" w:color="auto"/>
        <w:bottom w:val="none" w:sz="0" w:space="0" w:color="auto"/>
        <w:right w:val="none" w:sz="0" w:space="0" w:color="auto"/>
      </w:divBdr>
    </w:div>
    <w:div w:id="356541917">
      <w:bodyDiv w:val="1"/>
      <w:marLeft w:val="0"/>
      <w:marRight w:val="0"/>
      <w:marTop w:val="0"/>
      <w:marBottom w:val="0"/>
      <w:divBdr>
        <w:top w:val="none" w:sz="0" w:space="0" w:color="auto"/>
        <w:left w:val="none" w:sz="0" w:space="0" w:color="auto"/>
        <w:bottom w:val="none" w:sz="0" w:space="0" w:color="auto"/>
        <w:right w:val="none" w:sz="0" w:space="0" w:color="auto"/>
      </w:divBdr>
    </w:div>
    <w:div w:id="359820319">
      <w:bodyDiv w:val="1"/>
      <w:marLeft w:val="0"/>
      <w:marRight w:val="0"/>
      <w:marTop w:val="0"/>
      <w:marBottom w:val="0"/>
      <w:divBdr>
        <w:top w:val="none" w:sz="0" w:space="0" w:color="auto"/>
        <w:left w:val="none" w:sz="0" w:space="0" w:color="auto"/>
        <w:bottom w:val="none" w:sz="0" w:space="0" w:color="auto"/>
        <w:right w:val="none" w:sz="0" w:space="0" w:color="auto"/>
      </w:divBdr>
    </w:div>
    <w:div w:id="360320954">
      <w:bodyDiv w:val="1"/>
      <w:marLeft w:val="0"/>
      <w:marRight w:val="0"/>
      <w:marTop w:val="0"/>
      <w:marBottom w:val="0"/>
      <w:divBdr>
        <w:top w:val="none" w:sz="0" w:space="0" w:color="auto"/>
        <w:left w:val="none" w:sz="0" w:space="0" w:color="auto"/>
        <w:bottom w:val="none" w:sz="0" w:space="0" w:color="auto"/>
        <w:right w:val="none" w:sz="0" w:space="0" w:color="auto"/>
      </w:divBdr>
    </w:div>
    <w:div w:id="368607103">
      <w:bodyDiv w:val="1"/>
      <w:marLeft w:val="0"/>
      <w:marRight w:val="0"/>
      <w:marTop w:val="0"/>
      <w:marBottom w:val="0"/>
      <w:divBdr>
        <w:top w:val="none" w:sz="0" w:space="0" w:color="auto"/>
        <w:left w:val="none" w:sz="0" w:space="0" w:color="auto"/>
        <w:bottom w:val="none" w:sz="0" w:space="0" w:color="auto"/>
        <w:right w:val="none" w:sz="0" w:space="0" w:color="auto"/>
      </w:divBdr>
    </w:div>
    <w:div w:id="373503181">
      <w:bodyDiv w:val="1"/>
      <w:marLeft w:val="0"/>
      <w:marRight w:val="0"/>
      <w:marTop w:val="0"/>
      <w:marBottom w:val="0"/>
      <w:divBdr>
        <w:top w:val="none" w:sz="0" w:space="0" w:color="auto"/>
        <w:left w:val="none" w:sz="0" w:space="0" w:color="auto"/>
        <w:bottom w:val="none" w:sz="0" w:space="0" w:color="auto"/>
        <w:right w:val="none" w:sz="0" w:space="0" w:color="auto"/>
      </w:divBdr>
    </w:div>
    <w:div w:id="375545003">
      <w:bodyDiv w:val="1"/>
      <w:marLeft w:val="0"/>
      <w:marRight w:val="0"/>
      <w:marTop w:val="0"/>
      <w:marBottom w:val="0"/>
      <w:divBdr>
        <w:top w:val="none" w:sz="0" w:space="0" w:color="auto"/>
        <w:left w:val="none" w:sz="0" w:space="0" w:color="auto"/>
        <w:bottom w:val="none" w:sz="0" w:space="0" w:color="auto"/>
        <w:right w:val="none" w:sz="0" w:space="0" w:color="auto"/>
      </w:divBdr>
    </w:div>
    <w:div w:id="378013292">
      <w:bodyDiv w:val="1"/>
      <w:marLeft w:val="0"/>
      <w:marRight w:val="0"/>
      <w:marTop w:val="0"/>
      <w:marBottom w:val="0"/>
      <w:divBdr>
        <w:top w:val="none" w:sz="0" w:space="0" w:color="auto"/>
        <w:left w:val="none" w:sz="0" w:space="0" w:color="auto"/>
        <w:bottom w:val="none" w:sz="0" w:space="0" w:color="auto"/>
        <w:right w:val="none" w:sz="0" w:space="0" w:color="auto"/>
      </w:divBdr>
    </w:div>
    <w:div w:id="381634040">
      <w:bodyDiv w:val="1"/>
      <w:marLeft w:val="0"/>
      <w:marRight w:val="0"/>
      <w:marTop w:val="0"/>
      <w:marBottom w:val="0"/>
      <w:divBdr>
        <w:top w:val="none" w:sz="0" w:space="0" w:color="auto"/>
        <w:left w:val="none" w:sz="0" w:space="0" w:color="auto"/>
        <w:bottom w:val="none" w:sz="0" w:space="0" w:color="auto"/>
        <w:right w:val="none" w:sz="0" w:space="0" w:color="auto"/>
      </w:divBdr>
    </w:div>
    <w:div w:id="382564325">
      <w:bodyDiv w:val="1"/>
      <w:marLeft w:val="0"/>
      <w:marRight w:val="0"/>
      <w:marTop w:val="0"/>
      <w:marBottom w:val="0"/>
      <w:divBdr>
        <w:top w:val="none" w:sz="0" w:space="0" w:color="auto"/>
        <w:left w:val="none" w:sz="0" w:space="0" w:color="auto"/>
        <w:bottom w:val="none" w:sz="0" w:space="0" w:color="auto"/>
        <w:right w:val="none" w:sz="0" w:space="0" w:color="auto"/>
      </w:divBdr>
    </w:div>
    <w:div w:id="387386748">
      <w:bodyDiv w:val="1"/>
      <w:marLeft w:val="0"/>
      <w:marRight w:val="0"/>
      <w:marTop w:val="0"/>
      <w:marBottom w:val="0"/>
      <w:divBdr>
        <w:top w:val="none" w:sz="0" w:space="0" w:color="auto"/>
        <w:left w:val="none" w:sz="0" w:space="0" w:color="auto"/>
        <w:bottom w:val="none" w:sz="0" w:space="0" w:color="auto"/>
        <w:right w:val="none" w:sz="0" w:space="0" w:color="auto"/>
      </w:divBdr>
    </w:div>
    <w:div w:id="392774204">
      <w:bodyDiv w:val="1"/>
      <w:marLeft w:val="0"/>
      <w:marRight w:val="0"/>
      <w:marTop w:val="0"/>
      <w:marBottom w:val="0"/>
      <w:divBdr>
        <w:top w:val="none" w:sz="0" w:space="0" w:color="auto"/>
        <w:left w:val="none" w:sz="0" w:space="0" w:color="auto"/>
        <w:bottom w:val="none" w:sz="0" w:space="0" w:color="auto"/>
        <w:right w:val="none" w:sz="0" w:space="0" w:color="auto"/>
      </w:divBdr>
    </w:div>
    <w:div w:id="394862226">
      <w:bodyDiv w:val="1"/>
      <w:marLeft w:val="0"/>
      <w:marRight w:val="0"/>
      <w:marTop w:val="0"/>
      <w:marBottom w:val="0"/>
      <w:divBdr>
        <w:top w:val="none" w:sz="0" w:space="0" w:color="auto"/>
        <w:left w:val="none" w:sz="0" w:space="0" w:color="auto"/>
        <w:bottom w:val="none" w:sz="0" w:space="0" w:color="auto"/>
        <w:right w:val="none" w:sz="0" w:space="0" w:color="auto"/>
      </w:divBdr>
    </w:div>
    <w:div w:id="397478902">
      <w:bodyDiv w:val="1"/>
      <w:marLeft w:val="0"/>
      <w:marRight w:val="0"/>
      <w:marTop w:val="0"/>
      <w:marBottom w:val="0"/>
      <w:divBdr>
        <w:top w:val="none" w:sz="0" w:space="0" w:color="auto"/>
        <w:left w:val="none" w:sz="0" w:space="0" w:color="auto"/>
        <w:bottom w:val="none" w:sz="0" w:space="0" w:color="auto"/>
        <w:right w:val="none" w:sz="0" w:space="0" w:color="auto"/>
      </w:divBdr>
    </w:div>
    <w:div w:id="397752972">
      <w:bodyDiv w:val="1"/>
      <w:marLeft w:val="0"/>
      <w:marRight w:val="0"/>
      <w:marTop w:val="0"/>
      <w:marBottom w:val="0"/>
      <w:divBdr>
        <w:top w:val="none" w:sz="0" w:space="0" w:color="auto"/>
        <w:left w:val="none" w:sz="0" w:space="0" w:color="auto"/>
        <w:bottom w:val="none" w:sz="0" w:space="0" w:color="auto"/>
        <w:right w:val="none" w:sz="0" w:space="0" w:color="auto"/>
      </w:divBdr>
    </w:div>
    <w:div w:id="400757682">
      <w:bodyDiv w:val="1"/>
      <w:marLeft w:val="0"/>
      <w:marRight w:val="0"/>
      <w:marTop w:val="0"/>
      <w:marBottom w:val="0"/>
      <w:divBdr>
        <w:top w:val="none" w:sz="0" w:space="0" w:color="auto"/>
        <w:left w:val="none" w:sz="0" w:space="0" w:color="auto"/>
        <w:bottom w:val="none" w:sz="0" w:space="0" w:color="auto"/>
        <w:right w:val="none" w:sz="0" w:space="0" w:color="auto"/>
      </w:divBdr>
    </w:div>
    <w:div w:id="403722934">
      <w:bodyDiv w:val="1"/>
      <w:marLeft w:val="0"/>
      <w:marRight w:val="0"/>
      <w:marTop w:val="0"/>
      <w:marBottom w:val="0"/>
      <w:divBdr>
        <w:top w:val="none" w:sz="0" w:space="0" w:color="auto"/>
        <w:left w:val="none" w:sz="0" w:space="0" w:color="auto"/>
        <w:bottom w:val="none" w:sz="0" w:space="0" w:color="auto"/>
        <w:right w:val="none" w:sz="0" w:space="0" w:color="auto"/>
      </w:divBdr>
    </w:div>
    <w:div w:id="405613522">
      <w:bodyDiv w:val="1"/>
      <w:marLeft w:val="0"/>
      <w:marRight w:val="0"/>
      <w:marTop w:val="0"/>
      <w:marBottom w:val="0"/>
      <w:divBdr>
        <w:top w:val="none" w:sz="0" w:space="0" w:color="auto"/>
        <w:left w:val="none" w:sz="0" w:space="0" w:color="auto"/>
        <w:bottom w:val="none" w:sz="0" w:space="0" w:color="auto"/>
        <w:right w:val="none" w:sz="0" w:space="0" w:color="auto"/>
      </w:divBdr>
    </w:div>
    <w:div w:id="408624712">
      <w:bodyDiv w:val="1"/>
      <w:marLeft w:val="0"/>
      <w:marRight w:val="0"/>
      <w:marTop w:val="0"/>
      <w:marBottom w:val="0"/>
      <w:divBdr>
        <w:top w:val="none" w:sz="0" w:space="0" w:color="auto"/>
        <w:left w:val="none" w:sz="0" w:space="0" w:color="auto"/>
        <w:bottom w:val="none" w:sz="0" w:space="0" w:color="auto"/>
        <w:right w:val="none" w:sz="0" w:space="0" w:color="auto"/>
      </w:divBdr>
    </w:div>
    <w:div w:id="413547807">
      <w:bodyDiv w:val="1"/>
      <w:marLeft w:val="0"/>
      <w:marRight w:val="0"/>
      <w:marTop w:val="0"/>
      <w:marBottom w:val="0"/>
      <w:divBdr>
        <w:top w:val="none" w:sz="0" w:space="0" w:color="auto"/>
        <w:left w:val="none" w:sz="0" w:space="0" w:color="auto"/>
        <w:bottom w:val="none" w:sz="0" w:space="0" w:color="auto"/>
        <w:right w:val="none" w:sz="0" w:space="0" w:color="auto"/>
      </w:divBdr>
    </w:div>
    <w:div w:id="417946386">
      <w:bodyDiv w:val="1"/>
      <w:marLeft w:val="0"/>
      <w:marRight w:val="0"/>
      <w:marTop w:val="0"/>
      <w:marBottom w:val="0"/>
      <w:divBdr>
        <w:top w:val="none" w:sz="0" w:space="0" w:color="auto"/>
        <w:left w:val="none" w:sz="0" w:space="0" w:color="auto"/>
        <w:bottom w:val="none" w:sz="0" w:space="0" w:color="auto"/>
        <w:right w:val="none" w:sz="0" w:space="0" w:color="auto"/>
      </w:divBdr>
    </w:div>
    <w:div w:id="424301982">
      <w:bodyDiv w:val="1"/>
      <w:marLeft w:val="0"/>
      <w:marRight w:val="0"/>
      <w:marTop w:val="0"/>
      <w:marBottom w:val="0"/>
      <w:divBdr>
        <w:top w:val="none" w:sz="0" w:space="0" w:color="auto"/>
        <w:left w:val="none" w:sz="0" w:space="0" w:color="auto"/>
        <w:bottom w:val="none" w:sz="0" w:space="0" w:color="auto"/>
        <w:right w:val="none" w:sz="0" w:space="0" w:color="auto"/>
      </w:divBdr>
    </w:div>
    <w:div w:id="433597432">
      <w:bodyDiv w:val="1"/>
      <w:marLeft w:val="0"/>
      <w:marRight w:val="0"/>
      <w:marTop w:val="0"/>
      <w:marBottom w:val="0"/>
      <w:divBdr>
        <w:top w:val="none" w:sz="0" w:space="0" w:color="auto"/>
        <w:left w:val="none" w:sz="0" w:space="0" w:color="auto"/>
        <w:bottom w:val="none" w:sz="0" w:space="0" w:color="auto"/>
        <w:right w:val="none" w:sz="0" w:space="0" w:color="auto"/>
      </w:divBdr>
    </w:div>
    <w:div w:id="440878139">
      <w:bodyDiv w:val="1"/>
      <w:marLeft w:val="0"/>
      <w:marRight w:val="0"/>
      <w:marTop w:val="0"/>
      <w:marBottom w:val="0"/>
      <w:divBdr>
        <w:top w:val="none" w:sz="0" w:space="0" w:color="auto"/>
        <w:left w:val="none" w:sz="0" w:space="0" w:color="auto"/>
        <w:bottom w:val="none" w:sz="0" w:space="0" w:color="auto"/>
        <w:right w:val="none" w:sz="0" w:space="0" w:color="auto"/>
      </w:divBdr>
    </w:div>
    <w:div w:id="441536990">
      <w:bodyDiv w:val="1"/>
      <w:marLeft w:val="0"/>
      <w:marRight w:val="0"/>
      <w:marTop w:val="0"/>
      <w:marBottom w:val="0"/>
      <w:divBdr>
        <w:top w:val="none" w:sz="0" w:space="0" w:color="auto"/>
        <w:left w:val="none" w:sz="0" w:space="0" w:color="auto"/>
        <w:bottom w:val="none" w:sz="0" w:space="0" w:color="auto"/>
        <w:right w:val="none" w:sz="0" w:space="0" w:color="auto"/>
      </w:divBdr>
    </w:div>
    <w:div w:id="444009105">
      <w:bodyDiv w:val="1"/>
      <w:marLeft w:val="0"/>
      <w:marRight w:val="0"/>
      <w:marTop w:val="0"/>
      <w:marBottom w:val="0"/>
      <w:divBdr>
        <w:top w:val="none" w:sz="0" w:space="0" w:color="auto"/>
        <w:left w:val="none" w:sz="0" w:space="0" w:color="auto"/>
        <w:bottom w:val="none" w:sz="0" w:space="0" w:color="auto"/>
        <w:right w:val="none" w:sz="0" w:space="0" w:color="auto"/>
      </w:divBdr>
    </w:div>
    <w:div w:id="446043458">
      <w:bodyDiv w:val="1"/>
      <w:marLeft w:val="0"/>
      <w:marRight w:val="0"/>
      <w:marTop w:val="0"/>
      <w:marBottom w:val="0"/>
      <w:divBdr>
        <w:top w:val="none" w:sz="0" w:space="0" w:color="auto"/>
        <w:left w:val="none" w:sz="0" w:space="0" w:color="auto"/>
        <w:bottom w:val="none" w:sz="0" w:space="0" w:color="auto"/>
        <w:right w:val="none" w:sz="0" w:space="0" w:color="auto"/>
      </w:divBdr>
    </w:div>
    <w:div w:id="448088984">
      <w:bodyDiv w:val="1"/>
      <w:marLeft w:val="0"/>
      <w:marRight w:val="0"/>
      <w:marTop w:val="0"/>
      <w:marBottom w:val="0"/>
      <w:divBdr>
        <w:top w:val="none" w:sz="0" w:space="0" w:color="auto"/>
        <w:left w:val="none" w:sz="0" w:space="0" w:color="auto"/>
        <w:bottom w:val="none" w:sz="0" w:space="0" w:color="auto"/>
        <w:right w:val="none" w:sz="0" w:space="0" w:color="auto"/>
      </w:divBdr>
    </w:div>
    <w:div w:id="448546223">
      <w:bodyDiv w:val="1"/>
      <w:marLeft w:val="0"/>
      <w:marRight w:val="0"/>
      <w:marTop w:val="0"/>
      <w:marBottom w:val="0"/>
      <w:divBdr>
        <w:top w:val="none" w:sz="0" w:space="0" w:color="auto"/>
        <w:left w:val="none" w:sz="0" w:space="0" w:color="auto"/>
        <w:bottom w:val="none" w:sz="0" w:space="0" w:color="auto"/>
        <w:right w:val="none" w:sz="0" w:space="0" w:color="auto"/>
      </w:divBdr>
    </w:div>
    <w:div w:id="449668966">
      <w:bodyDiv w:val="1"/>
      <w:marLeft w:val="0"/>
      <w:marRight w:val="0"/>
      <w:marTop w:val="0"/>
      <w:marBottom w:val="0"/>
      <w:divBdr>
        <w:top w:val="none" w:sz="0" w:space="0" w:color="auto"/>
        <w:left w:val="none" w:sz="0" w:space="0" w:color="auto"/>
        <w:bottom w:val="none" w:sz="0" w:space="0" w:color="auto"/>
        <w:right w:val="none" w:sz="0" w:space="0" w:color="auto"/>
      </w:divBdr>
    </w:div>
    <w:div w:id="452754677">
      <w:bodyDiv w:val="1"/>
      <w:marLeft w:val="0"/>
      <w:marRight w:val="0"/>
      <w:marTop w:val="0"/>
      <w:marBottom w:val="0"/>
      <w:divBdr>
        <w:top w:val="none" w:sz="0" w:space="0" w:color="auto"/>
        <w:left w:val="none" w:sz="0" w:space="0" w:color="auto"/>
        <w:bottom w:val="none" w:sz="0" w:space="0" w:color="auto"/>
        <w:right w:val="none" w:sz="0" w:space="0" w:color="auto"/>
      </w:divBdr>
    </w:div>
    <w:div w:id="453329139">
      <w:bodyDiv w:val="1"/>
      <w:marLeft w:val="0"/>
      <w:marRight w:val="0"/>
      <w:marTop w:val="0"/>
      <w:marBottom w:val="0"/>
      <w:divBdr>
        <w:top w:val="none" w:sz="0" w:space="0" w:color="auto"/>
        <w:left w:val="none" w:sz="0" w:space="0" w:color="auto"/>
        <w:bottom w:val="none" w:sz="0" w:space="0" w:color="auto"/>
        <w:right w:val="none" w:sz="0" w:space="0" w:color="auto"/>
      </w:divBdr>
    </w:div>
    <w:div w:id="453982888">
      <w:bodyDiv w:val="1"/>
      <w:marLeft w:val="0"/>
      <w:marRight w:val="0"/>
      <w:marTop w:val="0"/>
      <w:marBottom w:val="0"/>
      <w:divBdr>
        <w:top w:val="none" w:sz="0" w:space="0" w:color="auto"/>
        <w:left w:val="none" w:sz="0" w:space="0" w:color="auto"/>
        <w:bottom w:val="none" w:sz="0" w:space="0" w:color="auto"/>
        <w:right w:val="none" w:sz="0" w:space="0" w:color="auto"/>
      </w:divBdr>
    </w:div>
    <w:div w:id="458105975">
      <w:bodyDiv w:val="1"/>
      <w:marLeft w:val="0"/>
      <w:marRight w:val="0"/>
      <w:marTop w:val="0"/>
      <w:marBottom w:val="0"/>
      <w:divBdr>
        <w:top w:val="none" w:sz="0" w:space="0" w:color="auto"/>
        <w:left w:val="none" w:sz="0" w:space="0" w:color="auto"/>
        <w:bottom w:val="none" w:sz="0" w:space="0" w:color="auto"/>
        <w:right w:val="none" w:sz="0" w:space="0" w:color="auto"/>
      </w:divBdr>
    </w:div>
    <w:div w:id="459150603">
      <w:bodyDiv w:val="1"/>
      <w:marLeft w:val="0"/>
      <w:marRight w:val="0"/>
      <w:marTop w:val="0"/>
      <w:marBottom w:val="0"/>
      <w:divBdr>
        <w:top w:val="none" w:sz="0" w:space="0" w:color="auto"/>
        <w:left w:val="none" w:sz="0" w:space="0" w:color="auto"/>
        <w:bottom w:val="none" w:sz="0" w:space="0" w:color="auto"/>
        <w:right w:val="none" w:sz="0" w:space="0" w:color="auto"/>
      </w:divBdr>
    </w:div>
    <w:div w:id="462188979">
      <w:bodyDiv w:val="1"/>
      <w:marLeft w:val="0"/>
      <w:marRight w:val="0"/>
      <w:marTop w:val="0"/>
      <w:marBottom w:val="0"/>
      <w:divBdr>
        <w:top w:val="none" w:sz="0" w:space="0" w:color="auto"/>
        <w:left w:val="none" w:sz="0" w:space="0" w:color="auto"/>
        <w:bottom w:val="none" w:sz="0" w:space="0" w:color="auto"/>
        <w:right w:val="none" w:sz="0" w:space="0" w:color="auto"/>
      </w:divBdr>
    </w:div>
    <w:div w:id="466364019">
      <w:bodyDiv w:val="1"/>
      <w:marLeft w:val="0"/>
      <w:marRight w:val="0"/>
      <w:marTop w:val="0"/>
      <w:marBottom w:val="0"/>
      <w:divBdr>
        <w:top w:val="none" w:sz="0" w:space="0" w:color="auto"/>
        <w:left w:val="none" w:sz="0" w:space="0" w:color="auto"/>
        <w:bottom w:val="none" w:sz="0" w:space="0" w:color="auto"/>
        <w:right w:val="none" w:sz="0" w:space="0" w:color="auto"/>
      </w:divBdr>
    </w:div>
    <w:div w:id="469830147">
      <w:bodyDiv w:val="1"/>
      <w:marLeft w:val="0"/>
      <w:marRight w:val="0"/>
      <w:marTop w:val="0"/>
      <w:marBottom w:val="0"/>
      <w:divBdr>
        <w:top w:val="none" w:sz="0" w:space="0" w:color="auto"/>
        <w:left w:val="none" w:sz="0" w:space="0" w:color="auto"/>
        <w:bottom w:val="none" w:sz="0" w:space="0" w:color="auto"/>
        <w:right w:val="none" w:sz="0" w:space="0" w:color="auto"/>
      </w:divBdr>
    </w:div>
    <w:div w:id="469903669">
      <w:bodyDiv w:val="1"/>
      <w:marLeft w:val="0"/>
      <w:marRight w:val="0"/>
      <w:marTop w:val="0"/>
      <w:marBottom w:val="0"/>
      <w:divBdr>
        <w:top w:val="none" w:sz="0" w:space="0" w:color="auto"/>
        <w:left w:val="none" w:sz="0" w:space="0" w:color="auto"/>
        <w:bottom w:val="none" w:sz="0" w:space="0" w:color="auto"/>
        <w:right w:val="none" w:sz="0" w:space="0" w:color="auto"/>
      </w:divBdr>
    </w:div>
    <w:div w:id="472522651">
      <w:bodyDiv w:val="1"/>
      <w:marLeft w:val="0"/>
      <w:marRight w:val="0"/>
      <w:marTop w:val="0"/>
      <w:marBottom w:val="0"/>
      <w:divBdr>
        <w:top w:val="none" w:sz="0" w:space="0" w:color="auto"/>
        <w:left w:val="none" w:sz="0" w:space="0" w:color="auto"/>
        <w:bottom w:val="none" w:sz="0" w:space="0" w:color="auto"/>
        <w:right w:val="none" w:sz="0" w:space="0" w:color="auto"/>
      </w:divBdr>
    </w:div>
    <w:div w:id="472723715">
      <w:bodyDiv w:val="1"/>
      <w:marLeft w:val="0"/>
      <w:marRight w:val="0"/>
      <w:marTop w:val="0"/>
      <w:marBottom w:val="0"/>
      <w:divBdr>
        <w:top w:val="none" w:sz="0" w:space="0" w:color="auto"/>
        <w:left w:val="none" w:sz="0" w:space="0" w:color="auto"/>
        <w:bottom w:val="none" w:sz="0" w:space="0" w:color="auto"/>
        <w:right w:val="none" w:sz="0" w:space="0" w:color="auto"/>
      </w:divBdr>
    </w:div>
    <w:div w:id="473254064">
      <w:bodyDiv w:val="1"/>
      <w:marLeft w:val="0"/>
      <w:marRight w:val="0"/>
      <w:marTop w:val="0"/>
      <w:marBottom w:val="0"/>
      <w:divBdr>
        <w:top w:val="none" w:sz="0" w:space="0" w:color="auto"/>
        <w:left w:val="none" w:sz="0" w:space="0" w:color="auto"/>
        <w:bottom w:val="none" w:sz="0" w:space="0" w:color="auto"/>
        <w:right w:val="none" w:sz="0" w:space="0" w:color="auto"/>
      </w:divBdr>
    </w:div>
    <w:div w:id="476193969">
      <w:bodyDiv w:val="1"/>
      <w:marLeft w:val="0"/>
      <w:marRight w:val="0"/>
      <w:marTop w:val="0"/>
      <w:marBottom w:val="0"/>
      <w:divBdr>
        <w:top w:val="none" w:sz="0" w:space="0" w:color="auto"/>
        <w:left w:val="none" w:sz="0" w:space="0" w:color="auto"/>
        <w:bottom w:val="none" w:sz="0" w:space="0" w:color="auto"/>
        <w:right w:val="none" w:sz="0" w:space="0" w:color="auto"/>
      </w:divBdr>
    </w:div>
    <w:div w:id="477235416">
      <w:bodyDiv w:val="1"/>
      <w:marLeft w:val="0"/>
      <w:marRight w:val="0"/>
      <w:marTop w:val="0"/>
      <w:marBottom w:val="0"/>
      <w:divBdr>
        <w:top w:val="none" w:sz="0" w:space="0" w:color="auto"/>
        <w:left w:val="none" w:sz="0" w:space="0" w:color="auto"/>
        <w:bottom w:val="none" w:sz="0" w:space="0" w:color="auto"/>
        <w:right w:val="none" w:sz="0" w:space="0" w:color="auto"/>
      </w:divBdr>
    </w:div>
    <w:div w:id="478544683">
      <w:bodyDiv w:val="1"/>
      <w:marLeft w:val="0"/>
      <w:marRight w:val="0"/>
      <w:marTop w:val="0"/>
      <w:marBottom w:val="0"/>
      <w:divBdr>
        <w:top w:val="none" w:sz="0" w:space="0" w:color="auto"/>
        <w:left w:val="none" w:sz="0" w:space="0" w:color="auto"/>
        <w:bottom w:val="none" w:sz="0" w:space="0" w:color="auto"/>
        <w:right w:val="none" w:sz="0" w:space="0" w:color="auto"/>
      </w:divBdr>
    </w:div>
    <w:div w:id="483743634">
      <w:bodyDiv w:val="1"/>
      <w:marLeft w:val="0"/>
      <w:marRight w:val="0"/>
      <w:marTop w:val="0"/>
      <w:marBottom w:val="0"/>
      <w:divBdr>
        <w:top w:val="none" w:sz="0" w:space="0" w:color="auto"/>
        <w:left w:val="none" w:sz="0" w:space="0" w:color="auto"/>
        <w:bottom w:val="none" w:sz="0" w:space="0" w:color="auto"/>
        <w:right w:val="none" w:sz="0" w:space="0" w:color="auto"/>
      </w:divBdr>
    </w:div>
    <w:div w:id="496463534">
      <w:bodyDiv w:val="1"/>
      <w:marLeft w:val="0"/>
      <w:marRight w:val="0"/>
      <w:marTop w:val="0"/>
      <w:marBottom w:val="0"/>
      <w:divBdr>
        <w:top w:val="none" w:sz="0" w:space="0" w:color="auto"/>
        <w:left w:val="none" w:sz="0" w:space="0" w:color="auto"/>
        <w:bottom w:val="none" w:sz="0" w:space="0" w:color="auto"/>
        <w:right w:val="none" w:sz="0" w:space="0" w:color="auto"/>
      </w:divBdr>
    </w:div>
    <w:div w:id="496846279">
      <w:bodyDiv w:val="1"/>
      <w:marLeft w:val="0"/>
      <w:marRight w:val="0"/>
      <w:marTop w:val="0"/>
      <w:marBottom w:val="0"/>
      <w:divBdr>
        <w:top w:val="none" w:sz="0" w:space="0" w:color="auto"/>
        <w:left w:val="none" w:sz="0" w:space="0" w:color="auto"/>
        <w:bottom w:val="none" w:sz="0" w:space="0" w:color="auto"/>
        <w:right w:val="none" w:sz="0" w:space="0" w:color="auto"/>
      </w:divBdr>
    </w:div>
    <w:div w:id="500894043">
      <w:bodyDiv w:val="1"/>
      <w:marLeft w:val="0"/>
      <w:marRight w:val="0"/>
      <w:marTop w:val="0"/>
      <w:marBottom w:val="0"/>
      <w:divBdr>
        <w:top w:val="none" w:sz="0" w:space="0" w:color="auto"/>
        <w:left w:val="none" w:sz="0" w:space="0" w:color="auto"/>
        <w:bottom w:val="none" w:sz="0" w:space="0" w:color="auto"/>
        <w:right w:val="none" w:sz="0" w:space="0" w:color="auto"/>
      </w:divBdr>
    </w:div>
    <w:div w:id="509561702">
      <w:bodyDiv w:val="1"/>
      <w:marLeft w:val="0"/>
      <w:marRight w:val="0"/>
      <w:marTop w:val="0"/>
      <w:marBottom w:val="0"/>
      <w:divBdr>
        <w:top w:val="none" w:sz="0" w:space="0" w:color="auto"/>
        <w:left w:val="none" w:sz="0" w:space="0" w:color="auto"/>
        <w:bottom w:val="none" w:sz="0" w:space="0" w:color="auto"/>
        <w:right w:val="none" w:sz="0" w:space="0" w:color="auto"/>
      </w:divBdr>
    </w:div>
    <w:div w:id="510340136">
      <w:bodyDiv w:val="1"/>
      <w:marLeft w:val="0"/>
      <w:marRight w:val="0"/>
      <w:marTop w:val="0"/>
      <w:marBottom w:val="0"/>
      <w:divBdr>
        <w:top w:val="none" w:sz="0" w:space="0" w:color="auto"/>
        <w:left w:val="none" w:sz="0" w:space="0" w:color="auto"/>
        <w:bottom w:val="none" w:sz="0" w:space="0" w:color="auto"/>
        <w:right w:val="none" w:sz="0" w:space="0" w:color="auto"/>
      </w:divBdr>
    </w:div>
    <w:div w:id="511724597">
      <w:bodyDiv w:val="1"/>
      <w:marLeft w:val="0"/>
      <w:marRight w:val="0"/>
      <w:marTop w:val="0"/>
      <w:marBottom w:val="0"/>
      <w:divBdr>
        <w:top w:val="none" w:sz="0" w:space="0" w:color="auto"/>
        <w:left w:val="none" w:sz="0" w:space="0" w:color="auto"/>
        <w:bottom w:val="none" w:sz="0" w:space="0" w:color="auto"/>
        <w:right w:val="none" w:sz="0" w:space="0" w:color="auto"/>
      </w:divBdr>
    </w:div>
    <w:div w:id="512300207">
      <w:bodyDiv w:val="1"/>
      <w:marLeft w:val="0"/>
      <w:marRight w:val="0"/>
      <w:marTop w:val="0"/>
      <w:marBottom w:val="0"/>
      <w:divBdr>
        <w:top w:val="none" w:sz="0" w:space="0" w:color="auto"/>
        <w:left w:val="none" w:sz="0" w:space="0" w:color="auto"/>
        <w:bottom w:val="none" w:sz="0" w:space="0" w:color="auto"/>
        <w:right w:val="none" w:sz="0" w:space="0" w:color="auto"/>
      </w:divBdr>
    </w:div>
    <w:div w:id="516047641">
      <w:bodyDiv w:val="1"/>
      <w:marLeft w:val="0"/>
      <w:marRight w:val="0"/>
      <w:marTop w:val="0"/>
      <w:marBottom w:val="0"/>
      <w:divBdr>
        <w:top w:val="none" w:sz="0" w:space="0" w:color="auto"/>
        <w:left w:val="none" w:sz="0" w:space="0" w:color="auto"/>
        <w:bottom w:val="none" w:sz="0" w:space="0" w:color="auto"/>
        <w:right w:val="none" w:sz="0" w:space="0" w:color="auto"/>
      </w:divBdr>
    </w:div>
    <w:div w:id="519663690">
      <w:bodyDiv w:val="1"/>
      <w:marLeft w:val="0"/>
      <w:marRight w:val="0"/>
      <w:marTop w:val="0"/>
      <w:marBottom w:val="0"/>
      <w:divBdr>
        <w:top w:val="none" w:sz="0" w:space="0" w:color="auto"/>
        <w:left w:val="none" w:sz="0" w:space="0" w:color="auto"/>
        <w:bottom w:val="none" w:sz="0" w:space="0" w:color="auto"/>
        <w:right w:val="none" w:sz="0" w:space="0" w:color="auto"/>
      </w:divBdr>
    </w:div>
    <w:div w:id="520778868">
      <w:bodyDiv w:val="1"/>
      <w:marLeft w:val="0"/>
      <w:marRight w:val="0"/>
      <w:marTop w:val="0"/>
      <w:marBottom w:val="0"/>
      <w:divBdr>
        <w:top w:val="none" w:sz="0" w:space="0" w:color="auto"/>
        <w:left w:val="none" w:sz="0" w:space="0" w:color="auto"/>
        <w:bottom w:val="none" w:sz="0" w:space="0" w:color="auto"/>
        <w:right w:val="none" w:sz="0" w:space="0" w:color="auto"/>
      </w:divBdr>
    </w:div>
    <w:div w:id="521282531">
      <w:bodyDiv w:val="1"/>
      <w:marLeft w:val="0"/>
      <w:marRight w:val="0"/>
      <w:marTop w:val="0"/>
      <w:marBottom w:val="0"/>
      <w:divBdr>
        <w:top w:val="none" w:sz="0" w:space="0" w:color="auto"/>
        <w:left w:val="none" w:sz="0" w:space="0" w:color="auto"/>
        <w:bottom w:val="none" w:sz="0" w:space="0" w:color="auto"/>
        <w:right w:val="none" w:sz="0" w:space="0" w:color="auto"/>
      </w:divBdr>
    </w:div>
    <w:div w:id="521865510">
      <w:bodyDiv w:val="1"/>
      <w:marLeft w:val="0"/>
      <w:marRight w:val="0"/>
      <w:marTop w:val="0"/>
      <w:marBottom w:val="0"/>
      <w:divBdr>
        <w:top w:val="none" w:sz="0" w:space="0" w:color="auto"/>
        <w:left w:val="none" w:sz="0" w:space="0" w:color="auto"/>
        <w:bottom w:val="none" w:sz="0" w:space="0" w:color="auto"/>
        <w:right w:val="none" w:sz="0" w:space="0" w:color="auto"/>
      </w:divBdr>
    </w:div>
    <w:div w:id="533084261">
      <w:bodyDiv w:val="1"/>
      <w:marLeft w:val="0"/>
      <w:marRight w:val="0"/>
      <w:marTop w:val="0"/>
      <w:marBottom w:val="0"/>
      <w:divBdr>
        <w:top w:val="none" w:sz="0" w:space="0" w:color="auto"/>
        <w:left w:val="none" w:sz="0" w:space="0" w:color="auto"/>
        <w:bottom w:val="none" w:sz="0" w:space="0" w:color="auto"/>
        <w:right w:val="none" w:sz="0" w:space="0" w:color="auto"/>
      </w:divBdr>
    </w:div>
    <w:div w:id="534779706">
      <w:bodyDiv w:val="1"/>
      <w:marLeft w:val="0"/>
      <w:marRight w:val="0"/>
      <w:marTop w:val="0"/>
      <w:marBottom w:val="0"/>
      <w:divBdr>
        <w:top w:val="none" w:sz="0" w:space="0" w:color="auto"/>
        <w:left w:val="none" w:sz="0" w:space="0" w:color="auto"/>
        <w:bottom w:val="none" w:sz="0" w:space="0" w:color="auto"/>
        <w:right w:val="none" w:sz="0" w:space="0" w:color="auto"/>
      </w:divBdr>
    </w:div>
    <w:div w:id="540019306">
      <w:bodyDiv w:val="1"/>
      <w:marLeft w:val="0"/>
      <w:marRight w:val="0"/>
      <w:marTop w:val="0"/>
      <w:marBottom w:val="0"/>
      <w:divBdr>
        <w:top w:val="none" w:sz="0" w:space="0" w:color="auto"/>
        <w:left w:val="none" w:sz="0" w:space="0" w:color="auto"/>
        <w:bottom w:val="none" w:sz="0" w:space="0" w:color="auto"/>
        <w:right w:val="none" w:sz="0" w:space="0" w:color="auto"/>
      </w:divBdr>
    </w:div>
    <w:div w:id="540097305">
      <w:bodyDiv w:val="1"/>
      <w:marLeft w:val="0"/>
      <w:marRight w:val="0"/>
      <w:marTop w:val="0"/>
      <w:marBottom w:val="0"/>
      <w:divBdr>
        <w:top w:val="none" w:sz="0" w:space="0" w:color="auto"/>
        <w:left w:val="none" w:sz="0" w:space="0" w:color="auto"/>
        <w:bottom w:val="none" w:sz="0" w:space="0" w:color="auto"/>
        <w:right w:val="none" w:sz="0" w:space="0" w:color="auto"/>
      </w:divBdr>
    </w:div>
    <w:div w:id="542329137">
      <w:bodyDiv w:val="1"/>
      <w:marLeft w:val="0"/>
      <w:marRight w:val="0"/>
      <w:marTop w:val="0"/>
      <w:marBottom w:val="0"/>
      <w:divBdr>
        <w:top w:val="none" w:sz="0" w:space="0" w:color="auto"/>
        <w:left w:val="none" w:sz="0" w:space="0" w:color="auto"/>
        <w:bottom w:val="none" w:sz="0" w:space="0" w:color="auto"/>
        <w:right w:val="none" w:sz="0" w:space="0" w:color="auto"/>
      </w:divBdr>
    </w:div>
    <w:div w:id="542404505">
      <w:bodyDiv w:val="1"/>
      <w:marLeft w:val="0"/>
      <w:marRight w:val="0"/>
      <w:marTop w:val="0"/>
      <w:marBottom w:val="0"/>
      <w:divBdr>
        <w:top w:val="none" w:sz="0" w:space="0" w:color="auto"/>
        <w:left w:val="none" w:sz="0" w:space="0" w:color="auto"/>
        <w:bottom w:val="none" w:sz="0" w:space="0" w:color="auto"/>
        <w:right w:val="none" w:sz="0" w:space="0" w:color="auto"/>
      </w:divBdr>
    </w:div>
    <w:div w:id="545801173">
      <w:bodyDiv w:val="1"/>
      <w:marLeft w:val="0"/>
      <w:marRight w:val="0"/>
      <w:marTop w:val="0"/>
      <w:marBottom w:val="0"/>
      <w:divBdr>
        <w:top w:val="none" w:sz="0" w:space="0" w:color="auto"/>
        <w:left w:val="none" w:sz="0" w:space="0" w:color="auto"/>
        <w:bottom w:val="none" w:sz="0" w:space="0" w:color="auto"/>
        <w:right w:val="none" w:sz="0" w:space="0" w:color="auto"/>
      </w:divBdr>
    </w:div>
    <w:div w:id="554052745">
      <w:bodyDiv w:val="1"/>
      <w:marLeft w:val="0"/>
      <w:marRight w:val="0"/>
      <w:marTop w:val="0"/>
      <w:marBottom w:val="0"/>
      <w:divBdr>
        <w:top w:val="none" w:sz="0" w:space="0" w:color="auto"/>
        <w:left w:val="none" w:sz="0" w:space="0" w:color="auto"/>
        <w:bottom w:val="none" w:sz="0" w:space="0" w:color="auto"/>
        <w:right w:val="none" w:sz="0" w:space="0" w:color="auto"/>
      </w:divBdr>
    </w:div>
    <w:div w:id="558906856">
      <w:bodyDiv w:val="1"/>
      <w:marLeft w:val="0"/>
      <w:marRight w:val="0"/>
      <w:marTop w:val="0"/>
      <w:marBottom w:val="0"/>
      <w:divBdr>
        <w:top w:val="none" w:sz="0" w:space="0" w:color="auto"/>
        <w:left w:val="none" w:sz="0" w:space="0" w:color="auto"/>
        <w:bottom w:val="none" w:sz="0" w:space="0" w:color="auto"/>
        <w:right w:val="none" w:sz="0" w:space="0" w:color="auto"/>
      </w:divBdr>
    </w:div>
    <w:div w:id="567573420">
      <w:bodyDiv w:val="1"/>
      <w:marLeft w:val="0"/>
      <w:marRight w:val="0"/>
      <w:marTop w:val="0"/>
      <w:marBottom w:val="0"/>
      <w:divBdr>
        <w:top w:val="none" w:sz="0" w:space="0" w:color="auto"/>
        <w:left w:val="none" w:sz="0" w:space="0" w:color="auto"/>
        <w:bottom w:val="none" w:sz="0" w:space="0" w:color="auto"/>
        <w:right w:val="none" w:sz="0" w:space="0" w:color="auto"/>
      </w:divBdr>
    </w:div>
    <w:div w:id="572858658">
      <w:bodyDiv w:val="1"/>
      <w:marLeft w:val="0"/>
      <w:marRight w:val="0"/>
      <w:marTop w:val="0"/>
      <w:marBottom w:val="0"/>
      <w:divBdr>
        <w:top w:val="none" w:sz="0" w:space="0" w:color="auto"/>
        <w:left w:val="none" w:sz="0" w:space="0" w:color="auto"/>
        <w:bottom w:val="none" w:sz="0" w:space="0" w:color="auto"/>
        <w:right w:val="none" w:sz="0" w:space="0" w:color="auto"/>
      </w:divBdr>
    </w:div>
    <w:div w:id="574321337">
      <w:bodyDiv w:val="1"/>
      <w:marLeft w:val="0"/>
      <w:marRight w:val="0"/>
      <w:marTop w:val="0"/>
      <w:marBottom w:val="0"/>
      <w:divBdr>
        <w:top w:val="none" w:sz="0" w:space="0" w:color="auto"/>
        <w:left w:val="none" w:sz="0" w:space="0" w:color="auto"/>
        <w:bottom w:val="none" w:sz="0" w:space="0" w:color="auto"/>
        <w:right w:val="none" w:sz="0" w:space="0" w:color="auto"/>
      </w:divBdr>
    </w:div>
    <w:div w:id="581255665">
      <w:bodyDiv w:val="1"/>
      <w:marLeft w:val="0"/>
      <w:marRight w:val="0"/>
      <w:marTop w:val="0"/>
      <w:marBottom w:val="0"/>
      <w:divBdr>
        <w:top w:val="none" w:sz="0" w:space="0" w:color="auto"/>
        <w:left w:val="none" w:sz="0" w:space="0" w:color="auto"/>
        <w:bottom w:val="none" w:sz="0" w:space="0" w:color="auto"/>
        <w:right w:val="none" w:sz="0" w:space="0" w:color="auto"/>
      </w:divBdr>
    </w:div>
    <w:div w:id="581985566">
      <w:bodyDiv w:val="1"/>
      <w:marLeft w:val="0"/>
      <w:marRight w:val="0"/>
      <w:marTop w:val="0"/>
      <w:marBottom w:val="0"/>
      <w:divBdr>
        <w:top w:val="none" w:sz="0" w:space="0" w:color="auto"/>
        <w:left w:val="none" w:sz="0" w:space="0" w:color="auto"/>
        <w:bottom w:val="none" w:sz="0" w:space="0" w:color="auto"/>
        <w:right w:val="none" w:sz="0" w:space="0" w:color="auto"/>
      </w:divBdr>
    </w:div>
    <w:div w:id="584073430">
      <w:bodyDiv w:val="1"/>
      <w:marLeft w:val="0"/>
      <w:marRight w:val="0"/>
      <w:marTop w:val="0"/>
      <w:marBottom w:val="0"/>
      <w:divBdr>
        <w:top w:val="none" w:sz="0" w:space="0" w:color="auto"/>
        <w:left w:val="none" w:sz="0" w:space="0" w:color="auto"/>
        <w:bottom w:val="none" w:sz="0" w:space="0" w:color="auto"/>
        <w:right w:val="none" w:sz="0" w:space="0" w:color="auto"/>
      </w:divBdr>
    </w:div>
    <w:div w:id="584648117">
      <w:bodyDiv w:val="1"/>
      <w:marLeft w:val="0"/>
      <w:marRight w:val="0"/>
      <w:marTop w:val="0"/>
      <w:marBottom w:val="0"/>
      <w:divBdr>
        <w:top w:val="none" w:sz="0" w:space="0" w:color="auto"/>
        <w:left w:val="none" w:sz="0" w:space="0" w:color="auto"/>
        <w:bottom w:val="none" w:sz="0" w:space="0" w:color="auto"/>
        <w:right w:val="none" w:sz="0" w:space="0" w:color="auto"/>
      </w:divBdr>
    </w:div>
    <w:div w:id="589898874">
      <w:bodyDiv w:val="1"/>
      <w:marLeft w:val="0"/>
      <w:marRight w:val="0"/>
      <w:marTop w:val="0"/>
      <w:marBottom w:val="0"/>
      <w:divBdr>
        <w:top w:val="none" w:sz="0" w:space="0" w:color="auto"/>
        <w:left w:val="none" w:sz="0" w:space="0" w:color="auto"/>
        <w:bottom w:val="none" w:sz="0" w:space="0" w:color="auto"/>
        <w:right w:val="none" w:sz="0" w:space="0" w:color="auto"/>
      </w:divBdr>
    </w:div>
    <w:div w:id="595752554">
      <w:bodyDiv w:val="1"/>
      <w:marLeft w:val="0"/>
      <w:marRight w:val="0"/>
      <w:marTop w:val="0"/>
      <w:marBottom w:val="0"/>
      <w:divBdr>
        <w:top w:val="none" w:sz="0" w:space="0" w:color="auto"/>
        <w:left w:val="none" w:sz="0" w:space="0" w:color="auto"/>
        <w:bottom w:val="none" w:sz="0" w:space="0" w:color="auto"/>
        <w:right w:val="none" w:sz="0" w:space="0" w:color="auto"/>
      </w:divBdr>
    </w:div>
    <w:div w:id="597056810">
      <w:bodyDiv w:val="1"/>
      <w:marLeft w:val="0"/>
      <w:marRight w:val="0"/>
      <w:marTop w:val="0"/>
      <w:marBottom w:val="0"/>
      <w:divBdr>
        <w:top w:val="none" w:sz="0" w:space="0" w:color="auto"/>
        <w:left w:val="none" w:sz="0" w:space="0" w:color="auto"/>
        <w:bottom w:val="none" w:sz="0" w:space="0" w:color="auto"/>
        <w:right w:val="none" w:sz="0" w:space="0" w:color="auto"/>
      </w:divBdr>
    </w:div>
    <w:div w:id="598568248">
      <w:bodyDiv w:val="1"/>
      <w:marLeft w:val="0"/>
      <w:marRight w:val="0"/>
      <w:marTop w:val="0"/>
      <w:marBottom w:val="0"/>
      <w:divBdr>
        <w:top w:val="none" w:sz="0" w:space="0" w:color="auto"/>
        <w:left w:val="none" w:sz="0" w:space="0" w:color="auto"/>
        <w:bottom w:val="none" w:sz="0" w:space="0" w:color="auto"/>
        <w:right w:val="none" w:sz="0" w:space="0" w:color="auto"/>
      </w:divBdr>
    </w:div>
    <w:div w:id="598954027">
      <w:bodyDiv w:val="1"/>
      <w:marLeft w:val="0"/>
      <w:marRight w:val="0"/>
      <w:marTop w:val="0"/>
      <w:marBottom w:val="0"/>
      <w:divBdr>
        <w:top w:val="none" w:sz="0" w:space="0" w:color="auto"/>
        <w:left w:val="none" w:sz="0" w:space="0" w:color="auto"/>
        <w:bottom w:val="none" w:sz="0" w:space="0" w:color="auto"/>
        <w:right w:val="none" w:sz="0" w:space="0" w:color="auto"/>
      </w:divBdr>
    </w:div>
    <w:div w:id="601450922">
      <w:bodyDiv w:val="1"/>
      <w:marLeft w:val="0"/>
      <w:marRight w:val="0"/>
      <w:marTop w:val="0"/>
      <w:marBottom w:val="0"/>
      <w:divBdr>
        <w:top w:val="none" w:sz="0" w:space="0" w:color="auto"/>
        <w:left w:val="none" w:sz="0" w:space="0" w:color="auto"/>
        <w:bottom w:val="none" w:sz="0" w:space="0" w:color="auto"/>
        <w:right w:val="none" w:sz="0" w:space="0" w:color="auto"/>
      </w:divBdr>
    </w:div>
    <w:div w:id="604115154">
      <w:bodyDiv w:val="1"/>
      <w:marLeft w:val="0"/>
      <w:marRight w:val="0"/>
      <w:marTop w:val="0"/>
      <w:marBottom w:val="0"/>
      <w:divBdr>
        <w:top w:val="none" w:sz="0" w:space="0" w:color="auto"/>
        <w:left w:val="none" w:sz="0" w:space="0" w:color="auto"/>
        <w:bottom w:val="none" w:sz="0" w:space="0" w:color="auto"/>
        <w:right w:val="none" w:sz="0" w:space="0" w:color="auto"/>
      </w:divBdr>
    </w:div>
    <w:div w:id="606043458">
      <w:bodyDiv w:val="1"/>
      <w:marLeft w:val="0"/>
      <w:marRight w:val="0"/>
      <w:marTop w:val="0"/>
      <w:marBottom w:val="0"/>
      <w:divBdr>
        <w:top w:val="none" w:sz="0" w:space="0" w:color="auto"/>
        <w:left w:val="none" w:sz="0" w:space="0" w:color="auto"/>
        <w:bottom w:val="none" w:sz="0" w:space="0" w:color="auto"/>
        <w:right w:val="none" w:sz="0" w:space="0" w:color="auto"/>
      </w:divBdr>
    </w:div>
    <w:div w:id="607156691">
      <w:bodyDiv w:val="1"/>
      <w:marLeft w:val="0"/>
      <w:marRight w:val="0"/>
      <w:marTop w:val="0"/>
      <w:marBottom w:val="0"/>
      <w:divBdr>
        <w:top w:val="none" w:sz="0" w:space="0" w:color="auto"/>
        <w:left w:val="none" w:sz="0" w:space="0" w:color="auto"/>
        <w:bottom w:val="none" w:sz="0" w:space="0" w:color="auto"/>
        <w:right w:val="none" w:sz="0" w:space="0" w:color="auto"/>
      </w:divBdr>
    </w:div>
    <w:div w:id="614335798">
      <w:bodyDiv w:val="1"/>
      <w:marLeft w:val="0"/>
      <w:marRight w:val="0"/>
      <w:marTop w:val="0"/>
      <w:marBottom w:val="0"/>
      <w:divBdr>
        <w:top w:val="none" w:sz="0" w:space="0" w:color="auto"/>
        <w:left w:val="none" w:sz="0" w:space="0" w:color="auto"/>
        <w:bottom w:val="none" w:sz="0" w:space="0" w:color="auto"/>
        <w:right w:val="none" w:sz="0" w:space="0" w:color="auto"/>
      </w:divBdr>
    </w:div>
    <w:div w:id="618221880">
      <w:bodyDiv w:val="1"/>
      <w:marLeft w:val="0"/>
      <w:marRight w:val="0"/>
      <w:marTop w:val="0"/>
      <w:marBottom w:val="0"/>
      <w:divBdr>
        <w:top w:val="none" w:sz="0" w:space="0" w:color="auto"/>
        <w:left w:val="none" w:sz="0" w:space="0" w:color="auto"/>
        <w:bottom w:val="none" w:sz="0" w:space="0" w:color="auto"/>
        <w:right w:val="none" w:sz="0" w:space="0" w:color="auto"/>
      </w:divBdr>
    </w:div>
    <w:div w:id="618683274">
      <w:bodyDiv w:val="1"/>
      <w:marLeft w:val="0"/>
      <w:marRight w:val="0"/>
      <w:marTop w:val="0"/>
      <w:marBottom w:val="0"/>
      <w:divBdr>
        <w:top w:val="none" w:sz="0" w:space="0" w:color="auto"/>
        <w:left w:val="none" w:sz="0" w:space="0" w:color="auto"/>
        <w:bottom w:val="none" w:sz="0" w:space="0" w:color="auto"/>
        <w:right w:val="none" w:sz="0" w:space="0" w:color="auto"/>
      </w:divBdr>
    </w:div>
    <w:div w:id="619997139">
      <w:bodyDiv w:val="1"/>
      <w:marLeft w:val="0"/>
      <w:marRight w:val="0"/>
      <w:marTop w:val="0"/>
      <w:marBottom w:val="0"/>
      <w:divBdr>
        <w:top w:val="none" w:sz="0" w:space="0" w:color="auto"/>
        <w:left w:val="none" w:sz="0" w:space="0" w:color="auto"/>
        <w:bottom w:val="none" w:sz="0" w:space="0" w:color="auto"/>
        <w:right w:val="none" w:sz="0" w:space="0" w:color="auto"/>
      </w:divBdr>
    </w:div>
    <w:div w:id="622034192">
      <w:bodyDiv w:val="1"/>
      <w:marLeft w:val="0"/>
      <w:marRight w:val="0"/>
      <w:marTop w:val="0"/>
      <w:marBottom w:val="0"/>
      <w:divBdr>
        <w:top w:val="none" w:sz="0" w:space="0" w:color="auto"/>
        <w:left w:val="none" w:sz="0" w:space="0" w:color="auto"/>
        <w:bottom w:val="none" w:sz="0" w:space="0" w:color="auto"/>
        <w:right w:val="none" w:sz="0" w:space="0" w:color="auto"/>
      </w:divBdr>
    </w:div>
    <w:div w:id="624314070">
      <w:bodyDiv w:val="1"/>
      <w:marLeft w:val="0"/>
      <w:marRight w:val="0"/>
      <w:marTop w:val="0"/>
      <w:marBottom w:val="0"/>
      <w:divBdr>
        <w:top w:val="none" w:sz="0" w:space="0" w:color="auto"/>
        <w:left w:val="none" w:sz="0" w:space="0" w:color="auto"/>
        <w:bottom w:val="none" w:sz="0" w:space="0" w:color="auto"/>
        <w:right w:val="none" w:sz="0" w:space="0" w:color="auto"/>
      </w:divBdr>
    </w:div>
    <w:div w:id="627665702">
      <w:bodyDiv w:val="1"/>
      <w:marLeft w:val="0"/>
      <w:marRight w:val="0"/>
      <w:marTop w:val="0"/>
      <w:marBottom w:val="0"/>
      <w:divBdr>
        <w:top w:val="none" w:sz="0" w:space="0" w:color="auto"/>
        <w:left w:val="none" w:sz="0" w:space="0" w:color="auto"/>
        <w:bottom w:val="none" w:sz="0" w:space="0" w:color="auto"/>
        <w:right w:val="none" w:sz="0" w:space="0" w:color="auto"/>
      </w:divBdr>
    </w:div>
    <w:div w:id="629365436">
      <w:bodyDiv w:val="1"/>
      <w:marLeft w:val="0"/>
      <w:marRight w:val="0"/>
      <w:marTop w:val="0"/>
      <w:marBottom w:val="0"/>
      <w:divBdr>
        <w:top w:val="none" w:sz="0" w:space="0" w:color="auto"/>
        <w:left w:val="none" w:sz="0" w:space="0" w:color="auto"/>
        <w:bottom w:val="none" w:sz="0" w:space="0" w:color="auto"/>
        <w:right w:val="none" w:sz="0" w:space="0" w:color="auto"/>
      </w:divBdr>
    </w:div>
    <w:div w:id="634607538">
      <w:bodyDiv w:val="1"/>
      <w:marLeft w:val="0"/>
      <w:marRight w:val="0"/>
      <w:marTop w:val="0"/>
      <w:marBottom w:val="0"/>
      <w:divBdr>
        <w:top w:val="none" w:sz="0" w:space="0" w:color="auto"/>
        <w:left w:val="none" w:sz="0" w:space="0" w:color="auto"/>
        <w:bottom w:val="none" w:sz="0" w:space="0" w:color="auto"/>
        <w:right w:val="none" w:sz="0" w:space="0" w:color="auto"/>
      </w:divBdr>
    </w:div>
    <w:div w:id="635767788">
      <w:bodyDiv w:val="1"/>
      <w:marLeft w:val="0"/>
      <w:marRight w:val="0"/>
      <w:marTop w:val="0"/>
      <w:marBottom w:val="0"/>
      <w:divBdr>
        <w:top w:val="none" w:sz="0" w:space="0" w:color="auto"/>
        <w:left w:val="none" w:sz="0" w:space="0" w:color="auto"/>
        <w:bottom w:val="none" w:sz="0" w:space="0" w:color="auto"/>
        <w:right w:val="none" w:sz="0" w:space="0" w:color="auto"/>
      </w:divBdr>
    </w:div>
    <w:div w:id="637300867">
      <w:bodyDiv w:val="1"/>
      <w:marLeft w:val="0"/>
      <w:marRight w:val="0"/>
      <w:marTop w:val="0"/>
      <w:marBottom w:val="0"/>
      <w:divBdr>
        <w:top w:val="none" w:sz="0" w:space="0" w:color="auto"/>
        <w:left w:val="none" w:sz="0" w:space="0" w:color="auto"/>
        <w:bottom w:val="none" w:sz="0" w:space="0" w:color="auto"/>
        <w:right w:val="none" w:sz="0" w:space="0" w:color="auto"/>
      </w:divBdr>
    </w:div>
    <w:div w:id="638148797">
      <w:bodyDiv w:val="1"/>
      <w:marLeft w:val="0"/>
      <w:marRight w:val="0"/>
      <w:marTop w:val="0"/>
      <w:marBottom w:val="0"/>
      <w:divBdr>
        <w:top w:val="none" w:sz="0" w:space="0" w:color="auto"/>
        <w:left w:val="none" w:sz="0" w:space="0" w:color="auto"/>
        <w:bottom w:val="none" w:sz="0" w:space="0" w:color="auto"/>
        <w:right w:val="none" w:sz="0" w:space="0" w:color="auto"/>
      </w:divBdr>
    </w:div>
    <w:div w:id="639650753">
      <w:bodyDiv w:val="1"/>
      <w:marLeft w:val="0"/>
      <w:marRight w:val="0"/>
      <w:marTop w:val="0"/>
      <w:marBottom w:val="0"/>
      <w:divBdr>
        <w:top w:val="none" w:sz="0" w:space="0" w:color="auto"/>
        <w:left w:val="none" w:sz="0" w:space="0" w:color="auto"/>
        <w:bottom w:val="none" w:sz="0" w:space="0" w:color="auto"/>
        <w:right w:val="none" w:sz="0" w:space="0" w:color="auto"/>
      </w:divBdr>
    </w:div>
    <w:div w:id="642582528">
      <w:bodyDiv w:val="1"/>
      <w:marLeft w:val="0"/>
      <w:marRight w:val="0"/>
      <w:marTop w:val="0"/>
      <w:marBottom w:val="0"/>
      <w:divBdr>
        <w:top w:val="none" w:sz="0" w:space="0" w:color="auto"/>
        <w:left w:val="none" w:sz="0" w:space="0" w:color="auto"/>
        <w:bottom w:val="none" w:sz="0" w:space="0" w:color="auto"/>
        <w:right w:val="none" w:sz="0" w:space="0" w:color="auto"/>
      </w:divBdr>
    </w:div>
    <w:div w:id="642973850">
      <w:bodyDiv w:val="1"/>
      <w:marLeft w:val="0"/>
      <w:marRight w:val="0"/>
      <w:marTop w:val="0"/>
      <w:marBottom w:val="0"/>
      <w:divBdr>
        <w:top w:val="none" w:sz="0" w:space="0" w:color="auto"/>
        <w:left w:val="none" w:sz="0" w:space="0" w:color="auto"/>
        <w:bottom w:val="none" w:sz="0" w:space="0" w:color="auto"/>
        <w:right w:val="none" w:sz="0" w:space="0" w:color="auto"/>
      </w:divBdr>
    </w:div>
    <w:div w:id="648947845">
      <w:bodyDiv w:val="1"/>
      <w:marLeft w:val="0"/>
      <w:marRight w:val="0"/>
      <w:marTop w:val="0"/>
      <w:marBottom w:val="0"/>
      <w:divBdr>
        <w:top w:val="none" w:sz="0" w:space="0" w:color="auto"/>
        <w:left w:val="none" w:sz="0" w:space="0" w:color="auto"/>
        <w:bottom w:val="none" w:sz="0" w:space="0" w:color="auto"/>
        <w:right w:val="none" w:sz="0" w:space="0" w:color="auto"/>
      </w:divBdr>
    </w:div>
    <w:div w:id="650328384">
      <w:bodyDiv w:val="1"/>
      <w:marLeft w:val="0"/>
      <w:marRight w:val="0"/>
      <w:marTop w:val="0"/>
      <w:marBottom w:val="0"/>
      <w:divBdr>
        <w:top w:val="none" w:sz="0" w:space="0" w:color="auto"/>
        <w:left w:val="none" w:sz="0" w:space="0" w:color="auto"/>
        <w:bottom w:val="none" w:sz="0" w:space="0" w:color="auto"/>
        <w:right w:val="none" w:sz="0" w:space="0" w:color="auto"/>
      </w:divBdr>
    </w:div>
    <w:div w:id="651712382">
      <w:bodyDiv w:val="1"/>
      <w:marLeft w:val="0"/>
      <w:marRight w:val="0"/>
      <w:marTop w:val="0"/>
      <w:marBottom w:val="0"/>
      <w:divBdr>
        <w:top w:val="none" w:sz="0" w:space="0" w:color="auto"/>
        <w:left w:val="none" w:sz="0" w:space="0" w:color="auto"/>
        <w:bottom w:val="none" w:sz="0" w:space="0" w:color="auto"/>
        <w:right w:val="none" w:sz="0" w:space="0" w:color="auto"/>
      </w:divBdr>
    </w:div>
    <w:div w:id="658775430">
      <w:bodyDiv w:val="1"/>
      <w:marLeft w:val="0"/>
      <w:marRight w:val="0"/>
      <w:marTop w:val="0"/>
      <w:marBottom w:val="0"/>
      <w:divBdr>
        <w:top w:val="none" w:sz="0" w:space="0" w:color="auto"/>
        <w:left w:val="none" w:sz="0" w:space="0" w:color="auto"/>
        <w:bottom w:val="none" w:sz="0" w:space="0" w:color="auto"/>
        <w:right w:val="none" w:sz="0" w:space="0" w:color="auto"/>
      </w:divBdr>
    </w:div>
    <w:div w:id="660740262">
      <w:bodyDiv w:val="1"/>
      <w:marLeft w:val="0"/>
      <w:marRight w:val="0"/>
      <w:marTop w:val="0"/>
      <w:marBottom w:val="0"/>
      <w:divBdr>
        <w:top w:val="none" w:sz="0" w:space="0" w:color="auto"/>
        <w:left w:val="none" w:sz="0" w:space="0" w:color="auto"/>
        <w:bottom w:val="none" w:sz="0" w:space="0" w:color="auto"/>
        <w:right w:val="none" w:sz="0" w:space="0" w:color="auto"/>
      </w:divBdr>
    </w:div>
    <w:div w:id="664941245">
      <w:bodyDiv w:val="1"/>
      <w:marLeft w:val="0"/>
      <w:marRight w:val="0"/>
      <w:marTop w:val="0"/>
      <w:marBottom w:val="0"/>
      <w:divBdr>
        <w:top w:val="none" w:sz="0" w:space="0" w:color="auto"/>
        <w:left w:val="none" w:sz="0" w:space="0" w:color="auto"/>
        <w:bottom w:val="none" w:sz="0" w:space="0" w:color="auto"/>
        <w:right w:val="none" w:sz="0" w:space="0" w:color="auto"/>
      </w:divBdr>
    </w:div>
    <w:div w:id="670137421">
      <w:bodyDiv w:val="1"/>
      <w:marLeft w:val="0"/>
      <w:marRight w:val="0"/>
      <w:marTop w:val="0"/>
      <w:marBottom w:val="0"/>
      <w:divBdr>
        <w:top w:val="none" w:sz="0" w:space="0" w:color="auto"/>
        <w:left w:val="none" w:sz="0" w:space="0" w:color="auto"/>
        <w:bottom w:val="none" w:sz="0" w:space="0" w:color="auto"/>
        <w:right w:val="none" w:sz="0" w:space="0" w:color="auto"/>
      </w:divBdr>
    </w:div>
    <w:div w:id="673262058">
      <w:bodyDiv w:val="1"/>
      <w:marLeft w:val="0"/>
      <w:marRight w:val="0"/>
      <w:marTop w:val="0"/>
      <w:marBottom w:val="0"/>
      <w:divBdr>
        <w:top w:val="none" w:sz="0" w:space="0" w:color="auto"/>
        <w:left w:val="none" w:sz="0" w:space="0" w:color="auto"/>
        <w:bottom w:val="none" w:sz="0" w:space="0" w:color="auto"/>
        <w:right w:val="none" w:sz="0" w:space="0" w:color="auto"/>
      </w:divBdr>
    </w:div>
    <w:div w:id="675154405">
      <w:bodyDiv w:val="1"/>
      <w:marLeft w:val="0"/>
      <w:marRight w:val="0"/>
      <w:marTop w:val="0"/>
      <w:marBottom w:val="0"/>
      <w:divBdr>
        <w:top w:val="none" w:sz="0" w:space="0" w:color="auto"/>
        <w:left w:val="none" w:sz="0" w:space="0" w:color="auto"/>
        <w:bottom w:val="none" w:sz="0" w:space="0" w:color="auto"/>
        <w:right w:val="none" w:sz="0" w:space="0" w:color="auto"/>
      </w:divBdr>
    </w:div>
    <w:div w:id="688992750">
      <w:bodyDiv w:val="1"/>
      <w:marLeft w:val="0"/>
      <w:marRight w:val="0"/>
      <w:marTop w:val="0"/>
      <w:marBottom w:val="0"/>
      <w:divBdr>
        <w:top w:val="none" w:sz="0" w:space="0" w:color="auto"/>
        <w:left w:val="none" w:sz="0" w:space="0" w:color="auto"/>
        <w:bottom w:val="none" w:sz="0" w:space="0" w:color="auto"/>
        <w:right w:val="none" w:sz="0" w:space="0" w:color="auto"/>
      </w:divBdr>
    </w:div>
    <w:div w:id="691687692">
      <w:bodyDiv w:val="1"/>
      <w:marLeft w:val="0"/>
      <w:marRight w:val="0"/>
      <w:marTop w:val="0"/>
      <w:marBottom w:val="0"/>
      <w:divBdr>
        <w:top w:val="none" w:sz="0" w:space="0" w:color="auto"/>
        <w:left w:val="none" w:sz="0" w:space="0" w:color="auto"/>
        <w:bottom w:val="none" w:sz="0" w:space="0" w:color="auto"/>
        <w:right w:val="none" w:sz="0" w:space="0" w:color="auto"/>
      </w:divBdr>
    </w:div>
    <w:div w:id="692192126">
      <w:bodyDiv w:val="1"/>
      <w:marLeft w:val="0"/>
      <w:marRight w:val="0"/>
      <w:marTop w:val="0"/>
      <w:marBottom w:val="0"/>
      <w:divBdr>
        <w:top w:val="none" w:sz="0" w:space="0" w:color="auto"/>
        <w:left w:val="none" w:sz="0" w:space="0" w:color="auto"/>
        <w:bottom w:val="none" w:sz="0" w:space="0" w:color="auto"/>
        <w:right w:val="none" w:sz="0" w:space="0" w:color="auto"/>
      </w:divBdr>
    </w:div>
    <w:div w:id="693656331">
      <w:bodyDiv w:val="1"/>
      <w:marLeft w:val="0"/>
      <w:marRight w:val="0"/>
      <w:marTop w:val="0"/>
      <w:marBottom w:val="0"/>
      <w:divBdr>
        <w:top w:val="none" w:sz="0" w:space="0" w:color="auto"/>
        <w:left w:val="none" w:sz="0" w:space="0" w:color="auto"/>
        <w:bottom w:val="none" w:sz="0" w:space="0" w:color="auto"/>
        <w:right w:val="none" w:sz="0" w:space="0" w:color="auto"/>
      </w:divBdr>
    </w:div>
    <w:div w:id="694310073">
      <w:bodyDiv w:val="1"/>
      <w:marLeft w:val="0"/>
      <w:marRight w:val="0"/>
      <w:marTop w:val="0"/>
      <w:marBottom w:val="0"/>
      <w:divBdr>
        <w:top w:val="none" w:sz="0" w:space="0" w:color="auto"/>
        <w:left w:val="none" w:sz="0" w:space="0" w:color="auto"/>
        <w:bottom w:val="none" w:sz="0" w:space="0" w:color="auto"/>
        <w:right w:val="none" w:sz="0" w:space="0" w:color="auto"/>
      </w:divBdr>
    </w:div>
    <w:div w:id="700785183">
      <w:bodyDiv w:val="1"/>
      <w:marLeft w:val="0"/>
      <w:marRight w:val="0"/>
      <w:marTop w:val="0"/>
      <w:marBottom w:val="0"/>
      <w:divBdr>
        <w:top w:val="none" w:sz="0" w:space="0" w:color="auto"/>
        <w:left w:val="none" w:sz="0" w:space="0" w:color="auto"/>
        <w:bottom w:val="none" w:sz="0" w:space="0" w:color="auto"/>
        <w:right w:val="none" w:sz="0" w:space="0" w:color="auto"/>
      </w:divBdr>
    </w:div>
    <w:div w:id="700933709">
      <w:bodyDiv w:val="1"/>
      <w:marLeft w:val="0"/>
      <w:marRight w:val="0"/>
      <w:marTop w:val="0"/>
      <w:marBottom w:val="0"/>
      <w:divBdr>
        <w:top w:val="none" w:sz="0" w:space="0" w:color="auto"/>
        <w:left w:val="none" w:sz="0" w:space="0" w:color="auto"/>
        <w:bottom w:val="none" w:sz="0" w:space="0" w:color="auto"/>
        <w:right w:val="none" w:sz="0" w:space="0" w:color="auto"/>
      </w:divBdr>
    </w:div>
    <w:div w:id="704477308">
      <w:bodyDiv w:val="1"/>
      <w:marLeft w:val="0"/>
      <w:marRight w:val="0"/>
      <w:marTop w:val="0"/>
      <w:marBottom w:val="0"/>
      <w:divBdr>
        <w:top w:val="none" w:sz="0" w:space="0" w:color="auto"/>
        <w:left w:val="none" w:sz="0" w:space="0" w:color="auto"/>
        <w:bottom w:val="none" w:sz="0" w:space="0" w:color="auto"/>
        <w:right w:val="none" w:sz="0" w:space="0" w:color="auto"/>
      </w:divBdr>
    </w:div>
    <w:div w:id="704907126">
      <w:bodyDiv w:val="1"/>
      <w:marLeft w:val="0"/>
      <w:marRight w:val="0"/>
      <w:marTop w:val="0"/>
      <w:marBottom w:val="0"/>
      <w:divBdr>
        <w:top w:val="none" w:sz="0" w:space="0" w:color="auto"/>
        <w:left w:val="none" w:sz="0" w:space="0" w:color="auto"/>
        <w:bottom w:val="none" w:sz="0" w:space="0" w:color="auto"/>
        <w:right w:val="none" w:sz="0" w:space="0" w:color="auto"/>
      </w:divBdr>
    </w:div>
    <w:div w:id="707488099">
      <w:bodyDiv w:val="1"/>
      <w:marLeft w:val="0"/>
      <w:marRight w:val="0"/>
      <w:marTop w:val="0"/>
      <w:marBottom w:val="0"/>
      <w:divBdr>
        <w:top w:val="none" w:sz="0" w:space="0" w:color="auto"/>
        <w:left w:val="none" w:sz="0" w:space="0" w:color="auto"/>
        <w:bottom w:val="none" w:sz="0" w:space="0" w:color="auto"/>
        <w:right w:val="none" w:sz="0" w:space="0" w:color="auto"/>
      </w:divBdr>
    </w:div>
    <w:div w:id="712197754">
      <w:bodyDiv w:val="1"/>
      <w:marLeft w:val="0"/>
      <w:marRight w:val="0"/>
      <w:marTop w:val="0"/>
      <w:marBottom w:val="0"/>
      <w:divBdr>
        <w:top w:val="none" w:sz="0" w:space="0" w:color="auto"/>
        <w:left w:val="none" w:sz="0" w:space="0" w:color="auto"/>
        <w:bottom w:val="none" w:sz="0" w:space="0" w:color="auto"/>
        <w:right w:val="none" w:sz="0" w:space="0" w:color="auto"/>
      </w:divBdr>
    </w:div>
    <w:div w:id="713038219">
      <w:bodyDiv w:val="1"/>
      <w:marLeft w:val="0"/>
      <w:marRight w:val="0"/>
      <w:marTop w:val="0"/>
      <w:marBottom w:val="0"/>
      <w:divBdr>
        <w:top w:val="none" w:sz="0" w:space="0" w:color="auto"/>
        <w:left w:val="none" w:sz="0" w:space="0" w:color="auto"/>
        <w:bottom w:val="none" w:sz="0" w:space="0" w:color="auto"/>
        <w:right w:val="none" w:sz="0" w:space="0" w:color="auto"/>
      </w:divBdr>
    </w:div>
    <w:div w:id="720253688">
      <w:bodyDiv w:val="1"/>
      <w:marLeft w:val="0"/>
      <w:marRight w:val="0"/>
      <w:marTop w:val="0"/>
      <w:marBottom w:val="0"/>
      <w:divBdr>
        <w:top w:val="none" w:sz="0" w:space="0" w:color="auto"/>
        <w:left w:val="none" w:sz="0" w:space="0" w:color="auto"/>
        <w:bottom w:val="none" w:sz="0" w:space="0" w:color="auto"/>
        <w:right w:val="none" w:sz="0" w:space="0" w:color="auto"/>
      </w:divBdr>
    </w:div>
    <w:div w:id="733428025">
      <w:bodyDiv w:val="1"/>
      <w:marLeft w:val="0"/>
      <w:marRight w:val="0"/>
      <w:marTop w:val="0"/>
      <w:marBottom w:val="0"/>
      <w:divBdr>
        <w:top w:val="none" w:sz="0" w:space="0" w:color="auto"/>
        <w:left w:val="none" w:sz="0" w:space="0" w:color="auto"/>
        <w:bottom w:val="none" w:sz="0" w:space="0" w:color="auto"/>
        <w:right w:val="none" w:sz="0" w:space="0" w:color="auto"/>
      </w:divBdr>
    </w:div>
    <w:div w:id="734667541">
      <w:bodyDiv w:val="1"/>
      <w:marLeft w:val="0"/>
      <w:marRight w:val="0"/>
      <w:marTop w:val="0"/>
      <w:marBottom w:val="0"/>
      <w:divBdr>
        <w:top w:val="none" w:sz="0" w:space="0" w:color="auto"/>
        <w:left w:val="none" w:sz="0" w:space="0" w:color="auto"/>
        <w:bottom w:val="none" w:sz="0" w:space="0" w:color="auto"/>
        <w:right w:val="none" w:sz="0" w:space="0" w:color="auto"/>
      </w:divBdr>
    </w:div>
    <w:div w:id="736052301">
      <w:bodyDiv w:val="1"/>
      <w:marLeft w:val="0"/>
      <w:marRight w:val="0"/>
      <w:marTop w:val="0"/>
      <w:marBottom w:val="0"/>
      <w:divBdr>
        <w:top w:val="none" w:sz="0" w:space="0" w:color="auto"/>
        <w:left w:val="none" w:sz="0" w:space="0" w:color="auto"/>
        <w:bottom w:val="none" w:sz="0" w:space="0" w:color="auto"/>
        <w:right w:val="none" w:sz="0" w:space="0" w:color="auto"/>
      </w:divBdr>
    </w:div>
    <w:div w:id="742871589">
      <w:bodyDiv w:val="1"/>
      <w:marLeft w:val="0"/>
      <w:marRight w:val="0"/>
      <w:marTop w:val="0"/>
      <w:marBottom w:val="0"/>
      <w:divBdr>
        <w:top w:val="none" w:sz="0" w:space="0" w:color="auto"/>
        <w:left w:val="none" w:sz="0" w:space="0" w:color="auto"/>
        <w:bottom w:val="none" w:sz="0" w:space="0" w:color="auto"/>
        <w:right w:val="none" w:sz="0" w:space="0" w:color="auto"/>
      </w:divBdr>
    </w:div>
    <w:div w:id="743992502">
      <w:bodyDiv w:val="1"/>
      <w:marLeft w:val="0"/>
      <w:marRight w:val="0"/>
      <w:marTop w:val="0"/>
      <w:marBottom w:val="0"/>
      <w:divBdr>
        <w:top w:val="none" w:sz="0" w:space="0" w:color="auto"/>
        <w:left w:val="none" w:sz="0" w:space="0" w:color="auto"/>
        <w:bottom w:val="none" w:sz="0" w:space="0" w:color="auto"/>
        <w:right w:val="none" w:sz="0" w:space="0" w:color="auto"/>
      </w:divBdr>
    </w:div>
    <w:div w:id="746076006">
      <w:bodyDiv w:val="1"/>
      <w:marLeft w:val="0"/>
      <w:marRight w:val="0"/>
      <w:marTop w:val="0"/>
      <w:marBottom w:val="0"/>
      <w:divBdr>
        <w:top w:val="none" w:sz="0" w:space="0" w:color="auto"/>
        <w:left w:val="none" w:sz="0" w:space="0" w:color="auto"/>
        <w:bottom w:val="none" w:sz="0" w:space="0" w:color="auto"/>
        <w:right w:val="none" w:sz="0" w:space="0" w:color="auto"/>
      </w:divBdr>
    </w:div>
    <w:div w:id="747271677">
      <w:bodyDiv w:val="1"/>
      <w:marLeft w:val="0"/>
      <w:marRight w:val="0"/>
      <w:marTop w:val="0"/>
      <w:marBottom w:val="0"/>
      <w:divBdr>
        <w:top w:val="none" w:sz="0" w:space="0" w:color="auto"/>
        <w:left w:val="none" w:sz="0" w:space="0" w:color="auto"/>
        <w:bottom w:val="none" w:sz="0" w:space="0" w:color="auto"/>
        <w:right w:val="none" w:sz="0" w:space="0" w:color="auto"/>
      </w:divBdr>
    </w:div>
    <w:div w:id="749236338">
      <w:bodyDiv w:val="1"/>
      <w:marLeft w:val="0"/>
      <w:marRight w:val="0"/>
      <w:marTop w:val="0"/>
      <w:marBottom w:val="0"/>
      <w:divBdr>
        <w:top w:val="none" w:sz="0" w:space="0" w:color="auto"/>
        <w:left w:val="none" w:sz="0" w:space="0" w:color="auto"/>
        <w:bottom w:val="none" w:sz="0" w:space="0" w:color="auto"/>
        <w:right w:val="none" w:sz="0" w:space="0" w:color="auto"/>
      </w:divBdr>
    </w:div>
    <w:div w:id="750588489">
      <w:bodyDiv w:val="1"/>
      <w:marLeft w:val="0"/>
      <w:marRight w:val="0"/>
      <w:marTop w:val="0"/>
      <w:marBottom w:val="0"/>
      <w:divBdr>
        <w:top w:val="none" w:sz="0" w:space="0" w:color="auto"/>
        <w:left w:val="none" w:sz="0" w:space="0" w:color="auto"/>
        <w:bottom w:val="none" w:sz="0" w:space="0" w:color="auto"/>
        <w:right w:val="none" w:sz="0" w:space="0" w:color="auto"/>
      </w:divBdr>
    </w:div>
    <w:div w:id="751387729">
      <w:bodyDiv w:val="1"/>
      <w:marLeft w:val="0"/>
      <w:marRight w:val="0"/>
      <w:marTop w:val="0"/>
      <w:marBottom w:val="0"/>
      <w:divBdr>
        <w:top w:val="none" w:sz="0" w:space="0" w:color="auto"/>
        <w:left w:val="none" w:sz="0" w:space="0" w:color="auto"/>
        <w:bottom w:val="none" w:sz="0" w:space="0" w:color="auto"/>
        <w:right w:val="none" w:sz="0" w:space="0" w:color="auto"/>
      </w:divBdr>
    </w:div>
    <w:div w:id="751583789">
      <w:bodyDiv w:val="1"/>
      <w:marLeft w:val="0"/>
      <w:marRight w:val="0"/>
      <w:marTop w:val="0"/>
      <w:marBottom w:val="0"/>
      <w:divBdr>
        <w:top w:val="none" w:sz="0" w:space="0" w:color="auto"/>
        <w:left w:val="none" w:sz="0" w:space="0" w:color="auto"/>
        <w:bottom w:val="none" w:sz="0" w:space="0" w:color="auto"/>
        <w:right w:val="none" w:sz="0" w:space="0" w:color="auto"/>
      </w:divBdr>
    </w:div>
    <w:div w:id="755519893">
      <w:bodyDiv w:val="1"/>
      <w:marLeft w:val="0"/>
      <w:marRight w:val="0"/>
      <w:marTop w:val="0"/>
      <w:marBottom w:val="0"/>
      <w:divBdr>
        <w:top w:val="none" w:sz="0" w:space="0" w:color="auto"/>
        <w:left w:val="none" w:sz="0" w:space="0" w:color="auto"/>
        <w:bottom w:val="none" w:sz="0" w:space="0" w:color="auto"/>
        <w:right w:val="none" w:sz="0" w:space="0" w:color="auto"/>
      </w:divBdr>
    </w:div>
    <w:div w:id="755592284">
      <w:bodyDiv w:val="1"/>
      <w:marLeft w:val="0"/>
      <w:marRight w:val="0"/>
      <w:marTop w:val="0"/>
      <w:marBottom w:val="0"/>
      <w:divBdr>
        <w:top w:val="none" w:sz="0" w:space="0" w:color="auto"/>
        <w:left w:val="none" w:sz="0" w:space="0" w:color="auto"/>
        <w:bottom w:val="none" w:sz="0" w:space="0" w:color="auto"/>
        <w:right w:val="none" w:sz="0" w:space="0" w:color="auto"/>
      </w:divBdr>
    </w:div>
    <w:div w:id="755975584">
      <w:bodyDiv w:val="1"/>
      <w:marLeft w:val="0"/>
      <w:marRight w:val="0"/>
      <w:marTop w:val="0"/>
      <w:marBottom w:val="0"/>
      <w:divBdr>
        <w:top w:val="none" w:sz="0" w:space="0" w:color="auto"/>
        <w:left w:val="none" w:sz="0" w:space="0" w:color="auto"/>
        <w:bottom w:val="none" w:sz="0" w:space="0" w:color="auto"/>
        <w:right w:val="none" w:sz="0" w:space="0" w:color="auto"/>
      </w:divBdr>
    </w:div>
    <w:div w:id="757410696">
      <w:bodyDiv w:val="1"/>
      <w:marLeft w:val="0"/>
      <w:marRight w:val="0"/>
      <w:marTop w:val="0"/>
      <w:marBottom w:val="0"/>
      <w:divBdr>
        <w:top w:val="none" w:sz="0" w:space="0" w:color="auto"/>
        <w:left w:val="none" w:sz="0" w:space="0" w:color="auto"/>
        <w:bottom w:val="none" w:sz="0" w:space="0" w:color="auto"/>
        <w:right w:val="none" w:sz="0" w:space="0" w:color="auto"/>
      </w:divBdr>
    </w:div>
    <w:div w:id="765540740">
      <w:bodyDiv w:val="1"/>
      <w:marLeft w:val="0"/>
      <w:marRight w:val="0"/>
      <w:marTop w:val="0"/>
      <w:marBottom w:val="0"/>
      <w:divBdr>
        <w:top w:val="none" w:sz="0" w:space="0" w:color="auto"/>
        <w:left w:val="none" w:sz="0" w:space="0" w:color="auto"/>
        <w:bottom w:val="none" w:sz="0" w:space="0" w:color="auto"/>
        <w:right w:val="none" w:sz="0" w:space="0" w:color="auto"/>
      </w:divBdr>
    </w:div>
    <w:div w:id="766124397">
      <w:bodyDiv w:val="1"/>
      <w:marLeft w:val="0"/>
      <w:marRight w:val="0"/>
      <w:marTop w:val="0"/>
      <w:marBottom w:val="0"/>
      <w:divBdr>
        <w:top w:val="none" w:sz="0" w:space="0" w:color="auto"/>
        <w:left w:val="none" w:sz="0" w:space="0" w:color="auto"/>
        <w:bottom w:val="none" w:sz="0" w:space="0" w:color="auto"/>
        <w:right w:val="none" w:sz="0" w:space="0" w:color="auto"/>
      </w:divBdr>
    </w:div>
    <w:div w:id="769740242">
      <w:bodyDiv w:val="1"/>
      <w:marLeft w:val="0"/>
      <w:marRight w:val="0"/>
      <w:marTop w:val="0"/>
      <w:marBottom w:val="0"/>
      <w:divBdr>
        <w:top w:val="none" w:sz="0" w:space="0" w:color="auto"/>
        <w:left w:val="none" w:sz="0" w:space="0" w:color="auto"/>
        <w:bottom w:val="none" w:sz="0" w:space="0" w:color="auto"/>
        <w:right w:val="none" w:sz="0" w:space="0" w:color="auto"/>
      </w:divBdr>
    </w:div>
    <w:div w:id="774328597">
      <w:bodyDiv w:val="1"/>
      <w:marLeft w:val="0"/>
      <w:marRight w:val="0"/>
      <w:marTop w:val="0"/>
      <w:marBottom w:val="0"/>
      <w:divBdr>
        <w:top w:val="none" w:sz="0" w:space="0" w:color="auto"/>
        <w:left w:val="none" w:sz="0" w:space="0" w:color="auto"/>
        <w:bottom w:val="none" w:sz="0" w:space="0" w:color="auto"/>
        <w:right w:val="none" w:sz="0" w:space="0" w:color="auto"/>
      </w:divBdr>
    </w:div>
    <w:div w:id="775056805">
      <w:bodyDiv w:val="1"/>
      <w:marLeft w:val="0"/>
      <w:marRight w:val="0"/>
      <w:marTop w:val="0"/>
      <w:marBottom w:val="0"/>
      <w:divBdr>
        <w:top w:val="none" w:sz="0" w:space="0" w:color="auto"/>
        <w:left w:val="none" w:sz="0" w:space="0" w:color="auto"/>
        <w:bottom w:val="none" w:sz="0" w:space="0" w:color="auto"/>
        <w:right w:val="none" w:sz="0" w:space="0" w:color="auto"/>
      </w:divBdr>
    </w:div>
    <w:div w:id="778839969">
      <w:bodyDiv w:val="1"/>
      <w:marLeft w:val="0"/>
      <w:marRight w:val="0"/>
      <w:marTop w:val="0"/>
      <w:marBottom w:val="0"/>
      <w:divBdr>
        <w:top w:val="none" w:sz="0" w:space="0" w:color="auto"/>
        <w:left w:val="none" w:sz="0" w:space="0" w:color="auto"/>
        <w:bottom w:val="none" w:sz="0" w:space="0" w:color="auto"/>
        <w:right w:val="none" w:sz="0" w:space="0" w:color="auto"/>
      </w:divBdr>
    </w:div>
    <w:div w:id="780033771">
      <w:bodyDiv w:val="1"/>
      <w:marLeft w:val="0"/>
      <w:marRight w:val="0"/>
      <w:marTop w:val="0"/>
      <w:marBottom w:val="0"/>
      <w:divBdr>
        <w:top w:val="none" w:sz="0" w:space="0" w:color="auto"/>
        <w:left w:val="none" w:sz="0" w:space="0" w:color="auto"/>
        <w:bottom w:val="none" w:sz="0" w:space="0" w:color="auto"/>
        <w:right w:val="none" w:sz="0" w:space="0" w:color="auto"/>
      </w:divBdr>
    </w:div>
    <w:div w:id="781388896">
      <w:bodyDiv w:val="1"/>
      <w:marLeft w:val="0"/>
      <w:marRight w:val="0"/>
      <w:marTop w:val="0"/>
      <w:marBottom w:val="0"/>
      <w:divBdr>
        <w:top w:val="none" w:sz="0" w:space="0" w:color="auto"/>
        <w:left w:val="none" w:sz="0" w:space="0" w:color="auto"/>
        <w:bottom w:val="none" w:sz="0" w:space="0" w:color="auto"/>
        <w:right w:val="none" w:sz="0" w:space="0" w:color="auto"/>
      </w:divBdr>
    </w:div>
    <w:div w:id="783504465">
      <w:bodyDiv w:val="1"/>
      <w:marLeft w:val="0"/>
      <w:marRight w:val="0"/>
      <w:marTop w:val="0"/>
      <w:marBottom w:val="0"/>
      <w:divBdr>
        <w:top w:val="none" w:sz="0" w:space="0" w:color="auto"/>
        <w:left w:val="none" w:sz="0" w:space="0" w:color="auto"/>
        <w:bottom w:val="none" w:sz="0" w:space="0" w:color="auto"/>
        <w:right w:val="none" w:sz="0" w:space="0" w:color="auto"/>
      </w:divBdr>
    </w:div>
    <w:div w:id="784471345">
      <w:bodyDiv w:val="1"/>
      <w:marLeft w:val="0"/>
      <w:marRight w:val="0"/>
      <w:marTop w:val="0"/>
      <w:marBottom w:val="0"/>
      <w:divBdr>
        <w:top w:val="none" w:sz="0" w:space="0" w:color="auto"/>
        <w:left w:val="none" w:sz="0" w:space="0" w:color="auto"/>
        <w:bottom w:val="none" w:sz="0" w:space="0" w:color="auto"/>
        <w:right w:val="none" w:sz="0" w:space="0" w:color="auto"/>
      </w:divBdr>
    </w:div>
    <w:div w:id="788472405">
      <w:bodyDiv w:val="1"/>
      <w:marLeft w:val="0"/>
      <w:marRight w:val="0"/>
      <w:marTop w:val="0"/>
      <w:marBottom w:val="0"/>
      <w:divBdr>
        <w:top w:val="none" w:sz="0" w:space="0" w:color="auto"/>
        <w:left w:val="none" w:sz="0" w:space="0" w:color="auto"/>
        <w:bottom w:val="none" w:sz="0" w:space="0" w:color="auto"/>
        <w:right w:val="none" w:sz="0" w:space="0" w:color="auto"/>
      </w:divBdr>
    </w:div>
    <w:div w:id="789519697">
      <w:bodyDiv w:val="1"/>
      <w:marLeft w:val="0"/>
      <w:marRight w:val="0"/>
      <w:marTop w:val="0"/>
      <w:marBottom w:val="0"/>
      <w:divBdr>
        <w:top w:val="none" w:sz="0" w:space="0" w:color="auto"/>
        <w:left w:val="none" w:sz="0" w:space="0" w:color="auto"/>
        <w:bottom w:val="none" w:sz="0" w:space="0" w:color="auto"/>
        <w:right w:val="none" w:sz="0" w:space="0" w:color="auto"/>
      </w:divBdr>
    </w:div>
    <w:div w:id="789665609">
      <w:bodyDiv w:val="1"/>
      <w:marLeft w:val="0"/>
      <w:marRight w:val="0"/>
      <w:marTop w:val="0"/>
      <w:marBottom w:val="0"/>
      <w:divBdr>
        <w:top w:val="none" w:sz="0" w:space="0" w:color="auto"/>
        <w:left w:val="none" w:sz="0" w:space="0" w:color="auto"/>
        <w:bottom w:val="none" w:sz="0" w:space="0" w:color="auto"/>
        <w:right w:val="none" w:sz="0" w:space="0" w:color="auto"/>
      </w:divBdr>
    </w:div>
    <w:div w:id="792089904">
      <w:bodyDiv w:val="1"/>
      <w:marLeft w:val="0"/>
      <w:marRight w:val="0"/>
      <w:marTop w:val="0"/>
      <w:marBottom w:val="0"/>
      <w:divBdr>
        <w:top w:val="none" w:sz="0" w:space="0" w:color="auto"/>
        <w:left w:val="none" w:sz="0" w:space="0" w:color="auto"/>
        <w:bottom w:val="none" w:sz="0" w:space="0" w:color="auto"/>
        <w:right w:val="none" w:sz="0" w:space="0" w:color="auto"/>
      </w:divBdr>
    </w:div>
    <w:div w:id="794644292">
      <w:bodyDiv w:val="1"/>
      <w:marLeft w:val="0"/>
      <w:marRight w:val="0"/>
      <w:marTop w:val="0"/>
      <w:marBottom w:val="0"/>
      <w:divBdr>
        <w:top w:val="none" w:sz="0" w:space="0" w:color="auto"/>
        <w:left w:val="none" w:sz="0" w:space="0" w:color="auto"/>
        <w:bottom w:val="none" w:sz="0" w:space="0" w:color="auto"/>
        <w:right w:val="none" w:sz="0" w:space="0" w:color="auto"/>
      </w:divBdr>
    </w:div>
    <w:div w:id="797139304">
      <w:bodyDiv w:val="1"/>
      <w:marLeft w:val="0"/>
      <w:marRight w:val="0"/>
      <w:marTop w:val="0"/>
      <w:marBottom w:val="0"/>
      <w:divBdr>
        <w:top w:val="none" w:sz="0" w:space="0" w:color="auto"/>
        <w:left w:val="none" w:sz="0" w:space="0" w:color="auto"/>
        <w:bottom w:val="none" w:sz="0" w:space="0" w:color="auto"/>
        <w:right w:val="none" w:sz="0" w:space="0" w:color="auto"/>
      </w:divBdr>
    </w:div>
    <w:div w:id="800540649">
      <w:bodyDiv w:val="1"/>
      <w:marLeft w:val="0"/>
      <w:marRight w:val="0"/>
      <w:marTop w:val="0"/>
      <w:marBottom w:val="0"/>
      <w:divBdr>
        <w:top w:val="none" w:sz="0" w:space="0" w:color="auto"/>
        <w:left w:val="none" w:sz="0" w:space="0" w:color="auto"/>
        <w:bottom w:val="none" w:sz="0" w:space="0" w:color="auto"/>
        <w:right w:val="none" w:sz="0" w:space="0" w:color="auto"/>
      </w:divBdr>
    </w:div>
    <w:div w:id="800810097">
      <w:bodyDiv w:val="1"/>
      <w:marLeft w:val="0"/>
      <w:marRight w:val="0"/>
      <w:marTop w:val="0"/>
      <w:marBottom w:val="0"/>
      <w:divBdr>
        <w:top w:val="none" w:sz="0" w:space="0" w:color="auto"/>
        <w:left w:val="none" w:sz="0" w:space="0" w:color="auto"/>
        <w:bottom w:val="none" w:sz="0" w:space="0" w:color="auto"/>
        <w:right w:val="none" w:sz="0" w:space="0" w:color="auto"/>
      </w:divBdr>
    </w:div>
    <w:div w:id="801655988">
      <w:bodyDiv w:val="1"/>
      <w:marLeft w:val="0"/>
      <w:marRight w:val="0"/>
      <w:marTop w:val="0"/>
      <w:marBottom w:val="0"/>
      <w:divBdr>
        <w:top w:val="none" w:sz="0" w:space="0" w:color="auto"/>
        <w:left w:val="none" w:sz="0" w:space="0" w:color="auto"/>
        <w:bottom w:val="none" w:sz="0" w:space="0" w:color="auto"/>
        <w:right w:val="none" w:sz="0" w:space="0" w:color="auto"/>
      </w:divBdr>
    </w:div>
    <w:div w:id="803427918">
      <w:bodyDiv w:val="1"/>
      <w:marLeft w:val="0"/>
      <w:marRight w:val="0"/>
      <w:marTop w:val="0"/>
      <w:marBottom w:val="0"/>
      <w:divBdr>
        <w:top w:val="none" w:sz="0" w:space="0" w:color="auto"/>
        <w:left w:val="none" w:sz="0" w:space="0" w:color="auto"/>
        <w:bottom w:val="none" w:sz="0" w:space="0" w:color="auto"/>
        <w:right w:val="none" w:sz="0" w:space="0" w:color="auto"/>
      </w:divBdr>
    </w:div>
    <w:div w:id="805508451">
      <w:bodyDiv w:val="1"/>
      <w:marLeft w:val="0"/>
      <w:marRight w:val="0"/>
      <w:marTop w:val="0"/>
      <w:marBottom w:val="0"/>
      <w:divBdr>
        <w:top w:val="none" w:sz="0" w:space="0" w:color="auto"/>
        <w:left w:val="none" w:sz="0" w:space="0" w:color="auto"/>
        <w:bottom w:val="none" w:sz="0" w:space="0" w:color="auto"/>
        <w:right w:val="none" w:sz="0" w:space="0" w:color="auto"/>
      </w:divBdr>
    </w:div>
    <w:div w:id="805970617">
      <w:bodyDiv w:val="1"/>
      <w:marLeft w:val="0"/>
      <w:marRight w:val="0"/>
      <w:marTop w:val="0"/>
      <w:marBottom w:val="0"/>
      <w:divBdr>
        <w:top w:val="none" w:sz="0" w:space="0" w:color="auto"/>
        <w:left w:val="none" w:sz="0" w:space="0" w:color="auto"/>
        <w:bottom w:val="none" w:sz="0" w:space="0" w:color="auto"/>
        <w:right w:val="none" w:sz="0" w:space="0" w:color="auto"/>
      </w:divBdr>
    </w:div>
    <w:div w:id="806623760">
      <w:bodyDiv w:val="1"/>
      <w:marLeft w:val="0"/>
      <w:marRight w:val="0"/>
      <w:marTop w:val="0"/>
      <w:marBottom w:val="0"/>
      <w:divBdr>
        <w:top w:val="none" w:sz="0" w:space="0" w:color="auto"/>
        <w:left w:val="none" w:sz="0" w:space="0" w:color="auto"/>
        <w:bottom w:val="none" w:sz="0" w:space="0" w:color="auto"/>
        <w:right w:val="none" w:sz="0" w:space="0" w:color="auto"/>
      </w:divBdr>
    </w:div>
    <w:div w:id="810095516">
      <w:bodyDiv w:val="1"/>
      <w:marLeft w:val="0"/>
      <w:marRight w:val="0"/>
      <w:marTop w:val="0"/>
      <w:marBottom w:val="0"/>
      <w:divBdr>
        <w:top w:val="none" w:sz="0" w:space="0" w:color="auto"/>
        <w:left w:val="none" w:sz="0" w:space="0" w:color="auto"/>
        <w:bottom w:val="none" w:sz="0" w:space="0" w:color="auto"/>
        <w:right w:val="none" w:sz="0" w:space="0" w:color="auto"/>
      </w:divBdr>
    </w:div>
    <w:div w:id="810293429">
      <w:bodyDiv w:val="1"/>
      <w:marLeft w:val="0"/>
      <w:marRight w:val="0"/>
      <w:marTop w:val="0"/>
      <w:marBottom w:val="0"/>
      <w:divBdr>
        <w:top w:val="none" w:sz="0" w:space="0" w:color="auto"/>
        <w:left w:val="none" w:sz="0" w:space="0" w:color="auto"/>
        <w:bottom w:val="none" w:sz="0" w:space="0" w:color="auto"/>
        <w:right w:val="none" w:sz="0" w:space="0" w:color="auto"/>
      </w:divBdr>
    </w:div>
    <w:div w:id="816146614">
      <w:bodyDiv w:val="1"/>
      <w:marLeft w:val="0"/>
      <w:marRight w:val="0"/>
      <w:marTop w:val="0"/>
      <w:marBottom w:val="0"/>
      <w:divBdr>
        <w:top w:val="none" w:sz="0" w:space="0" w:color="auto"/>
        <w:left w:val="none" w:sz="0" w:space="0" w:color="auto"/>
        <w:bottom w:val="none" w:sz="0" w:space="0" w:color="auto"/>
        <w:right w:val="none" w:sz="0" w:space="0" w:color="auto"/>
      </w:divBdr>
    </w:div>
    <w:div w:id="819542135">
      <w:bodyDiv w:val="1"/>
      <w:marLeft w:val="0"/>
      <w:marRight w:val="0"/>
      <w:marTop w:val="0"/>
      <w:marBottom w:val="0"/>
      <w:divBdr>
        <w:top w:val="none" w:sz="0" w:space="0" w:color="auto"/>
        <w:left w:val="none" w:sz="0" w:space="0" w:color="auto"/>
        <w:bottom w:val="none" w:sz="0" w:space="0" w:color="auto"/>
        <w:right w:val="none" w:sz="0" w:space="0" w:color="auto"/>
      </w:divBdr>
    </w:div>
    <w:div w:id="819620184">
      <w:bodyDiv w:val="1"/>
      <w:marLeft w:val="0"/>
      <w:marRight w:val="0"/>
      <w:marTop w:val="0"/>
      <w:marBottom w:val="0"/>
      <w:divBdr>
        <w:top w:val="none" w:sz="0" w:space="0" w:color="auto"/>
        <w:left w:val="none" w:sz="0" w:space="0" w:color="auto"/>
        <w:bottom w:val="none" w:sz="0" w:space="0" w:color="auto"/>
        <w:right w:val="none" w:sz="0" w:space="0" w:color="auto"/>
      </w:divBdr>
    </w:div>
    <w:div w:id="820344651">
      <w:bodyDiv w:val="1"/>
      <w:marLeft w:val="0"/>
      <w:marRight w:val="0"/>
      <w:marTop w:val="0"/>
      <w:marBottom w:val="0"/>
      <w:divBdr>
        <w:top w:val="none" w:sz="0" w:space="0" w:color="auto"/>
        <w:left w:val="none" w:sz="0" w:space="0" w:color="auto"/>
        <w:bottom w:val="none" w:sz="0" w:space="0" w:color="auto"/>
        <w:right w:val="none" w:sz="0" w:space="0" w:color="auto"/>
      </w:divBdr>
    </w:div>
    <w:div w:id="823930688">
      <w:bodyDiv w:val="1"/>
      <w:marLeft w:val="0"/>
      <w:marRight w:val="0"/>
      <w:marTop w:val="0"/>
      <w:marBottom w:val="0"/>
      <w:divBdr>
        <w:top w:val="none" w:sz="0" w:space="0" w:color="auto"/>
        <w:left w:val="none" w:sz="0" w:space="0" w:color="auto"/>
        <w:bottom w:val="none" w:sz="0" w:space="0" w:color="auto"/>
        <w:right w:val="none" w:sz="0" w:space="0" w:color="auto"/>
      </w:divBdr>
    </w:div>
    <w:div w:id="832911731">
      <w:bodyDiv w:val="1"/>
      <w:marLeft w:val="0"/>
      <w:marRight w:val="0"/>
      <w:marTop w:val="0"/>
      <w:marBottom w:val="0"/>
      <w:divBdr>
        <w:top w:val="none" w:sz="0" w:space="0" w:color="auto"/>
        <w:left w:val="none" w:sz="0" w:space="0" w:color="auto"/>
        <w:bottom w:val="none" w:sz="0" w:space="0" w:color="auto"/>
        <w:right w:val="none" w:sz="0" w:space="0" w:color="auto"/>
      </w:divBdr>
    </w:div>
    <w:div w:id="843786257">
      <w:bodyDiv w:val="1"/>
      <w:marLeft w:val="0"/>
      <w:marRight w:val="0"/>
      <w:marTop w:val="0"/>
      <w:marBottom w:val="0"/>
      <w:divBdr>
        <w:top w:val="none" w:sz="0" w:space="0" w:color="auto"/>
        <w:left w:val="none" w:sz="0" w:space="0" w:color="auto"/>
        <w:bottom w:val="none" w:sz="0" w:space="0" w:color="auto"/>
        <w:right w:val="none" w:sz="0" w:space="0" w:color="auto"/>
      </w:divBdr>
    </w:div>
    <w:div w:id="844980173">
      <w:bodyDiv w:val="1"/>
      <w:marLeft w:val="0"/>
      <w:marRight w:val="0"/>
      <w:marTop w:val="0"/>
      <w:marBottom w:val="0"/>
      <w:divBdr>
        <w:top w:val="none" w:sz="0" w:space="0" w:color="auto"/>
        <w:left w:val="none" w:sz="0" w:space="0" w:color="auto"/>
        <w:bottom w:val="none" w:sz="0" w:space="0" w:color="auto"/>
        <w:right w:val="none" w:sz="0" w:space="0" w:color="auto"/>
      </w:divBdr>
    </w:div>
    <w:div w:id="847016168">
      <w:bodyDiv w:val="1"/>
      <w:marLeft w:val="0"/>
      <w:marRight w:val="0"/>
      <w:marTop w:val="0"/>
      <w:marBottom w:val="0"/>
      <w:divBdr>
        <w:top w:val="none" w:sz="0" w:space="0" w:color="auto"/>
        <w:left w:val="none" w:sz="0" w:space="0" w:color="auto"/>
        <w:bottom w:val="none" w:sz="0" w:space="0" w:color="auto"/>
        <w:right w:val="none" w:sz="0" w:space="0" w:color="auto"/>
      </w:divBdr>
    </w:div>
    <w:div w:id="853610666">
      <w:bodyDiv w:val="1"/>
      <w:marLeft w:val="0"/>
      <w:marRight w:val="0"/>
      <w:marTop w:val="0"/>
      <w:marBottom w:val="0"/>
      <w:divBdr>
        <w:top w:val="none" w:sz="0" w:space="0" w:color="auto"/>
        <w:left w:val="none" w:sz="0" w:space="0" w:color="auto"/>
        <w:bottom w:val="none" w:sz="0" w:space="0" w:color="auto"/>
        <w:right w:val="none" w:sz="0" w:space="0" w:color="auto"/>
      </w:divBdr>
    </w:div>
    <w:div w:id="854804744">
      <w:bodyDiv w:val="1"/>
      <w:marLeft w:val="0"/>
      <w:marRight w:val="0"/>
      <w:marTop w:val="0"/>
      <w:marBottom w:val="0"/>
      <w:divBdr>
        <w:top w:val="none" w:sz="0" w:space="0" w:color="auto"/>
        <w:left w:val="none" w:sz="0" w:space="0" w:color="auto"/>
        <w:bottom w:val="none" w:sz="0" w:space="0" w:color="auto"/>
        <w:right w:val="none" w:sz="0" w:space="0" w:color="auto"/>
      </w:divBdr>
    </w:div>
    <w:div w:id="857893681">
      <w:bodyDiv w:val="1"/>
      <w:marLeft w:val="0"/>
      <w:marRight w:val="0"/>
      <w:marTop w:val="0"/>
      <w:marBottom w:val="0"/>
      <w:divBdr>
        <w:top w:val="none" w:sz="0" w:space="0" w:color="auto"/>
        <w:left w:val="none" w:sz="0" w:space="0" w:color="auto"/>
        <w:bottom w:val="none" w:sz="0" w:space="0" w:color="auto"/>
        <w:right w:val="none" w:sz="0" w:space="0" w:color="auto"/>
      </w:divBdr>
    </w:div>
    <w:div w:id="858591062">
      <w:bodyDiv w:val="1"/>
      <w:marLeft w:val="0"/>
      <w:marRight w:val="0"/>
      <w:marTop w:val="0"/>
      <w:marBottom w:val="0"/>
      <w:divBdr>
        <w:top w:val="none" w:sz="0" w:space="0" w:color="auto"/>
        <w:left w:val="none" w:sz="0" w:space="0" w:color="auto"/>
        <w:bottom w:val="none" w:sz="0" w:space="0" w:color="auto"/>
        <w:right w:val="none" w:sz="0" w:space="0" w:color="auto"/>
      </w:divBdr>
    </w:div>
    <w:div w:id="861894699">
      <w:bodyDiv w:val="1"/>
      <w:marLeft w:val="0"/>
      <w:marRight w:val="0"/>
      <w:marTop w:val="0"/>
      <w:marBottom w:val="0"/>
      <w:divBdr>
        <w:top w:val="none" w:sz="0" w:space="0" w:color="auto"/>
        <w:left w:val="none" w:sz="0" w:space="0" w:color="auto"/>
        <w:bottom w:val="none" w:sz="0" w:space="0" w:color="auto"/>
        <w:right w:val="none" w:sz="0" w:space="0" w:color="auto"/>
      </w:divBdr>
    </w:div>
    <w:div w:id="866915630">
      <w:bodyDiv w:val="1"/>
      <w:marLeft w:val="0"/>
      <w:marRight w:val="0"/>
      <w:marTop w:val="0"/>
      <w:marBottom w:val="0"/>
      <w:divBdr>
        <w:top w:val="none" w:sz="0" w:space="0" w:color="auto"/>
        <w:left w:val="none" w:sz="0" w:space="0" w:color="auto"/>
        <w:bottom w:val="none" w:sz="0" w:space="0" w:color="auto"/>
        <w:right w:val="none" w:sz="0" w:space="0" w:color="auto"/>
      </w:divBdr>
    </w:div>
    <w:div w:id="867179660">
      <w:bodyDiv w:val="1"/>
      <w:marLeft w:val="0"/>
      <w:marRight w:val="0"/>
      <w:marTop w:val="0"/>
      <w:marBottom w:val="0"/>
      <w:divBdr>
        <w:top w:val="none" w:sz="0" w:space="0" w:color="auto"/>
        <w:left w:val="none" w:sz="0" w:space="0" w:color="auto"/>
        <w:bottom w:val="none" w:sz="0" w:space="0" w:color="auto"/>
        <w:right w:val="none" w:sz="0" w:space="0" w:color="auto"/>
      </w:divBdr>
    </w:div>
    <w:div w:id="868952301">
      <w:bodyDiv w:val="1"/>
      <w:marLeft w:val="0"/>
      <w:marRight w:val="0"/>
      <w:marTop w:val="0"/>
      <w:marBottom w:val="0"/>
      <w:divBdr>
        <w:top w:val="none" w:sz="0" w:space="0" w:color="auto"/>
        <w:left w:val="none" w:sz="0" w:space="0" w:color="auto"/>
        <w:bottom w:val="none" w:sz="0" w:space="0" w:color="auto"/>
        <w:right w:val="none" w:sz="0" w:space="0" w:color="auto"/>
      </w:divBdr>
    </w:div>
    <w:div w:id="872692746">
      <w:bodyDiv w:val="1"/>
      <w:marLeft w:val="0"/>
      <w:marRight w:val="0"/>
      <w:marTop w:val="0"/>
      <w:marBottom w:val="0"/>
      <w:divBdr>
        <w:top w:val="none" w:sz="0" w:space="0" w:color="auto"/>
        <w:left w:val="none" w:sz="0" w:space="0" w:color="auto"/>
        <w:bottom w:val="none" w:sz="0" w:space="0" w:color="auto"/>
        <w:right w:val="none" w:sz="0" w:space="0" w:color="auto"/>
      </w:divBdr>
    </w:div>
    <w:div w:id="876430258">
      <w:bodyDiv w:val="1"/>
      <w:marLeft w:val="0"/>
      <w:marRight w:val="0"/>
      <w:marTop w:val="0"/>
      <w:marBottom w:val="0"/>
      <w:divBdr>
        <w:top w:val="none" w:sz="0" w:space="0" w:color="auto"/>
        <w:left w:val="none" w:sz="0" w:space="0" w:color="auto"/>
        <w:bottom w:val="none" w:sz="0" w:space="0" w:color="auto"/>
        <w:right w:val="none" w:sz="0" w:space="0" w:color="auto"/>
      </w:divBdr>
    </w:div>
    <w:div w:id="887765252">
      <w:bodyDiv w:val="1"/>
      <w:marLeft w:val="0"/>
      <w:marRight w:val="0"/>
      <w:marTop w:val="0"/>
      <w:marBottom w:val="0"/>
      <w:divBdr>
        <w:top w:val="none" w:sz="0" w:space="0" w:color="auto"/>
        <w:left w:val="none" w:sz="0" w:space="0" w:color="auto"/>
        <w:bottom w:val="none" w:sz="0" w:space="0" w:color="auto"/>
        <w:right w:val="none" w:sz="0" w:space="0" w:color="auto"/>
      </w:divBdr>
    </w:div>
    <w:div w:id="887954627">
      <w:bodyDiv w:val="1"/>
      <w:marLeft w:val="0"/>
      <w:marRight w:val="0"/>
      <w:marTop w:val="0"/>
      <w:marBottom w:val="0"/>
      <w:divBdr>
        <w:top w:val="none" w:sz="0" w:space="0" w:color="auto"/>
        <w:left w:val="none" w:sz="0" w:space="0" w:color="auto"/>
        <w:bottom w:val="none" w:sz="0" w:space="0" w:color="auto"/>
        <w:right w:val="none" w:sz="0" w:space="0" w:color="auto"/>
      </w:divBdr>
    </w:div>
    <w:div w:id="889805877">
      <w:bodyDiv w:val="1"/>
      <w:marLeft w:val="0"/>
      <w:marRight w:val="0"/>
      <w:marTop w:val="0"/>
      <w:marBottom w:val="0"/>
      <w:divBdr>
        <w:top w:val="none" w:sz="0" w:space="0" w:color="auto"/>
        <w:left w:val="none" w:sz="0" w:space="0" w:color="auto"/>
        <w:bottom w:val="none" w:sz="0" w:space="0" w:color="auto"/>
        <w:right w:val="none" w:sz="0" w:space="0" w:color="auto"/>
      </w:divBdr>
    </w:div>
    <w:div w:id="909998025">
      <w:bodyDiv w:val="1"/>
      <w:marLeft w:val="0"/>
      <w:marRight w:val="0"/>
      <w:marTop w:val="0"/>
      <w:marBottom w:val="0"/>
      <w:divBdr>
        <w:top w:val="none" w:sz="0" w:space="0" w:color="auto"/>
        <w:left w:val="none" w:sz="0" w:space="0" w:color="auto"/>
        <w:bottom w:val="none" w:sz="0" w:space="0" w:color="auto"/>
        <w:right w:val="none" w:sz="0" w:space="0" w:color="auto"/>
      </w:divBdr>
    </w:div>
    <w:div w:id="912397519">
      <w:bodyDiv w:val="1"/>
      <w:marLeft w:val="0"/>
      <w:marRight w:val="0"/>
      <w:marTop w:val="0"/>
      <w:marBottom w:val="0"/>
      <w:divBdr>
        <w:top w:val="none" w:sz="0" w:space="0" w:color="auto"/>
        <w:left w:val="none" w:sz="0" w:space="0" w:color="auto"/>
        <w:bottom w:val="none" w:sz="0" w:space="0" w:color="auto"/>
        <w:right w:val="none" w:sz="0" w:space="0" w:color="auto"/>
      </w:divBdr>
    </w:div>
    <w:div w:id="926381196">
      <w:bodyDiv w:val="1"/>
      <w:marLeft w:val="0"/>
      <w:marRight w:val="0"/>
      <w:marTop w:val="0"/>
      <w:marBottom w:val="0"/>
      <w:divBdr>
        <w:top w:val="none" w:sz="0" w:space="0" w:color="auto"/>
        <w:left w:val="none" w:sz="0" w:space="0" w:color="auto"/>
        <w:bottom w:val="none" w:sz="0" w:space="0" w:color="auto"/>
        <w:right w:val="none" w:sz="0" w:space="0" w:color="auto"/>
      </w:divBdr>
    </w:div>
    <w:div w:id="931742487">
      <w:bodyDiv w:val="1"/>
      <w:marLeft w:val="0"/>
      <w:marRight w:val="0"/>
      <w:marTop w:val="0"/>
      <w:marBottom w:val="0"/>
      <w:divBdr>
        <w:top w:val="none" w:sz="0" w:space="0" w:color="auto"/>
        <w:left w:val="none" w:sz="0" w:space="0" w:color="auto"/>
        <w:bottom w:val="none" w:sz="0" w:space="0" w:color="auto"/>
        <w:right w:val="none" w:sz="0" w:space="0" w:color="auto"/>
      </w:divBdr>
    </w:div>
    <w:div w:id="932513027">
      <w:bodyDiv w:val="1"/>
      <w:marLeft w:val="0"/>
      <w:marRight w:val="0"/>
      <w:marTop w:val="0"/>
      <w:marBottom w:val="0"/>
      <w:divBdr>
        <w:top w:val="none" w:sz="0" w:space="0" w:color="auto"/>
        <w:left w:val="none" w:sz="0" w:space="0" w:color="auto"/>
        <w:bottom w:val="none" w:sz="0" w:space="0" w:color="auto"/>
        <w:right w:val="none" w:sz="0" w:space="0" w:color="auto"/>
      </w:divBdr>
    </w:div>
    <w:div w:id="936063948">
      <w:bodyDiv w:val="1"/>
      <w:marLeft w:val="0"/>
      <w:marRight w:val="0"/>
      <w:marTop w:val="0"/>
      <w:marBottom w:val="0"/>
      <w:divBdr>
        <w:top w:val="none" w:sz="0" w:space="0" w:color="auto"/>
        <w:left w:val="none" w:sz="0" w:space="0" w:color="auto"/>
        <w:bottom w:val="none" w:sz="0" w:space="0" w:color="auto"/>
        <w:right w:val="none" w:sz="0" w:space="0" w:color="auto"/>
      </w:divBdr>
    </w:div>
    <w:div w:id="937297983">
      <w:bodyDiv w:val="1"/>
      <w:marLeft w:val="0"/>
      <w:marRight w:val="0"/>
      <w:marTop w:val="0"/>
      <w:marBottom w:val="0"/>
      <w:divBdr>
        <w:top w:val="none" w:sz="0" w:space="0" w:color="auto"/>
        <w:left w:val="none" w:sz="0" w:space="0" w:color="auto"/>
        <w:bottom w:val="none" w:sz="0" w:space="0" w:color="auto"/>
        <w:right w:val="none" w:sz="0" w:space="0" w:color="auto"/>
      </w:divBdr>
    </w:div>
    <w:div w:id="943652874">
      <w:bodyDiv w:val="1"/>
      <w:marLeft w:val="0"/>
      <w:marRight w:val="0"/>
      <w:marTop w:val="0"/>
      <w:marBottom w:val="0"/>
      <w:divBdr>
        <w:top w:val="none" w:sz="0" w:space="0" w:color="auto"/>
        <w:left w:val="none" w:sz="0" w:space="0" w:color="auto"/>
        <w:bottom w:val="none" w:sz="0" w:space="0" w:color="auto"/>
        <w:right w:val="none" w:sz="0" w:space="0" w:color="auto"/>
      </w:divBdr>
    </w:div>
    <w:div w:id="945230206">
      <w:bodyDiv w:val="1"/>
      <w:marLeft w:val="0"/>
      <w:marRight w:val="0"/>
      <w:marTop w:val="0"/>
      <w:marBottom w:val="0"/>
      <w:divBdr>
        <w:top w:val="none" w:sz="0" w:space="0" w:color="auto"/>
        <w:left w:val="none" w:sz="0" w:space="0" w:color="auto"/>
        <w:bottom w:val="none" w:sz="0" w:space="0" w:color="auto"/>
        <w:right w:val="none" w:sz="0" w:space="0" w:color="auto"/>
      </w:divBdr>
    </w:div>
    <w:div w:id="947808384">
      <w:bodyDiv w:val="1"/>
      <w:marLeft w:val="0"/>
      <w:marRight w:val="0"/>
      <w:marTop w:val="0"/>
      <w:marBottom w:val="0"/>
      <w:divBdr>
        <w:top w:val="none" w:sz="0" w:space="0" w:color="auto"/>
        <w:left w:val="none" w:sz="0" w:space="0" w:color="auto"/>
        <w:bottom w:val="none" w:sz="0" w:space="0" w:color="auto"/>
        <w:right w:val="none" w:sz="0" w:space="0" w:color="auto"/>
      </w:divBdr>
    </w:div>
    <w:div w:id="948203481">
      <w:bodyDiv w:val="1"/>
      <w:marLeft w:val="0"/>
      <w:marRight w:val="0"/>
      <w:marTop w:val="0"/>
      <w:marBottom w:val="0"/>
      <w:divBdr>
        <w:top w:val="none" w:sz="0" w:space="0" w:color="auto"/>
        <w:left w:val="none" w:sz="0" w:space="0" w:color="auto"/>
        <w:bottom w:val="none" w:sz="0" w:space="0" w:color="auto"/>
        <w:right w:val="none" w:sz="0" w:space="0" w:color="auto"/>
      </w:divBdr>
    </w:div>
    <w:div w:id="950403091">
      <w:bodyDiv w:val="1"/>
      <w:marLeft w:val="0"/>
      <w:marRight w:val="0"/>
      <w:marTop w:val="0"/>
      <w:marBottom w:val="0"/>
      <w:divBdr>
        <w:top w:val="none" w:sz="0" w:space="0" w:color="auto"/>
        <w:left w:val="none" w:sz="0" w:space="0" w:color="auto"/>
        <w:bottom w:val="none" w:sz="0" w:space="0" w:color="auto"/>
        <w:right w:val="none" w:sz="0" w:space="0" w:color="auto"/>
      </w:divBdr>
    </w:div>
    <w:div w:id="953948685">
      <w:bodyDiv w:val="1"/>
      <w:marLeft w:val="0"/>
      <w:marRight w:val="0"/>
      <w:marTop w:val="0"/>
      <w:marBottom w:val="0"/>
      <w:divBdr>
        <w:top w:val="none" w:sz="0" w:space="0" w:color="auto"/>
        <w:left w:val="none" w:sz="0" w:space="0" w:color="auto"/>
        <w:bottom w:val="none" w:sz="0" w:space="0" w:color="auto"/>
        <w:right w:val="none" w:sz="0" w:space="0" w:color="auto"/>
      </w:divBdr>
    </w:div>
    <w:div w:id="970017249">
      <w:bodyDiv w:val="1"/>
      <w:marLeft w:val="0"/>
      <w:marRight w:val="0"/>
      <w:marTop w:val="0"/>
      <w:marBottom w:val="0"/>
      <w:divBdr>
        <w:top w:val="none" w:sz="0" w:space="0" w:color="auto"/>
        <w:left w:val="none" w:sz="0" w:space="0" w:color="auto"/>
        <w:bottom w:val="none" w:sz="0" w:space="0" w:color="auto"/>
        <w:right w:val="none" w:sz="0" w:space="0" w:color="auto"/>
      </w:divBdr>
    </w:div>
    <w:div w:id="987133000">
      <w:bodyDiv w:val="1"/>
      <w:marLeft w:val="0"/>
      <w:marRight w:val="0"/>
      <w:marTop w:val="0"/>
      <w:marBottom w:val="0"/>
      <w:divBdr>
        <w:top w:val="none" w:sz="0" w:space="0" w:color="auto"/>
        <w:left w:val="none" w:sz="0" w:space="0" w:color="auto"/>
        <w:bottom w:val="none" w:sz="0" w:space="0" w:color="auto"/>
        <w:right w:val="none" w:sz="0" w:space="0" w:color="auto"/>
      </w:divBdr>
    </w:div>
    <w:div w:id="988439659">
      <w:bodyDiv w:val="1"/>
      <w:marLeft w:val="0"/>
      <w:marRight w:val="0"/>
      <w:marTop w:val="0"/>
      <w:marBottom w:val="0"/>
      <w:divBdr>
        <w:top w:val="none" w:sz="0" w:space="0" w:color="auto"/>
        <w:left w:val="none" w:sz="0" w:space="0" w:color="auto"/>
        <w:bottom w:val="none" w:sz="0" w:space="0" w:color="auto"/>
        <w:right w:val="none" w:sz="0" w:space="0" w:color="auto"/>
      </w:divBdr>
    </w:div>
    <w:div w:id="991562064">
      <w:bodyDiv w:val="1"/>
      <w:marLeft w:val="0"/>
      <w:marRight w:val="0"/>
      <w:marTop w:val="0"/>
      <w:marBottom w:val="0"/>
      <w:divBdr>
        <w:top w:val="none" w:sz="0" w:space="0" w:color="auto"/>
        <w:left w:val="none" w:sz="0" w:space="0" w:color="auto"/>
        <w:bottom w:val="none" w:sz="0" w:space="0" w:color="auto"/>
        <w:right w:val="none" w:sz="0" w:space="0" w:color="auto"/>
      </w:divBdr>
    </w:div>
    <w:div w:id="993604291">
      <w:bodyDiv w:val="1"/>
      <w:marLeft w:val="0"/>
      <w:marRight w:val="0"/>
      <w:marTop w:val="0"/>
      <w:marBottom w:val="0"/>
      <w:divBdr>
        <w:top w:val="none" w:sz="0" w:space="0" w:color="auto"/>
        <w:left w:val="none" w:sz="0" w:space="0" w:color="auto"/>
        <w:bottom w:val="none" w:sz="0" w:space="0" w:color="auto"/>
        <w:right w:val="none" w:sz="0" w:space="0" w:color="auto"/>
      </w:divBdr>
    </w:div>
    <w:div w:id="996156474">
      <w:bodyDiv w:val="1"/>
      <w:marLeft w:val="0"/>
      <w:marRight w:val="0"/>
      <w:marTop w:val="0"/>
      <w:marBottom w:val="0"/>
      <w:divBdr>
        <w:top w:val="none" w:sz="0" w:space="0" w:color="auto"/>
        <w:left w:val="none" w:sz="0" w:space="0" w:color="auto"/>
        <w:bottom w:val="none" w:sz="0" w:space="0" w:color="auto"/>
        <w:right w:val="none" w:sz="0" w:space="0" w:color="auto"/>
      </w:divBdr>
    </w:div>
    <w:div w:id="997927630">
      <w:bodyDiv w:val="1"/>
      <w:marLeft w:val="0"/>
      <w:marRight w:val="0"/>
      <w:marTop w:val="0"/>
      <w:marBottom w:val="0"/>
      <w:divBdr>
        <w:top w:val="none" w:sz="0" w:space="0" w:color="auto"/>
        <w:left w:val="none" w:sz="0" w:space="0" w:color="auto"/>
        <w:bottom w:val="none" w:sz="0" w:space="0" w:color="auto"/>
        <w:right w:val="none" w:sz="0" w:space="0" w:color="auto"/>
      </w:divBdr>
    </w:div>
    <w:div w:id="1003237974">
      <w:bodyDiv w:val="1"/>
      <w:marLeft w:val="0"/>
      <w:marRight w:val="0"/>
      <w:marTop w:val="0"/>
      <w:marBottom w:val="0"/>
      <w:divBdr>
        <w:top w:val="none" w:sz="0" w:space="0" w:color="auto"/>
        <w:left w:val="none" w:sz="0" w:space="0" w:color="auto"/>
        <w:bottom w:val="none" w:sz="0" w:space="0" w:color="auto"/>
        <w:right w:val="none" w:sz="0" w:space="0" w:color="auto"/>
      </w:divBdr>
    </w:div>
    <w:div w:id="1008216860">
      <w:bodyDiv w:val="1"/>
      <w:marLeft w:val="0"/>
      <w:marRight w:val="0"/>
      <w:marTop w:val="0"/>
      <w:marBottom w:val="0"/>
      <w:divBdr>
        <w:top w:val="none" w:sz="0" w:space="0" w:color="auto"/>
        <w:left w:val="none" w:sz="0" w:space="0" w:color="auto"/>
        <w:bottom w:val="none" w:sz="0" w:space="0" w:color="auto"/>
        <w:right w:val="none" w:sz="0" w:space="0" w:color="auto"/>
      </w:divBdr>
    </w:div>
    <w:div w:id="1008408161">
      <w:bodyDiv w:val="1"/>
      <w:marLeft w:val="0"/>
      <w:marRight w:val="0"/>
      <w:marTop w:val="0"/>
      <w:marBottom w:val="0"/>
      <w:divBdr>
        <w:top w:val="none" w:sz="0" w:space="0" w:color="auto"/>
        <w:left w:val="none" w:sz="0" w:space="0" w:color="auto"/>
        <w:bottom w:val="none" w:sz="0" w:space="0" w:color="auto"/>
        <w:right w:val="none" w:sz="0" w:space="0" w:color="auto"/>
      </w:divBdr>
    </w:div>
    <w:div w:id="1012535352">
      <w:bodyDiv w:val="1"/>
      <w:marLeft w:val="0"/>
      <w:marRight w:val="0"/>
      <w:marTop w:val="0"/>
      <w:marBottom w:val="0"/>
      <w:divBdr>
        <w:top w:val="none" w:sz="0" w:space="0" w:color="auto"/>
        <w:left w:val="none" w:sz="0" w:space="0" w:color="auto"/>
        <w:bottom w:val="none" w:sz="0" w:space="0" w:color="auto"/>
        <w:right w:val="none" w:sz="0" w:space="0" w:color="auto"/>
      </w:divBdr>
    </w:div>
    <w:div w:id="1018120466">
      <w:bodyDiv w:val="1"/>
      <w:marLeft w:val="0"/>
      <w:marRight w:val="0"/>
      <w:marTop w:val="0"/>
      <w:marBottom w:val="0"/>
      <w:divBdr>
        <w:top w:val="none" w:sz="0" w:space="0" w:color="auto"/>
        <w:left w:val="none" w:sz="0" w:space="0" w:color="auto"/>
        <w:bottom w:val="none" w:sz="0" w:space="0" w:color="auto"/>
        <w:right w:val="none" w:sz="0" w:space="0" w:color="auto"/>
      </w:divBdr>
    </w:div>
    <w:div w:id="1018503277">
      <w:bodyDiv w:val="1"/>
      <w:marLeft w:val="0"/>
      <w:marRight w:val="0"/>
      <w:marTop w:val="0"/>
      <w:marBottom w:val="0"/>
      <w:divBdr>
        <w:top w:val="none" w:sz="0" w:space="0" w:color="auto"/>
        <w:left w:val="none" w:sz="0" w:space="0" w:color="auto"/>
        <w:bottom w:val="none" w:sz="0" w:space="0" w:color="auto"/>
        <w:right w:val="none" w:sz="0" w:space="0" w:color="auto"/>
      </w:divBdr>
    </w:div>
    <w:div w:id="1021855378">
      <w:bodyDiv w:val="1"/>
      <w:marLeft w:val="0"/>
      <w:marRight w:val="0"/>
      <w:marTop w:val="0"/>
      <w:marBottom w:val="0"/>
      <w:divBdr>
        <w:top w:val="none" w:sz="0" w:space="0" w:color="auto"/>
        <w:left w:val="none" w:sz="0" w:space="0" w:color="auto"/>
        <w:bottom w:val="none" w:sz="0" w:space="0" w:color="auto"/>
        <w:right w:val="none" w:sz="0" w:space="0" w:color="auto"/>
      </w:divBdr>
    </w:div>
    <w:div w:id="1024094998">
      <w:bodyDiv w:val="1"/>
      <w:marLeft w:val="0"/>
      <w:marRight w:val="0"/>
      <w:marTop w:val="0"/>
      <w:marBottom w:val="0"/>
      <w:divBdr>
        <w:top w:val="none" w:sz="0" w:space="0" w:color="auto"/>
        <w:left w:val="none" w:sz="0" w:space="0" w:color="auto"/>
        <w:bottom w:val="none" w:sz="0" w:space="0" w:color="auto"/>
        <w:right w:val="none" w:sz="0" w:space="0" w:color="auto"/>
      </w:divBdr>
    </w:div>
    <w:div w:id="1027222793">
      <w:bodyDiv w:val="1"/>
      <w:marLeft w:val="0"/>
      <w:marRight w:val="0"/>
      <w:marTop w:val="0"/>
      <w:marBottom w:val="0"/>
      <w:divBdr>
        <w:top w:val="none" w:sz="0" w:space="0" w:color="auto"/>
        <w:left w:val="none" w:sz="0" w:space="0" w:color="auto"/>
        <w:bottom w:val="none" w:sz="0" w:space="0" w:color="auto"/>
        <w:right w:val="none" w:sz="0" w:space="0" w:color="auto"/>
      </w:divBdr>
    </w:div>
    <w:div w:id="1027566327">
      <w:bodyDiv w:val="1"/>
      <w:marLeft w:val="0"/>
      <w:marRight w:val="0"/>
      <w:marTop w:val="0"/>
      <w:marBottom w:val="0"/>
      <w:divBdr>
        <w:top w:val="none" w:sz="0" w:space="0" w:color="auto"/>
        <w:left w:val="none" w:sz="0" w:space="0" w:color="auto"/>
        <w:bottom w:val="none" w:sz="0" w:space="0" w:color="auto"/>
        <w:right w:val="none" w:sz="0" w:space="0" w:color="auto"/>
      </w:divBdr>
    </w:div>
    <w:div w:id="1029717934">
      <w:bodyDiv w:val="1"/>
      <w:marLeft w:val="0"/>
      <w:marRight w:val="0"/>
      <w:marTop w:val="0"/>
      <w:marBottom w:val="0"/>
      <w:divBdr>
        <w:top w:val="none" w:sz="0" w:space="0" w:color="auto"/>
        <w:left w:val="none" w:sz="0" w:space="0" w:color="auto"/>
        <w:bottom w:val="none" w:sz="0" w:space="0" w:color="auto"/>
        <w:right w:val="none" w:sz="0" w:space="0" w:color="auto"/>
      </w:divBdr>
    </w:div>
    <w:div w:id="1030687621">
      <w:bodyDiv w:val="1"/>
      <w:marLeft w:val="0"/>
      <w:marRight w:val="0"/>
      <w:marTop w:val="0"/>
      <w:marBottom w:val="0"/>
      <w:divBdr>
        <w:top w:val="none" w:sz="0" w:space="0" w:color="auto"/>
        <w:left w:val="none" w:sz="0" w:space="0" w:color="auto"/>
        <w:bottom w:val="none" w:sz="0" w:space="0" w:color="auto"/>
        <w:right w:val="none" w:sz="0" w:space="0" w:color="auto"/>
      </w:divBdr>
    </w:div>
    <w:div w:id="1032799968">
      <w:bodyDiv w:val="1"/>
      <w:marLeft w:val="0"/>
      <w:marRight w:val="0"/>
      <w:marTop w:val="0"/>
      <w:marBottom w:val="0"/>
      <w:divBdr>
        <w:top w:val="none" w:sz="0" w:space="0" w:color="auto"/>
        <w:left w:val="none" w:sz="0" w:space="0" w:color="auto"/>
        <w:bottom w:val="none" w:sz="0" w:space="0" w:color="auto"/>
        <w:right w:val="none" w:sz="0" w:space="0" w:color="auto"/>
      </w:divBdr>
    </w:div>
    <w:div w:id="1046025718">
      <w:bodyDiv w:val="1"/>
      <w:marLeft w:val="0"/>
      <w:marRight w:val="0"/>
      <w:marTop w:val="0"/>
      <w:marBottom w:val="0"/>
      <w:divBdr>
        <w:top w:val="none" w:sz="0" w:space="0" w:color="auto"/>
        <w:left w:val="none" w:sz="0" w:space="0" w:color="auto"/>
        <w:bottom w:val="none" w:sz="0" w:space="0" w:color="auto"/>
        <w:right w:val="none" w:sz="0" w:space="0" w:color="auto"/>
      </w:divBdr>
    </w:div>
    <w:div w:id="1051002956">
      <w:bodyDiv w:val="1"/>
      <w:marLeft w:val="0"/>
      <w:marRight w:val="0"/>
      <w:marTop w:val="0"/>
      <w:marBottom w:val="0"/>
      <w:divBdr>
        <w:top w:val="none" w:sz="0" w:space="0" w:color="auto"/>
        <w:left w:val="none" w:sz="0" w:space="0" w:color="auto"/>
        <w:bottom w:val="none" w:sz="0" w:space="0" w:color="auto"/>
        <w:right w:val="none" w:sz="0" w:space="0" w:color="auto"/>
      </w:divBdr>
    </w:div>
    <w:div w:id="1053041407">
      <w:bodyDiv w:val="1"/>
      <w:marLeft w:val="0"/>
      <w:marRight w:val="0"/>
      <w:marTop w:val="0"/>
      <w:marBottom w:val="0"/>
      <w:divBdr>
        <w:top w:val="none" w:sz="0" w:space="0" w:color="auto"/>
        <w:left w:val="none" w:sz="0" w:space="0" w:color="auto"/>
        <w:bottom w:val="none" w:sz="0" w:space="0" w:color="auto"/>
        <w:right w:val="none" w:sz="0" w:space="0" w:color="auto"/>
      </w:divBdr>
    </w:div>
    <w:div w:id="1057241143">
      <w:bodyDiv w:val="1"/>
      <w:marLeft w:val="0"/>
      <w:marRight w:val="0"/>
      <w:marTop w:val="0"/>
      <w:marBottom w:val="0"/>
      <w:divBdr>
        <w:top w:val="none" w:sz="0" w:space="0" w:color="auto"/>
        <w:left w:val="none" w:sz="0" w:space="0" w:color="auto"/>
        <w:bottom w:val="none" w:sz="0" w:space="0" w:color="auto"/>
        <w:right w:val="none" w:sz="0" w:space="0" w:color="auto"/>
      </w:divBdr>
    </w:div>
    <w:div w:id="1067144608">
      <w:bodyDiv w:val="1"/>
      <w:marLeft w:val="0"/>
      <w:marRight w:val="0"/>
      <w:marTop w:val="0"/>
      <w:marBottom w:val="0"/>
      <w:divBdr>
        <w:top w:val="none" w:sz="0" w:space="0" w:color="auto"/>
        <w:left w:val="none" w:sz="0" w:space="0" w:color="auto"/>
        <w:bottom w:val="none" w:sz="0" w:space="0" w:color="auto"/>
        <w:right w:val="none" w:sz="0" w:space="0" w:color="auto"/>
      </w:divBdr>
    </w:div>
    <w:div w:id="1077049749">
      <w:bodyDiv w:val="1"/>
      <w:marLeft w:val="0"/>
      <w:marRight w:val="0"/>
      <w:marTop w:val="0"/>
      <w:marBottom w:val="0"/>
      <w:divBdr>
        <w:top w:val="none" w:sz="0" w:space="0" w:color="auto"/>
        <w:left w:val="none" w:sz="0" w:space="0" w:color="auto"/>
        <w:bottom w:val="none" w:sz="0" w:space="0" w:color="auto"/>
        <w:right w:val="none" w:sz="0" w:space="0" w:color="auto"/>
      </w:divBdr>
    </w:div>
    <w:div w:id="1081564487">
      <w:bodyDiv w:val="1"/>
      <w:marLeft w:val="0"/>
      <w:marRight w:val="0"/>
      <w:marTop w:val="0"/>
      <w:marBottom w:val="0"/>
      <w:divBdr>
        <w:top w:val="none" w:sz="0" w:space="0" w:color="auto"/>
        <w:left w:val="none" w:sz="0" w:space="0" w:color="auto"/>
        <w:bottom w:val="none" w:sz="0" w:space="0" w:color="auto"/>
        <w:right w:val="none" w:sz="0" w:space="0" w:color="auto"/>
      </w:divBdr>
    </w:div>
    <w:div w:id="1088499376">
      <w:bodyDiv w:val="1"/>
      <w:marLeft w:val="0"/>
      <w:marRight w:val="0"/>
      <w:marTop w:val="0"/>
      <w:marBottom w:val="0"/>
      <w:divBdr>
        <w:top w:val="none" w:sz="0" w:space="0" w:color="auto"/>
        <w:left w:val="none" w:sz="0" w:space="0" w:color="auto"/>
        <w:bottom w:val="none" w:sz="0" w:space="0" w:color="auto"/>
        <w:right w:val="none" w:sz="0" w:space="0" w:color="auto"/>
      </w:divBdr>
    </w:div>
    <w:div w:id="1088504316">
      <w:bodyDiv w:val="1"/>
      <w:marLeft w:val="0"/>
      <w:marRight w:val="0"/>
      <w:marTop w:val="0"/>
      <w:marBottom w:val="0"/>
      <w:divBdr>
        <w:top w:val="none" w:sz="0" w:space="0" w:color="auto"/>
        <w:left w:val="none" w:sz="0" w:space="0" w:color="auto"/>
        <w:bottom w:val="none" w:sz="0" w:space="0" w:color="auto"/>
        <w:right w:val="none" w:sz="0" w:space="0" w:color="auto"/>
      </w:divBdr>
    </w:div>
    <w:div w:id="1089278402">
      <w:bodyDiv w:val="1"/>
      <w:marLeft w:val="0"/>
      <w:marRight w:val="0"/>
      <w:marTop w:val="0"/>
      <w:marBottom w:val="0"/>
      <w:divBdr>
        <w:top w:val="none" w:sz="0" w:space="0" w:color="auto"/>
        <w:left w:val="none" w:sz="0" w:space="0" w:color="auto"/>
        <w:bottom w:val="none" w:sz="0" w:space="0" w:color="auto"/>
        <w:right w:val="none" w:sz="0" w:space="0" w:color="auto"/>
      </w:divBdr>
    </w:div>
    <w:div w:id="1092778434">
      <w:bodyDiv w:val="1"/>
      <w:marLeft w:val="0"/>
      <w:marRight w:val="0"/>
      <w:marTop w:val="0"/>
      <w:marBottom w:val="0"/>
      <w:divBdr>
        <w:top w:val="none" w:sz="0" w:space="0" w:color="auto"/>
        <w:left w:val="none" w:sz="0" w:space="0" w:color="auto"/>
        <w:bottom w:val="none" w:sz="0" w:space="0" w:color="auto"/>
        <w:right w:val="none" w:sz="0" w:space="0" w:color="auto"/>
      </w:divBdr>
    </w:div>
    <w:div w:id="1092897077">
      <w:bodyDiv w:val="1"/>
      <w:marLeft w:val="0"/>
      <w:marRight w:val="0"/>
      <w:marTop w:val="0"/>
      <w:marBottom w:val="0"/>
      <w:divBdr>
        <w:top w:val="none" w:sz="0" w:space="0" w:color="auto"/>
        <w:left w:val="none" w:sz="0" w:space="0" w:color="auto"/>
        <w:bottom w:val="none" w:sz="0" w:space="0" w:color="auto"/>
        <w:right w:val="none" w:sz="0" w:space="0" w:color="auto"/>
      </w:divBdr>
    </w:div>
    <w:div w:id="1094671432">
      <w:bodyDiv w:val="1"/>
      <w:marLeft w:val="0"/>
      <w:marRight w:val="0"/>
      <w:marTop w:val="0"/>
      <w:marBottom w:val="0"/>
      <w:divBdr>
        <w:top w:val="none" w:sz="0" w:space="0" w:color="auto"/>
        <w:left w:val="none" w:sz="0" w:space="0" w:color="auto"/>
        <w:bottom w:val="none" w:sz="0" w:space="0" w:color="auto"/>
        <w:right w:val="none" w:sz="0" w:space="0" w:color="auto"/>
      </w:divBdr>
    </w:div>
    <w:div w:id="1094861938">
      <w:bodyDiv w:val="1"/>
      <w:marLeft w:val="0"/>
      <w:marRight w:val="0"/>
      <w:marTop w:val="0"/>
      <w:marBottom w:val="0"/>
      <w:divBdr>
        <w:top w:val="none" w:sz="0" w:space="0" w:color="auto"/>
        <w:left w:val="none" w:sz="0" w:space="0" w:color="auto"/>
        <w:bottom w:val="none" w:sz="0" w:space="0" w:color="auto"/>
        <w:right w:val="none" w:sz="0" w:space="0" w:color="auto"/>
      </w:divBdr>
    </w:div>
    <w:div w:id="1107427776">
      <w:bodyDiv w:val="1"/>
      <w:marLeft w:val="0"/>
      <w:marRight w:val="0"/>
      <w:marTop w:val="0"/>
      <w:marBottom w:val="0"/>
      <w:divBdr>
        <w:top w:val="none" w:sz="0" w:space="0" w:color="auto"/>
        <w:left w:val="none" w:sz="0" w:space="0" w:color="auto"/>
        <w:bottom w:val="none" w:sz="0" w:space="0" w:color="auto"/>
        <w:right w:val="none" w:sz="0" w:space="0" w:color="auto"/>
      </w:divBdr>
    </w:div>
    <w:div w:id="1110246576">
      <w:bodyDiv w:val="1"/>
      <w:marLeft w:val="0"/>
      <w:marRight w:val="0"/>
      <w:marTop w:val="0"/>
      <w:marBottom w:val="0"/>
      <w:divBdr>
        <w:top w:val="none" w:sz="0" w:space="0" w:color="auto"/>
        <w:left w:val="none" w:sz="0" w:space="0" w:color="auto"/>
        <w:bottom w:val="none" w:sz="0" w:space="0" w:color="auto"/>
        <w:right w:val="none" w:sz="0" w:space="0" w:color="auto"/>
      </w:divBdr>
    </w:div>
    <w:div w:id="1119253691">
      <w:bodyDiv w:val="1"/>
      <w:marLeft w:val="0"/>
      <w:marRight w:val="0"/>
      <w:marTop w:val="0"/>
      <w:marBottom w:val="0"/>
      <w:divBdr>
        <w:top w:val="none" w:sz="0" w:space="0" w:color="auto"/>
        <w:left w:val="none" w:sz="0" w:space="0" w:color="auto"/>
        <w:bottom w:val="none" w:sz="0" w:space="0" w:color="auto"/>
        <w:right w:val="none" w:sz="0" w:space="0" w:color="auto"/>
      </w:divBdr>
    </w:div>
    <w:div w:id="1121654549">
      <w:bodyDiv w:val="1"/>
      <w:marLeft w:val="0"/>
      <w:marRight w:val="0"/>
      <w:marTop w:val="0"/>
      <w:marBottom w:val="0"/>
      <w:divBdr>
        <w:top w:val="none" w:sz="0" w:space="0" w:color="auto"/>
        <w:left w:val="none" w:sz="0" w:space="0" w:color="auto"/>
        <w:bottom w:val="none" w:sz="0" w:space="0" w:color="auto"/>
        <w:right w:val="none" w:sz="0" w:space="0" w:color="auto"/>
      </w:divBdr>
    </w:div>
    <w:div w:id="1122650256">
      <w:bodyDiv w:val="1"/>
      <w:marLeft w:val="0"/>
      <w:marRight w:val="0"/>
      <w:marTop w:val="0"/>
      <w:marBottom w:val="0"/>
      <w:divBdr>
        <w:top w:val="none" w:sz="0" w:space="0" w:color="auto"/>
        <w:left w:val="none" w:sz="0" w:space="0" w:color="auto"/>
        <w:bottom w:val="none" w:sz="0" w:space="0" w:color="auto"/>
        <w:right w:val="none" w:sz="0" w:space="0" w:color="auto"/>
      </w:divBdr>
    </w:div>
    <w:div w:id="1129322477">
      <w:bodyDiv w:val="1"/>
      <w:marLeft w:val="0"/>
      <w:marRight w:val="0"/>
      <w:marTop w:val="0"/>
      <w:marBottom w:val="0"/>
      <w:divBdr>
        <w:top w:val="none" w:sz="0" w:space="0" w:color="auto"/>
        <w:left w:val="none" w:sz="0" w:space="0" w:color="auto"/>
        <w:bottom w:val="none" w:sz="0" w:space="0" w:color="auto"/>
        <w:right w:val="none" w:sz="0" w:space="0" w:color="auto"/>
      </w:divBdr>
    </w:div>
    <w:div w:id="1133599390">
      <w:bodyDiv w:val="1"/>
      <w:marLeft w:val="0"/>
      <w:marRight w:val="0"/>
      <w:marTop w:val="0"/>
      <w:marBottom w:val="0"/>
      <w:divBdr>
        <w:top w:val="none" w:sz="0" w:space="0" w:color="auto"/>
        <w:left w:val="none" w:sz="0" w:space="0" w:color="auto"/>
        <w:bottom w:val="none" w:sz="0" w:space="0" w:color="auto"/>
        <w:right w:val="none" w:sz="0" w:space="0" w:color="auto"/>
      </w:divBdr>
    </w:div>
    <w:div w:id="1133672118">
      <w:bodyDiv w:val="1"/>
      <w:marLeft w:val="0"/>
      <w:marRight w:val="0"/>
      <w:marTop w:val="0"/>
      <w:marBottom w:val="0"/>
      <w:divBdr>
        <w:top w:val="none" w:sz="0" w:space="0" w:color="auto"/>
        <w:left w:val="none" w:sz="0" w:space="0" w:color="auto"/>
        <w:bottom w:val="none" w:sz="0" w:space="0" w:color="auto"/>
        <w:right w:val="none" w:sz="0" w:space="0" w:color="auto"/>
      </w:divBdr>
    </w:div>
    <w:div w:id="1133865032">
      <w:bodyDiv w:val="1"/>
      <w:marLeft w:val="0"/>
      <w:marRight w:val="0"/>
      <w:marTop w:val="0"/>
      <w:marBottom w:val="0"/>
      <w:divBdr>
        <w:top w:val="none" w:sz="0" w:space="0" w:color="auto"/>
        <w:left w:val="none" w:sz="0" w:space="0" w:color="auto"/>
        <w:bottom w:val="none" w:sz="0" w:space="0" w:color="auto"/>
        <w:right w:val="none" w:sz="0" w:space="0" w:color="auto"/>
      </w:divBdr>
    </w:div>
    <w:div w:id="1134371658">
      <w:bodyDiv w:val="1"/>
      <w:marLeft w:val="0"/>
      <w:marRight w:val="0"/>
      <w:marTop w:val="0"/>
      <w:marBottom w:val="0"/>
      <w:divBdr>
        <w:top w:val="none" w:sz="0" w:space="0" w:color="auto"/>
        <w:left w:val="none" w:sz="0" w:space="0" w:color="auto"/>
        <w:bottom w:val="none" w:sz="0" w:space="0" w:color="auto"/>
        <w:right w:val="none" w:sz="0" w:space="0" w:color="auto"/>
      </w:divBdr>
    </w:div>
    <w:div w:id="1143429819">
      <w:bodyDiv w:val="1"/>
      <w:marLeft w:val="0"/>
      <w:marRight w:val="0"/>
      <w:marTop w:val="0"/>
      <w:marBottom w:val="0"/>
      <w:divBdr>
        <w:top w:val="none" w:sz="0" w:space="0" w:color="auto"/>
        <w:left w:val="none" w:sz="0" w:space="0" w:color="auto"/>
        <w:bottom w:val="none" w:sz="0" w:space="0" w:color="auto"/>
        <w:right w:val="none" w:sz="0" w:space="0" w:color="auto"/>
      </w:divBdr>
    </w:div>
    <w:div w:id="1146900910">
      <w:bodyDiv w:val="1"/>
      <w:marLeft w:val="0"/>
      <w:marRight w:val="0"/>
      <w:marTop w:val="0"/>
      <w:marBottom w:val="0"/>
      <w:divBdr>
        <w:top w:val="none" w:sz="0" w:space="0" w:color="auto"/>
        <w:left w:val="none" w:sz="0" w:space="0" w:color="auto"/>
        <w:bottom w:val="none" w:sz="0" w:space="0" w:color="auto"/>
        <w:right w:val="none" w:sz="0" w:space="0" w:color="auto"/>
      </w:divBdr>
    </w:div>
    <w:div w:id="1148132313">
      <w:bodyDiv w:val="1"/>
      <w:marLeft w:val="0"/>
      <w:marRight w:val="0"/>
      <w:marTop w:val="0"/>
      <w:marBottom w:val="0"/>
      <w:divBdr>
        <w:top w:val="none" w:sz="0" w:space="0" w:color="auto"/>
        <w:left w:val="none" w:sz="0" w:space="0" w:color="auto"/>
        <w:bottom w:val="none" w:sz="0" w:space="0" w:color="auto"/>
        <w:right w:val="none" w:sz="0" w:space="0" w:color="auto"/>
      </w:divBdr>
    </w:div>
    <w:div w:id="1162696862">
      <w:bodyDiv w:val="1"/>
      <w:marLeft w:val="0"/>
      <w:marRight w:val="0"/>
      <w:marTop w:val="0"/>
      <w:marBottom w:val="0"/>
      <w:divBdr>
        <w:top w:val="none" w:sz="0" w:space="0" w:color="auto"/>
        <w:left w:val="none" w:sz="0" w:space="0" w:color="auto"/>
        <w:bottom w:val="none" w:sz="0" w:space="0" w:color="auto"/>
        <w:right w:val="none" w:sz="0" w:space="0" w:color="auto"/>
      </w:divBdr>
    </w:div>
    <w:div w:id="1165827864">
      <w:bodyDiv w:val="1"/>
      <w:marLeft w:val="0"/>
      <w:marRight w:val="0"/>
      <w:marTop w:val="0"/>
      <w:marBottom w:val="0"/>
      <w:divBdr>
        <w:top w:val="none" w:sz="0" w:space="0" w:color="auto"/>
        <w:left w:val="none" w:sz="0" w:space="0" w:color="auto"/>
        <w:bottom w:val="none" w:sz="0" w:space="0" w:color="auto"/>
        <w:right w:val="none" w:sz="0" w:space="0" w:color="auto"/>
      </w:divBdr>
    </w:div>
    <w:div w:id="1166751326">
      <w:bodyDiv w:val="1"/>
      <w:marLeft w:val="0"/>
      <w:marRight w:val="0"/>
      <w:marTop w:val="0"/>
      <w:marBottom w:val="0"/>
      <w:divBdr>
        <w:top w:val="none" w:sz="0" w:space="0" w:color="auto"/>
        <w:left w:val="none" w:sz="0" w:space="0" w:color="auto"/>
        <w:bottom w:val="none" w:sz="0" w:space="0" w:color="auto"/>
        <w:right w:val="none" w:sz="0" w:space="0" w:color="auto"/>
      </w:divBdr>
    </w:div>
    <w:div w:id="1177421912">
      <w:bodyDiv w:val="1"/>
      <w:marLeft w:val="0"/>
      <w:marRight w:val="0"/>
      <w:marTop w:val="0"/>
      <w:marBottom w:val="0"/>
      <w:divBdr>
        <w:top w:val="none" w:sz="0" w:space="0" w:color="auto"/>
        <w:left w:val="none" w:sz="0" w:space="0" w:color="auto"/>
        <w:bottom w:val="none" w:sz="0" w:space="0" w:color="auto"/>
        <w:right w:val="none" w:sz="0" w:space="0" w:color="auto"/>
      </w:divBdr>
    </w:div>
    <w:div w:id="1178420742">
      <w:bodyDiv w:val="1"/>
      <w:marLeft w:val="0"/>
      <w:marRight w:val="0"/>
      <w:marTop w:val="0"/>
      <w:marBottom w:val="0"/>
      <w:divBdr>
        <w:top w:val="none" w:sz="0" w:space="0" w:color="auto"/>
        <w:left w:val="none" w:sz="0" w:space="0" w:color="auto"/>
        <w:bottom w:val="none" w:sz="0" w:space="0" w:color="auto"/>
        <w:right w:val="none" w:sz="0" w:space="0" w:color="auto"/>
      </w:divBdr>
    </w:div>
    <w:div w:id="1178538208">
      <w:bodyDiv w:val="1"/>
      <w:marLeft w:val="0"/>
      <w:marRight w:val="0"/>
      <w:marTop w:val="0"/>
      <w:marBottom w:val="0"/>
      <w:divBdr>
        <w:top w:val="none" w:sz="0" w:space="0" w:color="auto"/>
        <w:left w:val="none" w:sz="0" w:space="0" w:color="auto"/>
        <w:bottom w:val="none" w:sz="0" w:space="0" w:color="auto"/>
        <w:right w:val="none" w:sz="0" w:space="0" w:color="auto"/>
      </w:divBdr>
    </w:div>
    <w:div w:id="1186288562">
      <w:bodyDiv w:val="1"/>
      <w:marLeft w:val="0"/>
      <w:marRight w:val="0"/>
      <w:marTop w:val="0"/>
      <w:marBottom w:val="0"/>
      <w:divBdr>
        <w:top w:val="none" w:sz="0" w:space="0" w:color="auto"/>
        <w:left w:val="none" w:sz="0" w:space="0" w:color="auto"/>
        <w:bottom w:val="none" w:sz="0" w:space="0" w:color="auto"/>
        <w:right w:val="none" w:sz="0" w:space="0" w:color="auto"/>
      </w:divBdr>
    </w:div>
    <w:div w:id="1188563019">
      <w:bodyDiv w:val="1"/>
      <w:marLeft w:val="0"/>
      <w:marRight w:val="0"/>
      <w:marTop w:val="0"/>
      <w:marBottom w:val="0"/>
      <w:divBdr>
        <w:top w:val="none" w:sz="0" w:space="0" w:color="auto"/>
        <w:left w:val="none" w:sz="0" w:space="0" w:color="auto"/>
        <w:bottom w:val="none" w:sz="0" w:space="0" w:color="auto"/>
        <w:right w:val="none" w:sz="0" w:space="0" w:color="auto"/>
      </w:divBdr>
    </w:div>
    <w:div w:id="1197347736">
      <w:bodyDiv w:val="1"/>
      <w:marLeft w:val="0"/>
      <w:marRight w:val="0"/>
      <w:marTop w:val="0"/>
      <w:marBottom w:val="0"/>
      <w:divBdr>
        <w:top w:val="none" w:sz="0" w:space="0" w:color="auto"/>
        <w:left w:val="none" w:sz="0" w:space="0" w:color="auto"/>
        <w:bottom w:val="none" w:sz="0" w:space="0" w:color="auto"/>
        <w:right w:val="none" w:sz="0" w:space="0" w:color="auto"/>
      </w:divBdr>
    </w:div>
    <w:div w:id="1197964507">
      <w:bodyDiv w:val="1"/>
      <w:marLeft w:val="0"/>
      <w:marRight w:val="0"/>
      <w:marTop w:val="0"/>
      <w:marBottom w:val="0"/>
      <w:divBdr>
        <w:top w:val="none" w:sz="0" w:space="0" w:color="auto"/>
        <w:left w:val="none" w:sz="0" w:space="0" w:color="auto"/>
        <w:bottom w:val="none" w:sz="0" w:space="0" w:color="auto"/>
        <w:right w:val="none" w:sz="0" w:space="0" w:color="auto"/>
      </w:divBdr>
    </w:div>
    <w:div w:id="1199315749">
      <w:bodyDiv w:val="1"/>
      <w:marLeft w:val="0"/>
      <w:marRight w:val="0"/>
      <w:marTop w:val="0"/>
      <w:marBottom w:val="0"/>
      <w:divBdr>
        <w:top w:val="none" w:sz="0" w:space="0" w:color="auto"/>
        <w:left w:val="none" w:sz="0" w:space="0" w:color="auto"/>
        <w:bottom w:val="none" w:sz="0" w:space="0" w:color="auto"/>
        <w:right w:val="none" w:sz="0" w:space="0" w:color="auto"/>
      </w:divBdr>
    </w:div>
    <w:div w:id="1200053357">
      <w:bodyDiv w:val="1"/>
      <w:marLeft w:val="0"/>
      <w:marRight w:val="0"/>
      <w:marTop w:val="0"/>
      <w:marBottom w:val="0"/>
      <w:divBdr>
        <w:top w:val="none" w:sz="0" w:space="0" w:color="auto"/>
        <w:left w:val="none" w:sz="0" w:space="0" w:color="auto"/>
        <w:bottom w:val="none" w:sz="0" w:space="0" w:color="auto"/>
        <w:right w:val="none" w:sz="0" w:space="0" w:color="auto"/>
      </w:divBdr>
    </w:div>
    <w:div w:id="1207259880">
      <w:bodyDiv w:val="1"/>
      <w:marLeft w:val="0"/>
      <w:marRight w:val="0"/>
      <w:marTop w:val="0"/>
      <w:marBottom w:val="0"/>
      <w:divBdr>
        <w:top w:val="none" w:sz="0" w:space="0" w:color="auto"/>
        <w:left w:val="none" w:sz="0" w:space="0" w:color="auto"/>
        <w:bottom w:val="none" w:sz="0" w:space="0" w:color="auto"/>
        <w:right w:val="none" w:sz="0" w:space="0" w:color="auto"/>
      </w:divBdr>
    </w:div>
    <w:div w:id="1223178278">
      <w:bodyDiv w:val="1"/>
      <w:marLeft w:val="0"/>
      <w:marRight w:val="0"/>
      <w:marTop w:val="0"/>
      <w:marBottom w:val="0"/>
      <w:divBdr>
        <w:top w:val="none" w:sz="0" w:space="0" w:color="auto"/>
        <w:left w:val="none" w:sz="0" w:space="0" w:color="auto"/>
        <w:bottom w:val="none" w:sz="0" w:space="0" w:color="auto"/>
        <w:right w:val="none" w:sz="0" w:space="0" w:color="auto"/>
      </w:divBdr>
    </w:div>
    <w:div w:id="1225530802">
      <w:bodyDiv w:val="1"/>
      <w:marLeft w:val="0"/>
      <w:marRight w:val="0"/>
      <w:marTop w:val="0"/>
      <w:marBottom w:val="0"/>
      <w:divBdr>
        <w:top w:val="none" w:sz="0" w:space="0" w:color="auto"/>
        <w:left w:val="none" w:sz="0" w:space="0" w:color="auto"/>
        <w:bottom w:val="none" w:sz="0" w:space="0" w:color="auto"/>
        <w:right w:val="none" w:sz="0" w:space="0" w:color="auto"/>
      </w:divBdr>
    </w:div>
    <w:div w:id="1231116861">
      <w:bodyDiv w:val="1"/>
      <w:marLeft w:val="0"/>
      <w:marRight w:val="0"/>
      <w:marTop w:val="0"/>
      <w:marBottom w:val="0"/>
      <w:divBdr>
        <w:top w:val="none" w:sz="0" w:space="0" w:color="auto"/>
        <w:left w:val="none" w:sz="0" w:space="0" w:color="auto"/>
        <w:bottom w:val="none" w:sz="0" w:space="0" w:color="auto"/>
        <w:right w:val="none" w:sz="0" w:space="0" w:color="auto"/>
      </w:divBdr>
    </w:div>
    <w:div w:id="1234389208">
      <w:bodyDiv w:val="1"/>
      <w:marLeft w:val="0"/>
      <w:marRight w:val="0"/>
      <w:marTop w:val="0"/>
      <w:marBottom w:val="0"/>
      <w:divBdr>
        <w:top w:val="none" w:sz="0" w:space="0" w:color="auto"/>
        <w:left w:val="none" w:sz="0" w:space="0" w:color="auto"/>
        <w:bottom w:val="none" w:sz="0" w:space="0" w:color="auto"/>
        <w:right w:val="none" w:sz="0" w:space="0" w:color="auto"/>
      </w:divBdr>
    </w:div>
    <w:div w:id="1238712767">
      <w:bodyDiv w:val="1"/>
      <w:marLeft w:val="0"/>
      <w:marRight w:val="0"/>
      <w:marTop w:val="0"/>
      <w:marBottom w:val="0"/>
      <w:divBdr>
        <w:top w:val="none" w:sz="0" w:space="0" w:color="auto"/>
        <w:left w:val="none" w:sz="0" w:space="0" w:color="auto"/>
        <w:bottom w:val="none" w:sz="0" w:space="0" w:color="auto"/>
        <w:right w:val="none" w:sz="0" w:space="0" w:color="auto"/>
      </w:divBdr>
    </w:div>
    <w:div w:id="1242107670">
      <w:bodyDiv w:val="1"/>
      <w:marLeft w:val="0"/>
      <w:marRight w:val="0"/>
      <w:marTop w:val="0"/>
      <w:marBottom w:val="0"/>
      <w:divBdr>
        <w:top w:val="none" w:sz="0" w:space="0" w:color="auto"/>
        <w:left w:val="none" w:sz="0" w:space="0" w:color="auto"/>
        <w:bottom w:val="none" w:sz="0" w:space="0" w:color="auto"/>
        <w:right w:val="none" w:sz="0" w:space="0" w:color="auto"/>
      </w:divBdr>
    </w:div>
    <w:div w:id="1243299344">
      <w:bodyDiv w:val="1"/>
      <w:marLeft w:val="0"/>
      <w:marRight w:val="0"/>
      <w:marTop w:val="0"/>
      <w:marBottom w:val="0"/>
      <w:divBdr>
        <w:top w:val="none" w:sz="0" w:space="0" w:color="auto"/>
        <w:left w:val="none" w:sz="0" w:space="0" w:color="auto"/>
        <w:bottom w:val="none" w:sz="0" w:space="0" w:color="auto"/>
        <w:right w:val="none" w:sz="0" w:space="0" w:color="auto"/>
      </w:divBdr>
    </w:div>
    <w:div w:id="1252160556">
      <w:bodyDiv w:val="1"/>
      <w:marLeft w:val="0"/>
      <w:marRight w:val="0"/>
      <w:marTop w:val="0"/>
      <w:marBottom w:val="0"/>
      <w:divBdr>
        <w:top w:val="none" w:sz="0" w:space="0" w:color="auto"/>
        <w:left w:val="none" w:sz="0" w:space="0" w:color="auto"/>
        <w:bottom w:val="none" w:sz="0" w:space="0" w:color="auto"/>
        <w:right w:val="none" w:sz="0" w:space="0" w:color="auto"/>
      </w:divBdr>
    </w:div>
    <w:div w:id="1253272801">
      <w:bodyDiv w:val="1"/>
      <w:marLeft w:val="0"/>
      <w:marRight w:val="0"/>
      <w:marTop w:val="0"/>
      <w:marBottom w:val="0"/>
      <w:divBdr>
        <w:top w:val="none" w:sz="0" w:space="0" w:color="auto"/>
        <w:left w:val="none" w:sz="0" w:space="0" w:color="auto"/>
        <w:bottom w:val="none" w:sz="0" w:space="0" w:color="auto"/>
        <w:right w:val="none" w:sz="0" w:space="0" w:color="auto"/>
      </w:divBdr>
    </w:div>
    <w:div w:id="1261990560">
      <w:bodyDiv w:val="1"/>
      <w:marLeft w:val="0"/>
      <w:marRight w:val="0"/>
      <w:marTop w:val="0"/>
      <w:marBottom w:val="0"/>
      <w:divBdr>
        <w:top w:val="none" w:sz="0" w:space="0" w:color="auto"/>
        <w:left w:val="none" w:sz="0" w:space="0" w:color="auto"/>
        <w:bottom w:val="none" w:sz="0" w:space="0" w:color="auto"/>
        <w:right w:val="none" w:sz="0" w:space="0" w:color="auto"/>
      </w:divBdr>
    </w:div>
    <w:div w:id="1262181038">
      <w:bodyDiv w:val="1"/>
      <w:marLeft w:val="0"/>
      <w:marRight w:val="0"/>
      <w:marTop w:val="0"/>
      <w:marBottom w:val="0"/>
      <w:divBdr>
        <w:top w:val="none" w:sz="0" w:space="0" w:color="auto"/>
        <w:left w:val="none" w:sz="0" w:space="0" w:color="auto"/>
        <w:bottom w:val="none" w:sz="0" w:space="0" w:color="auto"/>
        <w:right w:val="none" w:sz="0" w:space="0" w:color="auto"/>
      </w:divBdr>
    </w:div>
    <w:div w:id="1275672472">
      <w:bodyDiv w:val="1"/>
      <w:marLeft w:val="0"/>
      <w:marRight w:val="0"/>
      <w:marTop w:val="0"/>
      <w:marBottom w:val="0"/>
      <w:divBdr>
        <w:top w:val="none" w:sz="0" w:space="0" w:color="auto"/>
        <w:left w:val="none" w:sz="0" w:space="0" w:color="auto"/>
        <w:bottom w:val="none" w:sz="0" w:space="0" w:color="auto"/>
        <w:right w:val="none" w:sz="0" w:space="0" w:color="auto"/>
      </w:divBdr>
    </w:div>
    <w:div w:id="1277715914">
      <w:bodyDiv w:val="1"/>
      <w:marLeft w:val="0"/>
      <w:marRight w:val="0"/>
      <w:marTop w:val="0"/>
      <w:marBottom w:val="0"/>
      <w:divBdr>
        <w:top w:val="none" w:sz="0" w:space="0" w:color="auto"/>
        <w:left w:val="none" w:sz="0" w:space="0" w:color="auto"/>
        <w:bottom w:val="none" w:sz="0" w:space="0" w:color="auto"/>
        <w:right w:val="none" w:sz="0" w:space="0" w:color="auto"/>
      </w:divBdr>
    </w:div>
    <w:div w:id="1278174772">
      <w:bodyDiv w:val="1"/>
      <w:marLeft w:val="0"/>
      <w:marRight w:val="0"/>
      <w:marTop w:val="0"/>
      <w:marBottom w:val="0"/>
      <w:divBdr>
        <w:top w:val="none" w:sz="0" w:space="0" w:color="auto"/>
        <w:left w:val="none" w:sz="0" w:space="0" w:color="auto"/>
        <w:bottom w:val="none" w:sz="0" w:space="0" w:color="auto"/>
        <w:right w:val="none" w:sz="0" w:space="0" w:color="auto"/>
      </w:divBdr>
    </w:div>
    <w:div w:id="1284071859">
      <w:bodyDiv w:val="1"/>
      <w:marLeft w:val="0"/>
      <w:marRight w:val="0"/>
      <w:marTop w:val="0"/>
      <w:marBottom w:val="0"/>
      <w:divBdr>
        <w:top w:val="none" w:sz="0" w:space="0" w:color="auto"/>
        <w:left w:val="none" w:sz="0" w:space="0" w:color="auto"/>
        <w:bottom w:val="none" w:sz="0" w:space="0" w:color="auto"/>
        <w:right w:val="none" w:sz="0" w:space="0" w:color="auto"/>
      </w:divBdr>
    </w:div>
    <w:div w:id="1286425496">
      <w:bodyDiv w:val="1"/>
      <w:marLeft w:val="0"/>
      <w:marRight w:val="0"/>
      <w:marTop w:val="0"/>
      <w:marBottom w:val="0"/>
      <w:divBdr>
        <w:top w:val="none" w:sz="0" w:space="0" w:color="auto"/>
        <w:left w:val="none" w:sz="0" w:space="0" w:color="auto"/>
        <w:bottom w:val="none" w:sz="0" w:space="0" w:color="auto"/>
        <w:right w:val="none" w:sz="0" w:space="0" w:color="auto"/>
      </w:divBdr>
    </w:div>
    <w:div w:id="1287395376">
      <w:bodyDiv w:val="1"/>
      <w:marLeft w:val="0"/>
      <w:marRight w:val="0"/>
      <w:marTop w:val="0"/>
      <w:marBottom w:val="0"/>
      <w:divBdr>
        <w:top w:val="none" w:sz="0" w:space="0" w:color="auto"/>
        <w:left w:val="none" w:sz="0" w:space="0" w:color="auto"/>
        <w:bottom w:val="none" w:sz="0" w:space="0" w:color="auto"/>
        <w:right w:val="none" w:sz="0" w:space="0" w:color="auto"/>
      </w:divBdr>
    </w:div>
    <w:div w:id="1293245534">
      <w:bodyDiv w:val="1"/>
      <w:marLeft w:val="0"/>
      <w:marRight w:val="0"/>
      <w:marTop w:val="0"/>
      <w:marBottom w:val="0"/>
      <w:divBdr>
        <w:top w:val="none" w:sz="0" w:space="0" w:color="auto"/>
        <w:left w:val="none" w:sz="0" w:space="0" w:color="auto"/>
        <w:bottom w:val="none" w:sz="0" w:space="0" w:color="auto"/>
        <w:right w:val="none" w:sz="0" w:space="0" w:color="auto"/>
      </w:divBdr>
    </w:div>
    <w:div w:id="1297219998">
      <w:bodyDiv w:val="1"/>
      <w:marLeft w:val="0"/>
      <w:marRight w:val="0"/>
      <w:marTop w:val="0"/>
      <w:marBottom w:val="0"/>
      <w:divBdr>
        <w:top w:val="none" w:sz="0" w:space="0" w:color="auto"/>
        <w:left w:val="none" w:sz="0" w:space="0" w:color="auto"/>
        <w:bottom w:val="none" w:sz="0" w:space="0" w:color="auto"/>
        <w:right w:val="none" w:sz="0" w:space="0" w:color="auto"/>
      </w:divBdr>
    </w:div>
    <w:div w:id="1297373931">
      <w:bodyDiv w:val="1"/>
      <w:marLeft w:val="0"/>
      <w:marRight w:val="0"/>
      <w:marTop w:val="0"/>
      <w:marBottom w:val="0"/>
      <w:divBdr>
        <w:top w:val="none" w:sz="0" w:space="0" w:color="auto"/>
        <w:left w:val="none" w:sz="0" w:space="0" w:color="auto"/>
        <w:bottom w:val="none" w:sz="0" w:space="0" w:color="auto"/>
        <w:right w:val="none" w:sz="0" w:space="0" w:color="auto"/>
      </w:divBdr>
    </w:div>
    <w:div w:id="1302347205">
      <w:bodyDiv w:val="1"/>
      <w:marLeft w:val="0"/>
      <w:marRight w:val="0"/>
      <w:marTop w:val="0"/>
      <w:marBottom w:val="0"/>
      <w:divBdr>
        <w:top w:val="none" w:sz="0" w:space="0" w:color="auto"/>
        <w:left w:val="none" w:sz="0" w:space="0" w:color="auto"/>
        <w:bottom w:val="none" w:sz="0" w:space="0" w:color="auto"/>
        <w:right w:val="none" w:sz="0" w:space="0" w:color="auto"/>
      </w:divBdr>
    </w:div>
    <w:div w:id="1303970411">
      <w:bodyDiv w:val="1"/>
      <w:marLeft w:val="0"/>
      <w:marRight w:val="0"/>
      <w:marTop w:val="0"/>
      <w:marBottom w:val="0"/>
      <w:divBdr>
        <w:top w:val="none" w:sz="0" w:space="0" w:color="auto"/>
        <w:left w:val="none" w:sz="0" w:space="0" w:color="auto"/>
        <w:bottom w:val="none" w:sz="0" w:space="0" w:color="auto"/>
        <w:right w:val="none" w:sz="0" w:space="0" w:color="auto"/>
      </w:divBdr>
    </w:div>
    <w:div w:id="1305810740">
      <w:bodyDiv w:val="1"/>
      <w:marLeft w:val="0"/>
      <w:marRight w:val="0"/>
      <w:marTop w:val="0"/>
      <w:marBottom w:val="0"/>
      <w:divBdr>
        <w:top w:val="none" w:sz="0" w:space="0" w:color="auto"/>
        <w:left w:val="none" w:sz="0" w:space="0" w:color="auto"/>
        <w:bottom w:val="none" w:sz="0" w:space="0" w:color="auto"/>
        <w:right w:val="none" w:sz="0" w:space="0" w:color="auto"/>
      </w:divBdr>
    </w:div>
    <w:div w:id="1308239231">
      <w:bodyDiv w:val="1"/>
      <w:marLeft w:val="0"/>
      <w:marRight w:val="0"/>
      <w:marTop w:val="0"/>
      <w:marBottom w:val="0"/>
      <w:divBdr>
        <w:top w:val="none" w:sz="0" w:space="0" w:color="auto"/>
        <w:left w:val="none" w:sz="0" w:space="0" w:color="auto"/>
        <w:bottom w:val="none" w:sz="0" w:space="0" w:color="auto"/>
        <w:right w:val="none" w:sz="0" w:space="0" w:color="auto"/>
      </w:divBdr>
    </w:div>
    <w:div w:id="1310135631">
      <w:bodyDiv w:val="1"/>
      <w:marLeft w:val="0"/>
      <w:marRight w:val="0"/>
      <w:marTop w:val="0"/>
      <w:marBottom w:val="0"/>
      <w:divBdr>
        <w:top w:val="none" w:sz="0" w:space="0" w:color="auto"/>
        <w:left w:val="none" w:sz="0" w:space="0" w:color="auto"/>
        <w:bottom w:val="none" w:sz="0" w:space="0" w:color="auto"/>
        <w:right w:val="none" w:sz="0" w:space="0" w:color="auto"/>
      </w:divBdr>
    </w:div>
    <w:div w:id="1319725315">
      <w:bodyDiv w:val="1"/>
      <w:marLeft w:val="0"/>
      <w:marRight w:val="0"/>
      <w:marTop w:val="0"/>
      <w:marBottom w:val="0"/>
      <w:divBdr>
        <w:top w:val="none" w:sz="0" w:space="0" w:color="auto"/>
        <w:left w:val="none" w:sz="0" w:space="0" w:color="auto"/>
        <w:bottom w:val="none" w:sz="0" w:space="0" w:color="auto"/>
        <w:right w:val="none" w:sz="0" w:space="0" w:color="auto"/>
      </w:divBdr>
    </w:div>
    <w:div w:id="1328093723">
      <w:bodyDiv w:val="1"/>
      <w:marLeft w:val="0"/>
      <w:marRight w:val="0"/>
      <w:marTop w:val="0"/>
      <w:marBottom w:val="0"/>
      <w:divBdr>
        <w:top w:val="none" w:sz="0" w:space="0" w:color="auto"/>
        <w:left w:val="none" w:sz="0" w:space="0" w:color="auto"/>
        <w:bottom w:val="none" w:sz="0" w:space="0" w:color="auto"/>
        <w:right w:val="none" w:sz="0" w:space="0" w:color="auto"/>
      </w:divBdr>
    </w:div>
    <w:div w:id="1329090453">
      <w:bodyDiv w:val="1"/>
      <w:marLeft w:val="0"/>
      <w:marRight w:val="0"/>
      <w:marTop w:val="0"/>
      <w:marBottom w:val="0"/>
      <w:divBdr>
        <w:top w:val="none" w:sz="0" w:space="0" w:color="auto"/>
        <w:left w:val="none" w:sz="0" w:space="0" w:color="auto"/>
        <w:bottom w:val="none" w:sz="0" w:space="0" w:color="auto"/>
        <w:right w:val="none" w:sz="0" w:space="0" w:color="auto"/>
      </w:divBdr>
    </w:div>
    <w:div w:id="1329097717">
      <w:bodyDiv w:val="1"/>
      <w:marLeft w:val="0"/>
      <w:marRight w:val="0"/>
      <w:marTop w:val="0"/>
      <w:marBottom w:val="0"/>
      <w:divBdr>
        <w:top w:val="none" w:sz="0" w:space="0" w:color="auto"/>
        <w:left w:val="none" w:sz="0" w:space="0" w:color="auto"/>
        <w:bottom w:val="none" w:sz="0" w:space="0" w:color="auto"/>
        <w:right w:val="none" w:sz="0" w:space="0" w:color="auto"/>
      </w:divBdr>
    </w:div>
    <w:div w:id="1330403207">
      <w:bodyDiv w:val="1"/>
      <w:marLeft w:val="0"/>
      <w:marRight w:val="0"/>
      <w:marTop w:val="0"/>
      <w:marBottom w:val="0"/>
      <w:divBdr>
        <w:top w:val="none" w:sz="0" w:space="0" w:color="auto"/>
        <w:left w:val="none" w:sz="0" w:space="0" w:color="auto"/>
        <w:bottom w:val="none" w:sz="0" w:space="0" w:color="auto"/>
        <w:right w:val="none" w:sz="0" w:space="0" w:color="auto"/>
      </w:divBdr>
    </w:div>
    <w:div w:id="1333678875">
      <w:bodyDiv w:val="1"/>
      <w:marLeft w:val="0"/>
      <w:marRight w:val="0"/>
      <w:marTop w:val="0"/>
      <w:marBottom w:val="0"/>
      <w:divBdr>
        <w:top w:val="none" w:sz="0" w:space="0" w:color="auto"/>
        <w:left w:val="none" w:sz="0" w:space="0" w:color="auto"/>
        <w:bottom w:val="none" w:sz="0" w:space="0" w:color="auto"/>
        <w:right w:val="none" w:sz="0" w:space="0" w:color="auto"/>
      </w:divBdr>
    </w:div>
    <w:div w:id="1333995587">
      <w:bodyDiv w:val="1"/>
      <w:marLeft w:val="0"/>
      <w:marRight w:val="0"/>
      <w:marTop w:val="0"/>
      <w:marBottom w:val="0"/>
      <w:divBdr>
        <w:top w:val="none" w:sz="0" w:space="0" w:color="auto"/>
        <w:left w:val="none" w:sz="0" w:space="0" w:color="auto"/>
        <w:bottom w:val="none" w:sz="0" w:space="0" w:color="auto"/>
        <w:right w:val="none" w:sz="0" w:space="0" w:color="auto"/>
      </w:divBdr>
    </w:div>
    <w:div w:id="1338385936">
      <w:bodyDiv w:val="1"/>
      <w:marLeft w:val="0"/>
      <w:marRight w:val="0"/>
      <w:marTop w:val="0"/>
      <w:marBottom w:val="0"/>
      <w:divBdr>
        <w:top w:val="none" w:sz="0" w:space="0" w:color="auto"/>
        <w:left w:val="none" w:sz="0" w:space="0" w:color="auto"/>
        <w:bottom w:val="none" w:sz="0" w:space="0" w:color="auto"/>
        <w:right w:val="none" w:sz="0" w:space="0" w:color="auto"/>
      </w:divBdr>
    </w:div>
    <w:div w:id="1339456571">
      <w:bodyDiv w:val="1"/>
      <w:marLeft w:val="0"/>
      <w:marRight w:val="0"/>
      <w:marTop w:val="0"/>
      <w:marBottom w:val="0"/>
      <w:divBdr>
        <w:top w:val="none" w:sz="0" w:space="0" w:color="auto"/>
        <w:left w:val="none" w:sz="0" w:space="0" w:color="auto"/>
        <w:bottom w:val="none" w:sz="0" w:space="0" w:color="auto"/>
        <w:right w:val="none" w:sz="0" w:space="0" w:color="auto"/>
      </w:divBdr>
    </w:div>
    <w:div w:id="1341278042">
      <w:bodyDiv w:val="1"/>
      <w:marLeft w:val="0"/>
      <w:marRight w:val="0"/>
      <w:marTop w:val="0"/>
      <w:marBottom w:val="0"/>
      <w:divBdr>
        <w:top w:val="none" w:sz="0" w:space="0" w:color="auto"/>
        <w:left w:val="none" w:sz="0" w:space="0" w:color="auto"/>
        <w:bottom w:val="none" w:sz="0" w:space="0" w:color="auto"/>
        <w:right w:val="none" w:sz="0" w:space="0" w:color="auto"/>
      </w:divBdr>
    </w:div>
    <w:div w:id="1343360332">
      <w:bodyDiv w:val="1"/>
      <w:marLeft w:val="0"/>
      <w:marRight w:val="0"/>
      <w:marTop w:val="0"/>
      <w:marBottom w:val="0"/>
      <w:divBdr>
        <w:top w:val="none" w:sz="0" w:space="0" w:color="auto"/>
        <w:left w:val="none" w:sz="0" w:space="0" w:color="auto"/>
        <w:bottom w:val="none" w:sz="0" w:space="0" w:color="auto"/>
        <w:right w:val="none" w:sz="0" w:space="0" w:color="auto"/>
      </w:divBdr>
    </w:div>
    <w:div w:id="1345128194">
      <w:bodyDiv w:val="1"/>
      <w:marLeft w:val="0"/>
      <w:marRight w:val="0"/>
      <w:marTop w:val="0"/>
      <w:marBottom w:val="0"/>
      <w:divBdr>
        <w:top w:val="none" w:sz="0" w:space="0" w:color="auto"/>
        <w:left w:val="none" w:sz="0" w:space="0" w:color="auto"/>
        <w:bottom w:val="none" w:sz="0" w:space="0" w:color="auto"/>
        <w:right w:val="none" w:sz="0" w:space="0" w:color="auto"/>
      </w:divBdr>
    </w:div>
    <w:div w:id="1346439404">
      <w:bodyDiv w:val="1"/>
      <w:marLeft w:val="0"/>
      <w:marRight w:val="0"/>
      <w:marTop w:val="0"/>
      <w:marBottom w:val="0"/>
      <w:divBdr>
        <w:top w:val="none" w:sz="0" w:space="0" w:color="auto"/>
        <w:left w:val="none" w:sz="0" w:space="0" w:color="auto"/>
        <w:bottom w:val="none" w:sz="0" w:space="0" w:color="auto"/>
        <w:right w:val="none" w:sz="0" w:space="0" w:color="auto"/>
      </w:divBdr>
    </w:div>
    <w:div w:id="1349988668">
      <w:bodyDiv w:val="1"/>
      <w:marLeft w:val="0"/>
      <w:marRight w:val="0"/>
      <w:marTop w:val="0"/>
      <w:marBottom w:val="0"/>
      <w:divBdr>
        <w:top w:val="none" w:sz="0" w:space="0" w:color="auto"/>
        <w:left w:val="none" w:sz="0" w:space="0" w:color="auto"/>
        <w:bottom w:val="none" w:sz="0" w:space="0" w:color="auto"/>
        <w:right w:val="none" w:sz="0" w:space="0" w:color="auto"/>
      </w:divBdr>
    </w:div>
    <w:div w:id="1354528065">
      <w:bodyDiv w:val="1"/>
      <w:marLeft w:val="0"/>
      <w:marRight w:val="0"/>
      <w:marTop w:val="0"/>
      <w:marBottom w:val="0"/>
      <w:divBdr>
        <w:top w:val="none" w:sz="0" w:space="0" w:color="auto"/>
        <w:left w:val="none" w:sz="0" w:space="0" w:color="auto"/>
        <w:bottom w:val="none" w:sz="0" w:space="0" w:color="auto"/>
        <w:right w:val="none" w:sz="0" w:space="0" w:color="auto"/>
      </w:divBdr>
    </w:div>
    <w:div w:id="1355575140">
      <w:bodyDiv w:val="1"/>
      <w:marLeft w:val="0"/>
      <w:marRight w:val="0"/>
      <w:marTop w:val="0"/>
      <w:marBottom w:val="0"/>
      <w:divBdr>
        <w:top w:val="none" w:sz="0" w:space="0" w:color="auto"/>
        <w:left w:val="none" w:sz="0" w:space="0" w:color="auto"/>
        <w:bottom w:val="none" w:sz="0" w:space="0" w:color="auto"/>
        <w:right w:val="none" w:sz="0" w:space="0" w:color="auto"/>
      </w:divBdr>
    </w:div>
    <w:div w:id="1356150807">
      <w:bodyDiv w:val="1"/>
      <w:marLeft w:val="0"/>
      <w:marRight w:val="0"/>
      <w:marTop w:val="0"/>
      <w:marBottom w:val="0"/>
      <w:divBdr>
        <w:top w:val="none" w:sz="0" w:space="0" w:color="auto"/>
        <w:left w:val="none" w:sz="0" w:space="0" w:color="auto"/>
        <w:bottom w:val="none" w:sz="0" w:space="0" w:color="auto"/>
        <w:right w:val="none" w:sz="0" w:space="0" w:color="auto"/>
      </w:divBdr>
    </w:div>
    <w:div w:id="1358236424">
      <w:bodyDiv w:val="1"/>
      <w:marLeft w:val="0"/>
      <w:marRight w:val="0"/>
      <w:marTop w:val="0"/>
      <w:marBottom w:val="0"/>
      <w:divBdr>
        <w:top w:val="none" w:sz="0" w:space="0" w:color="auto"/>
        <w:left w:val="none" w:sz="0" w:space="0" w:color="auto"/>
        <w:bottom w:val="none" w:sz="0" w:space="0" w:color="auto"/>
        <w:right w:val="none" w:sz="0" w:space="0" w:color="auto"/>
      </w:divBdr>
    </w:div>
    <w:div w:id="1359237480">
      <w:bodyDiv w:val="1"/>
      <w:marLeft w:val="0"/>
      <w:marRight w:val="0"/>
      <w:marTop w:val="0"/>
      <w:marBottom w:val="0"/>
      <w:divBdr>
        <w:top w:val="none" w:sz="0" w:space="0" w:color="auto"/>
        <w:left w:val="none" w:sz="0" w:space="0" w:color="auto"/>
        <w:bottom w:val="none" w:sz="0" w:space="0" w:color="auto"/>
        <w:right w:val="none" w:sz="0" w:space="0" w:color="auto"/>
      </w:divBdr>
    </w:div>
    <w:div w:id="1359352314">
      <w:bodyDiv w:val="1"/>
      <w:marLeft w:val="0"/>
      <w:marRight w:val="0"/>
      <w:marTop w:val="0"/>
      <w:marBottom w:val="0"/>
      <w:divBdr>
        <w:top w:val="none" w:sz="0" w:space="0" w:color="auto"/>
        <w:left w:val="none" w:sz="0" w:space="0" w:color="auto"/>
        <w:bottom w:val="none" w:sz="0" w:space="0" w:color="auto"/>
        <w:right w:val="none" w:sz="0" w:space="0" w:color="auto"/>
      </w:divBdr>
    </w:div>
    <w:div w:id="1361324434">
      <w:bodyDiv w:val="1"/>
      <w:marLeft w:val="0"/>
      <w:marRight w:val="0"/>
      <w:marTop w:val="0"/>
      <w:marBottom w:val="0"/>
      <w:divBdr>
        <w:top w:val="none" w:sz="0" w:space="0" w:color="auto"/>
        <w:left w:val="none" w:sz="0" w:space="0" w:color="auto"/>
        <w:bottom w:val="none" w:sz="0" w:space="0" w:color="auto"/>
        <w:right w:val="none" w:sz="0" w:space="0" w:color="auto"/>
      </w:divBdr>
    </w:div>
    <w:div w:id="1382435236">
      <w:bodyDiv w:val="1"/>
      <w:marLeft w:val="0"/>
      <w:marRight w:val="0"/>
      <w:marTop w:val="0"/>
      <w:marBottom w:val="0"/>
      <w:divBdr>
        <w:top w:val="none" w:sz="0" w:space="0" w:color="auto"/>
        <w:left w:val="none" w:sz="0" w:space="0" w:color="auto"/>
        <w:bottom w:val="none" w:sz="0" w:space="0" w:color="auto"/>
        <w:right w:val="none" w:sz="0" w:space="0" w:color="auto"/>
      </w:divBdr>
    </w:div>
    <w:div w:id="1383335130">
      <w:bodyDiv w:val="1"/>
      <w:marLeft w:val="0"/>
      <w:marRight w:val="0"/>
      <w:marTop w:val="0"/>
      <w:marBottom w:val="0"/>
      <w:divBdr>
        <w:top w:val="none" w:sz="0" w:space="0" w:color="auto"/>
        <w:left w:val="none" w:sz="0" w:space="0" w:color="auto"/>
        <w:bottom w:val="none" w:sz="0" w:space="0" w:color="auto"/>
        <w:right w:val="none" w:sz="0" w:space="0" w:color="auto"/>
      </w:divBdr>
    </w:div>
    <w:div w:id="1383407330">
      <w:bodyDiv w:val="1"/>
      <w:marLeft w:val="0"/>
      <w:marRight w:val="0"/>
      <w:marTop w:val="0"/>
      <w:marBottom w:val="0"/>
      <w:divBdr>
        <w:top w:val="none" w:sz="0" w:space="0" w:color="auto"/>
        <w:left w:val="none" w:sz="0" w:space="0" w:color="auto"/>
        <w:bottom w:val="none" w:sz="0" w:space="0" w:color="auto"/>
        <w:right w:val="none" w:sz="0" w:space="0" w:color="auto"/>
      </w:divBdr>
    </w:div>
    <w:div w:id="1383678154">
      <w:bodyDiv w:val="1"/>
      <w:marLeft w:val="0"/>
      <w:marRight w:val="0"/>
      <w:marTop w:val="0"/>
      <w:marBottom w:val="0"/>
      <w:divBdr>
        <w:top w:val="none" w:sz="0" w:space="0" w:color="auto"/>
        <w:left w:val="none" w:sz="0" w:space="0" w:color="auto"/>
        <w:bottom w:val="none" w:sz="0" w:space="0" w:color="auto"/>
        <w:right w:val="none" w:sz="0" w:space="0" w:color="auto"/>
      </w:divBdr>
    </w:div>
    <w:div w:id="1383754274">
      <w:bodyDiv w:val="1"/>
      <w:marLeft w:val="0"/>
      <w:marRight w:val="0"/>
      <w:marTop w:val="0"/>
      <w:marBottom w:val="0"/>
      <w:divBdr>
        <w:top w:val="none" w:sz="0" w:space="0" w:color="auto"/>
        <w:left w:val="none" w:sz="0" w:space="0" w:color="auto"/>
        <w:bottom w:val="none" w:sz="0" w:space="0" w:color="auto"/>
        <w:right w:val="none" w:sz="0" w:space="0" w:color="auto"/>
      </w:divBdr>
    </w:div>
    <w:div w:id="1384982173">
      <w:bodyDiv w:val="1"/>
      <w:marLeft w:val="0"/>
      <w:marRight w:val="0"/>
      <w:marTop w:val="0"/>
      <w:marBottom w:val="0"/>
      <w:divBdr>
        <w:top w:val="none" w:sz="0" w:space="0" w:color="auto"/>
        <w:left w:val="none" w:sz="0" w:space="0" w:color="auto"/>
        <w:bottom w:val="none" w:sz="0" w:space="0" w:color="auto"/>
        <w:right w:val="none" w:sz="0" w:space="0" w:color="auto"/>
      </w:divBdr>
    </w:div>
    <w:div w:id="1389761319">
      <w:bodyDiv w:val="1"/>
      <w:marLeft w:val="0"/>
      <w:marRight w:val="0"/>
      <w:marTop w:val="0"/>
      <w:marBottom w:val="0"/>
      <w:divBdr>
        <w:top w:val="none" w:sz="0" w:space="0" w:color="auto"/>
        <w:left w:val="none" w:sz="0" w:space="0" w:color="auto"/>
        <w:bottom w:val="none" w:sz="0" w:space="0" w:color="auto"/>
        <w:right w:val="none" w:sz="0" w:space="0" w:color="auto"/>
      </w:divBdr>
    </w:div>
    <w:div w:id="1390614721">
      <w:bodyDiv w:val="1"/>
      <w:marLeft w:val="0"/>
      <w:marRight w:val="0"/>
      <w:marTop w:val="0"/>
      <w:marBottom w:val="0"/>
      <w:divBdr>
        <w:top w:val="none" w:sz="0" w:space="0" w:color="auto"/>
        <w:left w:val="none" w:sz="0" w:space="0" w:color="auto"/>
        <w:bottom w:val="none" w:sz="0" w:space="0" w:color="auto"/>
        <w:right w:val="none" w:sz="0" w:space="0" w:color="auto"/>
      </w:divBdr>
      <w:divsChild>
        <w:div w:id="272061143">
          <w:marLeft w:val="0"/>
          <w:marRight w:val="0"/>
          <w:marTop w:val="0"/>
          <w:marBottom w:val="45"/>
          <w:divBdr>
            <w:top w:val="none" w:sz="0" w:space="0" w:color="auto"/>
            <w:left w:val="none" w:sz="0" w:space="0" w:color="auto"/>
            <w:bottom w:val="none" w:sz="0" w:space="0" w:color="auto"/>
            <w:right w:val="none" w:sz="0" w:space="0" w:color="auto"/>
          </w:divBdr>
          <w:divsChild>
            <w:div w:id="2050759789">
              <w:marLeft w:val="0"/>
              <w:marRight w:val="0"/>
              <w:marTop w:val="75"/>
              <w:marBottom w:val="0"/>
              <w:divBdr>
                <w:top w:val="none" w:sz="0" w:space="0" w:color="auto"/>
                <w:left w:val="none" w:sz="0" w:space="0" w:color="auto"/>
                <w:bottom w:val="none" w:sz="0" w:space="0" w:color="auto"/>
                <w:right w:val="none" w:sz="0" w:space="0" w:color="auto"/>
              </w:divBdr>
            </w:div>
          </w:divsChild>
        </w:div>
        <w:div w:id="691147298">
          <w:marLeft w:val="0"/>
          <w:marRight w:val="0"/>
          <w:marTop w:val="0"/>
          <w:marBottom w:val="45"/>
          <w:divBdr>
            <w:top w:val="none" w:sz="0" w:space="0" w:color="auto"/>
            <w:left w:val="none" w:sz="0" w:space="0" w:color="auto"/>
            <w:bottom w:val="none" w:sz="0" w:space="0" w:color="auto"/>
            <w:right w:val="none" w:sz="0" w:space="0" w:color="auto"/>
          </w:divBdr>
          <w:divsChild>
            <w:div w:id="609164621">
              <w:marLeft w:val="0"/>
              <w:marRight w:val="0"/>
              <w:marTop w:val="75"/>
              <w:marBottom w:val="0"/>
              <w:divBdr>
                <w:top w:val="none" w:sz="0" w:space="0" w:color="auto"/>
                <w:left w:val="none" w:sz="0" w:space="0" w:color="auto"/>
                <w:bottom w:val="none" w:sz="0" w:space="0" w:color="auto"/>
                <w:right w:val="none" w:sz="0" w:space="0" w:color="auto"/>
              </w:divBdr>
            </w:div>
          </w:divsChild>
        </w:div>
        <w:div w:id="1125778364">
          <w:marLeft w:val="0"/>
          <w:marRight w:val="0"/>
          <w:marTop w:val="0"/>
          <w:marBottom w:val="45"/>
          <w:divBdr>
            <w:top w:val="none" w:sz="0" w:space="0" w:color="auto"/>
            <w:left w:val="none" w:sz="0" w:space="0" w:color="auto"/>
            <w:bottom w:val="none" w:sz="0" w:space="0" w:color="auto"/>
            <w:right w:val="none" w:sz="0" w:space="0" w:color="auto"/>
          </w:divBdr>
          <w:divsChild>
            <w:div w:id="658122616">
              <w:marLeft w:val="0"/>
              <w:marRight w:val="0"/>
              <w:marTop w:val="75"/>
              <w:marBottom w:val="0"/>
              <w:divBdr>
                <w:top w:val="none" w:sz="0" w:space="0" w:color="auto"/>
                <w:left w:val="none" w:sz="0" w:space="0" w:color="auto"/>
                <w:bottom w:val="none" w:sz="0" w:space="0" w:color="auto"/>
                <w:right w:val="none" w:sz="0" w:space="0" w:color="auto"/>
              </w:divBdr>
            </w:div>
          </w:divsChild>
        </w:div>
        <w:div w:id="1855456030">
          <w:marLeft w:val="0"/>
          <w:marRight w:val="0"/>
          <w:marTop w:val="0"/>
          <w:marBottom w:val="45"/>
          <w:divBdr>
            <w:top w:val="none" w:sz="0" w:space="0" w:color="auto"/>
            <w:left w:val="none" w:sz="0" w:space="0" w:color="auto"/>
            <w:bottom w:val="none" w:sz="0" w:space="0" w:color="auto"/>
            <w:right w:val="none" w:sz="0" w:space="0" w:color="auto"/>
          </w:divBdr>
          <w:divsChild>
            <w:div w:id="698242974">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391072560">
      <w:bodyDiv w:val="1"/>
      <w:marLeft w:val="0"/>
      <w:marRight w:val="0"/>
      <w:marTop w:val="0"/>
      <w:marBottom w:val="0"/>
      <w:divBdr>
        <w:top w:val="none" w:sz="0" w:space="0" w:color="auto"/>
        <w:left w:val="none" w:sz="0" w:space="0" w:color="auto"/>
        <w:bottom w:val="none" w:sz="0" w:space="0" w:color="auto"/>
        <w:right w:val="none" w:sz="0" w:space="0" w:color="auto"/>
      </w:divBdr>
    </w:div>
    <w:div w:id="1406029726">
      <w:bodyDiv w:val="1"/>
      <w:marLeft w:val="0"/>
      <w:marRight w:val="0"/>
      <w:marTop w:val="0"/>
      <w:marBottom w:val="0"/>
      <w:divBdr>
        <w:top w:val="none" w:sz="0" w:space="0" w:color="auto"/>
        <w:left w:val="none" w:sz="0" w:space="0" w:color="auto"/>
        <w:bottom w:val="none" w:sz="0" w:space="0" w:color="auto"/>
        <w:right w:val="none" w:sz="0" w:space="0" w:color="auto"/>
      </w:divBdr>
    </w:div>
    <w:div w:id="1408501625">
      <w:bodyDiv w:val="1"/>
      <w:marLeft w:val="0"/>
      <w:marRight w:val="0"/>
      <w:marTop w:val="0"/>
      <w:marBottom w:val="0"/>
      <w:divBdr>
        <w:top w:val="none" w:sz="0" w:space="0" w:color="auto"/>
        <w:left w:val="none" w:sz="0" w:space="0" w:color="auto"/>
        <w:bottom w:val="none" w:sz="0" w:space="0" w:color="auto"/>
        <w:right w:val="none" w:sz="0" w:space="0" w:color="auto"/>
      </w:divBdr>
    </w:div>
    <w:div w:id="1416627021">
      <w:bodyDiv w:val="1"/>
      <w:marLeft w:val="0"/>
      <w:marRight w:val="0"/>
      <w:marTop w:val="0"/>
      <w:marBottom w:val="0"/>
      <w:divBdr>
        <w:top w:val="none" w:sz="0" w:space="0" w:color="auto"/>
        <w:left w:val="none" w:sz="0" w:space="0" w:color="auto"/>
        <w:bottom w:val="none" w:sz="0" w:space="0" w:color="auto"/>
        <w:right w:val="none" w:sz="0" w:space="0" w:color="auto"/>
      </w:divBdr>
    </w:div>
    <w:div w:id="1420328697">
      <w:bodyDiv w:val="1"/>
      <w:marLeft w:val="0"/>
      <w:marRight w:val="0"/>
      <w:marTop w:val="0"/>
      <w:marBottom w:val="0"/>
      <w:divBdr>
        <w:top w:val="none" w:sz="0" w:space="0" w:color="auto"/>
        <w:left w:val="none" w:sz="0" w:space="0" w:color="auto"/>
        <w:bottom w:val="none" w:sz="0" w:space="0" w:color="auto"/>
        <w:right w:val="none" w:sz="0" w:space="0" w:color="auto"/>
      </w:divBdr>
    </w:div>
    <w:div w:id="1421636133">
      <w:bodyDiv w:val="1"/>
      <w:marLeft w:val="0"/>
      <w:marRight w:val="0"/>
      <w:marTop w:val="0"/>
      <w:marBottom w:val="0"/>
      <w:divBdr>
        <w:top w:val="none" w:sz="0" w:space="0" w:color="auto"/>
        <w:left w:val="none" w:sz="0" w:space="0" w:color="auto"/>
        <w:bottom w:val="none" w:sz="0" w:space="0" w:color="auto"/>
        <w:right w:val="none" w:sz="0" w:space="0" w:color="auto"/>
      </w:divBdr>
    </w:div>
    <w:div w:id="1427338474">
      <w:bodyDiv w:val="1"/>
      <w:marLeft w:val="0"/>
      <w:marRight w:val="0"/>
      <w:marTop w:val="0"/>
      <w:marBottom w:val="0"/>
      <w:divBdr>
        <w:top w:val="none" w:sz="0" w:space="0" w:color="auto"/>
        <w:left w:val="none" w:sz="0" w:space="0" w:color="auto"/>
        <w:bottom w:val="none" w:sz="0" w:space="0" w:color="auto"/>
        <w:right w:val="none" w:sz="0" w:space="0" w:color="auto"/>
      </w:divBdr>
    </w:div>
    <w:div w:id="1428192307">
      <w:bodyDiv w:val="1"/>
      <w:marLeft w:val="0"/>
      <w:marRight w:val="0"/>
      <w:marTop w:val="0"/>
      <w:marBottom w:val="0"/>
      <w:divBdr>
        <w:top w:val="none" w:sz="0" w:space="0" w:color="auto"/>
        <w:left w:val="none" w:sz="0" w:space="0" w:color="auto"/>
        <w:bottom w:val="none" w:sz="0" w:space="0" w:color="auto"/>
        <w:right w:val="none" w:sz="0" w:space="0" w:color="auto"/>
      </w:divBdr>
    </w:div>
    <w:div w:id="1428841949">
      <w:bodyDiv w:val="1"/>
      <w:marLeft w:val="0"/>
      <w:marRight w:val="0"/>
      <w:marTop w:val="0"/>
      <w:marBottom w:val="0"/>
      <w:divBdr>
        <w:top w:val="none" w:sz="0" w:space="0" w:color="auto"/>
        <w:left w:val="none" w:sz="0" w:space="0" w:color="auto"/>
        <w:bottom w:val="none" w:sz="0" w:space="0" w:color="auto"/>
        <w:right w:val="none" w:sz="0" w:space="0" w:color="auto"/>
      </w:divBdr>
    </w:div>
    <w:div w:id="1429615523">
      <w:bodyDiv w:val="1"/>
      <w:marLeft w:val="0"/>
      <w:marRight w:val="0"/>
      <w:marTop w:val="0"/>
      <w:marBottom w:val="0"/>
      <w:divBdr>
        <w:top w:val="none" w:sz="0" w:space="0" w:color="auto"/>
        <w:left w:val="none" w:sz="0" w:space="0" w:color="auto"/>
        <w:bottom w:val="none" w:sz="0" w:space="0" w:color="auto"/>
        <w:right w:val="none" w:sz="0" w:space="0" w:color="auto"/>
      </w:divBdr>
    </w:div>
    <w:div w:id="1430351513">
      <w:bodyDiv w:val="1"/>
      <w:marLeft w:val="0"/>
      <w:marRight w:val="0"/>
      <w:marTop w:val="0"/>
      <w:marBottom w:val="0"/>
      <w:divBdr>
        <w:top w:val="none" w:sz="0" w:space="0" w:color="auto"/>
        <w:left w:val="none" w:sz="0" w:space="0" w:color="auto"/>
        <w:bottom w:val="none" w:sz="0" w:space="0" w:color="auto"/>
        <w:right w:val="none" w:sz="0" w:space="0" w:color="auto"/>
      </w:divBdr>
    </w:div>
    <w:div w:id="1432700815">
      <w:bodyDiv w:val="1"/>
      <w:marLeft w:val="0"/>
      <w:marRight w:val="0"/>
      <w:marTop w:val="0"/>
      <w:marBottom w:val="0"/>
      <w:divBdr>
        <w:top w:val="none" w:sz="0" w:space="0" w:color="auto"/>
        <w:left w:val="none" w:sz="0" w:space="0" w:color="auto"/>
        <w:bottom w:val="none" w:sz="0" w:space="0" w:color="auto"/>
        <w:right w:val="none" w:sz="0" w:space="0" w:color="auto"/>
      </w:divBdr>
    </w:div>
    <w:div w:id="1435175781">
      <w:bodyDiv w:val="1"/>
      <w:marLeft w:val="0"/>
      <w:marRight w:val="0"/>
      <w:marTop w:val="0"/>
      <w:marBottom w:val="0"/>
      <w:divBdr>
        <w:top w:val="none" w:sz="0" w:space="0" w:color="auto"/>
        <w:left w:val="none" w:sz="0" w:space="0" w:color="auto"/>
        <w:bottom w:val="none" w:sz="0" w:space="0" w:color="auto"/>
        <w:right w:val="none" w:sz="0" w:space="0" w:color="auto"/>
      </w:divBdr>
    </w:div>
    <w:div w:id="1443570468">
      <w:bodyDiv w:val="1"/>
      <w:marLeft w:val="0"/>
      <w:marRight w:val="0"/>
      <w:marTop w:val="0"/>
      <w:marBottom w:val="0"/>
      <w:divBdr>
        <w:top w:val="none" w:sz="0" w:space="0" w:color="auto"/>
        <w:left w:val="none" w:sz="0" w:space="0" w:color="auto"/>
        <w:bottom w:val="none" w:sz="0" w:space="0" w:color="auto"/>
        <w:right w:val="none" w:sz="0" w:space="0" w:color="auto"/>
      </w:divBdr>
    </w:div>
    <w:div w:id="1447893125">
      <w:bodyDiv w:val="1"/>
      <w:marLeft w:val="0"/>
      <w:marRight w:val="0"/>
      <w:marTop w:val="0"/>
      <w:marBottom w:val="0"/>
      <w:divBdr>
        <w:top w:val="none" w:sz="0" w:space="0" w:color="auto"/>
        <w:left w:val="none" w:sz="0" w:space="0" w:color="auto"/>
        <w:bottom w:val="none" w:sz="0" w:space="0" w:color="auto"/>
        <w:right w:val="none" w:sz="0" w:space="0" w:color="auto"/>
      </w:divBdr>
    </w:div>
    <w:div w:id="1449472486">
      <w:bodyDiv w:val="1"/>
      <w:marLeft w:val="0"/>
      <w:marRight w:val="0"/>
      <w:marTop w:val="0"/>
      <w:marBottom w:val="0"/>
      <w:divBdr>
        <w:top w:val="none" w:sz="0" w:space="0" w:color="auto"/>
        <w:left w:val="none" w:sz="0" w:space="0" w:color="auto"/>
        <w:bottom w:val="none" w:sz="0" w:space="0" w:color="auto"/>
        <w:right w:val="none" w:sz="0" w:space="0" w:color="auto"/>
      </w:divBdr>
    </w:div>
    <w:div w:id="1452362512">
      <w:bodyDiv w:val="1"/>
      <w:marLeft w:val="0"/>
      <w:marRight w:val="0"/>
      <w:marTop w:val="0"/>
      <w:marBottom w:val="0"/>
      <w:divBdr>
        <w:top w:val="none" w:sz="0" w:space="0" w:color="auto"/>
        <w:left w:val="none" w:sz="0" w:space="0" w:color="auto"/>
        <w:bottom w:val="none" w:sz="0" w:space="0" w:color="auto"/>
        <w:right w:val="none" w:sz="0" w:space="0" w:color="auto"/>
      </w:divBdr>
    </w:div>
    <w:div w:id="1467814584">
      <w:bodyDiv w:val="1"/>
      <w:marLeft w:val="0"/>
      <w:marRight w:val="0"/>
      <w:marTop w:val="0"/>
      <w:marBottom w:val="0"/>
      <w:divBdr>
        <w:top w:val="none" w:sz="0" w:space="0" w:color="auto"/>
        <w:left w:val="none" w:sz="0" w:space="0" w:color="auto"/>
        <w:bottom w:val="none" w:sz="0" w:space="0" w:color="auto"/>
        <w:right w:val="none" w:sz="0" w:space="0" w:color="auto"/>
      </w:divBdr>
    </w:div>
    <w:div w:id="1467968623">
      <w:bodyDiv w:val="1"/>
      <w:marLeft w:val="0"/>
      <w:marRight w:val="0"/>
      <w:marTop w:val="0"/>
      <w:marBottom w:val="0"/>
      <w:divBdr>
        <w:top w:val="none" w:sz="0" w:space="0" w:color="auto"/>
        <w:left w:val="none" w:sz="0" w:space="0" w:color="auto"/>
        <w:bottom w:val="none" w:sz="0" w:space="0" w:color="auto"/>
        <w:right w:val="none" w:sz="0" w:space="0" w:color="auto"/>
      </w:divBdr>
    </w:div>
    <w:div w:id="1470440359">
      <w:bodyDiv w:val="1"/>
      <w:marLeft w:val="0"/>
      <w:marRight w:val="0"/>
      <w:marTop w:val="0"/>
      <w:marBottom w:val="0"/>
      <w:divBdr>
        <w:top w:val="none" w:sz="0" w:space="0" w:color="auto"/>
        <w:left w:val="none" w:sz="0" w:space="0" w:color="auto"/>
        <w:bottom w:val="none" w:sz="0" w:space="0" w:color="auto"/>
        <w:right w:val="none" w:sz="0" w:space="0" w:color="auto"/>
      </w:divBdr>
    </w:div>
    <w:div w:id="1471092161">
      <w:bodyDiv w:val="1"/>
      <w:marLeft w:val="0"/>
      <w:marRight w:val="0"/>
      <w:marTop w:val="0"/>
      <w:marBottom w:val="0"/>
      <w:divBdr>
        <w:top w:val="none" w:sz="0" w:space="0" w:color="auto"/>
        <w:left w:val="none" w:sz="0" w:space="0" w:color="auto"/>
        <w:bottom w:val="none" w:sz="0" w:space="0" w:color="auto"/>
        <w:right w:val="none" w:sz="0" w:space="0" w:color="auto"/>
      </w:divBdr>
    </w:div>
    <w:div w:id="1471631757">
      <w:bodyDiv w:val="1"/>
      <w:marLeft w:val="0"/>
      <w:marRight w:val="0"/>
      <w:marTop w:val="0"/>
      <w:marBottom w:val="0"/>
      <w:divBdr>
        <w:top w:val="none" w:sz="0" w:space="0" w:color="auto"/>
        <w:left w:val="none" w:sz="0" w:space="0" w:color="auto"/>
        <w:bottom w:val="none" w:sz="0" w:space="0" w:color="auto"/>
        <w:right w:val="none" w:sz="0" w:space="0" w:color="auto"/>
      </w:divBdr>
    </w:div>
    <w:div w:id="1473910625">
      <w:bodyDiv w:val="1"/>
      <w:marLeft w:val="0"/>
      <w:marRight w:val="0"/>
      <w:marTop w:val="0"/>
      <w:marBottom w:val="0"/>
      <w:divBdr>
        <w:top w:val="none" w:sz="0" w:space="0" w:color="auto"/>
        <w:left w:val="none" w:sz="0" w:space="0" w:color="auto"/>
        <w:bottom w:val="none" w:sz="0" w:space="0" w:color="auto"/>
        <w:right w:val="none" w:sz="0" w:space="0" w:color="auto"/>
      </w:divBdr>
    </w:div>
    <w:div w:id="1476097060">
      <w:bodyDiv w:val="1"/>
      <w:marLeft w:val="0"/>
      <w:marRight w:val="0"/>
      <w:marTop w:val="0"/>
      <w:marBottom w:val="0"/>
      <w:divBdr>
        <w:top w:val="none" w:sz="0" w:space="0" w:color="auto"/>
        <w:left w:val="none" w:sz="0" w:space="0" w:color="auto"/>
        <w:bottom w:val="none" w:sz="0" w:space="0" w:color="auto"/>
        <w:right w:val="none" w:sz="0" w:space="0" w:color="auto"/>
      </w:divBdr>
    </w:div>
    <w:div w:id="1476794246">
      <w:bodyDiv w:val="1"/>
      <w:marLeft w:val="0"/>
      <w:marRight w:val="0"/>
      <w:marTop w:val="0"/>
      <w:marBottom w:val="0"/>
      <w:divBdr>
        <w:top w:val="none" w:sz="0" w:space="0" w:color="auto"/>
        <w:left w:val="none" w:sz="0" w:space="0" w:color="auto"/>
        <w:bottom w:val="none" w:sz="0" w:space="0" w:color="auto"/>
        <w:right w:val="none" w:sz="0" w:space="0" w:color="auto"/>
      </w:divBdr>
    </w:div>
    <w:div w:id="1477452331">
      <w:bodyDiv w:val="1"/>
      <w:marLeft w:val="0"/>
      <w:marRight w:val="0"/>
      <w:marTop w:val="0"/>
      <w:marBottom w:val="0"/>
      <w:divBdr>
        <w:top w:val="none" w:sz="0" w:space="0" w:color="auto"/>
        <w:left w:val="none" w:sz="0" w:space="0" w:color="auto"/>
        <w:bottom w:val="none" w:sz="0" w:space="0" w:color="auto"/>
        <w:right w:val="none" w:sz="0" w:space="0" w:color="auto"/>
      </w:divBdr>
    </w:div>
    <w:div w:id="1482236980">
      <w:bodyDiv w:val="1"/>
      <w:marLeft w:val="0"/>
      <w:marRight w:val="0"/>
      <w:marTop w:val="0"/>
      <w:marBottom w:val="0"/>
      <w:divBdr>
        <w:top w:val="none" w:sz="0" w:space="0" w:color="auto"/>
        <w:left w:val="none" w:sz="0" w:space="0" w:color="auto"/>
        <w:bottom w:val="none" w:sz="0" w:space="0" w:color="auto"/>
        <w:right w:val="none" w:sz="0" w:space="0" w:color="auto"/>
      </w:divBdr>
    </w:div>
    <w:div w:id="1482579192">
      <w:bodyDiv w:val="1"/>
      <w:marLeft w:val="0"/>
      <w:marRight w:val="0"/>
      <w:marTop w:val="0"/>
      <w:marBottom w:val="0"/>
      <w:divBdr>
        <w:top w:val="none" w:sz="0" w:space="0" w:color="auto"/>
        <w:left w:val="none" w:sz="0" w:space="0" w:color="auto"/>
        <w:bottom w:val="none" w:sz="0" w:space="0" w:color="auto"/>
        <w:right w:val="none" w:sz="0" w:space="0" w:color="auto"/>
      </w:divBdr>
    </w:div>
    <w:div w:id="1484157746">
      <w:bodyDiv w:val="1"/>
      <w:marLeft w:val="0"/>
      <w:marRight w:val="0"/>
      <w:marTop w:val="0"/>
      <w:marBottom w:val="0"/>
      <w:divBdr>
        <w:top w:val="none" w:sz="0" w:space="0" w:color="auto"/>
        <w:left w:val="none" w:sz="0" w:space="0" w:color="auto"/>
        <w:bottom w:val="none" w:sz="0" w:space="0" w:color="auto"/>
        <w:right w:val="none" w:sz="0" w:space="0" w:color="auto"/>
      </w:divBdr>
    </w:div>
    <w:div w:id="1484470228">
      <w:bodyDiv w:val="1"/>
      <w:marLeft w:val="0"/>
      <w:marRight w:val="0"/>
      <w:marTop w:val="0"/>
      <w:marBottom w:val="0"/>
      <w:divBdr>
        <w:top w:val="none" w:sz="0" w:space="0" w:color="auto"/>
        <w:left w:val="none" w:sz="0" w:space="0" w:color="auto"/>
        <w:bottom w:val="none" w:sz="0" w:space="0" w:color="auto"/>
        <w:right w:val="none" w:sz="0" w:space="0" w:color="auto"/>
      </w:divBdr>
    </w:div>
    <w:div w:id="1485319884">
      <w:bodyDiv w:val="1"/>
      <w:marLeft w:val="0"/>
      <w:marRight w:val="0"/>
      <w:marTop w:val="0"/>
      <w:marBottom w:val="0"/>
      <w:divBdr>
        <w:top w:val="none" w:sz="0" w:space="0" w:color="auto"/>
        <w:left w:val="none" w:sz="0" w:space="0" w:color="auto"/>
        <w:bottom w:val="none" w:sz="0" w:space="0" w:color="auto"/>
        <w:right w:val="none" w:sz="0" w:space="0" w:color="auto"/>
      </w:divBdr>
    </w:div>
    <w:div w:id="1488128743">
      <w:bodyDiv w:val="1"/>
      <w:marLeft w:val="0"/>
      <w:marRight w:val="0"/>
      <w:marTop w:val="0"/>
      <w:marBottom w:val="0"/>
      <w:divBdr>
        <w:top w:val="none" w:sz="0" w:space="0" w:color="auto"/>
        <w:left w:val="none" w:sz="0" w:space="0" w:color="auto"/>
        <w:bottom w:val="none" w:sz="0" w:space="0" w:color="auto"/>
        <w:right w:val="none" w:sz="0" w:space="0" w:color="auto"/>
      </w:divBdr>
    </w:div>
    <w:div w:id="1488326030">
      <w:bodyDiv w:val="1"/>
      <w:marLeft w:val="0"/>
      <w:marRight w:val="0"/>
      <w:marTop w:val="0"/>
      <w:marBottom w:val="0"/>
      <w:divBdr>
        <w:top w:val="none" w:sz="0" w:space="0" w:color="auto"/>
        <w:left w:val="none" w:sz="0" w:space="0" w:color="auto"/>
        <w:bottom w:val="none" w:sz="0" w:space="0" w:color="auto"/>
        <w:right w:val="none" w:sz="0" w:space="0" w:color="auto"/>
      </w:divBdr>
    </w:div>
    <w:div w:id="1493526674">
      <w:bodyDiv w:val="1"/>
      <w:marLeft w:val="0"/>
      <w:marRight w:val="0"/>
      <w:marTop w:val="0"/>
      <w:marBottom w:val="0"/>
      <w:divBdr>
        <w:top w:val="none" w:sz="0" w:space="0" w:color="auto"/>
        <w:left w:val="none" w:sz="0" w:space="0" w:color="auto"/>
        <w:bottom w:val="none" w:sz="0" w:space="0" w:color="auto"/>
        <w:right w:val="none" w:sz="0" w:space="0" w:color="auto"/>
      </w:divBdr>
    </w:div>
    <w:div w:id="1494376651">
      <w:bodyDiv w:val="1"/>
      <w:marLeft w:val="0"/>
      <w:marRight w:val="0"/>
      <w:marTop w:val="0"/>
      <w:marBottom w:val="0"/>
      <w:divBdr>
        <w:top w:val="none" w:sz="0" w:space="0" w:color="auto"/>
        <w:left w:val="none" w:sz="0" w:space="0" w:color="auto"/>
        <w:bottom w:val="none" w:sz="0" w:space="0" w:color="auto"/>
        <w:right w:val="none" w:sz="0" w:space="0" w:color="auto"/>
      </w:divBdr>
    </w:div>
    <w:div w:id="1504659394">
      <w:bodyDiv w:val="1"/>
      <w:marLeft w:val="0"/>
      <w:marRight w:val="0"/>
      <w:marTop w:val="0"/>
      <w:marBottom w:val="0"/>
      <w:divBdr>
        <w:top w:val="none" w:sz="0" w:space="0" w:color="auto"/>
        <w:left w:val="none" w:sz="0" w:space="0" w:color="auto"/>
        <w:bottom w:val="none" w:sz="0" w:space="0" w:color="auto"/>
        <w:right w:val="none" w:sz="0" w:space="0" w:color="auto"/>
      </w:divBdr>
    </w:div>
    <w:div w:id="1505321786">
      <w:bodyDiv w:val="1"/>
      <w:marLeft w:val="0"/>
      <w:marRight w:val="0"/>
      <w:marTop w:val="0"/>
      <w:marBottom w:val="0"/>
      <w:divBdr>
        <w:top w:val="none" w:sz="0" w:space="0" w:color="auto"/>
        <w:left w:val="none" w:sz="0" w:space="0" w:color="auto"/>
        <w:bottom w:val="none" w:sz="0" w:space="0" w:color="auto"/>
        <w:right w:val="none" w:sz="0" w:space="0" w:color="auto"/>
      </w:divBdr>
    </w:div>
    <w:div w:id="1508059261">
      <w:bodyDiv w:val="1"/>
      <w:marLeft w:val="0"/>
      <w:marRight w:val="0"/>
      <w:marTop w:val="0"/>
      <w:marBottom w:val="0"/>
      <w:divBdr>
        <w:top w:val="none" w:sz="0" w:space="0" w:color="auto"/>
        <w:left w:val="none" w:sz="0" w:space="0" w:color="auto"/>
        <w:bottom w:val="none" w:sz="0" w:space="0" w:color="auto"/>
        <w:right w:val="none" w:sz="0" w:space="0" w:color="auto"/>
      </w:divBdr>
    </w:div>
    <w:div w:id="1508986072">
      <w:bodyDiv w:val="1"/>
      <w:marLeft w:val="0"/>
      <w:marRight w:val="0"/>
      <w:marTop w:val="0"/>
      <w:marBottom w:val="0"/>
      <w:divBdr>
        <w:top w:val="none" w:sz="0" w:space="0" w:color="auto"/>
        <w:left w:val="none" w:sz="0" w:space="0" w:color="auto"/>
        <w:bottom w:val="none" w:sz="0" w:space="0" w:color="auto"/>
        <w:right w:val="none" w:sz="0" w:space="0" w:color="auto"/>
      </w:divBdr>
    </w:div>
    <w:div w:id="1511598942">
      <w:bodyDiv w:val="1"/>
      <w:marLeft w:val="0"/>
      <w:marRight w:val="0"/>
      <w:marTop w:val="0"/>
      <w:marBottom w:val="0"/>
      <w:divBdr>
        <w:top w:val="none" w:sz="0" w:space="0" w:color="auto"/>
        <w:left w:val="none" w:sz="0" w:space="0" w:color="auto"/>
        <w:bottom w:val="none" w:sz="0" w:space="0" w:color="auto"/>
        <w:right w:val="none" w:sz="0" w:space="0" w:color="auto"/>
      </w:divBdr>
    </w:div>
    <w:div w:id="1518615177">
      <w:bodyDiv w:val="1"/>
      <w:marLeft w:val="0"/>
      <w:marRight w:val="0"/>
      <w:marTop w:val="0"/>
      <w:marBottom w:val="0"/>
      <w:divBdr>
        <w:top w:val="none" w:sz="0" w:space="0" w:color="auto"/>
        <w:left w:val="none" w:sz="0" w:space="0" w:color="auto"/>
        <w:bottom w:val="none" w:sz="0" w:space="0" w:color="auto"/>
        <w:right w:val="none" w:sz="0" w:space="0" w:color="auto"/>
      </w:divBdr>
    </w:div>
    <w:div w:id="1518890844">
      <w:bodyDiv w:val="1"/>
      <w:marLeft w:val="0"/>
      <w:marRight w:val="0"/>
      <w:marTop w:val="0"/>
      <w:marBottom w:val="0"/>
      <w:divBdr>
        <w:top w:val="none" w:sz="0" w:space="0" w:color="auto"/>
        <w:left w:val="none" w:sz="0" w:space="0" w:color="auto"/>
        <w:bottom w:val="none" w:sz="0" w:space="0" w:color="auto"/>
        <w:right w:val="none" w:sz="0" w:space="0" w:color="auto"/>
      </w:divBdr>
    </w:div>
    <w:div w:id="1526674613">
      <w:bodyDiv w:val="1"/>
      <w:marLeft w:val="0"/>
      <w:marRight w:val="0"/>
      <w:marTop w:val="0"/>
      <w:marBottom w:val="0"/>
      <w:divBdr>
        <w:top w:val="none" w:sz="0" w:space="0" w:color="auto"/>
        <w:left w:val="none" w:sz="0" w:space="0" w:color="auto"/>
        <w:bottom w:val="none" w:sz="0" w:space="0" w:color="auto"/>
        <w:right w:val="none" w:sz="0" w:space="0" w:color="auto"/>
      </w:divBdr>
      <w:divsChild>
        <w:div w:id="707920249">
          <w:marLeft w:val="0"/>
          <w:marRight w:val="0"/>
          <w:marTop w:val="0"/>
          <w:marBottom w:val="45"/>
          <w:divBdr>
            <w:top w:val="none" w:sz="0" w:space="0" w:color="auto"/>
            <w:left w:val="none" w:sz="0" w:space="0" w:color="auto"/>
            <w:bottom w:val="none" w:sz="0" w:space="0" w:color="auto"/>
            <w:right w:val="none" w:sz="0" w:space="0" w:color="auto"/>
          </w:divBdr>
          <w:divsChild>
            <w:div w:id="816537604">
              <w:marLeft w:val="0"/>
              <w:marRight w:val="0"/>
              <w:marTop w:val="75"/>
              <w:marBottom w:val="0"/>
              <w:divBdr>
                <w:top w:val="none" w:sz="0" w:space="0" w:color="auto"/>
                <w:left w:val="none" w:sz="0" w:space="0" w:color="auto"/>
                <w:bottom w:val="none" w:sz="0" w:space="0" w:color="auto"/>
                <w:right w:val="none" w:sz="0" w:space="0" w:color="auto"/>
              </w:divBdr>
            </w:div>
          </w:divsChild>
        </w:div>
        <w:div w:id="809175343">
          <w:marLeft w:val="0"/>
          <w:marRight w:val="0"/>
          <w:marTop w:val="0"/>
          <w:marBottom w:val="45"/>
          <w:divBdr>
            <w:top w:val="none" w:sz="0" w:space="0" w:color="auto"/>
            <w:left w:val="none" w:sz="0" w:space="0" w:color="auto"/>
            <w:bottom w:val="none" w:sz="0" w:space="0" w:color="auto"/>
            <w:right w:val="none" w:sz="0" w:space="0" w:color="auto"/>
          </w:divBdr>
          <w:divsChild>
            <w:div w:id="1427655089">
              <w:marLeft w:val="0"/>
              <w:marRight w:val="0"/>
              <w:marTop w:val="75"/>
              <w:marBottom w:val="0"/>
              <w:divBdr>
                <w:top w:val="none" w:sz="0" w:space="0" w:color="auto"/>
                <w:left w:val="none" w:sz="0" w:space="0" w:color="auto"/>
                <w:bottom w:val="none" w:sz="0" w:space="0" w:color="auto"/>
                <w:right w:val="none" w:sz="0" w:space="0" w:color="auto"/>
              </w:divBdr>
            </w:div>
          </w:divsChild>
        </w:div>
        <w:div w:id="1929921366">
          <w:marLeft w:val="0"/>
          <w:marRight w:val="0"/>
          <w:marTop w:val="0"/>
          <w:marBottom w:val="45"/>
          <w:divBdr>
            <w:top w:val="none" w:sz="0" w:space="0" w:color="auto"/>
            <w:left w:val="none" w:sz="0" w:space="0" w:color="auto"/>
            <w:bottom w:val="none" w:sz="0" w:space="0" w:color="auto"/>
            <w:right w:val="none" w:sz="0" w:space="0" w:color="auto"/>
          </w:divBdr>
          <w:divsChild>
            <w:div w:id="2062315697">
              <w:marLeft w:val="0"/>
              <w:marRight w:val="0"/>
              <w:marTop w:val="75"/>
              <w:marBottom w:val="0"/>
              <w:divBdr>
                <w:top w:val="none" w:sz="0" w:space="0" w:color="auto"/>
                <w:left w:val="none" w:sz="0" w:space="0" w:color="auto"/>
                <w:bottom w:val="none" w:sz="0" w:space="0" w:color="auto"/>
                <w:right w:val="none" w:sz="0" w:space="0" w:color="auto"/>
              </w:divBdr>
            </w:div>
          </w:divsChild>
        </w:div>
      </w:divsChild>
    </w:div>
    <w:div w:id="1529445920">
      <w:bodyDiv w:val="1"/>
      <w:marLeft w:val="0"/>
      <w:marRight w:val="0"/>
      <w:marTop w:val="0"/>
      <w:marBottom w:val="0"/>
      <w:divBdr>
        <w:top w:val="none" w:sz="0" w:space="0" w:color="auto"/>
        <w:left w:val="none" w:sz="0" w:space="0" w:color="auto"/>
        <w:bottom w:val="none" w:sz="0" w:space="0" w:color="auto"/>
        <w:right w:val="none" w:sz="0" w:space="0" w:color="auto"/>
      </w:divBdr>
    </w:div>
    <w:div w:id="1536380581">
      <w:bodyDiv w:val="1"/>
      <w:marLeft w:val="0"/>
      <w:marRight w:val="0"/>
      <w:marTop w:val="0"/>
      <w:marBottom w:val="0"/>
      <w:divBdr>
        <w:top w:val="none" w:sz="0" w:space="0" w:color="auto"/>
        <w:left w:val="none" w:sz="0" w:space="0" w:color="auto"/>
        <w:bottom w:val="none" w:sz="0" w:space="0" w:color="auto"/>
        <w:right w:val="none" w:sz="0" w:space="0" w:color="auto"/>
      </w:divBdr>
    </w:div>
    <w:div w:id="1541672161">
      <w:bodyDiv w:val="1"/>
      <w:marLeft w:val="0"/>
      <w:marRight w:val="0"/>
      <w:marTop w:val="0"/>
      <w:marBottom w:val="0"/>
      <w:divBdr>
        <w:top w:val="none" w:sz="0" w:space="0" w:color="auto"/>
        <w:left w:val="none" w:sz="0" w:space="0" w:color="auto"/>
        <w:bottom w:val="none" w:sz="0" w:space="0" w:color="auto"/>
        <w:right w:val="none" w:sz="0" w:space="0" w:color="auto"/>
      </w:divBdr>
    </w:div>
    <w:div w:id="1544751095">
      <w:bodyDiv w:val="1"/>
      <w:marLeft w:val="0"/>
      <w:marRight w:val="0"/>
      <w:marTop w:val="0"/>
      <w:marBottom w:val="0"/>
      <w:divBdr>
        <w:top w:val="none" w:sz="0" w:space="0" w:color="auto"/>
        <w:left w:val="none" w:sz="0" w:space="0" w:color="auto"/>
        <w:bottom w:val="none" w:sz="0" w:space="0" w:color="auto"/>
        <w:right w:val="none" w:sz="0" w:space="0" w:color="auto"/>
      </w:divBdr>
    </w:div>
    <w:div w:id="1545559847">
      <w:bodyDiv w:val="1"/>
      <w:marLeft w:val="0"/>
      <w:marRight w:val="0"/>
      <w:marTop w:val="0"/>
      <w:marBottom w:val="0"/>
      <w:divBdr>
        <w:top w:val="none" w:sz="0" w:space="0" w:color="auto"/>
        <w:left w:val="none" w:sz="0" w:space="0" w:color="auto"/>
        <w:bottom w:val="none" w:sz="0" w:space="0" w:color="auto"/>
        <w:right w:val="none" w:sz="0" w:space="0" w:color="auto"/>
      </w:divBdr>
    </w:div>
    <w:div w:id="1548108777">
      <w:bodyDiv w:val="1"/>
      <w:marLeft w:val="0"/>
      <w:marRight w:val="0"/>
      <w:marTop w:val="0"/>
      <w:marBottom w:val="0"/>
      <w:divBdr>
        <w:top w:val="none" w:sz="0" w:space="0" w:color="auto"/>
        <w:left w:val="none" w:sz="0" w:space="0" w:color="auto"/>
        <w:bottom w:val="none" w:sz="0" w:space="0" w:color="auto"/>
        <w:right w:val="none" w:sz="0" w:space="0" w:color="auto"/>
      </w:divBdr>
    </w:div>
    <w:div w:id="1550652110">
      <w:bodyDiv w:val="1"/>
      <w:marLeft w:val="0"/>
      <w:marRight w:val="0"/>
      <w:marTop w:val="0"/>
      <w:marBottom w:val="0"/>
      <w:divBdr>
        <w:top w:val="none" w:sz="0" w:space="0" w:color="auto"/>
        <w:left w:val="none" w:sz="0" w:space="0" w:color="auto"/>
        <w:bottom w:val="none" w:sz="0" w:space="0" w:color="auto"/>
        <w:right w:val="none" w:sz="0" w:space="0" w:color="auto"/>
      </w:divBdr>
    </w:div>
    <w:div w:id="1554466232">
      <w:bodyDiv w:val="1"/>
      <w:marLeft w:val="0"/>
      <w:marRight w:val="0"/>
      <w:marTop w:val="0"/>
      <w:marBottom w:val="0"/>
      <w:divBdr>
        <w:top w:val="none" w:sz="0" w:space="0" w:color="auto"/>
        <w:left w:val="none" w:sz="0" w:space="0" w:color="auto"/>
        <w:bottom w:val="none" w:sz="0" w:space="0" w:color="auto"/>
        <w:right w:val="none" w:sz="0" w:space="0" w:color="auto"/>
      </w:divBdr>
    </w:div>
    <w:div w:id="1558542491">
      <w:bodyDiv w:val="1"/>
      <w:marLeft w:val="0"/>
      <w:marRight w:val="0"/>
      <w:marTop w:val="0"/>
      <w:marBottom w:val="0"/>
      <w:divBdr>
        <w:top w:val="none" w:sz="0" w:space="0" w:color="auto"/>
        <w:left w:val="none" w:sz="0" w:space="0" w:color="auto"/>
        <w:bottom w:val="none" w:sz="0" w:space="0" w:color="auto"/>
        <w:right w:val="none" w:sz="0" w:space="0" w:color="auto"/>
      </w:divBdr>
    </w:div>
    <w:div w:id="1559173100">
      <w:bodyDiv w:val="1"/>
      <w:marLeft w:val="0"/>
      <w:marRight w:val="0"/>
      <w:marTop w:val="0"/>
      <w:marBottom w:val="0"/>
      <w:divBdr>
        <w:top w:val="none" w:sz="0" w:space="0" w:color="auto"/>
        <w:left w:val="none" w:sz="0" w:space="0" w:color="auto"/>
        <w:bottom w:val="none" w:sz="0" w:space="0" w:color="auto"/>
        <w:right w:val="none" w:sz="0" w:space="0" w:color="auto"/>
      </w:divBdr>
    </w:div>
    <w:div w:id="1561667795">
      <w:bodyDiv w:val="1"/>
      <w:marLeft w:val="0"/>
      <w:marRight w:val="0"/>
      <w:marTop w:val="0"/>
      <w:marBottom w:val="0"/>
      <w:divBdr>
        <w:top w:val="none" w:sz="0" w:space="0" w:color="auto"/>
        <w:left w:val="none" w:sz="0" w:space="0" w:color="auto"/>
        <w:bottom w:val="none" w:sz="0" w:space="0" w:color="auto"/>
        <w:right w:val="none" w:sz="0" w:space="0" w:color="auto"/>
      </w:divBdr>
    </w:div>
    <w:div w:id="1562397990">
      <w:bodyDiv w:val="1"/>
      <w:marLeft w:val="0"/>
      <w:marRight w:val="0"/>
      <w:marTop w:val="0"/>
      <w:marBottom w:val="0"/>
      <w:divBdr>
        <w:top w:val="none" w:sz="0" w:space="0" w:color="auto"/>
        <w:left w:val="none" w:sz="0" w:space="0" w:color="auto"/>
        <w:bottom w:val="none" w:sz="0" w:space="0" w:color="auto"/>
        <w:right w:val="none" w:sz="0" w:space="0" w:color="auto"/>
      </w:divBdr>
    </w:div>
    <w:div w:id="1575820743">
      <w:bodyDiv w:val="1"/>
      <w:marLeft w:val="0"/>
      <w:marRight w:val="0"/>
      <w:marTop w:val="0"/>
      <w:marBottom w:val="0"/>
      <w:divBdr>
        <w:top w:val="none" w:sz="0" w:space="0" w:color="auto"/>
        <w:left w:val="none" w:sz="0" w:space="0" w:color="auto"/>
        <w:bottom w:val="none" w:sz="0" w:space="0" w:color="auto"/>
        <w:right w:val="none" w:sz="0" w:space="0" w:color="auto"/>
      </w:divBdr>
    </w:div>
    <w:div w:id="1575968850">
      <w:bodyDiv w:val="1"/>
      <w:marLeft w:val="0"/>
      <w:marRight w:val="0"/>
      <w:marTop w:val="0"/>
      <w:marBottom w:val="0"/>
      <w:divBdr>
        <w:top w:val="none" w:sz="0" w:space="0" w:color="auto"/>
        <w:left w:val="none" w:sz="0" w:space="0" w:color="auto"/>
        <w:bottom w:val="none" w:sz="0" w:space="0" w:color="auto"/>
        <w:right w:val="none" w:sz="0" w:space="0" w:color="auto"/>
      </w:divBdr>
    </w:div>
    <w:div w:id="1577128597">
      <w:bodyDiv w:val="1"/>
      <w:marLeft w:val="0"/>
      <w:marRight w:val="0"/>
      <w:marTop w:val="0"/>
      <w:marBottom w:val="0"/>
      <w:divBdr>
        <w:top w:val="none" w:sz="0" w:space="0" w:color="auto"/>
        <w:left w:val="none" w:sz="0" w:space="0" w:color="auto"/>
        <w:bottom w:val="none" w:sz="0" w:space="0" w:color="auto"/>
        <w:right w:val="none" w:sz="0" w:space="0" w:color="auto"/>
      </w:divBdr>
    </w:div>
    <w:div w:id="1580018089">
      <w:bodyDiv w:val="1"/>
      <w:marLeft w:val="0"/>
      <w:marRight w:val="0"/>
      <w:marTop w:val="0"/>
      <w:marBottom w:val="0"/>
      <w:divBdr>
        <w:top w:val="none" w:sz="0" w:space="0" w:color="auto"/>
        <w:left w:val="none" w:sz="0" w:space="0" w:color="auto"/>
        <w:bottom w:val="none" w:sz="0" w:space="0" w:color="auto"/>
        <w:right w:val="none" w:sz="0" w:space="0" w:color="auto"/>
      </w:divBdr>
    </w:div>
    <w:div w:id="1580292590">
      <w:bodyDiv w:val="1"/>
      <w:marLeft w:val="0"/>
      <w:marRight w:val="0"/>
      <w:marTop w:val="0"/>
      <w:marBottom w:val="0"/>
      <w:divBdr>
        <w:top w:val="none" w:sz="0" w:space="0" w:color="auto"/>
        <w:left w:val="none" w:sz="0" w:space="0" w:color="auto"/>
        <w:bottom w:val="none" w:sz="0" w:space="0" w:color="auto"/>
        <w:right w:val="none" w:sz="0" w:space="0" w:color="auto"/>
      </w:divBdr>
    </w:div>
    <w:div w:id="1589077825">
      <w:bodyDiv w:val="1"/>
      <w:marLeft w:val="0"/>
      <w:marRight w:val="0"/>
      <w:marTop w:val="0"/>
      <w:marBottom w:val="0"/>
      <w:divBdr>
        <w:top w:val="none" w:sz="0" w:space="0" w:color="auto"/>
        <w:left w:val="none" w:sz="0" w:space="0" w:color="auto"/>
        <w:bottom w:val="none" w:sz="0" w:space="0" w:color="auto"/>
        <w:right w:val="none" w:sz="0" w:space="0" w:color="auto"/>
      </w:divBdr>
    </w:div>
    <w:div w:id="1589923988">
      <w:bodyDiv w:val="1"/>
      <w:marLeft w:val="0"/>
      <w:marRight w:val="0"/>
      <w:marTop w:val="0"/>
      <w:marBottom w:val="0"/>
      <w:divBdr>
        <w:top w:val="none" w:sz="0" w:space="0" w:color="auto"/>
        <w:left w:val="none" w:sz="0" w:space="0" w:color="auto"/>
        <w:bottom w:val="none" w:sz="0" w:space="0" w:color="auto"/>
        <w:right w:val="none" w:sz="0" w:space="0" w:color="auto"/>
      </w:divBdr>
    </w:div>
    <w:div w:id="1600992463">
      <w:bodyDiv w:val="1"/>
      <w:marLeft w:val="0"/>
      <w:marRight w:val="0"/>
      <w:marTop w:val="0"/>
      <w:marBottom w:val="0"/>
      <w:divBdr>
        <w:top w:val="none" w:sz="0" w:space="0" w:color="auto"/>
        <w:left w:val="none" w:sz="0" w:space="0" w:color="auto"/>
        <w:bottom w:val="none" w:sz="0" w:space="0" w:color="auto"/>
        <w:right w:val="none" w:sz="0" w:space="0" w:color="auto"/>
      </w:divBdr>
    </w:div>
    <w:div w:id="1604724009">
      <w:bodyDiv w:val="1"/>
      <w:marLeft w:val="0"/>
      <w:marRight w:val="0"/>
      <w:marTop w:val="0"/>
      <w:marBottom w:val="0"/>
      <w:divBdr>
        <w:top w:val="none" w:sz="0" w:space="0" w:color="auto"/>
        <w:left w:val="none" w:sz="0" w:space="0" w:color="auto"/>
        <w:bottom w:val="none" w:sz="0" w:space="0" w:color="auto"/>
        <w:right w:val="none" w:sz="0" w:space="0" w:color="auto"/>
      </w:divBdr>
    </w:div>
    <w:div w:id="1606116633">
      <w:bodyDiv w:val="1"/>
      <w:marLeft w:val="0"/>
      <w:marRight w:val="0"/>
      <w:marTop w:val="0"/>
      <w:marBottom w:val="0"/>
      <w:divBdr>
        <w:top w:val="none" w:sz="0" w:space="0" w:color="auto"/>
        <w:left w:val="none" w:sz="0" w:space="0" w:color="auto"/>
        <w:bottom w:val="none" w:sz="0" w:space="0" w:color="auto"/>
        <w:right w:val="none" w:sz="0" w:space="0" w:color="auto"/>
      </w:divBdr>
    </w:div>
    <w:div w:id="1606689940">
      <w:bodyDiv w:val="1"/>
      <w:marLeft w:val="0"/>
      <w:marRight w:val="0"/>
      <w:marTop w:val="0"/>
      <w:marBottom w:val="0"/>
      <w:divBdr>
        <w:top w:val="none" w:sz="0" w:space="0" w:color="auto"/>
        <w:left w:val="none" w:sz="0" w:space="0" w:color="auto"/>
        <w:bottom w:val="none" w:sz="0" w:space="0" w:color="auto"/>
        <w:right w:val="none" w:sz="0" w:space="0" w:color="auto"/>
      </w:divBdr>
    </w:div>
    <w:div w:id="1611358783">
      <w:bodyDiv w:val="1"/>
      <w:marLeft w:val="0"/>
      <w:marRight w:val="0"/>
      <w:marTop w:val="0"/>
      <w:marBottom w:val="0"/>
      <w:divBdr>
        <w:top w:val="none" w:sz="0" w:space="0" w:color="auto"/>
        <w:left w:val="none" w:sz="0" w:space="0" w:color="auto"/>
        <w:bottom w:val="none" w:sz="0" w:space="0" w:color="auto"/>
        <w:right w:val="none" w:sz="0" w:space="0" w:color="auto"/>
      </w:divBdr>
    </w:div>
    <w:div w:id="1613198322">
      <w:bodyDiv w:val="1"/>
      <w:marLeft w:val="0"/>
      <w:marRight w:val="0"/>
      <w:marTop w:val="0"/>
      <w:marBottom w:val="0"/>
      <w:divBdr>
        <w:top w:val="none" w:sz="0" w:space="0" w:color="auto"/>
        <w:left w:val="none" w:sz="0" w:space="0" w:color="auto"/>
        <w:bottom w:val="none" w:sz="0" w:space="0" w:color="auto"/>
        <w:right w:val="none" w:sz="0" w:space="0" w:color="auto"/>
      </w:divBdr>
    </w:div>
    <w:div w:id="1615864284">
      <w:bodyDiv w:val="1"/>
      <w:marLeft w:val="0"/>
      <w:marRight w:val="0"/>
      <w:marTop w:val="0"/>
      <w:marBottom w:val="0"/>
      <w:divBdr>
        <w:top w:val="none" w:sz="0" w:space="0" w:color="auto"/>
        <w:left w:val="none" w:sz="0" w:space="0" w:color="auto"/>
        <w:bottom w:val="none" w:sz="0" w:space="0" w:color="auto"/>
        <w:right w:val="none" w:sz="0" w:space="0" w:color="auto"/>
      </w:divBdr>
    </w:div>
    <w:div w:id="1619069905">
      <w:bodyDiv w:val="1"/>
      <w:marLeft w:val="0"/>
      <w:marRight w:val="0"/>
      <w:marTop w:val="0"/>
      <w:marBottom w:val="0"/>
      <w:divBdr>
        <w:top w:val="none" w:sz="0" w:space="0" w:color="auto"/>
        <w:left w:val="none" w:sz="0" w:space="0" w:color="auto"/>
        <w:bottom w:val="none" w:sz="0" w:space="0" w:color="auto"/>
        <w:right w:val="none" w:sz="0" w:space="0" w:color="auto"/>
      </w:divBdr>
    </w:div>
    <w:div w:id="1619337779">
      <w:bodyDiv w:val="1"/>
      <w:marLeft w:val="0"/>
      <w:marRight w:val="0"/>
      <w:marTop w:val="0"/>
      <w:marBottom w:val="0"/>
      <w:divBdr>
        <w:top w:val="none" w:sz="0" w:space="0" w:color="auto"/>
        <w:left w:val="none" w:sz="0" w:space="0" w:color="auto"/>
        <w:bottom w:val="none" w:sz="0" w:space="0" w:color="auto"/>
        <w:right w:val="none" w:sz="0" w:space="0" w:color="auto"/>
      </w:divBdr>
    </w:div>
    <w:div w:id="1619947148">
      <w:bodyDiv w:val="1"/>
      <w:marLeft w:val="0"/>
      <w:marRight w:val="0"/>
      <w:marTop w:val="0"/>
      <w:marBottom w:val="0"/>
      <w:divBdr>
        <w:top w:val="none" w:sz="0" w:space="0" w:color="auto"/>
        <w:left w:val="none" w:sz="0" w:space="0" w:color="auto"/>
        <w:bottom w:val="none" w:sz="0" w:space="0" w:color="auto"/>
        <w:right w:val="none" w:sz="0" w:space="0" w:color="auto"/>
      </w:divBdr>
    </w:div>
    <w:div w:id="1623686446">
      <w:bodyDiv w:val="1"/>
      <w:marLeft w:val="0"/>
      <w:marRight w:val="0"/>
      <w:marTop w:val="0"/>
      <w:marBottom w:val="0"/>
      <w:divBdr>
        <w:top w:val="none" w:sz="0" w:space="0" w:color="auto"/>
        <w:left w:val="none" w:sz="0" w:space="0" w:color="auto"/>
        <w:bottom w:val="none" w:sz="0" w:space="0" w:color="auto"/>
        <w:right w:val="none" w:sz="0" w:space="0" w:color="auto"/>
      </w:divBdr>
    </w:div>
    <w:div w:id="1624656171">
      <w:bodyDiv w:val="1"/>
      <w:marLeft w:val="0"/>
      <w:marRight w:val="0"/>
      <w:marTop w:val="0"/>
      <w:marBottom w:val="0"/>
      <w:divBdr>
        <w:top w:val="none" w:sz="0" w:space="0" w:color="auto"/>
        <w:left w:val="none" w:sz="0" w:space="0" w:color="auto"/>
        <w:bottom w:val="none" w:sz="0" w:space="0" w:color="auto"/>
        <w:right w:val="none" w:sz="0" w:space="0" w:color="auto"/>
      </w:divBdr>
    </w:div>
    <w:div w:id="1628661761">
      <w:bodyDiv w:val="1"/>
      <w:marLeft w:val="0"/>
      <w:marRight w:val="0"/>
      <w:marTop w:val="0"/>
      <w:marBottom w:val="0"/>
      <w:divBdr>
        <w:top w:val="none" w:sz="0" w:space="0" w:color="auto"/>
        <w:left w:val="none" w:sz="0" w:space="0" w:color="auto"/>
        <w:bottom w:val="none" w:sz="0" w:space="0" w:color="auto"/>
        <w:right w:val="none" w:sz="0" w:space="0" w:color="auto"/>
      </w:divBdr>
    </w:div>
    <w:div w:id="1630893944">
      <w:bodyDiv w:val="1"/>
      <w:marLeft w:val="0"/>
      <w:marRight w:val="0"/>
      <w:marTop w:val="0"/>
      <w:marBottom w:val="0"/>
      <w:divBdr>
        <w:top w:val="none" w:sz="0" w:space="0" w:color="auto"/>
        <w:left w:val="none" w:sz="0" w:space="0" w:color="auto"/>
        <w:bottom w:val="none" w:sz="0" w:space="0" w:color="auto"/>
        <w:right w:val="none" w:sz="0" w:space="0" w:color="auto"/>
      </w:divBdr>
    </w:div>
    <w:div w:id="1631519028">
      <w:bodyDiv w:val="1"/>
      <w:marLeft w:val="0"/>
      <w:marRight w:val="0"/>
      <w:marTop w:val="0"/>
      <w:marBottom w:val="0"/>
      <w:divBdr>
        <w:top w:val="none" w:sz="0" w:space="0" w:color="auto"/>
        <w:left w:val="none" w:sz="0" w:space="0" w:color="auto"/>
        <w:bottom w:val="none" w:sz="0" w:space="0" w:color="auto"/>
        <w:right w:val="none" w:sz="0" w:space="0" w:color="auto"/>
      </w:divBdr>
    </w:div>
    <w:div w:id="1637486302">
      <w:bodyDiv w:val="1"/>
      <w:marLeft w:val="0"/>
      <w:marRight w:val="0"/>
      <w:marTop w:val="0"/>
      <w:marBottom w:val="0"/>
      <w:divBdr>
        <w:top w:val="none" w:sz="0" w:space="0" w:color="auto"/>
        <w:left w:val="none" w:sz="0" w:space="0" w:color="auto"/>
        <w:bottom w:val="none" w:sz="0" w:space="0" w:color="auto"/>
        <w:right w:val="none" w:sz="0" w:space="0" w:color="auto"/>
      </w:divBdr>
    </w:div>
    <w:div w:id="1639455063">
      <w:bodyDiv w:val="1"/>
      <w:marLeft w:val="0"/>
      <w:marRight w:val="0"/>
      <w:marTop w:val="0"/>
      <w:marBottom w:val="0"/>
      <w:divBdr>
        <w:top w:val="none" w:sz="0" w:space="0" w:color="auto"/>
        <w:left w:val="none" w:sz="0" w:space="0" w:color="auto"/>
        <w:bottom w:val="none" w:sz="0" w:space="0" w:color="auto"/>
        <w:right w:val="none" w:sz="0" w:space="0" w:color="auto"/>
      </w:divBdr>
    </w:div>
    <w:div w:id="1639455685">
      <w:bodyDiv w:val="1"/>
      <w:marLeft w:val="0"/>
      <w:marRight w:val="0"/>
      <w:marTop w:val="0"/>
      <w:marBottom w:val="0"/>
      <w:divBdr>
        <w:top w:val="none" w:sz="0" w:space="0" w:color="auto"/>
        <w:left w:val="none" w:sz="0" w:space="0" w:color="auto"/>
        <w:bottom w:val="none" w:sz="0" w:space="0" w:color="auto"/>
        <w:right w:val="none" w:sz="0" w:space="0" w:color="auto"/>
      </w:divBdr>
    </w:div>
    <w:div w:id="1640038668">
      <w:bodyDiv w:val="1"/>
      <w:marLeft w:val="0"/>
      <w:marRight w:val="0"/>
      <w:marTop w:val="0"/>
      <w:marBottom w:val="0"/>
      <w:divBdr>
        <w:top w:val="none" w:sz="0" w:space="0" w:color="auto"/>
        <w:left w:val="none" w:sz="0" w:space="0" w:color="auto"/>
        <w:bottom w:val="none" w:sz="0" w:space="0" w:color="auto"/>
        <w:right w:val="none" w:sz="0" w:space="0" w:color="auto"/>
      </w:divBdr>
    </w:div>
    <w:div w:id="1640039851">
      <w:bodyDiv w:val="1"/>
      <w:marLeft w:val="0"/>
      <w:marRight w:val="0"/>
      <w:marTop w:val="0"/>
      <w:marBottom w:val="0"/>
      <w:divBdr>
        <w:top w:val="none" w:sz="0" w:space="0" w:color="auto"/>
        <w:left w:val="none" w:sz="0" w:space="0" w:color="auto"/>
        <w:bottom w:val="none" w:sz="0" w:space="0" w:color="auto"/>
        <w:right w:val="none" w:sz="0" w:space="0" w:color="auto"/>
      </w:divBdr>
    </w:div>
    <w:div w:id="1640109374">
      <w:bodyDiv w:val="1"/>
      <w:marLeft w:val="0"/>
      <w:marRight w:val="0"/>
      <w:marTop w:val="0"/>
      <w:marBottom w:val="0"/>
      <w:divBdr>
        <w:top w:val="none" w:sz="0" w:space="0" w:color="auto"/>
        <w:left w:val="none" w:sz="0" w:space="0" w:color="auto"/>
        <w:bottom w:val="none" w:sz="0" w:space="0" w:color="auto"/>
        <w:right w:val="none" w:sz="0" w:space="0" w:color="auto"/>
      </w:divBdr>
    </w:div>
    <w:div w:id="1642536281">
      <w:bodyDiv w:val="1"/>
      <w:marLeft w:val="0"/>
      <w:marRight w:val="0"/>
      <w:marTop w:val="0"/>
      <w:marBottom w:val="0"/>
      <w:divBdr>
        <w:top w:val="none" w:sz="0" w:space="0" w:color="auto"/>
        <w:left w:val="none" w:sz="0" w:space="0" w:color="auto"/>
        <w:bottom w:val="none" w:sz="0" w:space="0" w:color="auto"/>
        <w:right w:val="none" w:sz="0" w:space="0" w:color="auto"/>
      </w:divBdr>
    </w:div>
    <w:div w:id="1642803045">
      <w:bodyDiv w:val="1"/>
      <w:marLeft w:val="0"/>
      <w:marRight w:val="0"/>
      <w:marTop w:val="0"/>
      <w:marBottom w:val="0"/>
      <w:divBdr>
        <w:top w:val="none" w:sz="0" w:space="0" w:color="auto"/>
        <w:left w:val="none" w:sz="0" w:space="0" w:color="auto"/>
        <w:bottom w:val="none" w:sz="0" w:space="0" w:color="auto"/>
        <w:right w:val="none" w:sz="0" w:space="0" w:color="auto"/>
      </w:divBdr>
    </w:div>
    <w:div w:id="1644507743">
      <w:bodyDiv w:val="1"/>
      <w:marLeft w:val="0"/>
      <w:marRight w:val="0"/>
      <w:marTop w:val="0"/>
      <w:marBottom w:val="0"/>
      <w:divBdr>
        <w:top w:val="none" w:sz="0" w:space="0" w:color="auto"/>
        <w:left w:val="none" w:sz="0" w:space="0" w:color="auto"/>
        <w:bottom w:val="none" w:sz="0" w:space="0" w:color="auto"/>
        <w:right w:val="none" w:sz="0" w:space="0" w:color="auto"/>
      </w:divBdr>
      <w:divsChild>
        <w:div w:id="1784305909">
          <w:marLeft w:val="0"/>
          <w:marRight w:val="0"/>
          <w:marTop w:val="0"/>
          <w:marBottom w:val="0"/>
          <w:divBdr>
            <w:top w:val="none" w:sz="0" w:space="0" w:color="auto"/>
            <w:left w:val="none" w:sz="0" w:space="0" w:color="auto"/>
            <w:bottom w:val="none" w:sz="0" w:space="0" w:color="auto"/>
            <w:right w:val="none" w:sz="0" w:space="0" w:color="auto"/>
          </w:divBdr>
        </w:div>
      </w:divsChild>
    </w:div>
    <w:div w:id="1647929119">
      <w:bodyDiv w:val="1"/>
      <w:marLeft w:val="0"/>
      <w:marRight w:val="0"/>
      <w:marTop w:val="0"/>
      <w:marBottom w:val="0"/>
      <w:divBdr>
        <w:top w:val="none" w:sz="0" w:space="0" w:color="auto"/>
        <w:left w:val="none" w:sz="0" w:space="0" w:color="auto"/>
        <w:bottom w:val="none" w:sz="0" w:space="0" w:color="auto"/>
        <w:right w:val="none" w:sz="0" w:space="0" w:color="auto"/>
      </w:divBdr>
    </w:div>
    <w:div w:id="1648246266">
      <w:bodyDiv w:val="1"/>
      <w:marLeft w:val="0"/>
      <w:marRight w:val="0"/>
      <w:marTop w:val="0"/>
      <w:marBottom w:val="0"/>
      <w:divBdr>
        <w:top w:val="none" w:sz="0" w:space="0" w:color="auto"/>
        <w:left w:val="none" w:sz="0" w:space="0" w:color="auto"/>
        <w:bottom w:val="none" w:sz="0" w:space="0" w:color="auto"/>
        <w:right w:val="none" w:sz="0" w:space="0" w:color="auto"/>
      </w:divBdr>
    </w:div>
    <w:div w:id="1649093287">
      <w:bodyDiv w:val="1"/>
      <w:marLeft w:val="0"/>
      <w:marRight w:val="0"/>
      <w:marTop w:val="0"/>
      <w:marBottom w:val="0"/>
      <w:divBdr>
        <w:top w:val="none" w:sz="0" w:space="0" w:color="auto"/>
        <w:left w:val="none" w:sz="0" w:space="0" w:color="auto"/>
        <w:bottom w:val="none" w:sz="0" w:space="0" w:color="auto"/>
        <w:right w:val="none" w:sz="0" w:space="0" w:color="auto"/>
      </w:divBdr>
    </w:div>
    <w:div w:id="1655068172">
      <w:bodyDiv w:val="1"/>
      <w:marLeft w:val="0"/>
      <w:marRight w:val="0"/>
      <w:marTop w:val="0"/>
      <w:marBottom w:val="0"/>
      <w:divBdr>
        <w:top w:val="none" w:sz="0" w:space="0" w:color="auto"/>
        <w:left w:val="none" w:sz="0" w:space="0" w:color="auto"/>
        <w:bottom w:val="none" w:sz="0" w:space="0" w:color="auto"/>
        <w:right w:val="none" w:sz="0" w:space="0" w:color="auto"/>
      </w:divBdr>
    </w:div>
    <w:div w:id="1656491633">
      <w:bodyDiv w:val="1"/>
      <w:marLeft w:val="0"/>
      <w:marRight w:val="0"/>
      <w:marTop w:val="0"/>
      <w:marBottom w:val="0"/>
      <w:divBdr>
        <w:top w:val="none" w:sz="0" w:space="0" w:color="auto"/>
        <w:left w:val="none" w:sz="0" w:space="0" w:color="auto"/>
        <w:bottom w:val="none" w:sz="0" w:space="0" w:color="auto"/>
        <w:right w:val="none" w:sz="0" w:space="0" w:color="auto"/>
      </w:divBdr>
    </w:div>
    <w:div w:id="1657685332">
      <w:bodyDiv w:val="1"/>
      <w:marLeft w:val="0"/>
      <w:marRight w:val="0"/>
      <w:marTop w:val="0"/>
      <w:marBottom w:val="0"/>
      <w:divBdr>
        <w:top w:val="none" w:sz="0" w:space="0" w:color="auto"/>
        <w:left w:val="none" w:sz="0" w:space="0" w:color="auto"/>
        <w:bottom w:val="none" w:sz="0" w:space="0" w:color="auto"/>
        <w:right w:val="none" w:sz="0" w:space="0" w:color="auto"/>
      </w:divBdr>
    </w:div>
    <w:div w:id="1659530554">
      <w:bodyDiv w:val="1"/>
      <w:marLeft w:val="0"/>
      <w:marRight w:val="0"/>
      <w:marTop w:val="0"/>
      <w:marBottom w:val="0"/>
      <w:divBdr>
        <w:top w:val="none" w:sz="0" w:space="0" w:color="auto"/>
        <w:left w:val="none" w:sz="0" w:space="0" w:color="auto"/>
        <w:bottom w:val="none" w:sz="0" w:space="0" w:color="auto"/>
        <w:right w:val="none" w:sz="0" w:space="0" w:color="auto"/>
      </w:divBdr>
    </w:div>
    <w:div w:id="1659573443">
      <w:bodyDiv w:val="1"/>
      <w:marLeft w:val="0"/>
      <w:marRight w:val="0"/>
      <w:marTop w:val="0"/>
      <w:marBottom w:val="0"/>
      <w:divBdr>
        <w:top w:val="none" w:sz="0" w:space="0" w:color="auto"/>
        <w:left w:val="none" w:sz="0" w:space="0" w:color="auto"/>
        <w:bottom w:val="none" w:sz="0" w:space="0" w:color="auto"/>
        <w:right w:val="none" w:sz="0" w:space="0" w:color="auto"/>
      </w:divBdr>
    </w:div>
    <w:div w:id="1661537299">
      <w:bodyDiv w:val="1"/>
      <w:marLeft w:val="0"/>
      <w:marRight w:val="0"/>
      <w:marTop w:val="0"/>
      <w:marBottom w:val="0"/>
      <w:divBdr>
        <w:top w:val="none" w:sz="0" w:space="0" w:color="auto"/>
        <w:left w:val="none" w:sz="0" w:space="0" w:color="auto"/>
        <w:bottom w:val="none" w:sz="0" w:space="0" w:color="auto"/>
        <w:right w:val="none" w:sz="0" w:space="0" w:color="auto"/>
      </w:divBdr>
    </w:div>
    <w:div w:id="1661541922">
      <w:bodyDiv w:val="1"/>
      <w:marLeft w:val="0"/>
      <w:marRight w:val="0"/>
      <w:marTop w:val="0"/>
      <w:marBottom w:val="0"/>
      <w:divBdr>
        <w:top w:val="none" w:sz="0" w:space="0" w:color="auto"/>
        <w:left w:val="none" w:sz="0" w:space="0" w:color="auto"/>
        <w:bottom w:val="none" w:sz="0" w:space="0" w:color="auto"/>
        <w:right w:val="none" w:sz="0" w:space="0" w:color="auto"/>
      </w:divBdr>
    </w:div>
    <w:div w:id="1663268996">
      <w:bodyDiv w:val="1"/>
      <w:marLeft w:val="0"/>
      <w:marRight w:val="0"/>
      <w:marTop w:val="0"/>
      <w:marBottom w:val="0"/>
      <w:divBdr>
        <w:top w:val="none" w:sz="0" w:space="0" w:color="auto"/>
        <w:left w:val="none" w:sz="0" w:space="0" w:color="auto"/>
        <w:bottom w:val="none" w:sz="0" w:space="0" w:color="auto"/>
        <w:right w:val="none" w:sz="0" w:space="0" w:color="auto"/>
      </w:divBdr>
    </w:div>
    <w:div w:id="1666739290">
      <w:bodyDiv w:val="1"/>
      <w:marLeft w:val="0"/>
      <w:marRight w:val="0"/>
      <w:marTop w:val="0"/>
      <w:marBottom w:val="0"/>
      <w:divBdr>
        <w:top w:val="none" w:sz="0" w:space="0" w:color="auto"/>
        <w:left w:val="none" w:sz="0" w:space="0" w:color="auto"/>
        <w:bottom w:val="none" w:sz="0" w:space="0" w:color="auto"/>
        <w:right w:val="none" w:sz="0" w:space="0" w:color="auto"/>
      </w:divBdr>
    </w:div>
    <w:div w:id="1673020529">
      <w:bodyDiv w:val="1"/>
      <w:marLeft w:val="0"/>
      <w:marRight w:val="0"/>
      <w:marTop w:val="0"/>
      <w:marBottom w:val="0"/>
      <w:divBdr>
        <w:top w:val="none" w:sz="0" w:space="0" w:color="auto"/>
        <w:left w:val="none" w:sz="0" w:space="0" w:color="auto"/>
        <w:bottom w:val="none" w:sz="0" w:space="0" w:color="auto"/>
        <w:right w:val="none" w:sz="0" w:space="0" w:color="auto"/>
      </w:divBdr>
    </w:div>
    <w:div w:id="1674145197">
      <w:bodyDiv w:val="1"/>
      <w:marLeft w:val="0"/>
      <w:marRight w:val="0"/>
      <w:marTop w:val="0"/>
      <w:marBottom w:val="0"/>
      <w:divBdr>
        <w:top w:val="none" w:sz="0" w:space="0" w:color="auto"/>
        <w:left w:val="none" w:sz="0" w:space="0" w:color="auto"/>
        <w:bottom w:val="none" w:sz="0" w:space="0" w:color="auto"/>
        <w:right w:val="none" w:sz="0" w:space="0" w:color="auto"/>
      </w:divBdr>
    </w:div>
    <w:div w:id="1678657686">
      <w:bodyDiv w:val="1"/>
      <w:marLeft w:val="0"/>
      <w:marRight w:val="0"/>
      <w:marTop w:val="0"/>
      <w:marBottom w:val="0"/>
      <w:divBdr>
        <w:top w:val="none" w:sz="0" w:space="0" w:color="auto"/>
        <w:left w:val="none" w:sz="0" w:space="0" w:color="auto"/>
        <w:bottom w:val="none" w:sz="0" w:space="0" w:color="auto"/>
        <w:right w:val="none" w:sz="0" w:space="0" w:color="auto"/>
      </w:divBdr>
    </w:div>
    <w:div w:id="1680883475">
      <w:bodyDiv w:val="1"/>
      <w:marLeft w:val="0"/>
      <w:marRight w:val="0"/>
      <w:marTop w:val="0"/>
      <w:marBottom w:val="0"/>
      <w:divBdr>
        <w:top w:val="none" w:sz="0" w:space="0" w:color="auto"/>
        <w:left w:val="none" w:sz="0" w:space="0" w:color="auto"/>
        <w:bottom w:val="none" w:sz="0" w:space="0" w:color="auto"/>
        <w:right w:val="none" w:sz="0" w:space="0" w:color="auto"/>
      </w:divBdr>
    </w:div>
    <w:div w:id="1685857357">
      <w:bodyDiv w:val="1"/>
      <w:marLeft w:val="0"/>
      <w:marRight w:val="0"/>
      <w:marTop w:val="0"/>
      <w:marBottom w:val="0"/>
      <w:divBdr>
        <w:top w:val="none" w:sz="0" w:space="0" w:color="auto"/>
        <w:left w:val="none" w:sz="0" w:space="0" w:color="auto"/>
        <w:bottom w:val="none" w:sz="0" w:space="0" w:color="auto"/>
        <w:right w:val="none" w:sz="0" w:space="0" w:color="auto"/>
      </w:divBdr>
    </w:div>
    <w:div w:id="1690914702">
      <w:bodyDiv w:val="1"/>
      <w:marLeft w:val="0"/>
      <w:marRight w:val="0"/>
      <w:marTop w:val="0"/>
      <w:marBottom w:val="0"/>
      <w:divBdr>
        <w:top w:val="none" w:sz="0" w:space="0" w:color="auto"/>
        <w:left w:val="none" w:sz="0" w:space="0" w:color="auto"/>
        <w:bottom w:val="none" w:sz="0" w:space="0" w:color="auto"/>
        <w:right w:val="none" w:sz="0" w:space="0" w:color="auto"/>
      </w:divBdr>
    </w:div>
    <w:div w:id="1695382144">
      <w:bodyDiv w:val="1"/>
      <w:marLeft w:val="0"/>
      <w:marRight w:val="0"/>
      <w:marTop w:val="0"/>
      <w:marBottom w:val="0"/>
      <w:divBdr>
        <w:top w:val="none" w:sz="0" w:space="0" w:color="auto"/>
        <w:left w:val="none" w:sz="0" w:space="0" w:color="auto"/>
        <w:bottom w:val="none" w:sz="0" w:space="0" w:color="auto"/>
        <w:right w:val="none" w:sz="0" w:space="0" w:color="auto"/>
      </w:divBdr>
    </w:div>
    <w:div w:id="1706250850">
      <w:bodyDiv w:val="1"/>
      <w:marLeft w:val="0"/>
      <w:marRight w:val="0"/>
      <w:marTop w:val="0"/>
      <w:marBottom w:val="0"/>
      <w:divBdr>
        <w:top w:val="none" w:sz="0" w:space="0" w:color="auto"/>
        <w:left w:val="none" w:sz="0" w:space="0" w:color="auto"/>
        <w:bottom w:val="none" w:sz="0" w:space="0" w:color="auto"/>
        <w:right w:val="none" w:sz="0" w:space="0" w:color="auto"/>
      </w:divBdr>
    </w:div>
    <w:div w:id="1706636702">
      <w:bodyDiv w:val="1"/>
      <w:marLeft w:val="0"/>
      <w:marRight w:val="0"/>
      <w:marTop w:val="0"/>
      <w:marBottom w:val="0"/>
      <w:divBdr>
        <w:top w:val="none" w:sz="0" w:space="0" w:color="auto"/>
        <w:left w:val="none" w:sz="0" w:space="0" w:color="auto"/>
        <w:bottom w:val="none" w:sz="0" w:space="0" w:color="auto"/>
        <w:right w:val="none" w:sz="0" w:space="0" w:color="auto"/>
      </w:divBdr>
    </w:div>
    <w:div w:id="1712222587">
      <w:bodyDiv w:val="1"/>
      <w:marLeft w:val="0"/>
      <w:marRight w:val="0"/>
      <w:marTop w:val="0"/>
      <w:marBottom w:val="0"/>
      <w:divBdr>
        <w:top w:val="none" w:sz="0" w:space="0" w:color="auto"/>
        <w:left w:val="none" w:sz="0" w:space="0" w:color="auto"/>
        <w:bottom w:val="none" w:sz="0" w:space="0" w:color="auto"/>
        <w:right w:val="none" w:sz="0" w:space="0" w:color="auto"/>
      </w:divBdr>
    </w:div>
    <w:div w:id="1713533776">
      <w:bodyDiv w:val="1"/>
      <w:marLeft w:val="0"/>
      <w:marRight w:val="0"/>
      <w:marTop w:val="0"/>
      <w:marBottom w:val="0"/>
      <w:divBdr>
        <w:top w:val="none" w:sz="0" w:space="0" w:color="auto"/>
        <w:left w:val="none" w:sz="0" w:space="0" w:color="auto"/>
        <w:bottom w:val="none" w:sz="0" w:space="0" w:color="auto"/>
        <w:right w:val="none" w:sz="0" w:space="0" w:color="auto"/>
      </w:divBdr>
    </w:div>
    <w:div w:id="1713535548">
      <w:bodyDiv w:val="1"/>
      <w:marLeft w:val="0"/>
      <w:marRight w:val="0"/>
      <w:marTop w:val="0"/>
      <w:marBottom w:val="0"/>
      <w:divBdr>
        <w:top w:val="none" w:sz="0" w:space="0" w:color="auto"/>
        <w:left w:val="none" w:sz="0" w:space="0" w:color="auto"/>
        <w:bottom w:val="none" w:sz="0" w:space="0" w:color="auto"/>
        <w:right w:val="none" w:sz="0" w:space="0" w:color="auto"/>
      </w:divBdr>
    </w:div>
    <w:div w:id="1713650516">
      <w:bodyDiv w:val="1"/>
      <w:marLeft w:val="0"/>
      <w:marRight w:val="0"/>
      <w:marTop w:val="0"/>
      <w:marBottom w:val="0"/>
      <w:divBdr>
        <w:top w:val="none" w:sz="0" w:space="0" w:color="auto"/>
        <w:left w:val="none" w:sz="0" w:space="0" w:color="auto"/>
        <w:bottom w:val="none" w:sz="0" w:space="0" w:color="auto"/>
        <w:right w:val="none" w:sz="0" w:space="0" w:color="auto"/>
      </w:divBdr>
    </w:div>
    <w:div w:id="1713840615">
      <w:bodyDiv w:val="1"/>
      <w:marLeft w:val="0"/>
      <w:marRight w:val="0"/>
      <w:marTop w:val="0"/>
      <w:marBottom w:val="0"/>
      <w:divBdr>
        <w:top w:val="none" w:sz="0" w:space="0" w:color="auto"/>
        <w:left w:val="none" w:sz="0" w:space="0" w:color="auto"/>
        <w:bottom w:val="none" w:sz="0" w:space="0" w:color="auto"/>
        <w:right w:val="none" w:sz="0" w:space="0" w:color="auto"/>
      </w:divBdr>
    </w:div>
    <w:div w:id="1716657237">
      <w:bodyDiv w:val="1"/>
      <w:marLeft w:val="0"/>
      <w:marRight w:val="0"/>
      <w:marTop w:val="0"/>
      <w:marBottom w:val="0"/>
      <w:divBdr>
        <w:top w:val="none" w:sz="0" w:space="0" w:color="auto"/>
        <w:left w:val="none" w:sz="0" w:space="0" w:color="auto"/>
        <w:bottom w:val="none" w:sz="0" w:space="0" w:color="auto"/>
        <w:right w:val="none" w:sz="0" w:space="0" w:color="auto"/>
      </w:divBdr>
    </w:div>
    <w:div w:id="1718118920">
      <w:bodyDiv w:val="1"/>
      <w:marLeft w:val="0"/>
      <w:marRight w:val="0"/>
      <w:marTop w:val="0"/>
      <w:marBottom w:val="0"/>
      <w:divBdr>
        <w:top w:val="none" w:sz="0" w:space="0" w:color="auto"/>
        <w:left w:val="none" w:sz="0" w:space="0" w:color="auto"/>
        <w:bottom w:val="none" w:sz="0" w:space="0" w:color="auto"/>
        <w:right w:val="none" w:sz="0" w:space="0" w:color="auto"/>
      </w:divBdr>
    </w:div>
    <w:div w:id="1718318343">
      <w:bodyDiv w:val="1"/>
      <w:marLeft w:val="0"/>
      <w:marRight w:val="0"/>
      <w:marTop w:val="0"/>
      <w:marBottom w:val="0"/>
      <w:divBdr>
        <w:top w:val="none" w:sz="0" w:space="0" w:color="auto"/>
        <w:left w:val="none" w:sz="0" w:space="0" w:color="auto"/>
        <w:bottom w:val="none" w:sz="0" w:space="0" w:color="auto"/>
        <w:right w:val="none" w:sz="0" w:space="0" w:color="auto"/>
      </w:divBdr>
      <w:divsChild>
        <w:div w:id="372652973">
          <w:marLeft w:val="0"/>
          <w:marRight w:val="0"/>
          <w:marTop w:val="0"/>
          <w:marBottom w:val="0"/>
          <w:divBdr>
            <w:top w:val="none" w:sz="0" w:space="0" w:color="auto"/>
            <w:left w:val="none" w:sz="0" w:space="0" w:color="auto"/>
            <w:bottom w:val="none" w:sz="0" w:space="0" w:color="auto"/>
            <w:right w:val="none" w:sz="0" w:space="0" w:color="auto"/>
          </w:divBdr>
        </w:div>
        <w:div w:id="1541939276">
          <w:marLeft w:val="0"/>
          <w:marRight w:val="0"/>
          <w:marTop w:val="75"/>
          <w:marBottom w:val="0"/>
          <w:divBdr>
            <w:top w:val="none" w:sz="0" w:space="0" w:color="auto"/>
            <w:left w:val="none" w:sz="0" w:space="0" w:color="auto"/>
            <w:bottom w:val="none" w:sz="0" w:space="0" w:color="auto"/>
            <w:right w:val="none" w:sz="0" w:space="0" w:color="auto"/>
          </w:divBdr>
        </w:div>
      </w:divsChild>
    </w:div>
    <w:div w:id="1723214049">
      <w:bodyDiv w:val="1"/>
      <w:marLeft w:val="0"/>
      <w:marRight w:val="0"/>
      <w:marTop w:val="0"/>
      <w:marBottom w:val="0"/>
      <w:divBdr>
        <w:top w:val="none" w:sz="0" w:space="0" w:color="auto"/>
        <w:left w:val="none" w:sz="0" w:space="0" w:color="auto"/>
        <w:bottom w:val="none" w:sz="0" w:space="0" w:color="auto"/>
        <w:right w:val="none" w:sz="0" w:space="0" w:color="auto"/>
      </w:divBdr>
    </w:div>
    <w:div w:id="1724910715">
      <w:bodyDiv w:val="1"/>
      <w:marLeft w:val="0"/>
      <w:marRight w:val="0"/>
      <w:marTop w:val="0"/>
      <w:marBottom w:val="0"/>
      <w:divBdr>
        <w:top w:val="none" w:sz="0" w:space="0" w:color="auto"/>
        <w:left w:val="none" w:sz="0" w:space="0" w:color="auto"/>
        <w:bottom w:val="none" w:sz="0" w:space="0" w:color="auto"/>
        <w:right w:val="none" w:sz="0" w:space="0" w:color="auto"/>
      </w:divBdr>
    </w:div>
    <w:div w:id="1726951822">
      <w:bodyDiv w:val="1"/>
      <w:marLeft w:val="0"/>
      <w:marRight w:val="0"/>
      <w:marTop w:val="0"/>
      <w:marBottom w:val="0"/>
      <w:divBdr>
        <w:top w:val="none" w:sz="0" w:space="0" w:color="auto"/>
        <w:left w:val="none" w:sz="0" w:space="0" w:color="auto"/>
        <w:bottom w:val="none" w:sz="0" w:space="0" w:color="auto"/>
        <w:right w:val="none" w:sz="0" w:space="0" w:color="auto"/>
      </w:divBdr>
    </w:div>
    <w:div w:id="1734693488">
      <w:bodyDiv w:val="1"/>
      <w:marLeft w:val="0"/>
      <w:marRight w:val="0"/>
      <w:marTop w:val="0"/>
      <w:marBottom w:val="0"/>
      <w:divBdr>
        <w:top w:val="none" w:sz="0" w:space="0" w:color="auto"/>
        <w:left w:val="none" w:sz="0" w:space="0" w:color="auto"/>
        <w:bottom w:val="none" w:sz="0" w:space="0" w:color="auto"/>
        <w:right w:val="none" w:sz="0" w:space="0" w:color="auto"/>
      </w:divBdr>
    </w:div>
    <w:div w:id="1737824661">
      <w:bodyDiv w:val="1"/>
      <w:marLeft w:val="0"/>
      <w:marRight w:val="0"/>
      <w:marTop w:val="0"/>
      <w:marBottom w:val="0"/>
      <w:divBdr>
        <w:top w:val="none" w:sz="0" w:space="0" w:color="auto"/>
        <w:left w:val="none" w:sz="0" w:space="0" w:color="auto"/>
        <w:bottom w:val="none" w:sz="0" w:space="0" w:color="auto"/>
        <w:right w:val="none" w:sz="0" w:space="0" w:color="auto"/>
      </w:divBdr>
    </w:div>
    <w:div w:id="1747219243">
      <w:bodyDiv w:val="1"/>
      <w:marLeft w:val="0"/>
      <w:marRight w:val="0"/>
      <w:marTop w:val="0"/>
      <w:marBottom w:val="0"/>
      <w:divBdr>
        <w:top w:val="none" w:sz="0" w:space="0" w:color="auto"/>
        <w:left w:val="none" w:sz="0" w:space="0" w:color="auto"/>
        <w:bottom w:val="none" w:sz="0" w:space="0" w:color="auto"/>
        <w:right w:val="none" w:sz="0" w:space="0" w:color="auto"/>
      </w:divBdr>
    </w:div>
    <w:div w:id="1748305614">
      <w:bodyDiv w:val="1"/>
      <w:marLeft w:val="0"/>
      <w:marRight w:val="0"/>
      <w:marTop w:val="0"/>
      <w:marBottom w:val="0"/>
      <w:divBdr>
        <w:top w:val="none" w:sz="0" w:space="0" w:color="auto"/>
        <w:left w:val="none" w:sz="0" w:space="0" w:color="auto"/>
        <w:bottom w:val="none" w:sz="0" w:space="0" w:color="auto"/>
        <w:right w:val="none" w:sz="0" w:space="0" w:color="auto"/>
      </w:divBdr>
    </w:div>
    <w:div w:id="1759591444">
      <w:bodyDiv w:val="1"/>
      <w:marLeft w:val="0"/>
      <w:marRight w:val="0"/>
      <w:marTop w:val="0"/>
      <w:marBottom w:val="0"/>
      <w:divBdr>
        <w:top w:val="none" w:sz="0" w:space="0" w:color="auto"/>
        <w:left w:val="none" w:sz="0" w:space="0" w:color="auto"/>
        <w:bottom w:val="none" w:sz="0" w:space="0" w:color="auto"/>
        <w:right w:val="none" w:sz="0" w:space="0" w:color="auto"/>
      </w:divBdr>
    </w:div>
    <w:div w:id="1763143300">
      <w:bodyDiv w:val="1"/>
      <w:marLeft w:val="0"/>
      <w:marRight w:val="0"/>
      <w:marTop w:val="0"/>
      <w:marBottom w:val="0"/>
      <w:divBdr>
        <w:top w:val="none" w:sz="0" w:space="0" w:color="auto"/>
        <w:left w:val="none" w:sz="0" w:space="0" w:color="auto"/>
        <w:bottom w:val="none" w:sz="0" w:space="0" w:color="auto"/>
        <w:right w:val="none" w:sz="0" w:space="0" w:color="auto"/>
      </w:divBdr>
    </w:div>
    <w:div w:id="1766803307">
      <w:bodyDiv w:val="1"/>
      <w:marLeft w:val="0"/>
      <w:marRight w:val="0"/>
      <w:marTop w:val="0"/>
      <w:marBottom w:val="0"/>
      <w:divBdr>
        <w:top w:val="none" w:sz="0" w:space="0" w:color="auto"/>
        <w:left w:val="none" w:sz="0" w:space="0" w:color="auto"/>
        <w:bottom w:val="none" w:sz="0" w:space="0" w:color="auto"/>
        <w:right w:val="none" w:sz="0" w:space="0" w:color="auto"/>
      </w:divBdr>
    </w:div>
    <w:div w:id="1768502864">
      <w:bodyDiv w:val="1"/>
      <w:marLeft w:val="0"/>
      <w:marRight w:val="0"/>
      <w:marTop w:val="0"/>
      <w:marBottom w:val="0"/>
      <w:divBdr>
        <w:top w:val="none" w:sz="0" w:space="0" w:color="auto"/>
        <w:left w:val="none" w:sz="0" w:space="0" w:color="auto"/>
        <w:bottom w:val="none" w:sz="0" w:space="0" w:color="auto"/>
        <w:right w:val="none" w:sz="0" w:space="0" w:color="auto"/>
      </w:divBdr>
    </w:div>
    <w:div w:id="1769421547">
      <w:bodyDiv w:val="1"/>
      <w:marLeft w:val="0"/>
      <w:marRight w:val="0"/>
      <w:marTop w:val="0"/>
      <w:marBottom w:val="0"/>
      <w:divBdr>
        <w:top w:val="none" w:sz="0" w:space="0" w:color="auto"/>
        <w:left w:val="none" w:sz="0" w:space="0" w:color="auto"/>
        <w:bottom w:val="none" w:sz="0" w:space="0" w:color="auto"/>
        <w:right w:val="none" w:sz="0" w:space="0" w:color="auto"/>
      </w:divBdr>
    </w:div>
    <w:div w:id="1774940149">
      <w:bodyDiv w:val="1"/>
      <w:marLeft w:val="0"/>
      <w:marRight w:val="0"/>
      <w:marTop w:val="0"/>
      <w:marBottom w:val="0"/>
      <w:divBdr>
        <w:top w:val="none" w:sz="0" w:space="0" w:color="auto"/>
        <w:left w:val="none" w:sz="0" w:space="0" w:color="auto"/>
        <w:bottom w:val="none" w:sz="0" w:space="0" w:color="auto"/>
        <w:right w:val="none" w:sz="0" w:space="0" w:color="auto"/>
      </w:divBdr>
    </w:div>
    <w:div w:id="1776169984">
      <w:bodyDiv w:val="1"/>
      <w:marLeft w:val="0"/>
      <w:marRight w:val="0"/>
      <w:marTop w:val="0"/>
      <w:marBottom w:val="0"/>
      <w:divBdr>
        <w:top w:val="none" w:sz="0" w:space="0" w:color="auto"/>
        <w:left w:val="none" w:sz="0" w:space="0" w:color="auto"/>
        <w:bottom w:val="none" w:sz="0" w:space="0" w:color="auto"/>
        <w:right w:val="none" w:sz="0" w:space="0" w:color="auto"/>
      </w:divBdr>
    </w:div>
    <w:div w:id="1781487101">
      <w:bodyDiv w:val="1"/>
      <w:marLeft w:val="0"/>
      <w:marRight w:val="0"/>
      <w:marTop w:val="0"/>
      <w:marBottom w:val="0"/>
      <w:divBdr>
        <w:top w:val="none" w:sz="0" w:space="0" w:color="auto"/>
        <w:left w:val="none" w:sz="0" w:space="0" w:color="auto"/>
        <w:bottom w:val="none" w:sz="0" w:space="0" w:color="auto"/>
        <w:right w:val="none" w:sz="0" w:space="0" w:color="auto"/>
      </w:divBdr>
    </w:div>
    <w:div w:id="1783382031">
      <w:bodyDiv w:val="1"/>
      <w:marLeft w:val="0"/>
      <w:marRight w:val="0"/>
      <w:marTop w:val="0"/>
      <w:marBottom w:val="0"/>
      <w:divBdr>
        <w:top w:val="none" w:sz="0" w:space="0" w:color="auto"/>
        <w:left w:val="none" w:sz="0" w:space="0" w:color="auto"/>
        <w:bottom w:val="none" w:sz="0" w:space="0" w:color="auto"/>
        <w:right w:val="none" w:sz="0" w:space="0" w:color="auto"/>
      </w:divBdr>
    </w:div>
    <w:div w:id="1787037631">
      <w:bodyDiv w:val="1"/>
      <w:marLeft w:val="0"/>
      <w:marRight w:val="0"/>
      <w:marTop w:val="0"/>
      <w:marBottom w:val="0"/>
      <w:divBdr>
        <w:top w:val="none" w:sz="0" w:space="0" w:color="auto"/>
        <w:left w:val="none" w:sz="0" w:space="0" w:color="auto"/>
        <w:bottom w:val="none" w:sz="0" w:space="0" w:color="auto"/>
        <w:right w:val="none" w:sz="0" w:space="0" w:color="auto"/>
      </w:divBdr>
    </w:div>
    <w:div w:id="1787312325">
      <w:bodyDiv w:val="1"/>
      <w:marLeft w:val="0"/>
      <w:marRight w:val="0"/>
      <w:marTop w:val="0"/>
      <w:marBottom w:val="0"/>
      <w:divBdr>
        <w:top w:val="none" w:sz="0" w:space="0" w:color="auto"/>
        <w:left w:val="none" w:sz="0" w:space="0" w:color="auto"/>
        <w:bottom w:val="none" w:sz="0" w:space="0" w:color="auto"/>
        <w:right w:val="none" w:sz="0" w:space="0" w:color="auto"/>
      </w:divBdr>
    </w:div>
    <w:div w:id="1790275310">
      <w:bodyDiv w:val="1"/>
      <w:marLeft w:val="0"/>
      <w:marRight w:val="0"/>
      <w:marTop w:val="0"/>
      <w:marBottom w:val="0"/>
      <w:divBdr>
        <w:top w:val="none" w:sz="0" w:space="0" w:color="auto"/>
        <w:left w:val="none" w:sz="0" w:space="0" w:color="auto"/>
        <w:bottom w:val="none" w:sz="0" w:space="0" w:color="auto"/>
        <w:right w:val="none" w:sz="0" w:space="0" w:color="auto"/>
      </w:divBdr>
    </w:div>
    <w:div w:id="1791701884">
      <w:bodyDiv w:val="1"/>
      <w:marLeft w:val="0"/>
      <w:marRight w:val="0"/>
      <w:marTop w:val="0"/>
      <w:marBottom w:val="0"/>
      <w:divBdr>
        <w:top w:val="none" w:sz="0" w:space="0" w:color="auto"/>
        <w:left w:val="none" w:sz="0" w:space="0" w:color="auto"/>
        <w:bottom w:val="none" w:sz="0" w:space="0" w:color="auto"/>
        <w:right w:val="none" w:sz="0" w:space="0" w:color="auto"/>
      </w:divBdr>
    </w:div>
    <w:div w:id="1794135256">
      <w:bodyDiv w:val="1"/>
      <w:marLeft w:val="0"/>
      <w:marRight w:val="0"/>
      <w:marTop w:val="0"/>
      <w:marBottom w:val="0"/>
      <w:divBdr>
        <w:top w:val="none" w:sz="0" w:space="0" w:color="auto"/>
        <w:left w:val="none" w:sz="0" w:space="0" w:color="auto"/>
        <w:bottom w:val="none" w:sz="0" w:space="0" w:color="auto"/>
        <w:right w:val="none" w:sz="0" w:space="0" w:color="auto"/>
      </w:divBdr>
    </w:div>
    <w:div w:id="1795325571">
      <w:bodyDiv w:val="1"/>
      <w:marLeft w:val="0"/>
      <w:marRight w:val="0"/>
      <w:marTop w:val="0"/>
      <w:marBottom w:val="0"/>
      <w:divBdr>
        <w:top w:val="none" w:sz="0" w:space="0" w:color="auto"/>
        <w:left w:val="none" w:sz="0" w:space="0" w:color="auto"/>
        <w:bottom w:val="none" w:sz="0" w:space="0" w:color="auto"/>
        <w:right w:val="none" w:sz="0" w:space="0" w:color="auto"/>
      </w:divBdr>
    </w:div>
    <w:div w:id="1801605835">
      <w:bodyDiv w:val="1"/>
      <w:marLeft w:val="0"/>
      <w:marRight w:val="0"/>
      <w:marTop w:val="0"/>
      <w:marBottom w:val="0"/>
      <w:divBdr>
        <w:top w:val="none" w:sz="0" w:space="0" w:color="auto"/>
        <w:left w:val="none" w:sz="0" w:space="0" w:color="auto"/>
        <w:bottom w:val="none" w:sz="0" w:space="0" w:color="auto"/>
        <w:right w:val="none" w:sz="0" w:space="0" w:color="auto"/>
      </w:divBdr>
    </w:div>
    <w:div w:id="1802570687">
      <w:bodyDiv w:val="1"/>
      <w:marLeft w:val="0"/>
      <w:marRight w:val="0"/>
      <w:marTop w:val="0"/>
      <w:marBottom w:val="0"/>
      <w:divBdr>
        <w:top w:val="none" w:sz="0" w:space="0" w:color="auto"/>
        <w:left w:val="none" w:sz="0" w:space="0" w:color="auto"/>
        <w:bottom w:val="none" w:sz="0" w:space="0" w:color="auto"/>
        <w:right w:val="none" w:sz="0" w:space="0" w:color="auto"/>
      </w:divBdr>
    </w:div>
    <w:div w:id="1804807256">
      <w:bodyDiv w:val="1"/>
      <w:marLeft w:val="0"/>
      <w:marRight w:val="0"/>
      <w:marTop w:val="0"/>
      <w:marBottom w:val="0"/>
      <w:divBdr>
        <w:top w:val="none" w:sz="0" w:space="0" w:color="auto"/>
        <w:left w:val="none" w:sz="0" w:space="0" w:color="auto"/>
        <w:bottom w:val="none" w:sz="0" w:space="0" w:color="auto"/>
        <w:right w:val="none" w:sz="0" w:space="0" w:color="auto"/>
      </w:divBdr>
    </w:div>
    <w:div w:id="1805192067">
      <w:bodyDiv w:val="1"/>
      <w:marLeft w:val="0"/>
      <w:marRight w:val="0"/>
      <w:marTop w:val="0"/>
      <w:marBottom w:val="0"/>
      <w:divBdr>
        <w:top w:val="none" w:sz="0" w:space="0" w:color="auto"/>
        <w:left w:val="none" w:sz="0" w:space="0" w:color="auto"/>
        <w:bottom w:val="none" w:sz="0" w:space="0" w:color="auto"/>
        <w:right w:val="none" w:sz="0" w:space="0" w:color="auto"/>
      </w:divBdr>
    </w:div>
    <w:div w:id="1813214629">
      <w:bodyDiv w:val="1"/>
      <w:marLeft w:val="0"/>
      <w:marRight w:val="0"/>
      <w:marTop w:val="0"/>
      <w:marBottom w:val="0"/>
      <w:divBdr>
        <w:top w:val="none" w:sz="0" w:space="0" w:color="auto"/>
        <w:left w:val="none" w:sz="0" w:space="0" w:color="auto"/>
        <w:bottom w:val="none" w:sz="0" w:space="0" w:color="auto"/>
        <w:right w:val="none" w:sz="0" w:space="0" w:color="auto"/>
      </w:divBdr>
    </w:div>
    <w:div w:id="1817718576">
      <w:bodyDiv w:val="1"/>
      <w:marLeft w:val="0"/>
      <w:marRight w:val="0"/>
      <w:marTop w:val="0"/>
      <w:marBottom w:val="0"/>
      <w:divBdr>
        <w:top w:val="none" w:sz="0" w:space="0" w:color="auto"/>
        <w:left w:val="none" w:sz="0" w:space="0" w:color="auto"/>
        <w:bottom w:val="none" w:sz="0" w:space="0" w:color="auto"/>
        <w:right w:val="none" w:sz="0" w:space="0" w:color="auto"/>
      </w:divBdr>
    </w:div>
    <w:div w:id="1819571976">
      <w:bodyDiv w:val="1"/>
      <w:marLeft w:val="0"/>
      <w:marRight w:val="0"/>
      <w:marTop w:val="0"/>
      <w:marBottom w:val="0"/>
      <w:divBdr>
        <w:top w:val="none" w:sz="0" w:space="0" w:color="auto"/>
        <w:left w:val="none" w:sz="0" w:space="0" w:color="auto"/>
        <w:bottom w:val="none" w:sz="0" w:space="0" w:color="auto"/>
        <w:right w:val="none" w:sz="0" w:space="0" w:color="auto"/>
      </w:divBdr>
    </w:div>
    <w:div w:id="1820993646">
      <w:bodyDiv w:val="1"/>
      <w:marLeft w:val="0"/>
      <w:marRight w:val="0"/>
      <w:marTop w:val="0"/>
      <w:marBottom w:val="0"/>
      <w:divBdr>
        <w:top w:val="none" w:sz="0" w:space="0" w:color="auto"/>
        <w:left w:val="none" w:sz="0" w:space="0" w:color="auto"/>
        <w:bottom w:val="none" w:sz="0" w:space="0" w:color="auto"/>
        <w:right w:val="none" w:sz="0" w:space="0" w:color="auto"/>
      </w:divBdr>
    </w:div>
    <w:div w:id="1821002244">
      <w:bodyDiv w:val="1"/>
      <w:marLeft w:val="0"/>
      <w:marRight w:val="0"/>
      <w:marTop w:val="0"/>
      <w:marBottom w:val="0"/>
      <w:divBdr>
        <w:top w:val="none" w:sz="0" w:space="0" w:color="auto"/>
        <w:left w:val="none" w:sz="0" w:space="0" w:color="auto"/>
        <w:bottom w:val="none" w:sz="0" w:space="0" w:color="auto"/>
        <w:right w:val="none" w:sz="0" w:space="0" w:color="auto"/>
      </w:divBdr>
    </w:div>
    <w:div w:id="1824394770">
      <w:bodyDiv w:val="1"/>
      <w:marLeft w:val="0"/>
      <w:marRight w:val="0"/>
      <w:marTop w:val="0"/>
      <w:marBottom w:val="0"/>
      <w:divBdr>
        <w:top w:val="none" w:sz="0" w:space="0" w:color="auto"/>
        <w:left w:val="none" w:sz="0" w:space="0" w:color="auto"/>
        <w:bottom w:val="none" w:sz="0" w:space="0" w:color="auto"/>
        <w:right w:val="none" w:sz="0" w:space="0" w:color="auto"/>
      </w:divBdr>
    </w:div>
    <w:div w:id="1830518427">
      <w:bodyDiv w:val="1"/>
      <w:marLeft w:val="0"/>
      <w:marRight w:val="0"/>
      <w:marTop w:val="0"/>
      <w:marBottom w:val="0"/>
      <w:divBdr>
        <w:top w:val="none" w:sz="0" w:space="0" w:color="auto"/>
        <w:left w:val="none" w:sz="0" w:space="0" w:color="auto"/>
        <w:bottom w:val="none" w:sz="0" w:space="0" w:color="auto"/>
        <w:right w:val="none" w:sz="0" w:space="0" w:color="auto"/>
      </w:divBdr>
    </w:div>
    <w:div w:id="1833792828">
      <w:bodyDiv w:val="1"/>
      <w:marLeft w:val="0"/>
      <w:marRight w:val="0"/>
      <w:marTop w:val="0"/>
      <w:marBottom w:val="0"/>
      <w:divBdr>
        <w:top w:val="none" w:sz="0" w:space="0" w:color="auto"/>
        <w:left w:val="none" w:sz="0" w:space="0" w:color="auto"/>
        <w:bottom w:val="none" w:sz="0" w:space="0" w:color="auto"/>
        <w:right w:val="none" w:sz="0" w:space="0" w:color="auto"/>
      </w:divBdr>
    </w:div>
    <w:div w:id="1835029761">
      <w:bodyDiv w:val="1"/>
      <w:marLeft w:val="0"/>
      <w:marRight w:val="0"/>
      <w:marTop w:val="0"/>
      <w:marBottom w:val="0"/>
      <w:divBdr>
        <w:top w:val="none" w:sz="0" w:space="0" w:color="auto"/>
        <w:left w:val="none" w:sz="0" w:space="0" w:color="auto"/>
        <w:bottom w:val="none" w:sz="0" w:space="0" w:color="auto"/>
        <w:right w:val="none" w:sz="0" w:space="0" w:color="auto"/>
      </w:divBdr>
    </w:div>
    <w:div w:id="1842041150">
      <w:bodyDiv w:val="1"/>
      <w:marLeft w:val="0"/>
      <w:marRight w:val="0"/>
      <w:marTop w:val="0"/>
      <w:marBottom w:val="0"/>
      <w:divBdr>
        <w:top w:val="none" w:sz="0" w:space="0" w:color="auto"/>
        <w:left w:val="none" w:sz="0" w:space="0" w:color="auto"/>
        <w:bottom w:val="none" w:sz="0" w:space="0" w:color="auto"/>
        <w:right w:val="none" w:sz="0" w:space="0" w:color="auto"/>
      </w:divBdr>
    </w:div>
    <w:div w:id="1842116638">
      <w:bodyDiv w:val="1"/>
      <w:marLeft w:val="0"/>
      <w:marRight w:val="0"/>
      <w:marTop w:val="0"/>
      <w:marBottom w:val="0"/>
      <w:divBdr>
        <w:top w:val="none" w:sz="0" w:space="0" w:color="auto"/>
        <w:left w:val="none" w:sz="0" w:space="0" w:color="auto"/>
        <w:bottom w:val="none" w:sz="0" w:space="0" w:color="auto"/>
        <w:right w:val="none" w:sz="0" w:space="0" w:color="auto"/>
      </w:divBdr>
    </w:div>
    <w:div w:id="1845709441">
      <w:bodyDiv w:val="1"/>
      <w:marLeft w:val="0"/>
      <w:marRight w:val="0"/>
      <w:marTop w:val="0"/>
      <w:marBottom w:val="0"/>
      <w:divBdr>
        <w:top w:val="none" w:sz="0" w:space="0" w:color="auto"/>
        <w:left w:val="none" w:sz="0" w:space="0" w:color="auto"/>
        <w:bottom w:val="none" w:sz="0" w:space="0" w:color="auto"/>
        <w:right w:val="none" w:sz="0" w:space="0" w:color="auto"/>
      </w:divBdr>
    </w:div>
    <w:div w:id="1847596551">
      <w:bodyDiv w:val="1"/>
      <w:marLeft w:val="0"/>
      <w:marRight w:val="0"/>
      <w:marTop w:val="0"/>
      <w:marBottom w:val="0"/>
      <w:divBdr>
        <w:top w:val="none" w:sz="0" w:space="0" w:color="auto"/>
        <w:left w:val="none" w:sz="0" w:space="0" w:color="auto"/>
        <w:bottom w:val="none" w:sz="0" w:space="0" w:color="auto"/>
        <w:right w:val="none" w:sz="0" w:space="0" w:color="auto"/>
      </w:divBdr>
    </w:div>
    <w:div w:id="1851868922">
      <w:bodyDiv w:val="1"/>
      <w:marLeft w:val="0"/>
      <w:marRight w:val="0"/>
      <w:marTop w:val="0"/>
      <w:marBottom w:val="0"/>
      <w:divBdr>
        <w:top w:val="none" w:sz="0" w:space="0" w:color="auto"/>
        <w:left w:val="none" w:sz="0" w:space="0" w:color="auto"/>
        <w:bottom w:val="none" w:sz="0" w:space="0" w:color="auto"/>
        <w:right w:val="none" w:sz="0" w:space="0" w:color="auto"/>
      </w:divBdr>
    </w:div>
    <w:div w:id="1860585421">
      <w:bodyDiv w:val="1"/>
      <w:marLeft w:val="0"/>
      <w:marRight w:val="0"/>
      <w:marTop w:val="0"/>
      <w:marBottom w:val="0"/>
      <w:divBdr>
        <w:top w:val="none" w:sz="0" w:space="0" w:color="auto"/>
        <w:left w:val="none" w:sz="0" w:space="0" w:color="auto"/>
        <w:bottom w:val="none" w:sz="0" w:space="0" w:color="auto"/>
        <w:right w:val="none" w:sz="0" w:space="0" w:color="auto"/>
      </w:divBdr>
    </w:div>
    <w:div w:id="1863469507">
      <w:bodyDiv w:val="1"/>
      <w:marLeft w:val="0"/>
      <w:marRight w:val="0"/>
      <w:marTop w:val="0"/>
      <w:marBottom w:val="0"/>
      <w:divBdr>
        <w:top w:val="none" w:sz="0" w:space="0" w:color="auto"/>
        <w:left w:val="none" w:sz="0" w:space="0" w:color="auto"/>
        <w:bottom w:val="none" w:sz="0" w:space="0" w:color="auto"/>
        <w:right w:val="none" w:sz="0" w:space="0" w:color="auto"/>
      </w:divBdr>
    </w:div>
    <w:div w:id="1867133077">
      <w:bodyDiv w:val="1"/>
      <w:marLeft w:val="0"/>
      <w:marRight w:val="0"/>
      <w:marTop w:val="0"/>
      <w:marBottom w:val="0"/>
      <w:divBdr>
        <w:top w:val="none" w:sz="0" w:space="0" w:color="auto"/>
        <w:left w:val="none" w:sz="0" w:space="0" w:color="auto"/>
        <w:bottom w:val="none" w:sz="0" w:space="0" w:color="auto"/>
        <w:right w:val="none" w:sz="0" w:space="0" w:color="auto"/>
      </w:divBdr>
    </w:div>
    <w:div w:id="1877693607">
      <w:bodyDiv w:val="1"/>
      <w:marLeft w:val="0"/>
      <w:marRight w:val="0"/>
      <w:marTop w:val="0"/>
      <w:marBottom w:val="0"/>
      <w:divBdr>
        <w:top w:val="none" w:sz="0" w:space="0" w:color="auto"/>
        <w:left w:val="none" w:sz="0" w:space="0" w:color="auto"/>
        <w:bottom w:val="none" w:sz="0" w:space="0" w:color="auto"/>
        <w:right w:val="none" w:sz="0" w:space="0" w:color="auto"/>
      </w:divBdr>
    </w:div>
    <w:div w:id="1878228206">
      <w:bodyDiv w:val="1"/>
      <w:marLeft w:val="0"/>
      <w:marRight w:val="0"/>
      <w:marTop w:val="0"/>
      <w:marBottom w:val="0"/>
      <w:divBdr>
        <w:top w:val="none" w:sz="0" w:space="0" w:color="auto"/>
        <w:left w:val="none" w:sz="0" w:space="0" w:color="auto"/>
        <w:bottom w:val="none" w:sz="0" w:space="0" w:color="auto"/>
        <w:right w:val="none" w:sz="0" w:space="0" w:color="auto"/>
      </w:divBdr>
    </w:div>
    <w:div w:id="1878856000">
      <w:bodyDiv w:val="1"/>
      <w:marLeft w:val="0"/>
      <w:marRight w:val="0"/>
      <w:marTop w:val="0"/>
      <w:marBottom w:val="0"/>
      <w:divBdr>
        <w:top w:val="none" w:sz="0" w:space="0" w:color="auto"/>
        <w:left w:val="none" w:sz="0" w:space="0" w:color="auto"/>
        <w:bottom w:val="none" w:sz="0" w:space="0" w:color="auto"/>
        <w:right w:val="none" w:sz="0" w:space="0" w:color="auto"/>
      </w:divBdr>
    </w:div>
    <w:div w:id="1880778489">
      <w:bodyDiv w:val="1"/>
      <w:marLeft w:val="0"/>
      <w:marRight w:val="0"/>
      <w:marTop w:val="0"/>
      <w:marBottom w:val="0"/>
      <w:divBdr>
        <w:top w:val="none" w:sz="0" w:space="0" w:color="auto"/>
        <w:left w:val="none" w:sz="0" w:space="0" w:color="auto"/>
        <w:bottom w:val="none" w:sz="0" w:space="0" w:color="auto"/>
        <w:right w:val="none" w:sz="0" w:space="0" w:color="auto"/>
      </w:divBdr>
    </w:div>
    <w:div w:id="1886286087">
      <w:bodyDiv w:val="1"/>
      <w:marLeft w:val="0"/>
      <w:marRight w:val="0"/>
      <w:marTop w:val="0"/>
      <w:marBottom w:val="0"/>
      <w:divBdr>
        <w:top w:val="none" w:sz="0" w:space="0" w:color="auto"/>
        <w:left w:val="none" w:sz="0" w:space="0" w:color="auto"/>
        <w:bottom w:val="none" w:sz="0" w:space="0" w:color="auto"/>
        <w:right w:val="none" w:sz="0" w:space="0" w:color="auto"/>
      </w:divBdr>
    </w:div>
    <w:div w:id="1887834267">
      <w:bodyDiv w:val="1"/>
      <w:marLeft w:val="0"/>
      <w:marRight w:val="0"/>
      <w:marTop w:val="0"/>
      <w:marBottom w:val="0"/>
      <w:divBdr>
        <w:top w:val="none" w:sz="0" w:space="0" w:color="auto"/>
        <w:left w:val="none" w:sz="0" w:space="0" w:color="auto"/>
        <w:bottom w:val="none" w:sz="0" w:space="0" w:color="auto"/>
        <w:right w:val="none" w:sz="0" w:space="0" w:color="auto"/>
      </w:divBdr>
    </w:div>
    <w:div w:id="1887910642">
      <w:bodyDiv w:val="1"/>
      <w:marLeft w:val="0"/>
      <w:marRight w:val="0"/>
      <w:marTop w:val="0"/>
      <w:marBottom w:val="0"/>
      <w:divBdr>
        <w:top w:val="none" w:sz="0" w:space="0" w:color="auto"/>
        <w:left w:val="none" w:sz="0" w:space="0" w:color="auto"/>
        <w:bottom w:val="none" w:sz="0" w:space="0" w:color="auto"/>
        <w:right w:val="none" w:sz="0" w:space="0" w:color="auto"/>
      </w:divBdr>
    </w:div>
    <w:div w:id="1889411985">
      <w:bodyDiv w:val="1"/>
      <w:marLeft w:val="0"/>
      <w:marRight w:val="0"/>
      <w:marTop w:val="0"/>
      <w:marBottom w:val="0"/>
      <w:divBdr>
        <w:top w:val="none" w:sz="0" w:space="0" w:color="auto"/>
        <w:left w:val="none" w:sz="0" w:space="0" w:color="auto"/>
        <w:bottom w:val="none" w:sz="0" w:space="0" w:color="auto"/>
        <w:right w:val="none" w:sz="0" w:space="0" w:color="auto"/>
      </w:divBdr>
    </w:div>
    <w:div w:id="1899124471">
      <w:bodyDiv w:val="1"/>
      <w:marLeft w:val="0"/>
      <w:marRight w:val="0"/>
      <w:marTop w:val="0"/>
      <w:marBottom w:val="0"/>
      <w:divBdr>
        <w:top w:val="none" w:sz="0" w:space="0" w:color="auto"/>
        <w:left w:val="none" w:sz="0" w:space="0" w:color="auto"/>
        <w:bottom w:val="none" w:sz="0" w:space="0" w:color="auto"/>
        <w:right w:val="none" w:sz="0" w:space="0" w:color="auto"/>
      </w:divBdr>
    </w:div>
    <w:div w:id="1907181582">
      <w:bodyDiv w:val="1"/>
      <w:marLeft w:val="0"/>
      <w:marRight w:val="0"/>
      <w:marTop w:val="0"/>
      <w:marBottom w:val="0"/>
      <w:divBdr>
        <w:top w:val="none" w:sz="0" w:space="0" w:color="auto"/>
        <w:left w:val="none" w:sz="0" w:space="0" w:color="auto"/>
        <w:bottom w:val="none" w:sz="0" w:space="0" w:color="auto"/>
        <w:right w:val="none" w:sz="0" w:space="0" w:color="auto"/>
      </w:divBdr>
    </w:div>
    <w:div w:id="1912882612">
      <w:bodyDiv w:val="1"/>
      <w:marLeft w:val="0"/>
      <w:marRight w:val="0"/>
      <w:marTop w:val="0"/>
      <w:marBottom w:val="0"/>
      <w:divBdr>
        <w:top w:val="none" w:sz="0" w:space="0" w:color="auto"/>
        <w:left w:val="none" w:sz="0" w:space="0" w:color="auto"/>
        <w:bottom w:val="none" w:sz="0" w:space="0" w:color="auto"/>
        <w:right w:val="none" w:sz="0" w:space="0" w:color="auto"/>
      </w:divBdr>
    </w:div>
    <w:div w:id="1913617669">
      <w:bodyDiv w:val="1"/>
      <w:marLeft w:val="0"/>
      <w:marRight w:val="0"/>
      <w:marTop w:val="0"/>
      <w:marBottom w:val="0"/>
      <w:divBdr>
        <w:top w:val="none" w:sz="0" w:space="0" w:color="auto"/>
        <w:left w:val="none" w:sz="0" w:space="0" w:color="auto"/>
        <w:bottom w:val="none" w:sz="0" w:space="0" w:color="auto"/>
        <w:right w:val="none" w:sz="0" w:space="0" w:color="auto"/>
      </w:divBdr>
    </w:div>
    <w:div w:id="1913926736">
      <w:bodyDiv w:val="1"/>
      <w:marLeft w:val="0"/>
      <w:marRight w:val="0"/>
      <w:marTop w:val="0"/>
      <w:marBottom w:val="0"/>
      <w:divBdr>
        <w:top w:val="none" w:sz="0" w:space="0" w:color="auto"/>
        <w:left w:val="none" w:sz="0" w:space="0" w:color="auto"/>
        <w:bottom w:val="none" w:sz="0" w:space="0" w:color="auto"/>
        <w:right w:val="none" w:sz="0" w:space="0" w:color="auto"/>
      </w:divBdr>
    </w:div>
    <w:div w:id="1918512392">
      <w:bodyDiv w:val="1"/>
      <w:marLeft w:val="0"/>
      <w:marRight w:val="0"/>
      <w:marTop w:val="0"/>
      <w:marBottom w:val="0"/>
      <w:divBdr>
        <w:top w:val="none" w:sz="0" w:space="0" w:color="auto"/>
        <w:left w:val="none" w:sz="0" w:space="0" w:color="auto"/>
        <w:bottom w:val="none" w:sz="0" w:space="0" w:color="auto"/>
        <w:right w:val="none" w:sz="0" w:space="0" w:color="auto"/>
      </w:divBdr>
    </w:div>
    <w:div w:id="1920019705">
      <w:bodyDiv w:val="1"/>
      <w:marLeft w:val="0"/>
      <w:marRight w:val="0"/>
      <w:marTop w:val="0"/>
      <w:marBottom w:val="0"/>
      <w:divBdr>
        <w:top w:val="none" w:sz="0" w:space="0" w:color="auto"/>
        <w:left w:val="none" w:sz="0" w:space="0" w:color="auto"/>
        <w:bottom w:val="none" w:sz="0" w:space="0" w:color="auto"/>
        <w:right w:val="none" w:sz="0" w:space="0" w:color="auto"/>
      </w:divBdr>
    </w:div>
    <w:div w:id="1938556254">
      <w:bodyDiv w:val="1"/>
      <w:marLeft w:val="0"/>
      <w:marRight w:val="0"/>
      <w:marTop w:val="0"/>
      <w:marBottom w:val="0"/>
      <w:divBdr>
        <w:top w:val="none" w:sz="0" w:space="0" w:color="auto"/>
        <w:left w:val="none" w:sz="0" w:space="0" w:color="auto"/>
        <w:bottom w:val="none" w:sz="0" w:space="0" w:color="auto"/>
        <w:right w:val="none" w:sz="0" w:space="0" w:color="auto"/>
      </w:divBdr>
    </w:div>
    <w:div w:id="1948004292">
      <w:bodyDiv w:val="1"/>
      <w:marLeft w:val="0"/>
      <w:marRight w:val="0"/>
      <w:marTop w:val="0"/>
      <w:marBottom w:val="0"/>
      <w:divBdr>
        <w:top w:val="none" w:sz="0" w:space="0" w:color="auto"/>
        <w:left w:val="none" w:sz="0" w:space="0" w:color="auto"/>
        <w:bottom w:val="none" w:sz="0" w:space="0" w:color="auto"/>
        <w:right w:val="none" w:sz="0" w:space="0" w:color="auto"/>
      </w:divBdr>
    </w:div>
    <w:div w:id="1950039764">
      <w:bodyDiv w:val="1"/>
      <w:marLeft w:val="0"/>
      <w:marRight w:val="0"/>
      <w:marTop w:val="0"/>
      <w:marBottom w:val="0"/>
      <w:divBdr>
        <w:top w:val="none" w:sz="0" w:space="0" w:color="auto"/>
        <w:left w:val="none" w:sz="0" w:space="0" w:color="auto"/>
        <w:bottom w:val="none" w:sz="0" w:space="0" w:color="auto"/>
        <w:right w:val="none" w:sz="0" w:space="0" w:color="auto"/>
      </w:divBdr>
    </w:div>
    <w:div w:id="1950163173">
      <w:bodyDiv w:val="1"/>
      <w:marLeft w:val="0"/>
      <w:marRight w:val="0"/>
      <w:marTop w:val="0"/>
      <w:marBottom w:val="0"/>
      <w:divBdr>
        <w:top w:val="none" w:sz="0" w:space="0" w:color="auto"/>
        <w:left w:val="none" w:sz="0" w:space="0" w:color="auto"/>
        <w:bottom w:val="none" w:sz="0" w:space="0" w:color="auto"/>
        <w:right w:val="none" w:sz="0" w:space="0" w:color="auto"/>
      </w:divBdr>
    </w:div>
    <w:div w:id="1951157363">
      <w:bodyDiv w:val="1"/>
      <w:marLeft w:val="0"/>
      <w:marRight w:val="0"/>
      <w:marTop w:val="0"/>
      <w:marBottom w:val="0"/>
      <w:divBdr>
        <w:top w:val="none" w:sz="0" w:space="0" w:color="auto"/>
        <w:left w:val="none" w:sz="0" w:space="0" w:color="auto"/>
        <w:bottom w:val="none" w:sz="0" w:space="0" w:color="auto"/>
        <w:right w:val="none" w:sz="0" w:space="0" w:color="auto"/>
      </w:divBdr>
    </w:div>
    <w:div w:id="1953437143">
      <w:bodyDiv w:val="1"/>
      <w:marLeft w:val="0"/>
      <w:marRight w:val="0"/>
      <w:marTop w:val="0"/>
      <w:marBottom w:val="0"/>
      <w:divBdr>
        <w:top w:val="none" w:sz="0" w:space="0" w:color="auto"/>
        <w:left w:val="none" w:sz="0" w:space="0" w:color="auto"/>
        <w:bottom w:val="none" w:sz="0" w:space="0" w:color="auto"/>
        <w:right w:val="none" w:sz="0" w:space="0" w:color="auto"/>
      </w:divBdr>
    </w:div>
    <w:div w:id="1953897467">
      <w:bodyDiv w:val="1"/>
      <w:marLeft w:val="0"/>
      <w:marRight w:val="0"/>
      <w:marTop w:val="0"/>
      <w:marBottom w:val="0"/>
      <w:divBdr>
        <w:top w:val="none" w:sz="0" w:space="0" w:color="auto"/>
        <w:left w:val="none" w:sz="0" w:space="0" w:color="auto"/>
        <w:bottom w:val="none" w:sz="0" w:space="0" w:color="auto"/>
        <w:right w:val="none" w:sz="0" w:space="0" w:color="auto"/>
      </w:divBdr>
    </w:div>
    <w:div w:id="1958833916">
      <w:bodyDiv w:val="1"/>
      <w:marLeft w:val="0"/>
      <w:marRight w:val="0"/>
      <w:marTop w:val="0"/>
      <w:marBottom w:val="0"/>
      <w:divBdr>
        <w:top w:val="none" w:sz="0" w:space="0" w:color="auto"/>
        <w:left w:val="none" w:sz="0" w:space="0" w:color="auto"/>
        <w:bottom w:val="none" w:sz="0" w:space="0" w:color="auto"/>
        <w:right w:val="none" w:sz="0" w:space="0" w:color="auto"/>
      </w:divBdr>
    </w:div>
    <w:div w:id="1960139392">
      <w:bodyDiv w:val="1"/>
      <w:marLeft w:val="0"/>
      <w:marRight w:val="0"/>
      <w:marTop w:val="0"/>
      <w:marBottom w:val="0"/>
      <w:divBdr>
        <w:top w:val="none" w:sz="0" w:space="0" w:color="auto"/>
        <w:left w:val="none" w:sz="0" w:space="0" w:color="auto"/>
        <w:bottom w:val="none" w:sz="0" w:space="0" w:color="auto"/>
        <w:right w:val="none" w:sz="0" w:space="0" w:color="auto"/>
      </w:divBdr>
    </w:div>
    <w:div w:id="1964533887">
      <w:bodyDiv w:val="1"/>
      <w:marLeft w:val="0"/>
      <w:marRight w:val="0"/>
      <w:marTop w:val="0"/>
      <w:marBottom w:val="0"/>
      <w:divBdr>
        <w:top w:val="none" w:sz="0" w:space="0" w:color="auto"/>
        <w:left w:val="none" w:sz="0" w:space="0" w:color="auto"/>
        <w:bottom w:val="none" w:sz="0" w:space="0" w:color="auto"/>
        <w:right w:val="none" w:sz="0" w:space="0" w:color="auto"/>
      </w:divBdr>
    </w:div>
    <w:div w:id="1964998050">
      <w:bodyDiv w:val="1"/>
      <w:marLeft w:val="0"/>
      <w:marRight w:val="0"/>
      <w:marTop w:val="0"/>
      <w:marBottom w:val="0"/>
      <w:divBdr>
        <w:top w:val="none" w:sz="0" w:space="0" w:color="auto"/>
        <w:left w:val="none" w:sz="0" w:space="0" w:color="auto"/>
        <w:bottom w:val="none" w:sz="0" w:space="0" w:color="auto"/>
        <w:right w:val="none" w:sz="0" w:space="0" w:color="auto"/>
      </w:divBdr>
    </w:div>
    <w:div w:id="1965959141">
      <w:bodyDiv w:val="1"/>
      <w:marLeft w:val="0"/>
      <w:marRight w:val="0"/>
      <w:marTop w:val="0"/>
      <w:marBottom w:val="0"/>
      <w:divBdr>
        <w:top w:val="none" w:sz="0" w:space="0" w:color="auto"/>
        <w:left w:val="none" w:sz="0" w:space="0" w:color="auto"/>
        <w:bottom w:val="none" w:sz="0" w:space="0" w:color="auto"/>
        <w:right w:val="none" w:sz="0" w:space="0" w:color="auto"/>
      </w:divBdr>
    </w:div>
    <w:div w:id="1966934215">
      <w:bodyDiv w:val="1"/>
      <w:marLeft w:val="0"/>
      <w:marRight w:val="0"/>
      <w:marTop w:val="0"/>
      <w:marBottom w:val="0"/>
      <w:divBdr>
        <w:top w:val="none" w:sz="0" w:space="0" w:color="auto"/>
        <w:left w:val="none" w:sz="0" w:space="0" w:color="auto"/>
        <w:bottom w:val="none" w:sz="0" w:space="0" w:color="auto"/>
        <w:right w:val="none" w:sz="0" w:space="0" w:color="auto"/>
      </w:divBdr>
    </w:div>
    <w:div w:id="1972175944">
      <w:bodyDiv w:val="1"/>
      <w:marLeft w:val="0"/>
      <w:marRight w:val="0"/>
      <w:marTop w:val="0"/>
      <w:marBottom w:val="0"/>
      <w:divBdr>
        <w:top w:val="none" w:sz="0" w:space="0" w:color="auto"/>
        <w:left w:val="none" w:sz="0" w:space="0" w:color="auto"/>
        <w:bottom w:val="none" w:sz="0" w:space="0" w:color="auto"/>
        <w:right w:val="none" w:sz="0" w:space="0" w:color="auto"/>
      </w:divBdr>
    </w:div>
    <w:div w:id="1974824461">
      <w:bodyDiv w:val="1"/>
      <w:marLeft w:val="0"/>
      <w:marRight w:val="0"/>
      <w:marTop w:val="0"/>
      <w:marBottom w:val="0"/>
      <w:divBdr>
        <w:top w:val="none" w:sz="0" w:space="0" w:color="auto"/>
        <w:left w:val="none" w:sz="0" w:space="0" w:color="auto"/>
        <w:bottom w:val="none" w:sz="0" w:space="0" w:color="auto"/>
        <w:right w:val="none" w:sz="0" w:space="0" w:color="auto"/>
      </w:divBdr>
    </w:div>
    <w:div w:id="1975285026">
      <w:bodyDiv w:val="1"/>
      <w:marLeft w:val="0"/>
      <w:marRight w:val="0"/>
      <w:marTop w:val="0"/>
      <w:marBottom w:val="0"/>
      <w:divBdr>
        <w:top w:val="none" w:sz="0" w:space="0" w:color="auto"/>
        <w:left w:val="none" w:sz="0" w:space="0" w:color="auto"/>
        <w:bottom w:val="none" w:sz="0" w:space="0" w:color="auto"/>
        <w:right w:val="none" w:sz="0" w:space="0" w:color="auto"/>
      </w:divBdr>
    </w:div>
    <w:div w:id="1980452880">
      <w:bodyDiv w:val="1"/>
      <w:marLeft w:val="0"/>
      <w:marRight w:val="0"/>
      <w:marTop w:val="0"/>
      <w:marBottom w:val="0"/>
      <w:divBdr>
        <w:top w:val="none" w:sz="0" w:space="0" w:color="auto"/>
        <w:left w:val="none" w:sz="0" w:space="0" w:color="auto"/>
        <w:bottom w:val="none" w:sz="0" w:space="0" w:color="auto"/>
        <w:right w:val="none" w:sz="0" w:space="0" w:color="auto"/>
      </w:divBdr>
    </w:div>
    <w:div w:id="1984311163">
      <w:bodyDiv w:val="1"/>
      <w:marLeft w:val="0"/>
      <w:marRight w:val="0"/>
      <w:marTop w:val="0"/>
      <w:marBottom w:val="0"/>
      <w:divBdr>
        <w:top w:val="none" w:sz="0" w:space="0" w:color="auto"/>
        <w:left w:val="none" w:sz="0" w:space="0" w:color="auto"/>
        <w:bottom w:val="none" w:sz="0" w:space="0" w:color="auto"/>
        <w:right w:val="none" w:sz="0" w:space="0" w:color="auto"/>
      </w:divBdr>
    </w:div>
    <w:div w:id="1985817314">
      <w:bodyDiv w:val="1"/>
      <w:marLeft w:val="0"/>
      <w:marRight w:val="0"/>
      <w:marTop w:val="0"/>
      <w:marBottom w:val="0"/>
      <w:divBdr>
        <w:top w:val="none" w:sz="0" w:space="0" w:color="auto"/>
        <w:left w:val="none" w:sz="0" w:space="0" w:color="auto"/>
        <w:bottom w:val="none" w:sz="0" w:space="0" w:color="auto"/>
        <w:right w:val="none" w:sz="0" w:space="0" w:color="auto"/>
      </w:divBdr>
    </w:div>
    <w:div w:id="1989630758">
      <w:bodyDiv w:val="1"/>
      <w:marLeft w:val="0"/>
      <w:marRight w:val="0"/>
      <w:marTop w:val="0"/>
      <w:marBottom w:val="0"/>
      <w:divBdr>
        <w:top w:val="none" w:sz="0" w:space="0" w:color="auto"/>
        <w:left w:val="none" w:sz="0" w:space="0" w:color="auto"/>
        <w:bottom w:val="none" w:sz="0" w:space="0" w:color="auto"/>
        <w:right w:val="none" w:sz="0" w:space="0" w:color="auto"/>
      </w:divBdr>
    </w:div>
    <w:div w:id="1991252966">
      <w:bodyDiv w:val="1"/>
      <w:marLeft w:val="0"/>
      <w:marRight w:val="0"/>
      <w:marTop w:val="0"/>
      <w:marBottom w:val="0"/>
      <w:divBdr>
        <w:top w:val="none" w:sz="0" w:space="0" w:color="auto"/>
        <w:left w:val="none" w:sz="0" w:space="0" w:color="auto"/>
        <w:bottom w:val="none" w:sz="0" w:space="0" w:color="auto"/>
        <w:right w:val="none" w:sz="0" w:space="0" w:color="auto"/>
      </w:divBdr>
    </w:div>
    <w:div w:id="1994599679">
      <w:bodyDiv w:val="1"/>
      <w:marLeft w:val="0"/>
      <w:marRight w:val="0"/>
      <w:marTop w:val="0"/>
      <w:marBottom w:val="0"/>
      <w:divBdr>
        <w:top w:val="none" w:sz="0" w:space="0" w:color="auto"/>
        <w:left w:val="none" w:sz="0" w:space="0" w:color="auto"/>
        <w:bottom w:val="none" w:sz="0" w:space="0" w:color="auto"/>
        <w:right w:val="none" w:sz="0" w:space="0" w:color="auto"/>
      </w:divBdr>
    </w:div>
    <w:div w:id="1995210009">
      <w:bodyDiv w:val="1"/>
      <w:marLeft w:val="0"/>
      <w:marRight w:val="0"/>
      <w:marTop w:val="0"/>
      <w:marBottom w:val="0"/>
      <w:divBdr>
        <w:top w:val="none" w:sz="0" w:space="0" w:color="auto"/>
        <w:left w:val="none" w:sz="0" w:space="0" w:color="auto"/>
        <w:bottom w:val="none" w:sz="0" w:space="0" w:color="auto"/>
        <w:right w:val="none" w:sz="0" w:space="0" w:color="auto"/>
      </w:divBdr>
    </w:div>
    <w:div w:id="1997218832">
      <w:bodyDiv w:val="1"/>
      <w:marLeft w:val="0"/>
      <w:marRight w:val="0"/>
      <w:marTop w:val="0"/>
      <w:marBottom w:val="0"/>
      <w:divBdr>
        <w:top w:val="none" w:sz="0" w:space="0" w:color="auto"/>
        <w:left w:val="none" w:sz="0" w:space="0" w:color="auto"/>
        <w:bottom w:val="none" w:sz="0" w:space="0" w:color="auto"/>
        <w:right w:val="none" w:sz="0" w:space="0" w:color="auto"/>
      </w:divBdr>
    </w:div>
    <w:div w:id="1998459892">
      <w:bodyDiv w:val="1"/>
      <w:marLeft w:val="0"/>
      <w:marRight w:val="0"/>
      <w:marTop w:val="0"/>
      <w:marBottom w:val="0"/>
      <w:divBdr>
        <w:top w:val="none" w:sz="0" w:space="0" w:color="auto"/>
        <w:left w:val="none" w:sz="0" w:space="0" w:color="auto"/>
        <w:bottom w:val="none" w:sz="0" w:space="0" w:color="auto"/>
        <w:right w:val="none" w:sz="0" w:space="0" w:color="auto"/>
      </w:divBdr>
    </w:div>
    <w:div w:id="2001763741">
      <w:bodyDiv w:val="1"/>
      <w:marLeft w:val="0"/>
      <w:marRight w:val="0"/>
      <w:marTop w:val="0"/>
      <w:marBottom w:val="0"/>
      <w:divBdr>
        <w:top w:val="none" w:sz="0" w:space="0" w:color="auto"/>
        <w:left w:val="none" w:sz="0" w:space="0" w:color="auto"/>
        <w:bottom w:val="none" w:sz="0" w:space="0" w:color="auto"/>
        <w:right w:val="none" w:sz="0" w:space="0" w:color="auto"/>
      </w:divBdr>
    </w:div>
    <w:div w:id="2013530334">
      <w:bodyDiv w:val="1"/>
      <w:marLeft w:val="0"/>
      <w:marRight w:val="0"/>
      <w:marTop w:val="0"/>
      <w:marBottom w:val="0"/>
      <w:divBdr>
        <w:top w:val="none" w:sz="0" w:space="0" w:color="auto"/>
        <w:left w:val="none" w:sz="0" w:space="0" w:color="auto"/>
        <w:bottom w:val="none" w:sz="0" w:space="0" w:color="auto"/>
        <w:right w:val="none" w:sz="0" w:space="0" w:color="auto"/>
      </w:divBdr>
    </w:div>
    <w:div w:id="2015573007">
      <w:bodyDiv w:val="1"/>
      <w:marLeft w:val="0"/>
      <w:marRight w:val="0"/>
      <w:marTop w:val="0"/>
      <w:marBottom w:val="0"/>
      <w:divBdr>
        <w:top w:val="none" w:sz="0" w:space="0" w:color="auto"/>
        <w:left w:val="none" w:sz="0" w:space="0" w:color="auto"/>
        <w:bottom w:val="none" w:sz="0" w:space="0" w:color="auto"/>
        <w:right w:val="none" w:sz="0" w:space="0" w:color="auto"/>
      </w:divBdr>
    </w:div>
    <w:div w:id="2016805620">
      <w:bodyDiv w:val="1"/>
      <w:marLeft w:val="0"/>
      <w:marRight w:val="0"/>
      <w:marTop w:val="0"/>
      <w:marBottom w:val="0"/>
      <w:divBdr>
        <w:top w:val="none" w:sz="0" w:space="0" w:color="auto"/>
        <w:left w:val="none" w:sz="0" w:space="0" w:color="auto"/>
        <w:bottom w:val="none" w:sz="0" w:space="0" w:color="auto"/>
        <w:right w:val="none" w:sz="0" w:space="0" w:color="auto"/>
      </w:divBdr>
    </w:div>
    <w:div w:id="2017728063">
      <w:bodyDiv w:val="1"/>
      <w:marLeft w:val="0"/>
      <w:marRight w:val="0"/>
      <w:marTop w:val="0"/>
      <w:marBottom w:val="0"/>
      <w:divBdr>
        <w:top w:val="none" w:sz="0" w:space="0" w:color="auto"/>
        <w:left w:val="none" w:sz="0" w:space="0" w:color="auto"/>
        <w:bottom w:val="none" w:sz="0" w:space="0" w:color="auto"/>
        <w:right w:val="none" w:sz="0" w:space="0" w:color="auto"/>
      </w:divBdr>
    </w:div>
    <w:div w:id="2020348177">
      <w:bodyDiv w:val="1"/>
      <w:marLeft w:val="0"/>
      <w:marRight w:val="0"/>
      <w:marTop w:val="0"/>
      <w:marBottom w:val="0"/>
      <w:divBdr>
        <w:top w:val="none" w:sz="0" w:space="0" w:color="auto"/>
        <w:left w:val="none" w:sz="0" w:space="0" w:color="auto"/>
        <w:bottom w:val="none" w:sz="0" w:space="0" w:color="auto"/>
        <w:right w:val="none" w:sz="0" w:space="0" w:color="auto"/>
      </w:divBdr>
    </w:div>
    <w:div w:id="2022512100">
      <w:bodyDiv w:val="1"/>
      <w:marLeft w:val="0"/>
      <w:marRight w:val="0"/>
      <w:marTop w:val="0"/>
      <w:marBottom w:val="0"/>
      <w:divBdr>
        <w:top w:val="none" w:sz="0" w:space="0" w:color="auto"/>
        <w:left w:val="none" w:sz="0" w:space="0" w:color="auto"/>
        <w:bottom w:val="none" w:sz="0" w:space="0" w:color="auto"/>
        <w:right w:val="none" w:sz="0" w:space="0" w:color="auto"/>
      </w:divBdr>
    </w:div>
    <w:div w:id="2024550410">
      <w:bodyDiv w:val="1"/>
      <w:marLeft w:val="0"/>
      <w:marRight w:val="0"/>
      <w:marTop w:val="0"/>
      <w:marBottom w:val="0"/>
      <w:divBdr>
        <w:top w:val="none" w:sz="0" w:space="0" w:color="auto"/>
        <w:left w:val="none" w:sz="0" w:space="0" w:color="auto"/>
        <w:bottom w:val="none" w:sz="0" w:space="0" w:color="auto"/>
        <w:right w:val="none" w:sz="0" w:space="0" w:color="auto"/>
      </w:divBdr>
    </w:div>
    <w:div w:id="2026131622">
      <w:bodyDiv w:val="1"/>
      <w:marLeft w:val="0"/>
      <w:marRight w:val="0"/>
      <w:marTop w:val="0"/>
      <w:marBottom w:val="0"/>
      <w:divBdr>
        <w:top w:val="none" w:sz="0" w:space="0" w:color="auto"/>
        <w:left w:val="none" w:sz="0" w:space="0" w:color="auto"/>
        <w:bottom w:val="none" w:sz="0" w:space="0" w:color="auto"/>
        <w:right w:val="none" w:sz="0" w:space="0" w:color="auto"/>
      </w:divBdr>
    </w:div>
    <w:div w:id="2037848918">
      <w:bodyDiv w:val="1"/>
      <w:marLeft w:val="0"/>
      <w:marRight w:val="0"/>
      <w:marTop w:val="0"/>
      <w:marBottom w:val="0"/>
      <w:divBdr>
        <w:top w:val="none" w:sz="0" w:space="0" w:color="auto"/>
        <w:left w:val="none" w:sz="0" w:space="0" w:color="auto"/>
        <w:bottom w:val="none" w:sz="0" w:space="0" w:color="auto"/>
        <w:right w:val="none" w:sz="0" w:space="0" w:color="auto"/>
      </w:divBdr>
    </w:div>
    <w:div w:id="2042969528">
      <w:bodyDiv w:val="1"/>
      <w:marLeft w:val="0"/>
      <w:marRight w:val="0"/>
      <w:marTop w:val="0"/>
      <w:marBottom w:val="0"/>
      <w:divBdr>
        <w:top w:val="none" w:sz="0" w:space="0" w:color="auto"/>
        <w:left w:val="none" w:sz="0" w:space="0" w:color="auto"/>
        <w:bottom w:val="none" w:sz="0" w:space="0" w:color="auto"/>
        <w:right w:val="none" w:sz="0" w:space="0" w:color="auto"/>
      </w:divBdr>
    </w:div>
    <w:div w:id="2048946986">
      <w:bodyDiv w:val="1"/>
      <w:marLeft w:val="0"/>
      <w:marRight w:val="0"/>
      <w:marTop w:val="0"/>
      <w:marBottom w:val="0"/>
      <w:divBdr>
        <w:top w:val="none" w:sz="0" w:space="0" w:color="auto"/>
        <w:left w:val="none" w:sz="0" w:space="0" w:color="auto"/>
        <w:bottom w:val="none" w:sz="0" w:space="0" w:color="auto"/>
        <w:right w:val="none" w:sz="0" w:space="0" w:color="auto"/>
      </w:divBdr>
    </w:div>
    <w:div w:id="2055888725">
      <w:bodyDiv w:val="1"/>
      <w:marLeft w:val="0"/>
      <w:marRight w:val="0"/>
      <w:marTop w:val="0"/>
      <w:marBottom w:val="0"/>
      <w:divBdr>
        <w:top w:val="none" w:sz="0" w:space="0" w:color="auto"/>
        <w:left w:val="none" w:sz="0" w:space="0" w:color="auto"/>
        <w:bottom w:val="none" w:sz="0" w:space="0" w:color="auto"/>
        <w:right w:val="none" w:sz="0" w:space="0" w:color="auto"/>
      </w:divBdr>
    </w:div>
    <w:div w:id="2056346914">
      <w:bodyDiv w:val="1"/>
      <w:marLeft w:val="0"/>
      <w:marRight w:val="0"/>
      <w:marTop w:val="0"/>
      <w:marBottom w:val="0"/>
      <w:divBdr>
        <w:top w:val="none" w:sz="0" w:space="0" w:color="auto"/>
        <w:left w:val="none" w:sz="0" w:space="0" w:color="auto"/>
        <w:bottom w:val="none" w:sz="0" w:space="0" w:color="auto"/>
        <w:right w:val="none" w:sz="0" w:space="0" w:color="auto"/>
      </w:divBdr>
    </w:div>
    <w:div w:id="2057268282">
      <w:bodyDiv w:val="1"/>
      <w:marLeft w:val="0"/>
      <w:marRight w:val="0"/>
      <w:marTop w:val="0"/>
      <w:marBottom w:val="0"/>
      <w:divBdr>
        <w:top w:val="none" w:sz="0" w:space="0" w:color="auto"/>
        <w:left w:val="none" w:sz="0" w:space="0" w:color="auto"/>
        <w:bottom w:val="none" w:sz="0" w:space="0" w:color="auto"/>
        <w:right w:val="none" w:sz="0" w:space="0" w:color="auto"/>
      </w:divBdr>
    </w:div>
    <w:div w:id="2057311773">
      <w:bodyDiv w:val="1"/>
      <w:marLeft w:val="0"/>
      <w:marRight w:val="0"/>
      <w:marTop w:val="0"/>
      <w:marBottom w:val="0"/>
      <w:divBdr>
        <w:top w:val="none" w:sz="0" w:space="0" w:color="auto"/>
        <w:left w:val="none" w:sz="0" w:space="0" w:color="auto"/>
        <w:bottom w:val="none" w:sz="0" w:space="0" w:color="auto"/>
        <w:right w:val="none" w:sz="0" w:space="0" w:color="auto"/>
      </w:divBdr>
    </w:div>
    <w:div w:id="2057973097">
      <w:bodyDiv w:val="1"/>
      <w:marLeft w:val="0"/>
      <w:marRight w:val="0"/>
      <w:marTop w:val="0"/>
      <w:marBottom w:val="0"/>
      <w:divBdr>
        <w:top w:val="none" w:sz="0" w:space="0" w:color="auto"/>
        <w:left w:val="none" w:sz="0" w:space="0" w:color="auto"/>
        <w:bottom w:val="none" w:sz="0" w:space="0" w:color="auto"/>
        <w:right w:val="none" w:sz="0" w:space="0" w:color="auto"/>
      </w:divBdr>
    </w:div>
    <w:div w:id="2064863548">
      <w:bodyDiv w:val="1"/>
      <w:marLeft w:val="0"/>
      <w:marRight w:val="0"/>
      <w:marTop w:val="0"/>
      <w:marBottom w:val="0"/>
      <w:divBdr>
        <w:top w:val="none" w:sz="0" w:space="0" w:color="auto"/>
        <w:left w:val="none" w:sz="0" w:space="0" w:color="auto"/>
        <w:bottom w:val="none" w:sz="0" w:space="0" w:color="auto"/>
        <w:right w:val="none" w:sz="0" w:space="0" w:color="auto"/>
      </w:divBdr>
    </w:div>
    <w:div w:id="2065132354">
      <w:bodyDiv w:val="1"/>
      <w:marLeft w:val="0"/>
      <w:marRight w:val="0"/>
      <w:marTop w:val="0"/>
      <w:marBottom w:val="0"/>
      <w:divBdr>
        <w:top w:val="none" w:sz="0" w:space="0" w:color="auto"/>
        <w:left w:val="none" w:sz="0" w:space="0" w:color="auto"/>
        <w:bottom w:val="none" w:sz="0" w:space="0" w:color="auto"/>
        <w:right w:val="none" w:sz="0" w:space="0" w:color="auto"/>
      </w:divBdr>
    </w:div>
    <w:div w:id="2066371639">
      <w:bodyDiv w:val="1"/>
      <w:marLeft w:val="0"/>
      <w:marRight w:val="0"/>
      <w:marTop w:val="0"/>
      <w:marBottom w:val="0"/>
      <w:divBdr>
        <w:top w:val="none" w:sz="0" w:space="0" w:color="auto"/>
        <w:left w:val="none" w:sz="0" w:space="0" w:color="auto"/>
        <w:bottom w:val="none" w:sz="0" w:space="0" w:color="auto"/>
        <w:right w:val="none" w:sz="0" w:space="0" w:color="auto"/>
      </w:divBdr>
    </w:div>
    <w:div w:id="2066487372">
      <w:bodyDiv w:val="1"/>
      <w:marLeft w:val="0"/>
      <w:marRight w:val="0"/>
      <w:marTop w:val="0"/>
      <w:marBottom w:val="0"/>
      <w:divBdr>
        <w:top w:val="none" w:sz="0" w:space="0" w:color="auto"/>
        <w:left w:val="none" w:sz="0" w:space="0" w:color="auto"/>
        <w:bottom w:val="none" w:sz="0" w:space="0" w:color="auto"/>
        <w:right w:val="none" w:sz="0" w:space="0" w:color="auto"/>
      </w:divBdr>
    </w:div>
    <w:div w:id="2066563720">
      <w:bodyDiv w:val="1"/>
      <w:marLeft w:val="0"/>
      <w:marRight w:val="0"/>
      <w:marTop w:val="0"/>
      <w:marBottom w:val="0"/>
      <w:divBdr>
        <w:top w:val="none" w:sz="0" w:space="0" w:color="auto"/>
        <w:left w:val="none" w:sz="0" w:space="0" w:color="auto"/>
        <w:bottom w:val="none" w:sz="0" w:space="0" w:color="auto"/>
        <w:right w:val="none" w:sz="0" w:space="0" w:color="auto"/>
      </w:divBdr>
    </w:div>
    <w:div w:id="2073502116">
      <w:bodyDiv w:val="1"/>
      <w:marLeft w:val="0"/>
      <w:marRight w:val="0"/>
      <w:marTop w:val="0"/>
      <w:marBottom w:val="0"/>
      <w:divBdr>
        <w:top w:val="none" w:sz="0" w:space="0" w:color="auto"/>
        <w:left w:val="none" w:sz="0" w:space="0" w:color="auto"/>
        <w:bottom w:val="none" w:sz="0" w:space="0" w:color="auto"/>
        <w:right w:val="none" w:sz="0" w:space="0" w:color="auto"/>
      </w:divBdr>
    </w:div>
    <w:div w:id="2073850770">
      <w:bodyDiv w:val="1"/>
      <w:marLeft w:val="0"/>
      <w:marRight w:val="0"/>
      <w:marTop w:val="0"/>
      <w:marBottom w:val="0"/>
      <w:divBdr>
        <w:top w:val="none" w:sz="0" w:space="0" w:color="auto"/>
        <w:left w:val="none" w:sz="0" w:space="0" w:color="auto"/>
        <w:bottom w:val="none" w:sz="0" w:space="0" w:color="auto"/>
        <w:right w:val="none" w:sz="0" w:space="0" w:color="auto"/>
      </w:divBdr>
    </w:div>
    <w:div w:id="2076974624">
      <w:bodyDiv w:val="1"/>
      <w:marLeft w:val="0"/>
      <w:marRight w:val="0"/>
      <w:marTop w:val="0"/>
      <w:marBottom w:val="0"/>
      <w:divBdr>
        <w:top w:val="none" w:sz="0" w:space="0" w:color="auto"/>
        <w:left w:val="none" w:sz="0" w:space="0" w:color="auto"/>
        <w:bottom w:val="none" w:sz="0" w:space="0" w:color="auto"/>
        <w:right w:val="none" w:sz="0" w:space="0" w:color="auto"/>
      </w:divBdr>
    </w:div>
    <w:div w:id="2078090060">
      <w:bodyDiv w:val="1"/>
      <w:marLeft w:val="0"/>
      <w:marRight w:val="0"/>
      <w:marTop w:val="0"/>
      <w:marBottom w:val="0"/>
      <w:divBdr>
        <w:top w:val="none" w:sz="0" w:space="0" w:color="auto"/>
        <w:left w:val="none" w:sz="0" w:space="0" w:color="auto"/>
        <w:bottom w:val="none" w:sz="0" w:space="0" w:color="auto"/>
        <w:right w:val="none" w:sz="0" w:space="0" w:color="auto"/>
      </w:divBdr>
    </w:div>
    <w:div w:id="2081099224">
      <w:bodyDiv w:val="1"/>
      <w:marLeft w:val="0"/>
      <w:marRight w:val="0"/>
      <w:marTop w:val="0"/>
      <w:marBottom w:val="0"/>
      <w:divBdr>
        <w:top w:val="none" w:sz="0" w:space="0" w:color="auto"/>
        <w:left w:val="none" w:sz="0" w:space="0" w:color="auto"/>
        <w:bottom w:val="none" w:sz="0" w:space="0" w:color="auto"/>
        <w:right w:val="none" w:sz="0" w:space="0" w:color="auto"/>
      </w:divBdr>
    </w:div>
    <w:div w:id="2081099617">
      <w:bodyDiv w:val="1"/>
      <w:marLeft w:val="0"/>
      <w:marRight w:val="0"/>
      <w:marTop w:val="0"/>
      <w:marBottom w:val="0"/>
      <w:divBdr>
        <w:top w:val="none" w:sz="0" w:space="0" w:color="auto"/>
        <w:left w:val="none" w:sz="0" w:space="0" w:color="auto"/>
        <w:bottom w:val="none" w:sz="0" w:space="0" w:color="auto"/>
        <w:right w:val="none" w:sz="0" w:space="0" w:color="auto"/>
      </w:divBdr>
    </w:div>
    <w:div w:id="2094352140">
      <w:bodyDiv w:val="1"/>
      <w:marLeft w:val="0"/>
      <w:marRight w:val="0"/>
      <w:marTop w:val="0"/>
      <w:marBottom w:val="0"/>
      <w:divBdr>
        <w:top w:val="none" w:sz="0" w:space="0" w:color="auto"/>
        <w:left w:val="none" w:sz="0" w:space="0" w:color="auto"/>
        <w:bottom w:val="none" w:sz="0" w:space="0" w:color="auto"/>
        <w:right w:val="none" w:sz="0" w:space="0" w:color="auto"/>
      </w:divBdr>
    </w:div>
    <w:div w:id="2095013278">
      <w:bodyDiv w:val="1"/>
      <w:marLeft w:val="0"/>
      <w:marRight w:val="0"/>
      <w:marTop w:val="0"/>
      <w:marBottom w:val="0"/>
      <w:divBdr>
        <w:top w:val="none" w:sz="0" w:space="0" w:color="auto"/>
        <w:left w:val="none" w:sz="0" w:space="0" w:color="auto"/>
        <w:bottom w:val="none" w:sz="0" w:space="0" w:color="auto"/>
        <w:right w:val="none" w:sz="0" w:space="0" w:color="auto"/>
      </w:divBdr>
    </w:div>
    <w:div w:id="2096896634">
      <w:bodyDiv w:val="1"/>
      <w:marLeft w:val="0"/>
      <w:marRight w:val="0"/>
      <w:marTop w:val="0"/>
      <w:marBottom w:val="0"/>
      <w:divBdr>
        <w:top w:val="none" w:sz="0" w:space="0" w:color="auto"/>
        <w:left w:val="none" w:sz="0" w:space="0" w:color="auto"/>
        <w:bottom w:val="none" w:sz="0" w:space="0" w:color="auto"/>
        <w:right w:val="none" w:sz="0" w:space="0" w:color="auto"/>
      </w:divBdr>
    </w:div>
    <w:div w:id="2098865797">
      <w:bodyDiv w:val="1"/>
      <w:marLeft w:val="0"/>
      <w:marRight w:val="0"/>
      <w:marTop w:val="0"/>
      <w:marBottom w:val="0"/>
      <w:divBdr>
        <w:top w:val="none" w:sz="0" w:space="0" w:color="auto"/>
        <w:left w:val="none" w:sz="0" w:space="0" w:color="auto"/>
        <w:bottom w:val="none" w:sz="0" w:space="0" w:color="auto"/>
        <w:right w:val="none" w:sz="0" w:space="0" w:color="auto"/>
      </w:divBdr>
    </w:div>
    <w:div w:id="2099866800">
      <w:bodyDiv w:val="1"/>
      <w:marLeft w:val="0"/>
      <w:marRight w:val="0"/>
      <w:marTop w:val="0"/>
      <w:marBottom w:val="0"/>
      <w:divBdr>
        <w:top w:val="none" w:sz="0" w:space="0" w:color="auto"/>
        <w:left w:val="none" w:sz="0" w:space="0" w:color="auto"/>
        <w:bottom w:val="none" w:sz="0" w:space="0" w:color="auto"/>
        <w:right w:val="none" w:sz="0" w:space="0" w:color="auto"/>
      </w:divBdr>
    </w:div>
    <w:div w:id="2111271588">
      <w:bodyDiv w:val="1"/>
      <w:marLeft w:val="0"/>
      <w:marRight w:val="0"/>
      <w:marTop w:val="0"/>
      <w:marBottom w:val="0"/>
      <w:divBdr>
        <w:top w:val="none" w:sz="0" w:space="0" w:color="auto"/>
        <w:left w:val="none" w:sz="0" w:space="0" w:color="auto"/>
        <w:bottom w:val="none" w:sz="0" w:space="0" w:color="auto"/>
        <w:right w:val="none" w:sz="0" w:space="0" w:color="auto"/>
      </w:divBdr>
    </w:div>
    <w:div w:id="2116901313">
      <w:bodyDiv w:val="1"/>
      <w:marLeft w:val="0"/>
      <w:marRight w:val="0"/>
      <w:marTop w:val="0"/>
      <w:marBottom w:val="0"/>
      <w:divBdr>
        <w:top w:val="none" w:sz="0" w:space="0" w:color="auto"/>
        <w:left w:val="none" w:sz="0" w:space="0" w:color="auto"/>
        <w:bottom w:val="none" w:sz="0" w:space="0" w:color="auto"/>
        <w:right w:val="none" w:sz="0" w:space="0" w:color="auto"/>
      </w:divBdr>
    </w:div>
    <w:div w:id="2117557038">
      <w:bodyDiv w:val="1"/>
      <w:marLeft w:val="0"/>
      <w:marRight w:val="0"/>
      <w:marTop w:val="0"/>
      <w:marBottom w:val="0"/>
      <w:divBdr>
        <w:top w:val="none" w:sz="0" w:space="0" w:color="auto"/>
        <w:left w:val="none" w:sz="0" w:space="0" w:color="auto"/>
        <w:bottom w:val="none" w:sz="0" w:space="0" w:color="auto"/>
        <w:right w:val="none" w:sz="0" w:space="0" w:color="auto"/>
      </w:divBdr>
    </w:div>
    <w:div w:id="2118477473">
      <w:bodyDiv w:val="1"/>
      <w:marLeft w:val="0"/>
      <w:marRight w:val="0"/>
      <w:marTop w:val="0"/>
      <w:marBottom w:val="0"/>
      <w:divBdr>
        <w:top w:val="none" w:sz="0" w:space="0" w:color="auto"/>
        <w:left w:val="none" w:sz="0" w:space="0" w:color="auto"/>
        <w:bottom w:val="none" w:sz="0" w:space="0" w:color="auto"/>
        <w:right w:val="none" w:sz="0" w:space="0" w:color="auto"/>
      </w:divBdr>
    </w:div>
    <w:div w:id="2119059903">
      <w:bodyDiv w:val="1"/>
      <w:marLeft w:val="0"/>
      <w:marRight w:val="0"/>
      <w:marTop w:val="0"/>
      <w:marBottom w:val="0"/>
      <w:divBdr>
        <w:top w:val="none" w:sz="0" w:space="0" w:color="auto"/>
        <w:left w:val="none" w:sz="0" w:space="0" w:color="auto"/>
        <w:bottom w:val="none" w:sz="0" w:space="0" w:color="auto"/>
        <w:right w:val="none" w:sz="0" w:space="0" w:color="auto"/>
      </w:divBdr>
    </w:div>
    <w:div w:id="2125230004">
      <w:bodyDiv w:val="1"/>
      <w:marLeft w:val="0"/>
      <w:marRight w:val="0"/>
      <w:marTop w:val="0"/>
      <w:marBottom w:val="0"/>
      <w:divBdr>
        <w:top w:val="none" w:sz="0" w:space="0" w:color="auto"/>
        <w:left w:val="none" w:sz="0" w:space="0" w:color="auto"/>
        <w:bottom w:val="none" w:sz="0" w:space="0" w:color="auto"/>
        <w:right w:val="none" w:sz="0" w:space="0" w:color="auto"/>
      </w:divBdr>
    </w:div>
    <w:div w:id="2127042259">
      <w:bodyDiv w:val="1"/>
      <w:marLeft w:val="0"/>
      <w:marRight w:val="0"/>
      <w:marTop w:val="0"/>
      <w:marBottom w:val="0"/>
      <w:divBdr>
        <w:top w:val="none" w:sz="0" w:space="0" w:color="auto"/>
        <w:left w:val="none" w:sz="0" w:space="0" w:color="auto"/>
        <w:bottom w:val="none" w:sz="0" w:space="0" w:color="auto"/>
        <w:right w:val="none" w:sz="0" w:space="0" w:color="auto"/>
      </w:divBdr>
    </w:div>
    <w:div w:id="21279616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chart" Target="charts/chart12.xml"/><Relationship Id="rId7" Type="http://schemas.openxmlformats.org/officeDocument/2006/relationships/footnotes" Target="footnot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chart" Target="charts/chart11.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24"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chart" Target="charts/chart6.xml"/><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chart" Target="charts/chart1.xml"/><Relationship Id="rId19" Type="http://schemas.openxmlformats.org/officeDocument/2006/relationships/chart" Target="charts/chart10.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chart" Target="charts/chart5.xml"/><Relationship Id="rId22" Type="http://schemas.openxmlformats.org/officeDocument/2006/relationships/chart" Target="charts/chart13.xml"/><Relationship Id="rId27" Type="http://schemas.openxmlformats.org/officeDocument/2006/relationships/header" Target="header3.xml"/><Relationship Id="rId30"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charts/_rels/chart1.xml.rels><?xml version="1.0" encoding="UTF-8" standalone="yes"?>
<Relationships xmlns="http://schemas.openxmlformats.org/package/2006/relationships"><Relationship Id="rId1" Type="http://schemas.openxmlformats.org/officeDocument/2006/relationships/oleObject" Target="file:///D:\Documents%20and%20Settings\My%20Documents\&#1088;&#1072;&#1073;&#1086;&#1090;&#1085;&#1072;%20-%20&#1055;&#1054;&#1042;&#1045;&#1056;&#1048;&#1058;&#1045;&#1051;&#1053;&#1054;\DVI\2019\Q1\2019Q1data.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Ivo\Documents\2019\Q1\2019Q1data.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Ivo\Documents\2019\Q1\2019Q1data.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Ivo\Documents\2019\Q1\2019Q1data.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Ivo\Documents\2019\Q1\2019Q1data.xlsx" TargetMode="External"/></Relationships>
</file>

<file path=word/charts/_rels/chart6.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Ivo\Documents\2019\Q1\2019Q1data.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Users\Ivo\Documents\2019\Q1\2019Q1data.xlsx" TargetMode="External"/></Relationships>
</file>

<file path=word/charts/_rels/chart8.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C:\Users\Ivo\Documents\2019\Q1\2019Q1data.xlsx" TargetMode="External"/></Relationships>
</file>

<file path=word/charts/_rels/chart9.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oleObject" Target="file:///C:\Users\Ivo\Documents\2019\Q1\2019Q1data.xlsx" TargetMode="External"/></Relationships>
</file>

<file path=word/charts/_rels/chart10.xml.rels><?xml version="1.0" encoding="UTF-8" standalone="yes"?>
<Relationships xmlns="http://schemas.openxmlformats.org/package/2006/relationships"><Relationship Id="rId2" Type="http://schemas.openxmlformats.org/officeDocument/2006/relationships/chartUserShapes" Target="../drawings/drawing5.xml"/><Relationship Id="rId1" Type="http://schemas.openxmlformats.org/officeDocument/2006/relationships/oleObject" Target="file:///D:\Documents%20and%20Settings\ivo\My%20Documents\2019\Q1\2019Q1data.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D:\Documents%20and%20Settings\ivo\My%20Documents\2019\Q1\2019Q1data.xlsx" TargetMode="External"/></Relationships>
</file>

<file path=word/charts/_rels/chart12.xml.rels><?xml version="1.0" encoding="UTF-8" standalone="yes"?>
<Relationships xmlns="http://schemas.openxmlformats.org/package/2006/relationships"><Relationship Id="rId2" Type="http://schemas.openxmlformats.org/officeDocument/2006/relationships/chartUserShapes" Target="../drawings/drawing6.xml"/><Relationship Id="rId1" Type="http://schemas.openxmlformats.org/officeDocument/2006/relationships/oleObject" Target="file:///D:\Documents%20and%20Settings\ivo\My%20Documents\2019\Q1\2019Q1data.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D:\Documents%20and%20Settings\ivo\My%20Documents\2019\Q1\2019Q1dat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3312397032997573E-2"/>
          <c:y val="2.8252405949256338E-2"/>
          <c:w val="0.90325193279059401"/>
          <c:h val="0.65339779262987296"/>
        </c:manualLayout>
      </c:layout>
      <c:barChart>
        <c:barDir val="col"/>
        <c:grouping val="clustered"/>
        <c:varyColors val="0"/>
        <c:ser>
          <c:idx val="0"/>
          <c:order val="0"/>
          <c:tx>
            <c:strRef>
              <c:f>'1.1'!$D$57</c:f>
              <c:strCache>
                <c:ptCount val="1"/>
                <c:pt idx="0">
                  <c:v>Q4 '18</c:v>
                </c:pt>
              </c:strCache>
            </c:strRef>
          </c:tx>
          <c:invertIfNegative val="0"/>
          <c:dLbls>
            <c:numFmt formatCode="#,##0.00" sourceLinked="0"/>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'1.1'!$C$59:$C$65</c:f>
              <c:strCache>
                <c:ptCount val="7"/>
                <c:pt idx="0">
                  <c:v>Акции (без АДСИЦ) </c:v>
                </c:pt>
                <c:pt idx="1">
                  <c:v>Акции на АДСИЦ</c:v>
                </c:pt>
                <c:pt idx="2">
                  <c:v>Облигации</c:v>
                </c:pt>
                <c:pt idx="3">
                  <c:v>Борсово търгувани продукти</c:v>
                </c:pt>
                <c:pt idx="4">
                  <c:v>Сегмент за държавни ценни книжа</c:v>
                </c:pt>
                <c:pt idx="5">
                  <c:v>Компенсаторни инструменти</c:v>
                </c:pt>
                <c:pt idx="6">
                  <c:v>Други </c:v>
                </c:pt>
              </c:strCache>
            </c:strRef>
          </c:cat>
          <c:val>
            <c:numRef>
              <c:f>'1.1'!$D$59:$D$65</c:f>
              <c:numCache>
                <c:formatCode>#,##0</c:formatCode>
                <c:ptCount val="7"/>
                <c:pt idx="0">
                  <c:v>110015386.785</c:v>
                </c:pt>
                <c:pt idx="1">
                  <c:v>27578479.023000002</c:v>
                </c:pt>
                <c:pt idx="2">
                  <c:v>30815243.200096101</c:v>
                </c:pt>
                <c:pt idx="3">
                  <c:v>440482.92670000001</c:v>
                </c:pt>
                <c:pt idx="4">
                  <c:v>9504041.0759999994</c:v>
                </c:pt>
                <c:pt idx="5">
                  <c:v>1871740.3870000001</c:v>
                </c:pt>
                <c:pt idx="6">
                  <c:v>27545.433000000001</c:v>
                </c:pt>
              </c:numCache>
            </c:numRef>
          </c:val>
          <c:extLst xmlns:c16r2="http://schemas.microsoft.com/office/drawing/2015/06/chart">
            <c:ext xmlns:c16="http://schemas.microsoft.com/office/drawing/2014/chart" uri="{C3380CC4-5D6E-409C-BE32-E72D297353CC}">
              <c16:uniqueId val="{00000000-750C-4DE6-9614-8432F487CB73}"/>
            </c:ext>
          </c:extLst>
        </c:ser>
        <c:ser>
          <c:idx val="1"/>
          <c:order val="1"/>
          <c:tx>
            <c:strRef>
              <c:f>'1.1'!$E$57</c:f>
              <c:strCache>
                <c:ptCount val="1"/>
                <c:pt idx="0">
                  <c:v>Q1 '19</c:v>
                </c:pt>
              </c:strCache>
            </c:strRef>
          </c:tx>
          <c:spPr>
            <a:solidFill>
              <a:srgbClr val="FF0000"/>
            </a:solidFill>
          </c:spPr>
          <c:invertIfNegative val="0"/>
          <c:dLbls>
            <c:numFmt formatCode="#,##0.00" sourceLinked="0"/>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'1.1'!$C$59:$C$65</c:f>
              <c:strCache>
                <c:ptCount val="7"/>
                <c:pt idx="0">
                  <c:v>Акции (без АДСИЦ) </c:v>
                </c:pt>
                <c:pt idx="1">
                  <c:v>Акции на АДСИЦ</c:v>
                </c:pt>
                <c:pt idx="2">
                  <c:v>Облигации</c:v>
                </c:pt>
                <c:pt idx="3">
                  <c:v>Борсово търгувани продукти</c:v>
                </c:pt>
                <c:pt idx="4">
                  <c:v>Сегмент за държавни ценни книжа</c:v>
                </c:pt>
                <c:pt idx="5">
                  <c:v>Компенсаторни инструменти</c:v>
                </c:pt>
                <c:pt idx="6">
                  <c:v>Други </c:v>
                </c:pt>
              </c:strCache>
            </c:strRef>
          </c:cat>
          <c:val>
            <c:numRef>
              <c:f>'1.1'!$E$59:$E$65</c:f>
              <c:numCache>
                <c:formatCode>#,##0</c:formatCode>
                <c:ptCount val="7"/>
                <c:pt idx="0">
                  <c:v>81135103.403999999</c:v>
                </c:pt>
                <c:pt idx="1">
                  <c:v>13475633.368999999</c:v>
                </c:pt>
                <c:pt idx="2">
                  <c:v>2179333.52028675</c:v>
                </c:pt>
                <c:pt idx="3">
                  <c:v>533537.0281</c:v>
                </c:pt>
                <c:pt idx="4">
                  <c:v>1000492.6712327501</c:v>
                </c:pt>
                <c:pt idx="5">
                  <c:v>1270662.585</c:v>
                </c:pt>
                <c:pt idx="6">
                  <c:v>77745.225000000006</c:v>
                </c:pt>
              </c:numCache>
            </c:numRef>
          </c:val>
          <c:extLst xmlns:c16r2="http://schemas.microsoft.com/office/drawing/2015/06/chart">
            <c:ext xmlns:c16="http://schemas.microsoft.com/office/drawing/2014/chart" uri="{C3380CC4-5D6E-409C-BE32-E72D297353CC}">
              <c16:uniqueId val="{00000001-750C-4DE6-9614-8432F487CB73}"/>
            </c:ext>
          </c:extLst>
        </c:ser>
        <c:dLbls>
          <c:showLegendKey val="0"/>
          <c:showVal val="0"/>
          <c:showCatName val="0"/>
          <c:showSerName val="0"/>
          <c:showPercent val="0"/>
          <c:showBubbleSize val="0"/>
        </c:dLbls>
        <c:gapWidth val="150"/>
        <c:axId val="143606912"/>
        <c:axId val="143608832"/>
      </c:barChart>
      <c:catAx>
        <c:axId val="143606912"/>
        <c:scaling>
          <c:orientation val="minMax"/>
        </c:scaling>
        <c:delete val="0"/>
        <c:axPos val="b"/>
        <c:numFmt formatCode="General" sourceLinked="0"/>
        <c:majorTickMark val="out"/>
        <c:minorTickMark val="none"/>
        <c:tickLblPos val="nextTo"/>
        <c:txPr>
          <a:bodyPr rot="-5400000" vert="horz"/>
          <a:lstStyle/>
          <a:p>
            <a:pPr>
              <a:defRPr/>
            </a:pPr>
            <a:endParaRPr lang="bg-BG"/>
          </a:p>
        </c:txPr>
        <c:crossAx val="143608832"/>
        <c:crosses val="autoZero"/>
        <c:auto val="1"/>
        <c:lblAlgn val="ctr"/>
        <c:lblOffset val="100"/>
        <c:noMultiLvlLbl val="0"/>
      </c:catAx>
      <c:valAx>
        <c:axId val="143608832"/>
        <c:scaling>
          <c:orientation val="minMax"/>
        </c:scaling>
        <c:delete val="0"/>
        <c:axPos val="l"/>
        <c:majorGridlines>
          <c:spPr>
            <a:ln>
              <a:solidFill>
                <a:schemeClr val="bg1">
                  <a:lumMod val="85000"/>
                </a:schemeClr>
              </a:solidFill>
            </a:ln>
          </c:spPr>
        </c:majorGridlines>
        <c:numFmt formatCode="#,##0" sourceLinked="1"/>
        <c:majorTickMark val="out"/>
        <c:minorTickMark val="none"/>
        <c:tickLblPos val="nextTo"/>
        <c:crossAx val="143606912"/>
        <c:crosses val="autoZero"/>
        <c:crossBetween val="between"/>
        <c:dispUnits>
          <c:builtInUnit val="millions"/>
          <c:dispUnitsLbl>
            <c:layout>
              <c:manualLayout>
                <c:xMode val="edge"/>
                <c:yMode val="edge"/>
                <c:x val="0.91500690199171764"/>
                <c:y val="3.6720753548418132E-2"/>
              </c:manualLayout>
            </c:layout>
            <c:tx>
              <c:rich>
                <a:bodyPr/>
                <a:lstStyle/>
                <a:p>
                  <a:pPr>
                    <a:defRPr/>
                  </a:pPr>
                  <a:r>
                    <a:rPr lang="bg-BG"/>
                    <a:t>милиона </a:t>
                  </a:r>
                  <a:r>
                    <a:rPr lang="en-US"/>
                    <a:t>BGN</a:t>
                  </a:r>
                </a:p>
              </c:rich>
            </c:tx>
          </c:dispUnitsLbl>
        </c:dispUnits>
      </c:valAx>
    </c:plotArea>
    <c:legend>
      <c:legendPos val="r"/>
      <c:layout>
        <c:manualLayout>
          <c:xMode val="edge"/>
          <c:yMode val="edge"/>
          <c:x val="0.29929116777973253"/>
          <c:y val="2.0330233634884991E-2"/>
          <c:w val="0.47332694633837308"/>
          <c:h val="0.10790808398252878"/>
        </c:manualLayout>
      </c:layout>
      <c:overlay val="0"/>
    </c:legend>
    <c:plotVisOnly val="1"/>
    <c:dispBlanksAs val="gap"/>
    <c:showDLblsOverMax val="0"/>
  </c:chart>
  <c:spPr>
    <a:ln>
      <a:noFill/>
    </a:ln>
  </c:spPr>
  <c:txPr>
    <a:bodyPr/>
    <a:lstStyle/>
    <a:p>
      <a:pPr>
        <a:defRPr sz="600">
          <a:latin typeface="Calibri" panose="020F0502020204030204" pitchFamily="34" charset="0"/>
        </a:defRPr>
      </a:pPr>
      <a:endParaRPr lang="bg-BG"/>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12275240594925663"/>
          <c:y val="2.8252405949256338E-2"/>
          <c:w val="0.78417104111986002"/>
          <c:h val="0.60059628413870669"/>
        </c:manualLayout>
      </c:layout>
      <c:barChart>
        <c:barDir val="col"/>
        <c:grouping val="clustered"/>
        <c:varyColors val="0"/>
        <c:ser>
          <c:idx val="0"/>
          <c:order val="0"/>
          <c:tx>
            <c:strRef>
              <c:f>'1.1'!$D$57</c:f>
              <c:strCache>
                <c:ptCount val="1"/>
                <c:pt idx="0">
                  <c:v>Q4 '18</c:v>
                </c:pt>
              </c:strCache>
            </c:strRef>
          </c:tx>
          <c:invertIfNegative val="0"/>
          <c:dLbls>
            <c:numFmt formatCode="#,##0" sourceLinked="0"/>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'1.1'!$C$59:$C$65</c:f>
              <c:strCache>
                <c:ptCount val="7"/>
                <c:pt idx="0">
                  <c:v>Акции (без АДСИЦ) </c:v>
                </c:pt>
                <c:pt idx="1">
                  <c:v>Акции на АДСИЦ</c:v>
                </c:pt>
                <c:pt idx="2">
                  <c:v>Облигации</c:v>
                </c:pt>
                <c:pt idx="3">
                  <c:v>Борсово търгувани продукти</c:v>
                </c:pt>
                <c:pt idx="4">
                  <c:v>Сегмент за държавни ценни книжа</c:v>
                </c:pt>
                <c:pt idx="5">
                  <c:v>Компенсаторни инструменти</c:v>
                </c:pt>
                <c:pt idx="6">
                  <c:v>Други </c:v>
                </c:pt>
              </c:strCache>
            </c:strRef>
          </c:cat>
          <c:val>
            <c:numRef>
              <c:f>'1.1'!$D$75:$D$81</c:f>
              <c:numCache>
                <c:formatCode>#,##0</c:formatCode>
                <c:ptCount val="7"/>
                <c:pt idx="0">
                  <c:v>12807</c:v>
                </c:pt>
                <c:pt idx="1">
                  <c:v>1613</c:v>
                </c:pt>
                <c:pt idx="2">
                  <c:v>108</c:v>
                </c:pt>
                <c:pt idx="3">
                  <c:v>154</c:v>
                </c:pt>
                <c:pt idx="4">
                  <c:v>5</c:v>
                </c:pt>
                <c:pt idx="5">
                  <c:v>517</c:v>
                </c:pt>
                <c:pt idx="6">
                  <c:v>98</c:v>
                </c:pt>
              </c:numCache>
            </c:numRef>
          </c:val>
          <c:extLst xmlns:c16r2="http://schemas.microsoft.com/office/drawing/2015/06/chart">
            <c:ext xmlns:c16="http://schemas.microsoft.com/office/drawing/2014/chart" uri="{C3380CC4-5D6E-409C-BE32-E72D297353CC}">
              <c16:uniqueId val="{00000001-C3B8-4CDC-8D0A-9C815C076167}"/>
            </c:ext>
          </c:extLst>
        </c:ser>
        <c:ser>
          <c:idx val="1"/>
          <c:order val="1"/>
          <c:tx>
            <c:strRef>
              <c:f>'1.1'!$E$57</c:f>
              <c:strCache>
                <c:ptCount val="1"/>
                <c:pt idx="0">
                  <c:v>Q1 '19</c:v>
                </c:pt>
              </c:strCache>
            </c:strRef>
          </c:tx>
          <c:spPr>
            <a:solidFill>
              <a:srgbClr val="FF0000"/>
            </a:solidFill>
          </c:spPr>
          <c:invertIfNegative val="0"/>
          <c:dLbls>
            <c:numFmt formatCode="#,##0" sourceLinked="0"/>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'1.1'!$C$59:$C$65</c:f>
              <c:strCache>
                <c:ptCount val="7"/>
                <c:pt idx="0">
                  <c:v>Акции (без АДСИЦ) </c:v>
                </c:pt>
                <c:pt idx="1">
                  <c:v>Акции на АДСИЦ</c:v>
                </c:pt>
                <c:pt idx="2">
                  <c:v>Облигации</c:v>
                </c:pt>
                <c:pt idx="3">
                  <c:v>Борсово търгувани продукти</c:v>
                </c:pt>
                <c:pt idx="4">
                  <c:v>Сегмент за държавни ценни книжа</c:v>
                </c:pt>
                <c:pt idx="5">
                  <c:v>Компенсаторни инструменти</c:v>
                </c:pt>
                <c:pt idx="6">
                  <c:v>Други </c:v>
                </c:pt>
              </c:strCache>
            </c:strRef>
          </c:cat>
          <c:val>
            <c:numRef>
              <c:f>'1.1'!$E$75:$E$81</c:f>
              <c:numCache>
                <c:formatCode>#,##0</c:formatCode>
                <c:ptCount val="7"/>
                <c:pt idx="0">
                  <c:v>12234</c:v>
                </c:pt>
                <c:pt idx="1">
                  <c:v>1326</c:v>
                </c:pt>
                <c:pt idx="2">
                  <c:v>46</c:v>
                </c:pt>
                <c:pt idx="3">
                  <c:v>152</c:v>
                </c:pt>
                <c:pt idx="4">
                  <c:v>1</c:v>
                </c:pt>
                <c:pt idx="5">
                  <c:v>343</c:v>
                </c:pt>
                <c:pt idx="6">
                  <c:v>63</c:v>
                </c:pt>
              </c:numCache>
            </c:numRef>
          </c:val>
          <c:extLst xmlns:c16r2="http://schemas.microsoft.com/office/drawing/2015/06/chart">
            <c:ext xmlns:c16="http://schemas.microsoft.com/office/drawing/2014/chart" uri="{C3380CC4-5D6E-409C-BE32-E72D297353CC}">
              <c16:uniqueId val="{00000000-C3B8-4CDC-8D0A-9C815C076167}"/>
            </c:ext>
          </c:extLst>
        </c:ser>
        <c:dLbls>
          <c:showLegendKey val="0"/>
          <c:showVal val="0"/>
          <c:showCatName val="0"/>
          <c:showSerName val="0"/>
          <c:showPercent val="0"/>
          <c:showBubbleSize val="0"/>
        </c:dLbls>
        <c:gapWidth val="150"/>
        <c:axId val="183874304"/>
        <c:axId val="183876608"/>
      </c:barChart>
      <c:catAx>
        <c:axId val="183874304"/>
        <c:scaling>
          <c:orientation val="minMax"/>
        </c:scaling>
        <c:delete val="0"/>
        <c:axPos val="b"/>
        <c:numFmt formatCode="General" sourceLinked="0"/>
        <c:majorTickMark val="out"/>
        <c:minorTickMark val="none"/>
        <c:tickLblPos val="nextTo"/>
        <c:txPr>
          <a:bodyPr rot="-5400000" vert="horz"/>
          <a:lstStyle/>
          <a:p>
            <a:pPr>
              <a:defRPr/>
            </a:pPr>
            <a:endParaRPr lang="bg-BG"/>
          </a:p>
        </c:txPr>
        <c:crossAx val="183876608"/>
        <c:crosses val="autoZero"/>
        <c:auto val="1"/>
        <c:lblAlgn val="ctr"/>
        <c:lblOffset val="100"/>
        <c:noMultiLvlLbl val="0"/>
      </c:catAx>
      <c:valAx>
        <c:axId val="183876608"/>
        <c:scaling>
          <c:orientation val="minMax"/>
        </c:scaling>
        <c:delete val="0"/>
        <c:axPos val="l"/>
        <c:majorGridlines>
          <c:spPr>
            <a:ln>
              <a:solidFill>
                <a:schemeClr val="bg1">
                  <a:lumMod val="85000"/>
                </a:schemeClr>
              </a:solidFill>
            </a:ln>
          </c:spPr>
        </c:majorGridlines>
        <c:numFmt formatCode="#,##0" sourceLinked="1"/>
        <c:majorTickMark val="out"/>
        <c:minorTickMark val="none"/>
        <c:tickLblPos val="nextTo"/>
        <c:crossAx val="183874304"/>
        <c:crosses val="autoZero"/>
        <c:crossBetween val="between"/>
      </c:valAx>
    </c:plotArea>
    <c:legend>
      <c:legendPos val="r"/>
      <c:layout>
        <c:manualLayout>
          <c:xMode val="edge"/>
          <c:yMode val="edge"/>
          <c:x val="0.54384212395066456"/>
          <c:y val="8.8754009915427996E-3"/>
          <c:w val="0.24429391615167317"/>
          <c:h val="7.1257120559697282E-2"/>
        </c:manualLayout>
      </c:layout>
      <c:overlay val="0"/>
    </c:legend>
    <c:plotVisOnly val="1"/>
    <c:dispBlanksAs val="gap"/>
    <c:showDLblsOverMax val="0"/>
  </c:chart>
  <c:spPr>
    <a:ln>
      <a:noFill/>
    </a:ln>
  </c:spPr>
  <c:txPr>
    <a:bodyPr/>
    <a:lstStyle/>
    <a:p>
      <a:pPr>
        <a:defRPr sz="600">
          <a:latin typeface="Calibri" pitchFamily="34" charset="0"/>
        </a:defRPr>
      </a:pPr>
      <a:endParaRPr lang="bg-BG"/>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rAngAx val="0"/>
      <c:perspective val="30"/>
    </c:view3D>
    <c:floor>
      <c:thickness val="0"/>
    </c:floor>
    <c:sideWall>
      <c:thickness val="0"/>
    </c:sideWall>
    <c:backWall>
      <c:thickness val="0"/>
    </c:backWall>
    <c:plotArea>
      <c:layout/>
      <c:pie3DChart>
        <c:varyColors val="1"/>
        <c:ser>
          <c:idx val="0"/>
          <c:order val="0"/>
          <c:tx>
            <c:strRef>
              <c:f>'1.1 pie'!$C$2</c:f>
              <c:strCache>
                <c:ptCount val="1"/>
                <c:pt idx="0">
                  <c:v>NAME</c:v>
                </c:pt>
              </c:strCache>
            </c:strRef>
          </c:tx>
          <c:explosion val="25"/>
          <c:dLbls>
            <c:dLbl>
              <c:idx val="0"/>
              <c:spPr/>
              <c:txPr>
                <a:bodyPr/>
                <a:lstStyle/>
                <a:p>
                  <a:pPr>
                    <a:defRPr sz="700">
                      <a:solidFill>
                        <a:schemeClr val="bg1"/>
                      </a:solidFill>
                    </a:defRPr>
                  </a:pPr>
                  <a:endParaRPr lang="bg-BG"/>
                </a:p>
              </c:txPr>
              <c:showLegendKey val="0"/>
              <c:showVal val="1"/>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B0DD-4195-9CCC-811CB8407786}"/>
                </c:ext>
              </c:extLst>
            </c:dLbl>
            <c:dLbl>
              <c:idx val="1"/>
              <c:spPr/>
              <c:txPr>
                <a:bodyPr/>
                <a:lstStyle/>
                <a:p>
                  <a:pPr>
                    <a:defRPr sz="700">
                      <a:solidFill>
                        <a:schemeClr val="bg1"/>
                      </a:solidFill>
                    </a:defRPr>
                  </a:pPr>
                  <a:endParaRPr lang="bg-BG"/>
                </a:p>
              </c:txPr>
              <c:showLegendKey val="0"/>
              <c:showVal val="1"/>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B0DD-4195-9CCC-811CB8407786}"/>
                </c:ext>
              </c:extLst>
            </c:dLbl>
            <c:dLbl>
              <c:idx val="2"/>
              <c:spPr/>
              <c:txPr>
                <a:bodyPr/>
                <a:lstStyle/>
                <a:p>
                  <a:pPr>
                    <a:defRPr sz="700"/>
                  </a:pPr>
                  <a:endParaRPr lang="bg-BG"/>
                </a:p>
              </c:txPr>
              <c:showLegendKey val="0"/>
              <c:showVal val="1"/>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B0DD-4195-9CCC-811CB8407786}"/>
                </c:ext>
              </c:extLst>
            </c:dLbl>
            <c:dLbl>
              <c:idx val="3"/>
              <c:spPr/>
              <c:txPr>
                <a:bodyPr/>
                <a:lstStyle/>
                <a:p>
                  <a:pPr>
                    <a:defRPr sz="700"/>
                  </a:pPr>
                  <a:endParaRPr lang="bg-BG"/>
                </a:p>
              </c:txPr>
              <c:showLegendKey val="0"/>
              <c:showVal val="1"/>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B0DD-4195-9CCC-811CB8407786}"/>
                </c:ext>
              </c:extLst>
            </c:dLbl>
            <c:spPr>
              <a:noFill/>
              <a:ln>
                <a:noFill/>
              </a:ln>
              <a:effectLst/>
            </c:spPr>
            <c:txPr>
              <a:bodyPr/>
              <a:lstStyle/>
              <a:p>
                <a:pPr>
                  <a:defRPr sz="700"/>
                </a:pPr>
                <a:endParaRPr lang="bg-BG"/>
              </a:p>
            </c:txPr>
            <c:showLegendKey val="0"/>
            <c:showVal val="1"/>
            <c:showCatName val="1"/>
            <c:showSerName val="0"/>
            <c:showPercent val="0"/>
            <c:showBubbleSize val="0"/>
            <c:separator>
</c:separator>
            <c:showLeaderLines val="1"/>
            <c:extLst xmlns:c16r2="http://schemas.microsoft.com/office/drawing/2015/06/chart">
              <c:ext xmlns:c15="http://schemas.microsoft.com/office/drawing/2012/chart" uri="{CE6537A1-D6FC-4f65-9D91-7224C49458BB}"/>
            </c:extLst>
          </c:dLbls>
          <c:cat>
            <c:strRef>
              <c:f>'1.1 pie'!$C$3:$C$12</c:f>
              <c:strCache>
                <c:ptCount val="10"/>
                <c:pt idx="0">
                  <c:v>235 Холдингс АД-София</c:v>
                </c:pt>
                <c:pt idx="1">
                  <c:v>Холдинг Света София АД-София</c:v>
                </c:pt>
                <c:pt idx="2">
                  <c:v>Родна Земя Холдинг АД-Добрич</c:v>
                </c:pt>
                <c:pt idx="3">
                  <c:v>Велграф Асет Мениджмънт АД-София</c:v>
                </c:pt>
                <c:pt idx="4">
                  <c:v>Инвестор.БГ АД-София</c:v>
                </c:pt>
                <c:pt idx="5">
                  <c:v>Кепитъл Консепт Лимитед АД-София</c:v>
                </c:pt>
                <c:pt idx="6">
                  <c:v>Градус АД-Стара Загора</c:v>
                </c:pt>
                <c:pt idx="7">
                  <c:v>Инвестиционна Компания Галата АД-Варна</c:v>
                </c:pt>
                <c:pt idx="8">
                  <c:v>Адванс Терафонд АДСИЦ-София</c:v>
                </c:pt>
                <c:pt idx="9">
                  <c:v>Албена АД-к.к. Албена</c:v>
                </c:pt>
              </c:strCache>
            </c:strRef>
          </c:cat>
          <c:val>
            <c:numRef>
              <c:f>'1.1 pie'!$E$3:$E$12</c:f>
              <c:numCache>
                <c:formatCode>#,##0</c:formatCode>
                <c:ptCount val="10"/>
                <c:pt idx="0">
                  <c:v>15027347.199999981</c:v>
                </c:pt>
                <c:pt idx="1">
                  <c:v>7229885.2000000002</c:v>
                </c:pt>
                <c:pt idx="2">
                  <c:v>4222524.25</c:v>
                </c:pt>
                <c:pt idx="3">
                  <c:v>3968594.6</c:v>
                </c:pt>
                <c:pt idx="4">
                  <c:v>3453390.6</c:v>
                </c:pt>
                <c:pt idx="5">
                  <c:v>3174072</c:v>
                </c:pt>
                <c:pt idx="6">
                  <c:v>3110054.42</c:v>
                </c:pt>
                <c:pt idx="7">
                  <c:v>2643545.1</c:v>
                </c:pt>
                <c:pt idx="8">
                  <c:v>2421294.16</c:v>
                </c:pt>
                <c:pt idx="9">
                  <c:v>2386177.7999999998</c:v>
                </c:pt>
              </c:numCache>
            </c:numRef>
          </c:val>
          <c:extLst xmlns:c16r2="http://schemas.microsoft.com/office/drawing/2015/06/chart">
            <c:ext xmlns:c16="http://schemas.microsoft.com/office/drawing/2014/chart" uri="{C3380CC4-5D6E-409C-BE32-E72D297353CC}">
              <c16:uniqueId val="{00000004-B0DD-4195-9CCC-811CB8407786}"/>
            </c:ext>
          </c:extLst>
        </c:ser>
        <c:dLbls>
          <c:showLegendKey val="0"/>
          <c:showVal val="0"/>
          <c:showCatName val="0"/>
          <c:showSerName val="0"/>
          <c:showPercent val="0"/>
          <c:showBubbleSize val="0"/>
          <c:showLeaderLines val="1"/>
        </c:dLbls>
      </c:pie3DChart>
    </c:plotArea>
    <c:plotVisOnly val="1"/>
    <c:dispBlanksAs val="zero"/>
    <c:showDLblsOverMax val="0"/>
  </c:chart>
  <c:spPr>
    <a:ln>
      <a:noFill/>
    </a:ln>
  </c:spPr>
  <c:txPr>
    <a:bodyPr/>
    <a:lstStyle/>
    <a:p>
      <a:pPr>
        <a:defRPr sz="800">
          <a:latin typeface="Calibri" pitchFamily="34" charset="0"/>
        </a:defRPr>
      </a:pPr>
      <a:endParaRPr lang="bg-BG"/>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ofPieChart>
        <c:ofPieType val="pie"/>
        <c:varyColors val="1"/>
        <c:ser>
          <c:idx val="0"/>
          <c:order val="0"/>
          <c:tx>
            <c:strRef>
              <c:f>'1.2'!$C$17</c:f>
              <c:strCache>
                <c:ptCount val="1"/>
                <c:pt idx="0">
                  <c:v>Сектор</c:v>
                </c:pt>
              </c:strCache>
            </c:strRef>
          </c:tx>
          <c:dLbls>
            <c:dLbl>
              <c:idx val="3"/>
              <c:layout>
                <c:manualLayout>
                  <c:x val="-5.2047253191965397E-2"/>
                  <c:y val="-0.19901608345663507"/>
                </c:manualLayout>
              </c:layout>
              <c:showLegendKey val="0"/>
              <c:showVal val="0"/>
              <c:showCatName val="1"/>
              <c:showSerName val="0"/>
              <c:showPercent val="1"/>
              <c:showBubbleSize val="0"/>
              <c:separator>
</c:separato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991B-4502-9123-13265E0B8131}"/>
                </c:ext>
              </c:extLst>
            </c:dLbl>
            <c:dLbl>
              <c:idx val="4"/>
              <c:layout>
                <c:manualLayout>
                  <c:x val="0.1162126962158567"/>
                  <c:y val="-0.26219833110610929"/>
                </c:manualLayout>
              </c:layout>
              <c:showLegendKey val="0"/>
              <c:showVal val="0"/>
              <c:showCatName val="1"/>
              <c:showSerName val="0"/>
              <c:showPercent val="1"/>
              <c:showBubbleSize val="0"/>
              <c:separator>
</c:separato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991B-4502-9123-13265E0B8131}"/>
                </c:ext>
              </c:extLst>
            </c:dLbl>
            <c:dLbl>
              <c:idx val="5"/>
              <c:layout>
                <c:manualLayout>
                  <c:x val="0.11370647000353371"/>
                  <c:y val="-0.22811096758706087"/>
                </c:manualLayout>
              </c:layout>
              <c:showLegendKey val="0"/>
              <c:showVal val="0"/>
              <c:showCatName val="1"/>
              <c:showSerName val="0"/>
              <c:showPercent val="1"/>
              <c:showBubbleSize val="0"/>
              <c:separator>
</c:separato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991B-4502-9123-13265E0B8131}"/>
                </c:ext>
              </c:extLst>
            </c:dLbl>
            <c:dLbl>
              <c:idx val="6"/>
              <c:layout>
                <c:manualLayout>
                  <c:x val="2.3656244612813436E-3"/>
                  <c:y val="-7.5416634329242664E-3"/>
                </c:manualLayout>
              </c:layout>
              <c:showLegendKey val="0"/>
              <c:showVal val="0"/>
              <c:showCatName val="1"/>
              <c:showSerName val="0"/>
              <c:showPercent val="1"/>
              <c:showBubbleSize val="0"/>
              <c:separator>
</c:separato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991B-4502-9123-13265E0B8131}"/>
                </c:ext>
              </c:extLst>
            </c:dLbl>
            <c:dLbl>
              <c:idx val="7"/>
              <c:layout>
                <c:manualLayout>
                  <c:x val="4.4156820468680684E-2"/>
                  <c:y val="-0.26450243151247732"/>
                </c:manualLayout>
              </c:layout>
              <c:showLegendKey val="0"/>
              <c:showVal val="0"/>
              <c:showCatName val="1"/>
              <c:showSerName val="0"/>
              <c:showPercent val="1"/>
              <c:showBubbleSize val="0"/>
              <c:separator>
</c:separato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991B-4502-9123-13265E0B8131}"/>
                </c:ext>
              </c:extLst>
            </c:dLbl>
            <c:dLbl>
              <c:idx val="11"/>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FBFE-4E5E-B4CF-54809E23A7B6}"/>
                </c:ext>
              </c:extLst>
            </c:dLbl>
            <c:numFmt formatCode="0.00%" sourceLinked="0"/>
            <c:spPr>
              <a:noFill/>
              <a:ln>
                <a:noFill/>
              </a:ln>
              <a:effectLst/>
            </c:spPr>
            <c:showLegendKey val="0"/>
            <c:showVal val="0"/>
            <c:showCatName val="1"/>
            <c:showSerName val="0"/>
            <c:showPercent val="1"/>
            <c:showBubbleSize val="0"/>
            <c:separator>
</c:separator>
            <c:showLeaderLines val="1"/>
            <c:extLst xmlns:c16r2="http://schemas.microsoft.com/office/drawing/2015/06/chart">
              <c:ext xmlns:c15="http://schemas.microsoft.com/office/drawing/2012/chart" uri="{CE6537A1-D6FC-4f65-9D91-7224C49458BB}"/>
            </c:extLst>
          </c:dLbls>
          <c:cat>
            <c:strRef>
              <c:f>'1.2'!$C$19:$C$29</c:f>
              <c:strCache>
                <c:ptCount val="11"/>
                <c:pt idx="0">
                  <c:v>Финансови и застрахователни дейности</c:v>
                </c:pt>
                <c:pt idx="1">
                  <c:v>Операции с недвижими имоти</c:v>
                </c:pt>
                <c:pt idx="2">
                  <c:v>Преработваща промишленост</c:v>
                </c:pt>
                <c:pt idx="3">
                  <c:v>Хотелиерство и ресторантьорство</c:v>
                </c:pt>
                <c:pt idx="4">
                  <c:v>Създаване и разпространение на информация и творчески продукти; далекосъобщения</c:v>
                </c:pt>
                <c:pt idx="5">
                  <c:v>Професионални дейности и научни изследвания</c:v>
                </c:pt>
                <c:pt idx="6">
                  <c:v>Търговия; ремонт на автомобили и мотоциклети</c:v>
                </c:pt>
                <c:pt idx="7">
                  <c:v>Производство и разпределение на електрическа и топлинна енергия и на газообразни горива</c:v>
                </c:pt>
                <c:pt idx="8">
                  <c:v>Строителство</c:v>
                </c:pt>
                <c:pt idx="9">
                  <c:v>Транспорт, складиране и пощи</c:v>
                </c:pt>
                <c:pt idx="10">
                  <c:v>Добивна промишленост</c:v>
                </c:pt>
              </c:strCache>
            </c:strRef>
          </c:cat>
          <c:val>
            <c:numRef>
              <c:f>'1.2'!$G$19:$G$29</c:f>
              <c:numCache>
                <c:formatCode>#,##0</c:formatCode>
                <c:ptCount val="11"/>
                <c:pt idx="0">
                  <c:v>48850144.714000002</c:v>
                </c:pt>
                <c:pt idx="1">
                  <c:v>23530296.050000001</c:v>
                </c:pt>
                <c:pt idx="2">
                  <c:v>10236474.215999993</c:v>
                </c:pt>
                <c:pt idx="3">
                  <c:v>3608114.1149999998</c:v>
                </c:pt>
                <c:pt idx="4">
                  <c:v>3453990.6</c:v>
                </c:pt>
                <c:pt idx="5">
                  <c:v>1913583.1500000001</c:v>
                </c:pt>
                <c:pt idx="6">
                  <c:v>1139712.713</c:v>
                </c:pt>
                <c:pt idx="7">
                  <c:v>959419</c:v>
                </c:pt>
                <c:pt idx="8">
                  <c:v>677335.8</c:v>
                </c:pt>
                <c:pt idx="9">
                  <c:v>178745.01500000001</c:v>
                </c:pt>
                <c:pt idx="10">
                  <c:v>62921.4</c:v>
                </c:pt>
              </c:numCache>
            </c:numRef>
          </c:val>
          <c:extLst xmlns:c16r2="http://schemas.microsoft.com/office/drawing/2015/06/chart">
            <c:ext xmlns:c16="http://schemas.microsoft.com/office/drawing/2014/chart" uri="{C3380CC4-5D6E-409C-BE32-E72D297353CC}">
              <c16:uniqueId val="{00000000-FBFE-4E5E-B4CF-54809E23A7B6}"/>
            </c:ext>
          </c:extLst>
        </c:ser>
        <c:dLbls>
          <c:showLegendKey val="0"/>
          <c:showVal val="0"/>
          <c:showCatName val="0"/>
          <c:showSerName val="0"/>
          <c:showPercent val="0"/>
          <c:showBubbleSize val="0"/>
          <c:showLeaderLines val="1"/>
        </c:dLbls>
        <c:gapWidth val="100"/>
        <c:secondPieSize val="75"/>
        <c:serLines>
          <c:spPr>
            <a:ln>
              <a:solidFill>
                <a:schemeClr val="bg1">
                  <a:lumMod val="85000"/>
                </a:schemeClr>
              </a:solidFill>
            </a:ln>
          </c:spPr>
        </c:serLines>
      </c:ofPieChart>
    </c:plotArea>
    <c:plotVisOnly val="1"/>
    <c:dispBlanksAs val="zero"/>
    <c:showDLblsOverMax val="0"/>
  </c:chart>
  <c:spPr>
    <a:ln>
      <a:noFill/>
    </a:ln>
  </c:spPr>
  <c:txPr>
    <a:bodyPr/>
    <a:lstStyle/>
    <a:p>
      <a:pPr>
        <a:defRPr sz="600">
          <a:latin typeface="Calibri" pitchFamily="34" charset="0"/>
        </a:defRPr>
      </a:pPr>
      <a:endParaRPr lang="bg-BG"/>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3.7212513448802796E-2"/>
          <c:y val="2.1712773909766551E-2"/>
          <c:w val="0.72511271097257501"/>
          <c:h val="0.94090900666588884"/>
        </c:manualLayout>
      </c:layout>
      <c:barChart>
        <c:barDir val="col"/>
        <c:grouping val="stacked"/>
        <c:varyColors val="0"/>
        <c:ser>
          <c:idx val="3"/>
          <c:order val="0"/>
          <c:tx>
            <c:strRef>
              <c:f>'2'!$B$6</c:f>
              <c:strCache>
                <c:ptCount val="1"/>
                <c:pt idx="0">
                  <c:v>Сегмент за АДСИЦ, пазар BSE</c:v>
                </c:pt>
              </c:strCache>
            </c:strRef>
          </c:tx>
          <c:invertIfNegative val="0"/>
          <c:dLbls>
            <c:spPr>
              <a:noFill/>
              <a:ln>
                <a:noFill/>
              </a:ln>
              <a:effectLst/>
            </c:spPr>
            <c:txPr>
              <a:bodyPr/>
              <a:lstStyle/>
              <a:p>
                <a:pPr>
                  <a:defRPr lang="en-US"/>
                </a:pPr>
                <a:endParaRPr lang="bg-BG"/>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'2'!$D$2:$E$2</c:f>
              <c:numCache>
                <c:formatCode>d/m/yyyy</c:formatCode>
                <c:ptCount val="2"/>
                <c:pt idx="0">
                  <c:v>43465</c:v>
                </c:pt>
                <c:pt idx="1">
                  <c:v>43555</c:v>
                </c:pt>
              </c:numCache>
            </c:numRef>
          </c:cat>
          <c:val>
            <c:numRef>
              <c:f>'2'!$D$6:$E$6</c:f>
              <c:numCache>
                <c:formatCode>General</c:formatCode>
                <c:ptCount val="2"/>
                <c:pt idx="0">
                  <c:v>12</c:v>
                </c:pt>
                <c:pt idx="1">
                  <c:v>12</c:v>
                </c:pt>
              </c:numCache>
            </c:numRef>
          </c:val>
          <c:extLst xmlns:c16r2="http://schemas.microsoft.com/office/drawing/2015/06/chart">
            <c:ext xmlns:c16="http://schemas.microsoft.com/office/drawing/2014/chart" uri="{C3380CC4-5D6E-409C-BE32-E72D297353CC}">
              <c16:uniqueId val="{00000001-F50C-4234-A669-E75EC551A72B}"/>
            </c:ext>
          </c:extLst>
        </c:ser>
        <c:ser>
          <c:idx val="1"/>
          <c:order val="1"/>
          <c:tx>
            <c:strRef>
              <c:f>'2'!$B$4</c:f>
              <c:strCache>
                <c:ptCount val="1"/>
                <c:pt idx="0">
                  <c:v>Сегмент акции Standard, пазар BSE</c:v>
                </c:pt>
              </c:strCache>
            </c:strRef>
          </c:tx>
          <c:invertIfNegative val="0"/>
          <c:dLbls>
            <c:spPr>
              <a:noFill/>
              <a:ln>
                <a:noFill/>
              </a:ln>
              <a:effectLst/>
            </c:spPr>
            <c:txPr>
              <a:bodyPr/>
              <a:lstStyle/>
              <a:p>
                <a:pPr>
                  <a:defRPr lang="en-US"/>
                </a:pPr>
                <a:endParaRPr lang="bg-BG"/>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'2'!$D$2:$E$2</c:f>
              <c:numCache>
                <c:formatCode>d/m/yyyy</c:formatCode>
                <c:ptCount val="2"/>
                <c:pt idx="0">
                  <c:v>43465</c:v>
                </c:pt>
                <c:pt idx="1">
                  <c:v>43555</c:v>
                </c:pt>
              </c:numCache>
            </c:numRef>
          </c:cat>
          <c:val>
            <c:numRef>
              <c:f>'2'!$D$4:$E$4</c:f>
              <c:numCache>
                <c:formatCode>General</c:formatCode>
                <c:ptCount val="2"/>
                <c:pt idx="0">
                  <c:v>60</c:v>
                </c:pt>
                <c:pt idx="1">
                  <c:v>59</c:v>
                </c:pt>
              </c:numCache>
            </c:numRef>
          </c:val>
          <c:extLst xmlns:c16r2="http://schemas.microsoft.com/office/drawing/2015/06/chart">
            <c:ext xmlns:c16="http://schemas.microsoft.com/office/drawing/2014/chart" uri="{C3380CC4-5D6E-409C-BE32-E72D297353CC}">
              <c16:uniqueId val="{00000002-F50C-4234-A669-E75EC551A72B}"/>
            </c:ext>
          </c:extLst>
        </c:ser>
        <c:ser>
          <c:idx val="0"/>
          <c:order val="2"/>
          <c:tx>
            <c:strRef>
              <c:f>'2'!$B$3</c:f>
              <c:strCache>
                <c:ptCount val="1"/>
                <c:pt idx="0">
                  <c:v>Сегмент акции Premium, пазар BSE</c:v>
                </c:pt>
              </c:strCache>
            </c:strRef>
          </c:tx>
          <c:invertIfNegative val="0"/>
          <c:dLbls>
            <c:spPr>
              <a:noFill/>
              <a:ln>
                <a:noFill/>
              </a:ln>
              <a:effectLst/>
            </c:spPr>
            <c:txPr>
              <a:bodyPr/>
              <a:lstStyle/>
              <a:p>
                <a:pPr>
                  <a:defRPr lang="en-US"/>
                </a:pPr>
                <a:endParaRPr lang="bg-BG"/>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'2'!$D$2:$E$2</c:f>
              <c:numCache>
                <c:formatCode>d/m/yyyy</c:formatCode>
                <c:ptCount val="2"/>
                <c:pt idx="0">
                  <c:v>43465</c:v>
                </c:pt>
                <c:pt idx="1">
                  <c:v>43555</c:v>
                </c:pt>
              </c:numCache>
            </c:numRef>
          </c:cat>
          <c:val>
            <c:numRef>
              <c:f>'2'!$D$3:$E$3</c:f>
              <c:numCache>
                <c:formatCode>General</c:formatCode>
                <c:ptCount val="2"/>
                <c:pt idx="0">
                  <c:v>7</c:v>
                </c:pt>
                <c:pt idx="1">
                  <c:v>7</c:v>
                </c:pt>
              </c:numCache>
            </c:numRef>
          </c:val>
          <c:extLst xmlns:c16r2="http://schemas.microsoft.com/office/drawing/2015/06/chart">
            <c:ext xmlns:c16="http://schemas.microsoft.com/office/drawing/2014/chart" uri="{C3380CC4-5D6E-409C-BE32-E72D297353CC}">
              <c16:uniqueId val="{00000000-F50C-4234-A669-E75EC551A72B}"/>
            </c:ext>
          </c:extLst>
        </c:ser>
        <c:ser>
          <c:idx val="5"/>
          <c:order val="3"/>
          <c:tx>
            <c:strRef>
              <c:f>'2'!$B$9</c:f>
              <c:strCache>
                <c:ptCount val="1"/>
                <c:pt idx="0">
                  <c:v>Сегмент за облигации, пазар BSE</c:v>
                </c:pt>
              </c:strCache>
            </c:strRef>
          </c:tx>
          <c:invertIfNegative val="0"/>
          <c:dLbls>
            <c:spPr>
              <a:noFill/>
              <a:ln>
                <a:noFill/>
              </a:ln>
              <a:effectLst/>
            </c:spPr>
            <c:txPr>
              <a:bodyPr/>
              <a:lstStyle/>
              <a:p>
                <a:pPr>
                  <a:defRPr lang="en-US"/>
                </a:pPr>
                <a:endParaRPr lang="bg-BG"/>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'2'!$D$2:$E$2</c:f>
              <c:numCache>
                <c:formatCode>d/m/yyyy</c:formatCode>
                <c:ptCount val="2"/>
                <c:pt idx="0">
                  <c:v>43465</c:v>
                </c:pt>
                <c:pt idx="1">
                  <c:v>43555</c:v>
                </c:pt>
              </c:numCache>
            </c:numRef>
          </c:cat>
          <c:val>
            <c:numRef>
              <c:f>'2'!$D$9:$E$9</c:f>
              <c:numCache>
                <c:formatCode>General</c:formatCode>
                <c:ptCount val="2"/>
                <c:pt idx="0">
                  <c:v>66</c:v>
                </c:pt>
                <c:pt idx="1">
                  <c:v>65</c:v>
                </c:pt>
              </c:numCache>
            </c:numRef>
          </c:val>
          <c:extLst xmlns:c16r2="http://schemas.microsoft.com/office/drawing/2015/06/chart">
            <c:ext xmlns:c16="http://schemas.microsoft.com/office/drawing/2014/chart" uri="{C3380CC4-5D6E-409C-BE32-E72D297353CC}">
              <c16:uniqueId val="{00000004-F50C-4234-A669-E75EC551A72B}"/>
            </c:ext>
          </c:extLst>
        </c:ser>
        <c:ser>
          <c:idx val="2"/>
          <c:order val="4"/>
          <c:tx>
            <c:strRef>
              <c:f>'2'!$B$5</c:f>
              <c:strCache>
                <c:ptCount val="1"/>
                <c:pt idx="0">
                  <c:v>Сегмент за борсово търгувани продукти, пазар BSE</c:v>
                </c:pt>
              </c:strCache>
            </c:strRef>
          </c:tx>
          <c:invertIfNegative val="0"/>
          <c:dLbls>
            <c:spPr>
              <a:noFill/>
              <a:ln>
                <a:noFill/>
              </a:ln>
              <a:effectLst/>
            </c:spPr>
            <c:txPr>
              <a:bodyPr/>
              <a:lstStyle/>
              <a:p>
                <a:pPr>
                  <a:defRPr lang="en-US"/>
                </a:pPr>
                <a:endParaRPr lang="bg-BG"/>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'2'!$D$2:$E$2</c:f>
              <c:numCache>
                <c:formatCode>d/m/yyyy</c:formatCode>
                <c:ptCount val="2"/>
                <c:pt idx="0">
                  <c:v>43465</c:v>
                </c:pt>
                <c:pt idx="1">
                  <c:v>43555</c:v>
                </c:pt>
              </c:numCache>
            </c:numRef>
          </c:cat>
          <c:val>
            <c:numRef>
              <c:f>'2'!$D$5:$E$5</c:f>
              <c:numCache>
                <c:formatCode>General</c:formatCode>
                <c:ptCount val="2"/>
                <c:pt idx="0">
                  <c:v>13</c:v>
                </c:pt>
                <c:pt idx="1">
                  <c:v>13</c:v>
                </c:pt>
              </c:numCache>
            </c:numRef>
          </c:val>
          <c:extLst xmlns:c16r2="http://schemas.microsoft.com/office/drawing/2015/06/chart">
            <c:ext xmlns:c16="http://schemas.microsoft.com/office/drawing/2014/chart" uri="{C3380CC4-5D6E-409C-BE32-E72D297353CC}">
              <c16:uniqueId val="{00000005-F50C-4234-A669-E75EC551A72B}"/>
            </c:ext>
          </c:extLst>
        </c:ser>
        <c:ser>
          <c:idx val="7"/>
          <c:order val="5"/>
          <c:tx>
            <c:strRef>
              <c:f>'2'!$B$12</c:f>
              <c:strCache>
                <c:ptCount val="1"/>
                <c:pt idx="0">
                  <c:v>Сегмент акции, пазар BаSE</c:v>
                </c:pt>
              </c:strCache>
            </c:strRef>
          </c:tx>
          <c:invertIfNegative val="0"/>
          <c:dLbls>
            <c:spPr>
              <a:noFill/>
              <a:ln>
                <a:noFill/>
              </a:ln>
              <a:effectLst/>
            </c:spPr>
            <c:txPr>
              <a:bodyPr/>
              <a:lstStyle/>
              <a:p>
                <a:pPr>
                  <a:defRPr lang="en-US"/>
                </a:pPr>
                <a:endParaRPr lang="bg-BG"/>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'2'!$D$2:$E$2</c:f>
              <c:numCache>
                <c:formatCode>d/m/yyyy</c:formatCode>
                <c:ptCount val="2"/>
                <c:pt idx="0">
                  <c:v>43465</c:v>
                </c:pt>
                <c:pt idx="1">
                  <c:v>43555</c:v>
                </c:pt>
              </c:numCache>
            </c:numRef>
          </c:cat>
          <c:val>
            <c:numRef>
              <c:f>'2'!$D$12:$E$12</c:f>
              <c:numCache>
                <c:formatCode>General</c:formatCode>
                <c:ptCount val="2"/>
                <c:pt idx="0">
                  <c:v>154</c:v>
                </c:pt>
                <c:pt idx="1">
                  <c:v>154</c:v>
                </c:pt>
              </c:numCache>
            </c:numRef>
          </c:val>
          <c:extLst xmlns:c16r2="http://schemas.microsoft.com/office/drawing/2015/06/chart">
            <c:ext xmlns:c16="http://schemas.microsoft.com/office/drawing/2014/chart" uri="{C3380CC4-5D6E-409C-BE32-E72D297353CC}">
              <c16:uniqueId val="{00000006-F50C-4234-A669-E75EC551A72B}"/>
            </c:ext>
          </c:extLst>
        </c:ser>
        <c:ser>
          <c:idx val="4"/>
          <c:order val="6"/>
          <c:tx>
            <c:strRef>
              <c:f>'2'!$B$8</c:f>
              <c:strCache>
                <c:ptCount val="1"/>
                <c:pt idx="0">
                  <c:v>Сегмент за компенсаторни инструменти, пазар BSE</c:v>
                </c:pt>
              </c:strCache>
            </c:strRef>
          </c:tx>
          <c:invertIfNegative val="0"/>
          <c:dLbls>
            <c:spPr>
              <a:noFill/>
              <a:ln>
                <a:noFill/>
              </a:ln>
              <a:effectLst/>
            </c:spPr>
            <c:txPr>
              <a:bodyPr/>
              <a:lstStyle/>
              <a:p>
                <a:pPr>
                  <a:defRPr lang="en-US"/>
                </a:pPr>
                <a:endParaRPr lang="bg-BG"/>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'2'!$D$2:$E$2</c:f>
              <c:numCache>
                <c:formatCode>d/m/yyyy</c:formatCode>
                <c:ptCount val="2"/>
                <c:pt idx="0">
                  <c:v>43465</c:v>
                </c:pt>
                <c:pt idx="1">
                  <c:v>43555</c:v>
                </c:pt>
              </c:numCache>
            </c:numRef>
          </c:cat>
          <c:val>
            <c:numRef>
              <c:f>'2'!$D$8:$E$8</c:f>
              <c:numCache>
                <c:formatCode>General</c:formatCode>
                <c:ptCount val="2"/>
                <c:pt idx="0">
                  <c:v>3</c:v>
                </c:pt>
                <c:pt idx="1">
                  <c:v>3</c:v>
                </c:pt>
              </c:numCache>
            </c:numRef>
          </c:val>
          <c:extLst xmlns:c16r2="http://schemas.microsoft.com/office/drawing/2015/06/chart">
            <c:ext xmlns:c16="http://schemas.microsoft.com/office/drawing/2014/chart" uri="{C3380CC4-5D6E-409C-BE32-E72D297353CC}">
              <c16:uniqueId val="{00000003-F50C-4234-A669-E75EC551A72B}"/>
            </c:ext>
          </c:extLst>
        </c:ser>
        <c:ser>
          <c:idx val="6"/>
          <c:order val="7"/>
          <c:tx>
            <c:strRef>
              <c:f>'2'!$B$13</c:f>
              <c:strCache>
                <c:ptCount val="1"/>
                <c:pt idx="0">
                  <c:v>Сегмент за АДСИЦ, пазар BаSE</c:v>
                </c:pt>
              </c:strCache>
            </c:strRef>
          </c:tx>
          <c:invertIfNegative val="0"/>
          <c:dLbls>
            <c:spPr>
              <a:noFill/>
              <a:ln>
                <a:noFill/>
              </a:ln>
              <a:effectLst/>
            </c:spPr>
            <c:txPr>
              <a:bodyPr/>
              <a:lstStyle/>
              <a:p>
                <a:pPr>
                  <a:defRPr lang="en-US"/>
                </a:pPr>
                <a:endParaRPr lang="bg-BG"/>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ext>
            </c:extLst>
          </c:dLbls>
          <c:cat>
            <c:numRef>
              <c:f>'2'!$D$2:$E$2</c:f>
              <c:numCache>
                <c:formatCode>d/m/yyyy</c:formatCode>
                <c:ptCount val="2"/>
                <c:pt idx="0">
                  <c:v>43465</c:v>
                </c:pt>
                <c:pt idx="1">
                  <c:v>43555</c:v>
                </c:pt>
              </c:numCache>
            </c:numRef>
          </c:cat>
          <c:val>
            <c:numRef>
              <c:f>'2'!$D$13:$E$13</c:f>
              <c:numCache>
                <c:formatCode>General</c:formatCode>
                <c:ptCount val="2"/>
                <c:pt idx="0">
                  <c:v>45</c:v>
                </c:pt>
                <c:pt idx="1">
                  <c:v>45</c:v>
                </c:pt>
              </c:numCache>
            </c:numRef>
          </c:val>
          <c:extLst xmlns:c16r2="http://schemas.microsoft.com/office/drawing/2015/06/chart">
            <c:ext xmlns:c16="http://schemas.microsoft.com/office/drawing/2014/chart" uri="{C3380CC4-5D6E-409C-BE32-E72D297353CC}">
              <c16:uniqueId val="{00000000-AD09-4B7D-9D28-E15A18B3D5BA}"/>
            </c:ext>
          </c:extLst>
        </c:ser>
        <c:ser>
          <c:idx val="9"/>
          <c:order val="8"/>
          <c:tx>
            <c:strRef>
              <c:f>'2'!$B$11</c:f>
              <c:strCache>
                <c:ptCount val="1"/>
                <c:pt idx="0">
                  <c:v>Сегмент за права, пазар BSE</c:v>
                </c:pt>
              </c:strCache>
            </c:strRef>
          </c:tx>
          <c:invertIfNegative val="0"/>
          <c:dLbls>
            <c:spPr>
              <a:noFill/>
              <a:ln>
                <a:noFill/>
              </a:ln>
              <a:effectLst/>
            </c:spPr>
            <c:txPr>
              <a:bodyPr/>
              <a:lstStyle/>
              <a:p>
                <a:pPr>
                  <a:defRPr lang="en-US"/>
                </a:pPr>
                <a:endParaRPr lang="bg-BG"/>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'2'!$D$2:$E$2</c:f>
              <c:numCache>
                <c:formatCode>d/m/yyyy</c:formatCode>
                <c:ptCount val="2"/>
                <c:pt idx="0">
                  <c:v>43465</c:v>
                </c:pt>
                <c:pt idx="1">
                  <c:v>43555</c:v>
                </c:pt>
              </c:numCache>
            </c:numRef>
          </c:cat>
          <c:val>
            <c:numRef>
              <c:f>'2'!$D$11:$E$11</c:f>
              <c:numCache>
                <c:formatCode>General</c:formatCode>
                <c:ptCount val="2"/>
                <c:pt idx="0">
                  <c:v>2</c:v>
                </c:pt>
                <c:pt idx="1">
                  <c:v>0</c:v>
                </c:pt>
              </c:numCache>
            </c:numRef>
          </c:val>
          <c:extLst xmlns:c16r2="http://schemas.microsoft.com/office/drawing/2015/06/chart">
            <c:ext xmlns:c16="http://schemas.microsoft.com/office/drawing/2014/chart" uri="{C3380CC4-5D6E-409C-BE32-E72D297353CC}">
              <c16:uniqueId val="{00000007-F50C-4234-A669-E75EC551A72B}"/>
            </c:ext>
          </c:extLst>
        </c:ser>
        <c:ser>
          <c:idx val="8"/>
          <c:order val="9"/>
          <c:tx>
            <c:strRef>
              <c:f>'2'!$B$7</c:f>
              <c:strCache>
                <c:ptCount val="1"/>
                <c:pt idx="0">
                  <c:v>Сегмент за ДЦК, пазар BSE</c:v>
                </c:pt>
              </c:strCache>
            </c:strRef>
          </c:tx>
          <c:invertIfNegative val="0"/>
          <c:dLbls>
            <c:spPr>
              <a:noFill/>
              <a:ln>
                <a:noFill/>
              </a:ln>
              <a:effectLst/>
            </c:spPr>
            <c:txPr>
              <a:bodyPr/>
              <a:lstStyle/>
              <a:p>
                <a:pPr>
                  <a:defRPr lang="en-US"/>
                </a:pPr>
                <a:endParaRPr lang="bg-BG"/>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ext>
            </c:extLst>
          </c:dLbls>
          <c:cat>
            <c:numRef>
              <c:f>'2'!$D$2:$E$2</c:f>
              <c:numCache>
                <c:formatCode>d/m/yyyy</c:formatCode>
                <c:ptCount val="2"/>
                <c:pt idx="0">
                  <c:v>43465</c:v>
                </c:pt>
                <c:pt idx="1">
                  <c:v>43555</c:v>
                </c:pt>
              </c:numCache>
            </c:numRef>
          </c:cat>
          <c:val>
            <c:numRef>
              <c:f>'2'!$D$7:$E$7</c:f>
              <c:numCache>
                <c:formatCode>General</c:formatCode>
                <c:ptCount val="2"/>
                <c:pt idx="0">
                  <c:v>19</c:v>
                </c:pt>
                <c:pt idx="1">
                  <c:v>15</c:v>
                </c:pt>
              </c:numCache>
            </c:numRef>
          </c:val>
          <c:extLst xmlns:c16r2="http://schemas.microsoft.com/office/drawing/2015/06/chart">
            <c:ext xmlns:c16="http://schemas.microsoft.com/office/drawing/2014/chart" uri="{C3380CC4-5D6E-409C-BE32-E72D297353CC}">
              <c16:uniqueId val="{00000001-AD09-4B7D-9D28-E15A18B3D5BA}"/>
            </c:ext>
          </c:extLst>
        </c:ser>
        <c:dLbls>
          <c:showLegendKey val="0"/>
          <c:showVal val="0"/>
          <c:showCatName val="0"/>
          <c:showSerName val="0"/>
          <c:showPercent val="0"/>
          <c:showBubbleSize val="0"/>
        </c:dLbls>
        <c:gapWidth val="80"/>
        <c:overlap val="100"/>
        <c:axId val="64153088"/>
        <c:axId val="64154624"/>
      </c:barChart>
      <c:catAx>
        <c:axId val="64153088"/>
        <c:scaling>
          <c:orientation val="minMax"/>
        </c:scaling>
        <c:delete val="0"/>
        <c:axPos val="b"/>
        <c:numFmt formatCode="d/m/yyyy" sourceLinked="1"/>
        <c:majorTickMark val="out"/>
        <c:minorTickMark val="none"/>
        <c:tickLblPos val="nextTo"/>
        <c:txPr>
          <a:bodyPr/>
          <a:lstStyle/>
          <a:p>
            <a:pPr>
              <a:defRPr lang="en-US"/>
            </a:pPr>
            <a:endParaRPr lang="bg-BG"/>
          </a:p>
        </c:txPr>
        <c:crossAx val="64154624"/>
        <c:crosses val="autoZero"/>
        <c:auto val="0"/>
        <c:lblAlgn val="ctr"/>
        <c:lblOffset val="100"/>
        <c:noMultiLvlLbl val="0"/>
      </c:catAx>
      <c:valAx>
        <c:axId val="64154624"/>
        <c:scaling>
          <c:orientation val="minMax"/>
          <c:max val="390"/>
        </c:scaling>
        <c:delete val="0"/>
        <c:axPos val="l"/>
        <c:majorGridlines/>
        <c:numFmt formatCode="General" sourceLinked="1"/>
        <c:majorTickMark val="out"/>
        <c:minorTickMark val="none"/>
        <c:tickLblPos val="nextTo"/>
        <c:txPr>
          <a:bodyPr/>
          <a:lstStyle/>
          <a:p>
            <a:pPr>
              <a:defRPr lang="en-US"/>
            </a:pPr>
            <a:endParaRPr lang="bg-BG"/>
          </a:p>
        </c:txPr>
        <c:crossAx val="64153088"/>
        <c:crosses val="autoZero"/>
        <c:crossBetween val="between"/>
        <c:majorUnit val="30"/>
      </c:valAx>
    </c:plotArea>
    <c:legend>
      <c:legendPos val="r"/>
      <c:layout>
        <c:manualLayout>
          <c:xMode val="edge"/>
          <c:yMode val="edge"/>
          <c:x val="0.77655870740820165"/>
          <c:y val="2.8741605866472352E-2"/>
          <c:w val="0.21447150030958717"/>
          <c:h val="0.94840117625981712"/>
        </c:manualLayout>
      </c:layout>
      <c:overlay val="0"/>
      <c:txPr>
        <a:bodyPr/>
        <a:lstStyle/>
        <a:p>
          <a:pPr>
            <a:defRPr lang="en-US"/>
          </a:pPr>
          <a:endParaRPr lang="bg-BG"/>
        </a:p>
      </c:txPr>
    </c:legend>
    <c:plotVisOnly val="1"/>
    <c:dispBlanksAs val="gap"/>
    <c:showDLblsOverMax val="0"/>
  </c:chart>
  <c:spPr>
    <a:ln>
      <a:noFill/>
    </a:ln>
  </c:spPr>
  <c:txPr>
    <a:bodyPr/>
    <a:lstStyle/>
    <a:p>
      <a:pPr>
        <a:defRPr sz="600">
          <a:latin typeface="+mn-lt"/>
        </a:defRPr>
      </a:pPr>
      <a:endParaRPr lang="bg-BG"/>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8.0651338497133476E-2"/>
          <c:y val="2.5236565556365088E-2"/>
          <c:w val="0.88961282875404857"/>
          <c:h val="0.81536021991189667"/>
        </c:manualLayout>
      </c:layout>
      <c:areaChart>
        <c:grouping val="standard"/>
        <c:varyColors val="0"/>
        <c:ser>
          <c:idx val="0"/>
          <c:order val="0"/>
          <c:spPr>
            <a:pattFill prst="pct70">
              <a:fgClr>
                <a:schemeClr val="accent1"/>
              </a:fgClr>
              <a:bgClr>
                <a:schemeClr val="bg1"/>
              </a:bgClr>
            </a:pattFill>
          </c:spPr>
          <c:cat>
            <c:numRef>
              <c:f>'5 index'!$D$18:$D$141</c:f>
              <c:numCache>
                <c:formatCode>d/m/yyyy</c:formatCode>
                <c:ptCount val="124"/>
                <c:pt idx="0">
                  <c:v>43374.71875</c:v>
                </c:pt>
                <c:pt idx="1">
                  <c:v>43375.71875</c:v>
                </c:pt>
                <c:pt idx="2">
                  <c:v>43376.71875</c:v>
                </c:pt>
                <c:pt idx="3">
                  <c:v>43377.71875</c:v>
                </c:pt>
                <c:pt idx="4">
                  <c:v>43378.71875</c:v>
                </c:pt>
                <c:pt idx="5">
                  <c:v>43381.71875</c:v>
                </c:pt>
                <c:pt idx="6">
                  <c:v>43382.71875</c:v>
                </c:pt>
                <c:pt idx="7">
                  <c:v>43383.71875</c:v>
                </c:pt>
                <c:pt idx="8">
                  <c:v>43384.71875</c:v>
                </c:pt>
                <c:pt idx="9">
                  <c:v>43385.71875</c:v>
                </c:pt>
                <c:pt idx="10">
                  <c:v>43388.71875</c:v>
                </c:pt>
                <c:pt idx="11">
                  <c:v>43389.71875</c:v>
                </c:pt>
                <c:pt idx="12">
                  <c:v>43390.71875</c:v>
                </c:pt>
                <c:pt idx="13">
                  <c:v>43391.71875</c:v>
                </c:pt>
                <c:pt idx="14">
                  <c:v>43392.71875</c:v>
                </c:pt>
                <c:pt idx="15">
                  <c:v>43395.71875</c:v>
                </c:pt>
                <c:pt idx="16">
                  <c:v>43396.71875</c:v>
                </c:pt>
                <c:pt idx="17">
                  <c:v>43397.71875</c:v>
                </c:pt>
                <c:pt idx="18">
                  <c:v>43398.71875</c:v>
                </c:pt>
                <c:pt idx="19">
                  <c:v>43399.71875</c:v>
                </c:pt>
                <c:pt idx="20">
                  <c:v>43402.71875</c:v>
                </c:pt>
                <c:pt idx="21">
                  <c:v>43403.71875</c:v>
                </c:pt>
                <c:pt idx="22">
                  <c:v>43404.71875</c:v>
                </c:pt>
                <c:pt idx="23">
                  <c:v>43405.71875</c:v>
                </c:pt>
                <c:pt idx="24">
                  <c:v>43406.71875</c:v>
                </c:pt>
                <c:pt idx="25">
                  <c:v>43409.71875</c:v>
                </c:pt>
                <c:pt idx="26">
                  <c:v>43410.71875</c:v>
                </c:pt>
                <c:pt idx="27">
                  <c:v>43411.71875</c:v>
                </c:pt>
                <c:pt idx="28">
                  <c:v>43412.71875</c:v>
                </c:pt>
                <c:pt idx="29">
                  <c:v>43413.71875</c:v>
                </c:pt>
                <c:pt idx="30">
                  <c:v>43416.71875</c:v>
                </c:pt>
                <c:pt idx="31">
                  <c:v>43417.71875</c:v>
                </c:pt>
                <c:pt idx="32">
                  <c:v>43418.71875</c:v>
                </c:pt>
                <c:pt idx="33">
                  <c:v>43419.71875</c:v>
                </c:pt>
                <c:pt idx="34">
                  <c:v>43420.71875</c:v>
                </c:pt>
                <c:pt idx="35">
                  <c:v>43423.71875</c:v>
                </c:pt>
                <c:pt idx="36">
                  <c:v>43424.71875</c:v>
                </c:pt>
                <c:pt idx="37">
                  <c:v>43425.71875</c:v>
                </c:pt>
                <c:pt idx="38">
                  <c:v>43426.71875</c:v>
                </c:pt>
                <c:pt idx="39">
                  <c:v>43427.71875</c:v>
                </c:pt>
                <c:pt idx="40">
                  <c:v>43430.71875</c:v>
                </c:pt>
                <c:pt idx="41">
                  <c:v>43431.71875</c:v>
                </c:pt>
                <c:pt idx="42">
                  <c:v>43432.71875</c:v>
                </c:pt>
                <c:pt idx="43">
                  <c:v>43433.71875</c:v>
                </c:pt>
                <c:pt idx="44">
                  <c:v>43434.71875</c:v>
                </c:pt>
                <c:pt idx="45">
                  <c:v>43437.71875</c:v>
                </c:pt>
                <c:pt idx="46">
                  <c:v>43438.71875</c:v>
                </c:pt>
                <c:pt idx="47">
                  <c:v>43439.71875</c:v>
                </c:pt>
                <c:pt idx="48">
                  <c:v>43440.71875</c:v>
                </c:pt>
                <c:pt idx="49">
                  <c:v>43441.71875</c:v>
                </c:pt>
                <c:pt idx="50">
                  <c:v>43444.71875</c:v>
                </c:pt>
                <c:pt idx="51">
                  <c:v>43445.71875</c:v>
                </c:pt>
                <c:pt idx="52">
                  <c:v>43446.71875</c:v>
                </c:pt>
                <c:pt idx="53">
                  <c:v>43447.71875</c:v>
                </c:pt>
                <c:pt idx="54">
                  <c:v>43448.71875</c:v>
                </c:pt>
                <c:pt idx="55">
                  <c:v>43451.71875</c:v>
                </c:pt>
                <c:pt idx="56">
                  <c:v>43452.71875</c:v>
                </c:pt>
                <c:pt idx="57">
                  <c:v>43453.71875</c:v>
                </c:pt>
                <c:pt idx="58">
                  <c:v>43454.71875</c:v>
                </c:pt>
                <c:pt idx="59">
                  <c:v>43455.71875</c:v>
                </c:pt>
                <c:pt idx="60">
                  <c:v>43461.71875</c:v>
                </c:pt>
                <c:pt idx="61">
                  <c:v>43462.71875</c:v>
                </c:pt>
                <c:pt idx="62">
                  <c:v>43467.71875</c:v>
                </c:pt>
                <c:pt idx="63">
                  <c:v>43468.71875</c:v>
                </c:pt>
                <c:pt idx="64">
                  <c:v>43469.71875</c:v>
                </c:pt>
                <c:pt idx="65">
                  <c:v>43472.71875</c:v>
                </c:pt>
                <c:pt idx="66">
                  <c:v>43473.71875</c:v>
                </c:pt>
                <c:pt idx="67">
                  <c:v>43474.71875</c:v>
                </c:pt>
                <c:pt idx="68">
                  <c:v>43475.71875</c:v>
                </c:pt>
                <c:pt idx="69">
                  <c:v>43476.71875</c:v>
                </c:pt>
                <c:pt idx="70">
                  <c:v>43479.71875</c:v>
                </c:pt>
                <c:pt idx="71">
                  <c:v>43480.71875</c:v>
                </c:pt>
                <c:pt idx="72">
                  <c:v>43481.71875</c:v>
                </c:pt>
                <c:pt idx="73">
                  <c:v>43482.71875</c:v>
                </c:pt>
                <c:pt idx="74">
                  <c:v>43483.71875</c:v>
                </c:pt>
                <c:pt idx="75">
                  <c:v>43486.71875</c:v>
                </c:pt>
                <c:pt idx="76">
                  <c:v>43487.71875</c:v>
                </c:pt>
                <c:pt idx="77">
                  <c:v>43488.71875</c:v>
                </c:pt>
                <c:pt idx="78">
                  <c:v>43489.71875</c:v>
                </c:pt>
                <c:pt idx="79">
                  <c:v>43490.71875</c:v>
                </c:pt>
                <c:pt idx="80">
                  <c:v>43493.71875</c:v>
                </c:pt>
                <c:pt idx="81">
                  <c:v>43494.71875</c:v>
                </c:pt>
                <c:pt idx="82">
                  <c:v>43495.71875</c:v>
                </c:pt>
                <c:pt idx="83">
                  <c:v>43496.71875</c:v>
                </c:pt>
                <c:pt idx="84">
                  <c:v>43497.71875</c:v>
                </c:pt>
                <c:pt idx="85">
                  <c:v>43500.71875</c:v>
                </c:pt>
                <c:pt idx="86">
                  <c:v>43501.71875</c:v>
                </c:pt>
                <c:pt idx="87">
                  <c:v>43502.71875</c:v>
                </c:pt>
                <c:pt idx="88">
                  <c:v>43503.71875</c:v>
                </c:pt>
                <c:pt idx="89">
                  <c:v>43504.71875</c:v>
                </c:pt>
                <c:pt idx="90">
                  <c:v>43507.71875</c:v>
                </c:pt>
                <c:pt idx="91">
                  <c:v>43508.71875</c:v>
                </c:pt>
                <c:pt idx="92">
                  <c:v>43509.71875</c:v>
                </c:pt>
                <c:pt idx="93">
                  <c:v>43510.71875</c:v>
                </c:pt>
                <c:pt idx="94">
                  <c:v>43511.71875</c:v>
                </c:pt>
                <c:pt idx="95">
                  <c:v>43514.71875</c:v>
                </c:pt>
                <c:pt idx="96">
                  <c:v>43515.71875</c:v>
                </c:pt>
                <c:pt idx="97">
                  <c:v>43516.71875</c:v>
                </c:pt>
                <c:pt idx="98">
                  <c:v>43517.71875</c:v>
                </c:pt>
                <c:pt idx="99">
                  <c:v>43518.71875</c:v>
                </c:pt>
                <c:pt idx="100">
                  <c:v>43521.71875</c:v>
                </c:pt>
                <c:pt idx="101">
                  <c:v>43522.71875</c:v>
                </c:pt>
                <c:pt idx="102">
                  <c:v>43523.71875</c:v>
                </c:pt>
                <c:pt idx="103">
                  <c:v>43524.71875</c:v>
                </c:pt>
                <c:pt idx="104">
                  <c:v>43525.71875</c:v>
                </c:pt>
                <c:pt idx="105">
                  <c:v>43529.71875</c:v>
                </c:pt>
                <c:pt idx="106">
                  <c:v>43530.71875</c:v>
                </c:pt>
                <c:pt idx="107">
                  <c:v>43531.71875</c:v>
                </c:pt>
                <c:pt idx="108">
                  <c:v>43532.71875</c:v>
                </c:pt>
                <c:pt idx="109">
                  <c:v>43535.71875</c:v>
                </c:pt>
                <c:pt idx="110">
                  <c:v>43536.71875</c:v>
                </c:pt>
                <c:pt idx="111">
                  <c:v>43537.71875</c:v>
                </c:pt>
                <c:pt idx="112">
                  <c:v>43538.71875</c:v>
                </c:pt>
                <c:pt idx="113">
                  <c:v>43539.71875</c:v>
                </c:pt>
                <c:pt idx="114">
                  <c:v>43542.71875</c:v>
                </c:pt>
                <c:pt idx="115">
                  <c:v>43543.71875</c:v>
                </c:pt>
                <c:pt idx="116">
                  <c:v>43544.71875</c:v>
                </c:pt>
                <c:pt idx="117">
                  <c:v>43545.71875</c:v>
                </c:pt>
                <c:pt idx="118">
                  <c:v>43546.71875</c:v>
                </c:pt>
                <c:pt idx="119">
                  <c:v>43549.71875</c:v>
                </c:pt>
                <c:pt idx="120">
                  <c:v>43550.71875</c:v>
                </c:pt>
                <c:pt idx="121">
                  <c:v>43551.71875</c:v>
                </c:pt>
                <c:pt idx="122">
                  <c:v>43552.71875</c:v>
                </c:pt>
                <c:pt idx="123">
                  <c:v>43553.71875</c:v>
                </c:pt>
              </c:numCache>
            </c:numRef>
          </c:cat>
          <c:val>
            <c:numRef>
              <c:f>'5 index'!$E$18:$E$141</c:f>
              <c:numCache>
                <c:formatCode>General</c:formatCode>
                <c:ptCount val="124"/>
                <c:pt idx="0">
                  <c:v>625.74</c:v>
                </c:pt>
                <c:pt idx="1">
                  <c:v>628.49</c:v>
                </c:pt>
                <c:pt idx="2">
                  <c:v>622.16999999999996</c:v>
                </c:pt>
                <c:pt idx="3">
                  <c:v>622.52</c:v>
                </c:pt>
                <c:pt idx="4">
                  <c:v>623.41</c:v>
                </c:pt>
                <c:pt idx="5">
                  <c:v>618.54999999999939</c:v>
                </c:pt>
                <c:pt idx="6">
                  <c:v>617.13</c:v>
                </c:pt>
                <c:pt idx="7">
                  <c:v>617.41999999999996</c:v>
                </c:pt>
                <c:pt idx="8">
                  <c:v>609.09</c:v>
                </c:pt>
                <c:pt idx="9">
                  <c:v>610.4</c:v>
                </c:pt>
                <c:pt idx="10">
                  <c:v>610.75</c:v>
                </c:pt>
                <c:pt idx="11">
                  <c:v>609.51</c:v>
                </c:pt>
                <c:pt idx="12">
                  <c:v>610.26</c:v>
                </c:pt>
                <c:pt idx="13">
                  <c:v>608.16</c:v>
                </c:pt>
                <c:pt idx="14">
                  <c:v>608.17999999999995</c:v>
                </c:pt>
                <c:pt idx="15">
                  <c:v>606.94999999999948</c:v>
                </c:pt>
                <c:pt idx="16">
                  <c:v>597.05999999999949</c:v>
                </c:pt>
                <c:pt idx="17">
                  <c:v>600.14</c:v>
                </c:pt>
                <c:pt idx="18">
                  <c:v>598.78000000000054</c:v>
                </c:pt>
                <c:pt idx="19">
                  <c:v>599.65</c:v>
                </c:pt>
                <c:pt idx="20">
                  <c:v>602.38</c:v>
                </c:pt>
                <c:pt idx="21">
                  <c:v>597.43999999999949</c:v>
                </c:pt>
                <c:pt idx="22">
                  <c:v>596.80999999999949</c:v>
                </c:pt>
                <c:pt idx="23">
                  <c:v>596.58000000000004</c:v>
                </c:pt>
                <c:pt idx="24">
                  <c:v>596.79999999999995</c:v>
                </c:pt>
                <c:pt idx="25">
                  <c:v>596.66999999999996</c:v>
                </c:pt>
                <c:pt idx="26">
                  <c:v>594.29000000000053</c:v>
                </c:pt>
                <c:pt idx="27">
                  <c:v>592.62</c:v>
                </c:pt>
                <c:pt idx="28">
                  <c:v>595</c:v>
                </c:pt>
                <c:pt idx="29">
                  <c:v>597.76</c:v>
                </c:pt>
                <c:pt idx="30">
                  <c:v>596.08000000000004</c:v>
                </c:pt>
                <c:pt idx="31">
                  <c:v>593.85999999999842</c:v>
                </c:pt>
                <c:pt idx="32">
                  <c:v>594.78000000000054</c:v>
                </c:pt>
                <c:pt idx="33">
                  <c:v>595.74</c:v>
                </c:pt>
                <c:pt idx="34">
                  <c:v>595.30999999999949</c:v>
                </c:pt>
                <c:pt idx="35">
                  <c:v>592.67999999999995</c:v>
                </c:pt>
                <c:pt idx="36">
                  <c:v>586.98</c:v>
                </c:pt>
                <c:pt idx="37">
                  <c:v>589.47</c:v>
                </c:pt>
                <c:pt idx="38">
                  <c:v>587.87</c:v>
                </c:pt>
                <c:pt idx="39">
                  <c:v>588.92999999999938</c:v>
                </c:pt>
                <c:pt idx="40">
                  <c:v>584.9</c:v>
                </c:pt>
                <c:pt idx="41">
                  <c:v>583.19000000000005</c:v>
                </c:pt>
                <c:pt idx="42">
                  <c:v>584.72</c:v>
                </c:pt>
                <c:pt idx="43">
                  <c:v>591.74</c:v>
                </c:pt>
                <c:pt idx="44">
                  <c:v>592.12</c:v>
                </c:pt>
                <c:pt idx="45">
                  <c:v>599.1</c:v>
                </c:pt>
                <c:pt idx="46">
                  <c:v>601.33999999999946</c:v>
                </c:pt>
                <c:pt idx="47">
                  <c:v>597.25</c:v>
                </c:pt>
                <c:pt idx="48">
                  <c:v>592.44999999999948</c:v>
                </c:pt>
                <c:pt idx="49">
                  <c:v>595.31999999999948</c:v>
                </c:pt>
                <c:pt idx="50">
                  <c:v>593.16</c:v>
                </c:pt>
                <c:pt idx="51">
                  <c:v>593.21</c:v>
                </c:pt>
                <c:pt idx="52">
                  <c:v>593.05999999999949</c:v>
                </c:pt>
                <c:pt idx="53">
                  <c:v>590.47</c:v>
                </c:pt>
                <c:pt idx="54">
                  <c:v>589.6</c:v>
                </c:pt>
                <c:pt idx="55">
                  <c:v>591.24</c:v>
                </c:pt>
                <c:pt idx="56">
                  <c:v>592.12</c:v>
                </c:pt>
                <c:pt idx="57">
                  <c:v>589.65</c:v>
                </c:pt>
                <c:pt idx="58">
                  <c:v>588.80999999999949</c:v>
                </c:pt>
                <c:pt idx="59">
                  <c:v>594.84999999999854</c:v>
                </c:pt>
                <c:pt idx="60">
                  <c:v>589.09</c:v>
                </c:pt>
                <c:pt idx="61">
                  <c:v>594.45999999999947</c:v>
                </c:pt>
                <c:pt idx="62">
                  <c:v>586.12</c:v>
                </c:pt>
                <c:pt idx="63">
                  <c:v>585.32999999999947</c:v>
                </c:pt>
                <c:pt idx="64">
                  <c:v>579.82999999999947</c:v>
                </c:pt>
                <c:pt idx="65">
                  <c:v>577.15</c:v>
                </c:pt>
                <c:pt idx="66">
                  <c:v>577.32999999999947</c:v>
                </c:pt>
                <c:pt idx="67">
                  <c:v>572.13</c:v>
                </c:pt>
                <c:pt idx="68">
                  <c:v>571.17999999999995</c:v>
                </c:pt>
                <c:pt idx="69">
                  <c:v>567.45999999999947</c:v>
                </c:pt>
                <c:pt idx="70">
                  <c:v>568.04999999999939</c:v>
                </c:pt>
                <c:pt idx="71">
                  <c:v>565.55999999999949</c:v>
                </c:pt>
                <c:pt idx="72">
                  <c:v>563.49</c:v>
                </c:pt>
                <c:pt idx="73">
                  <c:v>566.77000000000055</c:v>
                </c:pt>
                <c:pt idx="74">
                  <c:v>567.04999999999939</c:v>
                </c:pt>
                <c:pt idx="75">
                  <c:v>567.51</c:v>
                </c:pt>
                <c:pt idx="76">
                  <c:v>567.11</c:v>
                </c:pt>
                <c:pt idx="77">
                  <c:v>562.85999999999842</c:v>
                </c:pt>
                <c:pt idx="78">
                  <c:v>573.57000000000005</c:v>
                </c:pt>
                <c:pt idx="79">
                  <c:v>573.32999999999947</c:v>
                </c:pt>
                <c:pt idx="80">
                  <c:v>573.51</c:v>
                </c:pt>
                <c:pt idx="81">
                  <c:v>573.66</c:v>
                </c:pt>
                <c:pt idx="82">
                  <c:v>575.27000000000055</c:v>
                </c:pt>
                <c:pt idx="83">
                  <c:v>585.76</c:v>
                </c:pt>
                <c:pt idx="84">
                  <c:v>583.98</c:v>
                </c:pt>
                <c:pt idx="85">
                  <c:v>578.4</c:v>
                </c:pt>
                <c:pt idx="86">
                  <c:v>579.05999999999949</c:v>
                </c:pt>
                <c:pt idx="87">
                  <c:v>574.25</c:v>
                </c:pt>
                <c:pt idx="88">
                  <c:v>570.97</c:v>
                </c:pt>
                <c:pt idx="89">
                  <c:v>575.16999999999996</c:v>
                </c:pt>
                <c:pt idx="90">
                  <c:v>573.4</c:v>
                </c:pt>
                <c:pt idx="91">
                  <c:v>573.31999999999948</c:v>
                </c:pt>
                <c:pt idx="92">
                  <c:v>573.93999999999949</c:v>
                </c:pt>
                <c:pt idx="93">
                  <c:v>580.92999999999938</c:v>
                </c:pt>
                <c:pt idx="94">
                  <c:v>577.24</c:v>
                </c:pt>
                <c:pt idx="95">
                  <c:v>578.32999999999947</c:v>
                </c:pt>
                <c:pt idx="96">
                  <c:v>578.1</c:v>
                </c:pt>
                <c:pt idx="97">
                  <c:v>576.5</c:v>
                </c:pt>
                <c:pt idx="98">
                  <c:v>577.93999999999949</c:v>
                </c:pt>
                <c:pt idx="99">
                  <c:v>582.49</c:v>
                </c:pt>
                <c:pt idx="100">
                  <c:v>593.04999999999939</c:v>
                </c:pt>
                <c:pt idx="101">
                  <c:v>591.07000000000005</c:v>
                </c:pt>
                <c:pt idx="102">
                  <c:v>588.41</c:v>
                </c:pt>
                <c:pt idx="103">
                  <c:v>585.37</c:v>
                </c:pt>
                <c:pt idx="104">
                  <c:v>585.05999999999949</c:v>
                </c:pt>
                <c:pt idx="105">
                  <c:v>582.98</c:v>
                </c:pt>
                <c:pt idx="106">
                  <c:v>583</c:v>
                </c:pt>
                <c:pt idx="107">
                  <c:v>584.09</c:v>
                </c:pt>
                <c:pt idx="108">
                  <c:v>582.51</c:v>
                </c:pt>
                <c:pt idx="109">
                  <c:v>583.73</c:v>
                </c:pt>
                <c:pt idx="110">
                  <c:v>578.45999999999947</c:v>
                </c:pt>
                <c:pt idx="111">
                  <c:v>578.77000000000055</c:v>
                </c:pt>
                <c:pt idx="112">
                  <c:v>579.5</c:v>
                </c:pt>
                <c:pt idx="113">
                  <c:v>583.79999999999995</c:v>
                </c:pt>
                <c:pt idx="114">
                  <c:v>586.02</c:v>
                </c:pt>
                <c:pt idx="115">
                  <c:v>600.4</c:v>
                </c:pt>
                <c:pt idx="116">
                  <c:v>588.88</c:v>
                </c:pt>
                <c:pt idx="117">
                  <c:v>585.98</c:v>
                </c:pt>
                <c:pt idx="118">
                  <c:v>582.33999999999946</c:v>
                </c:pt>
                <c:pt idx="119">
                  <c:v>582.79999999999995</c:v>
                </c:pt>
                <c:pt idx="120">
                  <c:v>578.37</c:v>
                </c:pt>
                <c:pt idx="121" formatCode="#,##0.00">
                  <c:v>578.77000000000055</c:v>
                </c:pt>
                <c:pt idx="122" formatCode="#,##0.00">
                  <c:v>574.39</c:v>
                </c:pt>
                <c:pt idx="123" formatCode="#,##0.00">
                  <c:v>583.87</c:v>
                </c:pt>
              </c:numCache>
            </c:numRef>
          </c:val>
          <c:extLst xmlns:c16r2="http://schemas.microsoft.com/office/drawing/2015/06/chart">
            <c:ext xmlns:c16="http://schemas.microsoft.com/office/drawing/2014/chart" uri="{C3380CC4-5D6E-409C-BE32-E72D297353CC}">
              <c16:uniqueId val="{00000000-98C0-4B21-8FB5-1643A82395D2}"/>
            </c:ext>
          </c:extLst>
        </c:ser>
        <c:dLbls>
          <c:showLegendKey val="0"/>
          <c:showVal val="0"/>
          <c:showCatName val="0"/>
          <c:showSerName val="0"/>
          <c:showPercent val="0"/>
          <c:showBubbleSize val="0"/>
        </c:dLbls>
        <c:axId val="95522176"/>
        <c:axId val="95523968"/>
      </c:areaChart>
      <c:dateAx>
        <c:axId val="95522176"/>
        <c:scaling>
          <c:orientation val="minMax"/>
        </c:scaling>
        <c:delete val="0"/>
        <c:axPos val="b"/>
        <c:numFmt formatCode="dd/mm" sourceLinked="0"/>
        <c:majorTickMark val="out"/>
        <c:minorTickMark val="none"/>
        <c:tickLblPos val="nextTo"/>
        <c:txPr>
          <a:bodyPr/>
          <a:lstStyle/>
          <a:p>
            <a:pPr>
              <a:defRPr lang="en-US"/>
            </a:pPr>
            <a:endParaRPr lang="bg-BG"/>
          </a:p>
        </c:txPr>
        <c:crossAx val="95523968"/>
        <c:crosses val="autoZero"/>
        <c:auto val="0"/>
        <c:lblOffset val="100"/>
        <c:baseTimeUnit val="days"/>
        <c:majorUnit val="7"/>
        <c:majorTimeUnit val="days"/>
      </c:dateAx>
      <c:valAx>
        <c:axId val="95523968"/>
        <c:scaling>
          <c:orientation val="minMax"/>
        </c:scaling>
        <c:delete val="0"/>
        <c:axPos val="l"/>
        <c:majorGridlines/>
        <c:numFmt formatCode="#,##0" sourceLinked="0"/>
        <c:majorTickMark val="out"/>
        <c:minorTickMark val="none"/>
        <c:tickLblPos val="nextTo"/>
        <c:txPr>
          <a:bodyPr/>
          <a:lstStyle/>
          <a:p>
            <a:pPr>
              <a:defRPr lang="en-US"/>
            </a:pPr>
            <a:endParaRPr lang="bg-BG"/>
          </a:p>
        </c:txPr>
        <c:crossAx val="95522176"/>
        <c:crosses val="autoZero"/>
        <c:crossBetween val="midCat"/>
      </c:valAx>
    </c:plotArea>
    <c:plotVisOnly val="1"/>
    <c:dispBlanksAs val="zero"/>
    <c:showDLblsOverMax val="0"/>
  </c:chart>
  <c:spPr>
    <a:ln>
      <a:noFill/>
    </a:ln>
  </c:spPr>
  <c:txPr>
    <a:bodyPr/>
    <a:lstStyle/>
    <a:p>
      <a:pPr>
        <a:defRPr sz="600">
          <a:latin typeface="News Gothic Cyr" panose="020B0503020103020203" pitchFamily="34" charset="-52"/>
        </a:defRPr>
      </a:pPr>
      <a:endParaRPr lang="bg-BG"/>
    </a:p>
  </c:txPr>
  <c:externalData r:id="rId1">
    <c:autoUpdate val="0"/>
  </c:externalData>
  <c:userShapes r:id="rId2"/>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0651338497133476E-2"/>
          <c:y val="2.5236565556365088E-2"/>
          <c:w val="0.88961282875404857"/>
          <c:h val="0.80994246911332168"/>
        </c:manualLayout>
      </c:layout>
      <c:areaChart>
        <c:grouping val="standard"/>
        <c:varyColors val="0"/>
        <c:ser>
          <c:idx val="0"/>
          <c:order val="0"/>
          <c:tx>
            <c:strRef>
              <c:f>'5 index'!$M$17</c:f>
              <c:strCache>
                <c:ptCount val="1"/>
                <c:pt idx="0">
                  <c:v>BGTR30</c:v>
                </c:pt>
              </c:strCache>
            </c:strRef>
          </c:tx>
          <c:spPr>
            <a:pattFill prst="pct75">
              <a:fgClr>
                <a:schemeClr val="accent6"/>
              </a:fgClr>
              <a:bgClr>
                <a:schemeClr val="bg1"/>
              </a:bgClr>
            </a:pattFill>
          </c:spPr>
          <c:cat>
            <c:numRef>
              <c:f>'5 index'!$N$18:$N$141</c:f>
              <c:numCache>
                <c:formatCode>d/m/yyyy</c:formatCode>
                <c:ptCount val="124"/>
                <c:pt idx="0">
                  <c:v>43374.71875</c:v>
                </c:pt>
                <c:pt idx="1">
                  <c:v>43375.71875</c:v>
                </c:pt>
                <c:pt idx="2">
                  <c:v>43376.71875</c:v>
                </c:pt>
                <c:pt idx="3">
                  <c:v>43377.71875</c:v>
                </c:pt>
                <c:pt idx="4">
                  <c:v>43378.71875</c:v>
                </c:pt>
                <c:pt idx="5">
                  <c:v>43381.71875</c:v>
                </c:pt>
                <c:pt idx="6">
                  <c:v>43382.71875</c:v>
                </c:pt>
                <c:pt idx="7">
                  <c:v>43383.71875</c:v>
                </c:pt>
                <c:pt idx="8">
                  <c:v>43384.71875</c:v>
                </c:pt>
                <c:pt idx="9">
                  <c:v>43385.71875</c:v>
                </c:pt>
                <c:pt idx="10">
                  <c:v>43388.71875</c:v>
                </c:pt>
                <c:pt idx="11">
                  <c:v>43389.71875</c:v>
                </c:pt>
                <c:pt idx="12">
                  <c:v>43390.71875</c:v>
                </c:pt>
                <c:pt idx="13">
                  <c:v>43391.71875</c:v>
                </c:pt>
                <c:pt idx="14">
                  <c:v>43392.71875</c:v>
                </c:pt>
                <c:pt idx="15">
                  <c:v>43395.71875</c:v>
                </c:pt>
                <c:pt idx="16">
                  <c:v>43396.71875</c:v>
                </c:pt>
                <c:pt idx="17">
                  <c:v>43397.71875</c:v>
                </c:pt>
                <c:pt idx="18">
                  <c:v>43398.71875</c:v>
                </c:pt>
                <c:pt idx="19">
                  <c:v>43399.71875</c:v>
                </c:pt>
                <c:pt idx="20">
                  <c:v>43402.71875</c:v>
                </c:pt>
                <c:pt idx="21">
                  <c:v>43403.71875</c:v>
                </c:pt>
                <c:pt idx="22">
                  <c:v>43404.71875</c:v>
                </c:pt>
                <c:pt idx="23">
                  <c:v>43405.71875</c:v>
                </c:pt>
                <c:pt idx="24">
                  <c:v>43406.71875</c:v>
                </c:pt>
                <c:pt idx="25">
                  <c:v>43409.71875</c:v>
                </c:pt>
                <c:pt idx="26">
                  <c:v>43410.71875</c:v>
                </c:pt>
                <c:pt idx="27">
                  <c:v>43411.71875</c:v>
                </c:pt>
                <c:pt idx="28">
                  <c:v>43412.71875</c:v>
                </c:pt>
                <c:pt idx="29">
                  <c:v>43413.71875</c:v>
                </c:pt>
                <c:pt idx="30">
                  <c:v>43416.71875</c:v>
                </c:pt>
                <c:pt idx="31">
                  <c:v>43417.71875</c:v>
                </c:pt>
                <c:pt idx="32">
                  <c:v>43418.71875</c:v>
                </c:pt>
                <c:pt idx="33">
                  <c:v>43419.71875</c:v>
                </c:pt>
                <c:pt idx="34">
                  <c:v>43420.71875</c:v>
                </c:pt>
                <c:pt idx="35">
                  <c:v>43423.71875</c:v>
                </c:pt>
                <c:pt idx="36">
                  <c:v>43424.71875</c:v>
                </c:pt>
                <c:pt idx="37">
                  <c:v>43425.71875</c:v>
                </c:pt>
                <c:pt idx="38">
                  <c:v>43426.71875</c:v>
                </c:pt>
                <c:pt idx="39">
                  <c:v>43427.71875</c:v>
                </c:pt>
                <c:pt idx="40">
                  <c:v>43430.71875</c:v>
                </c:pt>
                <c:pt idx="41">
                  <c:v>43431.71875</c:v>
                </c:pt>
                <c:pt idx="42">
                  <c:v>43432.71875</c:v>
                </c:pt>
                <c:pt idx="43">
                  <c:v>43433.71875</c:v>
                </c:pt>
                <c:pt idx="44">
                  <c:v>43434.71875</c:v>
                </c:pt>
                <c:pt idx="45">
                  <c:v>43437.71875</c:v>
                </c:pt>
                <c:pt idx="46">
                  <c:v>43438.71875</c:v>
                </c:pt>
                <c:pt idx="47">
                  <c:v>43439.71875</c:v>
                </c:pt>
                <c:pt idx="48">
                  <c:v>43440.71875</c:v>
                </c:pt>
                <c:pt idx="49">
                  <c:v>43441.71875</c:v>
                </c:pt>
                <c:pt idx="50">
                  <c:v>43444.71875</c:v>
                </c:pt>
                <c:pt idx="51">
                  <c:v>43445.71875</c:v>
                </c:pt>
                <c:pt idx="52">
                  <c:v>43446.71875</c:v>
                </c:pt>
                <c:pt idx="53">
                  <c:v>43447.71875</c:v>
                </c:pt>
                <c:pt idx="54">
                  <c:v>43448.71875</c:v>
                </c:pt>
                <c:pt idx="55">
                  <c:v>43451.71875</c:v>
                </c:pt>
                <c:pt idx="56">
                  <c:v>43452.71875</c:v>
                </c:pt>
                <c:pt idx="57">
                  <c:v>43453.71875</c:v>
                </c:pt>
                <c:pt idx="58">
                  <c:v>43454.71875</c:v>
                </c:pt>
                <c:pt idx="59">
                  <c:v>43455.71875</c:v>
                </c:pt>
                <c:pt idx="60">
                  <c:v>43461.71875</c:v>
                </c:pt>
                <c:pt idx="61">
                  <c:v>43462.71875</c:v>
                </c:pt>
                <c:pt idx="62">
                  <c:v>43467.71875</c:v>
                </c:pt>
                <c:pt idx="63">
                  <c:v>43468.71875</c:v>
                </c:pt>
                <c:pt idx="64">
                  <c:v>43469.71875</c:v>
                </c:pt>
                <c:pt idx="65">
                  <c:v>43472.71875</c:v>
                </c:pt>
                <c:pt idx="66">
                  <c:v>43473.71875</c:v>
                </c:pt>
                <c:pt idx="67">
                  <c:v>43474.71875</c:v>
                </c:pt>
                <c:pt idx="68">
                  <c:v>43475.71875</c:v>
                </c:pt>
                <c:pt idx="69">
                  <c:v>43476.71875</c:v>
                </c:pt>
                <c:pt idx="70">
                  <c:v>43479.71875</c:v>
                </c:pt>
                <c:pt idx="71">
                  <c:v>43480.71875</c:v>
                </c:pt>
                <c:pt idx="72">
                  <c:v>43481.71875</c:v>
                </c:pt>
                <c:pt idx="73">
                  <c:v>43482.71875</c:v>
                </c:pt>
                <c:pt idx="74">
                  <c:v>43483.71875</c:v>
                </c:pt>
                <c:pt idx="75">
                  <c:v>43486.71875</c:v>
                </c:pt>
                <c:pt idx="76">
                  <c:v>43487.71875</c:v>
                </c:pt>
                <c:pt idx="77">
                  <c:v>43488.71875</c:v>
                </c:pt>
                <c:pt idx="78">
                  <c:v>43489.71875</c:v>
                </c:pt>
                <c:pt idx="79">
                  <c:v>43490.71875</c:v>
                </c:pt>
                <c:pt idx="80">
                  <c:v>43493.71875</c:v>
                </c:pt>
                <c:pt idx="81">
                  <c:v>43494.71875</c:v>
                </c:pt>
                <c:pt idx="82">
                  <c:v>43495.71875</c:v>
                </c:pt>
                <c:pt idx="83">
                  <c:v>43496.71875</c:v>
                </c:pt>
                <c:pt idx="84">
                  <c:v>43497.71875</c:v>
                </c:pt>
                <c:pt idx="85">
                  <c:v>43500.71875</c:v>
                </c:pt>
                <c:pt idx="86">
                  <c:v>43501.71875</c:v>
                </c:pt>
                <c:pt idx="87">
                  <c:v>43502.71875</c:v>
                </c:pt>
                <c:pt idx="88">
                  <c:v>43503.71875</c:v>
                </c:pt>
                <c:pt idx="89">
                  <c:v>43504.71875</c:v>
                </c:pt>
                <c:pt idx="90">
                  <c:v>43507.71875</c:v>
                </c:pt>
                <c:pt idx="91">
                  <c:v>43508.71875</c:v>
                </c:pt>
                <c:pt idx="92">
                  <c:v>43509.71875</c:v>
                </c:pt>
                <c:pt idx="93">
                  <c:v>43510.71875</c:v>
                </c:pt>
                <c:pt idx="94">
                  <c:v>43511.71875</c:v>
                </c:pt>
                <c:pt idx="95">
                  <c:v>43514.71875</c:v>
                </c:pt>
                <c:pt idx="96">
                  <c:v>43515.71875</c:v>
                </c:pt>
                <c:pt idx="97">
                  <c:v>43516.71875</c:v>
                </c:pt>
                <c:pt idx="98">
                  <c:v>43517.71875</c:v>
                </c:pt>
                <c:pt idx="99">
                  <c:v>43518.71875</c:v>
                </c:pt>
                <c:pt idx="100">
                  <c:v>43521.71875</c:v>
                </c:pt>
                <c:pt idx="101">
                  <c:v>43522.71875</c:v>
                </c:pt>
                <c:pt idx="102">
                  <c:v>43523.71875</c:v>
                </c:pt>
                <c:pt idx="103">
                  <c:v>43524.71875</c:v>
                </c:pt>
                <c:pt idx="104">
                  <c:v>43525.71875</c:v>
                </c:pt>
                <c:pt idx="105">
                  <c:v>43529.71875</c:v>
                </c:pt>
                <c:pt idx="106">
                  <c:v>43530.71875</c:v>
                </c:pt>
                <c:pt idx="107">
                  <c:v>43531.71875</c:v>
                </c:pt>
                <c:pt idx="108">
                  <c:v>43532.71875</c:v>
                </c:pt>
                <c:pt idx="109">
                  <c:v>43535.71875</c:v>
                </c:pt>
                <c:pt idx="110">
                  <c:v>43536.71875</c:v>
                </c:pt>
                <c:pt idx="111">
                  <c:v>43537.71875</c:v>
                </c:pt>
                <c:pt idx="112">
                  <c:v>43538.71875</c:v>
                </c:pt>
                <c:pt idx="113">
                  <c:v>43539.71875</c:v>
                </c:pt>
                <c:pt idx="114">
                  <c:v>43542.71875</c:v>
                </c:pt>
                <c:pt idx="115">
                  <c:v>43543.71875</c:v>
                </c:pt>
                <c:pt idx="116">
                  <c:v>43544.71875</c:v>
                </c:pt>
                <c:pt idx="117">
                  <c:v>43545.71875</c:v>
                </c:pt>
                <c:pt idx="118">
                  <c:v>43546.71875</c:v>
                </c:pt>
                <c:pt idx="119">
                  <c:v>43549.71875</c:v>
                </c:pt>
                <c:pt idx="120">
                  <c:v>43550.71875</c:v>
                </c:pt>
                <c:pt idx="121">
                  <c:v>43551.71875</c:v>
                </c:pt>
                <c:pt idx="122">
                  <c:v>43552.71875</c:v>
                </c:pt>
                <c:pt idx="123">
                  <c:v>43553.71875</c:v>
                </c:pt>
              </c:numCache>
            </c:numRef>
          </c:cat>
          <c:val>
            <c:numRef>
              <c:f>'5 index'!$O$18:$O$141</c:f>
              <c:numCache>
                <c:formatCode>#,##0.00</c:formatCode>
                <c:ptCount val="124"/>
                <c:pt idx="0">
                  <c:v>522.53</c:v>
                </c:pt>
                <c:pt idx="1">
                  <c:v>522.89</c:v>
                </c:pt>
                <c:pt idx="2">
                  <c:v>518.91999999999996</c:v>
                </c:pt>
                <c:pt idx="3">
                  <c:v>518.02</c:v>
                </c:pt>
                <c:pt idx="4">
                  <c:v>516.58000000000004</c:v>
                </c:pt>
                <c:pt idx="5">
                  <c:v>515.53</c:v>
                </c:pt>
                <c:pt idx="6">
                  <c:v>514.38</c:v>
                </c:pt>
                <c:pt idx="7">
                  <c:v>515.41999999999996</c:v>
                </c:pt>
                <c:pt idx="8">
                  <c:v>507.91999999999928</c:v>
                </c:pt>
                <c:pt idx="9">
                  <c:v>506.91999999999928</c:v>
                </c:pt>
                <c:pt idx="10">
                  <c:v>508.11</c:v>
                </c:pt>
                <c:pt idx="11">
                  <c:v>507.69</c:v>
                </c:pt>
                <c:pt idx="12">
                  <c:v>508.21</c:v>
                </c:pt>
                <c:pt idx="13">
                  <c:v>507.71999999999969</c:v>
                </c:pt>
                <c:pt idx="14">
                  <c:v>507.44</c:v>
                </c:pt>
                <c:pt idx="15">
                  <c:v>505.78</c:v>
                </c:pt>
                <c:pt idx="16">
                  <c:v>500.63</c:v>
                </c:pt>
                <c:pt idx="17">
                  <c:v>502.54</c:v>
                </c:pt>
                <c:pt idx="18">
                  <c:v>498.11</c:v>
                </c:pt>
                <c:pt idx="19">
                  <c:v>499.03</c:v>
                </c:pt>
                <c:pt idx="20">
                  <c:v>501.21</c:v>
                </c:pt>
                <c:pt idx="21">
                  <c:v>499.40999999999963</c:v>
                </c:pt>
                <c:pt idx="22">
                  <c:v>499.33</c:v>
                </c:pt>
                <c:pt idx="23">
                  <c:v>498.74</c:v>
                </c:pt>
                <c:pt idx="24">
                  <c:v>497.56</c:v>
                </c:pt>
                <c:pt idx="25">
                  <c:v>496.96</c:v>
                </c:pt>
                <c:pt idx="26">
                  <c:v>495.9</c:v>
                </c:pt>
                <c:pt idx="27">
                  <c:v>494.89</c:v>
                </c:pt>
                <c:pt idx="28">
                  <c:v>496.44</c:v>
                </c:pt>
                <c:pt idx="29">
                  <c:v>498.97999999999928</c:v>
                </c:pt>
                <c:pt idx="30">
                  <c:v>498.57</c:v>
                </c:pt>
                <c:pt idx="31">
                  <c:v>496.19</c:v>
                </c:pt>
                <c:pt idx="32">
                  <c:v>497.26</c:v>
                </c:pt>
                <c:pt idx="33">
                  <c:v>498.48999999999916</c:v>
                </c:pt>
                <c:pt idx="34">
                  <c:v>497.41999999999928</c:v>
                </c:pt>
                <c:pt idx="35">
                  <c:v>494.92999999999915</c:v>
                </c:pt>
                <c:pt idx="36">
                  <c:v>487.76</c:v>
                </c:pt>
                <c:pt idx="37">
                  <c:v>489.5</c:v>
                </c:pt>
                <c:pt idx="38">
                  <c:v>488.21999999999969</c:v>
                </c:pt>
                <c:pt idx="39">
                  <c:v>488.74</c:v>
                </c:pt>
                <c:pt idx="40">
                  <c:v>486.55</c:v>
                </c:pt>
                <c:pt idx="41">
                  <c:v>483.21999999999969</c:v>
                </c:pt>
                <c:pt idx="42">
                  <c:v>486.03</c:v>
                </c:pt>
                <c:pt idx="43">
                  <c:v>490.36</c:v>
                </c:pt>
                <c:pt idx="44">
                  <c:v>489.6</c:v>
                </c:pt>
                <c:pt idx="45">
                  <c:v>495.21999999999969</c:v>
                </c:pt>
                <c:pt idx="46">
                  <c:v>496.26</c:v>
                </c:pt>
                <c:pt idx="47">
                  <c:v>494.09</c:v>
                </c:pt>
                <c:pt idx="48">
                  <c:v>491.72999999999928</c:v>
                </c:pt>
                <c:pt idx="49">
                  <c:v>493.65000000000032</c:v>
                </c:pt>
                <c:pt idx="50">
                  <c:v>490.84000000000032</c:v>
                </c:pt>
                <c:pt idx="51">
                  <c:v>491.34000000000032</c:v>
                </c:pt>
                <c:pt idx="52">
                  <c:v>490.12</c:v>
                </c:pt>
                <c:pt idx="53">
                  <c:v>490</c:v>
                </c:pt>
                <c:pt idx="54">
                  <c:v>494.59</c:v>
                </c:pt>
                <c:pt idx="55">
                  <c:v>495.06</c:v>
                </c:pt>
                <c:pt idx="56">
                  <c:v>496.22999999999928</c:v>
                </c:pt>
                <c:pt idx="57">
                  <c:v>492.76</c:v>
                </c:pt>
                <c:pt idx="58">
                  <c:v>493.02</c:v>
                </c:pt>
                <c:pt idx="59">
                  <c:v>494.09</c:v>
                </c:pt>
                <c:pt idx="60">
                  <c:v>493.88</c:v>
                </c:pt>
                <c:pt idx="61">
                  <c:v>496.14000000000038</c:v>
                </c:pt>
                <c:pt idx="62">
                  <c:v>492.61</c:v>
                </c:pt>
                <c:pt idx="63">
                  <c:v>491.7</c:v>
                </c:pt>
                <c:pt idx="64">
                  <c:v>485.67</c:v>
                </c:pt>
                <c:pt idx="65">
                  <c:v>485.69</c:v>
                </c:pt>
                <c:pt idx="66">
                  <c:v>485.56</c:v>
                </c:pt>
                <c:pt idx="67">
                  <c:v>481.68</c:v>
                </c:pt>
                <c:pt idx="68">
                  <c:v>484.09</c:v>
                </c:pt>
                <c:pt idx="69">
                  <c:v>481.58</c:v>
                </c:pt>
                <c:pt idx="70">
                  <c:v>480.32</c:v>
                </c:pt>
                <c:pt idx="71">
                  <c:v>478.17</c:v>
                </c:pt>
                <c:pt idx="72">
                  <c:v>474.40999999999963</c:v>
                </c:pt>
                <c:pt idx="73">
                  <c:v>475.40999999999963</c:v>
                </c:pt>
                <c:pt idx="74">
                  <c:v>475.81</c:v>
                </c:pt>
                <c:pt idx="75">
                  <c:v>476.19</c:v>
                </c:pt>
                <c:pt idx="76">
                  <c:v>475.89</c:v>
                </c:pt>
                <c:pt idx="77">
                  <c:v>479.42999999999915</c:v>
                </c:pt>
                <c:pt idx="78">
                  <c:v>485.88</c:v>
                </c:pt>
                <c:pt idx="79">
                  <c:v>486.55</c:v>
                </c:pt>
                <c:pt idx="80">
                  <c:v>486.78999999999928</c:v>
                </c:pt>
                <c:pt idx="81">
                  <c:v>485.4</c:v>
                </c:pt>
                <c:pt idx="82">
                  <c:v>485.34000000000032</c:v>
                </c:pt>
                <c:pt idx="83">
                  <c:v>492.01</c:v>
                </c:pt>
                <c:pt idx="84">
                  <c:v>493.26</c:v>
                </c:pt>
                <c:pt idx="85">
                  <c:v>491.2</c:v>
                </c:pt>
                <c:pt idx="86">
                  <c:v>492.21999999999969</c:v>
                </c:pt>
                <c:pt idx="87">
                  <c:v>491.35</c:v>
                </c:pt>
                <c:pt idx="88">
                  <c:v>489.92999999999915</c:v>
                </c:pt>
                <c:pt idx="89">
                  <c:v>491.82</c:v>
                </c:pt>
                <c:pt idx="90">
                  <c:v>493.12</c:v>
                </c:pt>
                <c:pt idx="91">
                  <c:v>496.26</c:v>
                </c:pt>
                <c:pt idx="92">
                  <c:v>498.55</c:v>
                </c:pt>
                <c:pt idx="93">
                  <c:v>503.5</c:v>
                </c:pt>
                <c:pt idx="94">
                  <c:v>503.88</c:v>
                </c:pt>
                <c:pt idx="95">
                  <c:v>504.6</c:v>
                </c:pt>
                <c:pt idx="96">
                  <c:v>502.53</c:v>
                </c:pt>
                <c:pt idx="97">
                  <c:v>500.8</c:v>
                </c:pt>
                <c:pt idx="98">
                  <c:v>500.38</c:v>
                </c:pt>
                <c:pt idx="99">
                  <c:v>503.16</c:v>
                </c:pt>
                <c:pt idx="100">
                  <c:v>506.97999999999928</c:v>
                </c:pt>
                <c:pt idx="101">
                  <c:v>505.35</c:v>
                </c:pt>
                <c:pt idx="102">
                  <c:v>505.33</c:v>
                </c:pt>
                <c:pt idx="103">
                  <c:v>506.04</c:v>
                </c:pt>
                <c:pt idx="104">
                  <c:v>505.08</c:v>
                </c:pt>
                <c:pt idx="105">
                  <c:v>504.33</c:v>
                </c:pt>
                <c:pt idx="106">
                  <c:v>503.98999999999916</c:v>
                </c:pt>
                <c:pt idx="107">
                  <c:v>505.33</c:v>
                </c:pt>
                <c:pt idx="108">
                  <c:v>501.07</c:v>
                </c:pt>
                <c:pt idx="109">
                  <c:v>502.21</c:v>
                </c:pt>
                <c:pt idx="110">
                  <c:v>501.84000000000032</c:v>
                </c:pt>
                <c:pt idx="111">
                  <c:v>500.26</c:v>
                </c:pt>
                <c:pt idx="112">
                  <c:v>501.3</c:v>
                </c:pt>
                <c:pt idx="113">
                  <c:v>502.92999999999915</c:v>
                </c:pt>
                <c:pt idx="114">
                  <c:v>503.11</c:v>
                </c:pt>
                <c:pt idx="115">
                  <c:v>508.51</c:v>
                </c:pt>
                <c:pt idx="116">
                  <c:v>505.84000000000032</c:v>
                </c:pt>
                <c:pt idx="117">
                  <c:v>505.56</c:v>
                </c:pt>
                <c:pt idx="118">
                  <c:v>503.63</c:v>
                </c:pt>
                <c:pt idx="119">
                  <c:v>503.55</c:v>
                </c:pt>
                <c:pt idx="120">
                  <c:v>501.18</c:v>
                </c:pt>
                <c:pt idx="121">
                  <c:v>502.71</c:v>
                </c:pt>
                <c:pt idx="122">
                  <c:v>500.96</c:v>
                </c:pt>
                <c:pt idx="123">
                  <c:v>506.03</c:v>
                </c:pt>
              </c:numCache>
            </c:numRef>
          </c:val>
          <c:extLst xmlns:c16r2="http://schemas.microsoft.com/office/drawing/2015/06/chart">
            <c:ext xmlns:c16="http://schemas.microsoft.com/office/drawing/2014/chart" uri="{C3380CC4-5D6E-409C-BE32-E72D297353CC}">
              <c16:uniqueId val="{00000000-E0E0-435C-A424-8ECCB2D4FB57}"/>
            </c:ext>
          </c:extLst>
        </c:ser>
        <c:dLbls>
          <c:showLegendKey val="0"/>
          <c:showVal val="0"/>
          <c:showCatName val="0"/>
          <c:showSerName val="0"/>
          <c:showPercent val="0"/>
          <c:showBubbleSize val="0"/>
        </c:dLbls>
        <c:axId val="95532928"/>
        <c:axId val="95534464"/>
      </c:areaChart>
      <c:dateAx>
        <c:axId val="95532928"/>
        <c:scaling>
          <c:orientation val="minMax"/>
        </c:scaling>
        <c:delete val="0"/>
        <c:axPos val="b"/>
        <c:numFmt formatCode="dd/mm" sourceLinked="0"/>
        <c:majorTickMark val="out"/>
        <c:minorTickMark val="none"/>
        <c:tickLblPos val="nextTo"/>
        <c:txPr>
          <a:bodyPr/>
          <a:lstStyle/>
          <a:p>
            <a:pPr>
              <a:defRPr lang="en-US"/>
            </a:pPr>
            <a:endParaRPr lang="bg-BG"/>
          </a:p>
        </c:txPr>
        <c:crossAx val="95534464"/>
        <c:crosses val="autoZero"/>
        <c:auto val="0"/>
        <c:lblOffset val="100"/>
        <c:baseTimeUnit val="days"/>
        <c:majorUnit val="7"/>
        <c:majorTimeUnit val="days"/>
      </c:dateAx>
      <c:valAx>
        <c:axId val="95534464"/>
        <c:scaling>
          <c:orientation val="minMax"/>
        </c:scaling>
        <c:delete val="0"/>
        <c:axPos val="l"/>
        <c:majorGridlines/>
        <c:numFmt formatCode="#,##0" sourceLinked="0"/>
        <c:majorTickMark val="out"/>
        <c:minorTickMark val="none"/>
        <c:tickLblPos val="nextTo"/>
        <c:txPr>
          <a:bodyPr/>
          <a:lstStyle/>
          <a:p>
            <a:pPr>
              <a:defRPr lang="en-US"/>
            </a:pPr>
            <a:endParaRPr lang="bg-BG"/>
          </a:p>
        </c:txPr>
        <c:crossAx val="95532928"/>
        <c:crosses val="autoZero"/>
        <c:crossBetween val="midCat"/>
      </c:valAx>
    </c:plotArea>
    <c:plotVisOnly val="1"/>
    <c:dispBlanksAs val="zero"/>
    <c:showDLblsOverMax val="0"/>
  </c:chart>
  <c:spPr>
    <a:ln>
      <a:noFill/>
    </a:ln>
  </c:spPr>
  <c:txPr>
    <a:bodyPr/>
    <a:lstStyle/>
    <a:p>
      <a:pPr>
        <a:defRPr sz="600">
          <a:latin typeface="News Gothic Cyr" panose="020B0503020103020203" pitchFamily="34" charset="-52"/>
        </a:defRPr>
      </a:pPr>
      <a:endParaRPr lang="bg-BG"/>
    </a:p>
  </c:txPr>
  <c:externalData r:id="rId1">
    <c:autoUpdate val="0"/>
  </c:externalData>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0651338497133476E-2"/>
          <c:y val="2.5236565556365088E-2"/>
          <c:w val="0.88961282875404857"/>
          <c:h val="0.81032802378259994"/>
        </c:manualLayout>
      </c:layout>
      <c:areaChart>
        <c:grouping val="standard"/>
        <c:varyColors val="0"/>
        <c:ser>
          <c:idx val="0"/>
          <c:order val="0"/>
          <c:tx>
            <c:strRef>
              <c:f>'5 index'!$R$17</c:f>
              <c:strCache>
                <c:ptCount val="1"/>
                <c:pt idx="0">
                  <c:v>BGBX40</c:v>
                </c:pt>
              </c:strCache>
            </c:strRef>
          </c:tx>
          <c:spPr>
            <a:pattFill prst="pct75">
              <a:fgClr>
                <a:srgbClr val="7030A0"/>
              </a:fgClr>
              <a:bgClr>
                <a:schemeClr val="bg1"/>
              </a:bgClr>
            </a:pattFill>
          </c:spPr>
          <c:cat>
            <c:numRef>
              <c:f>'5 index'!$S$18:$S$141</c:f>
              <c:numCache>
                <c:formatCode>d/m/yyyy</c:formatCode>
                <c:ptCount val="124"/>
                <c:pt idx="0">
                  <c:v>43374.71875</c:v>
                </c:pt>
                <c:pt idx="1">
                  <c:v>43375.71875</c:v>
                </c:pt>
                <c:pt idx="2">
                  <c:v>43376.71875</c:v>
                </c:pt>
                <c:pt idx="3">
                  <c:v>43377.71875</c:v>
                </c:pt>
                <c:pt idx="4">
                  <c:v>43378.71875</c:v>
                </c:pt>
                <c:pt idx="5">
                  <c:v>43381.71875</c:v>
                </c:pt>
                <c:pt idx="6">
                  <c:v>43382.71875</c:v>
                </c:pt>
                <c:pt idx="7">
                  <c:v>43383.71875</c:v>
                </c:pt>
                <c:pt idx="8">
                  <c:v>43384.71875</c:v>
                </c:pt>
                <c:pt idx="9">
                  <c:v>43385.71875</c:v>
                </c:pt>
                <c:pt idx="10">
                  <c:v>43388.71875</c:v>
                </c:pt>
                <c:pt idx="11">
                  <c:v>43389.71875</c:v>
                </c:pt>
                <c:pt idx="12">
                  <c:v>43390.71875</c:v>
                </c:pt>
                <c:pt idx="13">
                  <c:v>43391.71875</c:v>
                </c:pt>
                <c:pt idx="14">
                  <c:v>43392.71875</c:v>
                </c:pt>
                <c:pt idx="15">
                  <c:v>43395.71875</c:v>
                </c:pt>
                <c:pt idx="16">
                  <c:v>43396.71875</c:v>
                </c:pt>
                <c:pt idx="17">
                  <c:v>43397.71875</c:v>
                </c:pt>
                <c:pt idx="18">
                  <c:v>43398.71875</c:v>
                </c:pt>
                <c:pt idx="19">
                  <c:v>43399.71875</c:v>
                </c:pt>
                <c:pt idx="20">
                  <c:v>43402.71875</c:v>
                </c:pt>
                <c:pt idx="21">
                  <c:v>43403.71875</c:v>
                </c:pt>
                <c:pt idx="22">
                  <c:v>43404.71875</c:v>
                </c:pt>
                <c:pt idx="23">
                  <c:v>43405.71875</c:v>
                </c:pt>
                <c:pt idx="24">
                  <c:v>43406.71875</c:v>
                </c:pt>
                <c:pt idx="25">
                  <c:v>43409.71875</c:v>
                </c:pt>
                <c:pt idx="26">
                  <c:v>43410.71875</c:v>
                </c:pt>
                <c:pt idx="27">
                  <c:v>43411.71875</c:v>
                </c:pt>
                <c:pt idx="28">
                  <c:v>43412.71875</c:v>
                </c:pt>
                <c:pt idx="29">
                  <c:v>43413.71875</c:v>
                </c:pt>
                <c:pt idx="30">
                  <c:v>43416.71875</c:v>
                </c:pt>
                <c:pt idx="31">
                  <c:v>43417.71875</c:v>
                </c:pt>
                <c:pt idx="32">
                  <c:v>43418.71875</c:v>
                </c:pt>
                <c:pt idx="33">
                  <c:v>43419.71875</c:v>
                </c:pt>
                <c:pt idx="34">
                  <c:v>43420.71875</c:v>
                </c:pt>
                <c:pt idx="35">
                  <c:v>43423.71875</c:v>
                </c:pt>
                <c:pt idx="36">
                  <c:v>43424.71875</c:v>
                </c:pt>
                <c:pt idx="37">
                  <c:v>43425.71875</c:v>
                </c:pt>
                <c:pt idx="38">
                  <c:v>43426.71875</c:v>
                </c:pt>
                <c:pt idx="39">
                  <c:v>43427.71875</c:v>
                </c:pt>
                <c:pt idx="40">
                  <c:v>43430.71875</c:v>
                </c:pt>
                <c:pt idx="41">
                  <c:v>43431.71875</c:v>
                </c:pt>
                <c:pt idx="42">
                  <c:v>43432.71875</c:v>
                </c:pt>
                <c:pt idx="43">
                  <c:v>43433.71875</c:v>
                </c:pt>
                <c:pt idx="44">
                  <c:v>43434.71875</c:v>
                </c:pt>
                <c:pt idx="45">
                  <c:v>43437.71875</c:v>
                </c:pt>
                <c:pt idx="46">
                  <c:v>43438.71875</c:v>
                </c:pt>
                <c:pt idx="47">
                  <c:v>43439.71875</c:v>
                </c:pt>
                <c:pt idx="48">
                  <c:v>43440.71875</c:v>
                </c:pt>
                <c:pt idx="49">
                  <c:v>43441.71875</c:v>
                </c:pt>
                <c:pt idx="50">
                  <c:v>43444.71875</c:v>
                </c:pt>
                <c:pt idx="51">
                  <c:v>43445.71875</c:v>
                </c:pt>
                <c:pt idx="52">
                  <c:v>43446.71875</c:v>
                </c:pt>
                <c:pt idx="53">
                  <c:v>43447.71875</c:v>
                </c:pt>
                <c:pt idx="54">
                  <c:v>43448.71875</c:v>
                </c:pt>
                <c:pt idx="55">
                  <c:v>43451.71875</c:v>
                </c:pt>
                <c:pt idx="56">
                  <c:v>43452.71875</c:v>
                </c:pt>
                <c:pt idx="57">
                  <c:v>43453.71875</c:v>
                </c:pt>
                <c:pt idx="58">
                  <c:v>43454.71875</c:v>
                </c:pt>
                <c:pt idx="59">
                  <c:v>43455.71875</c:v>
                </c:pt>
                <c:pt idx="60">
                  <c:v>43461.71875</c:v>
                </c:pt>
                <c:pt idx="61">
                  <c:v>43462.71875</c:v>
                </c:pt>
                <c:pt idx="62">
                  <c:v>43467.71875</c:v>
                </c:pt>
                <c:pt idx="63">
                  <c:v>43468.71875</c:v>
                </c:pt>
                <c:pt idx="64">
                  <c:v>43469.71875</c:v>
                </c:pt>
                <c:pt idx="65">
                  <c:v>43472.71875</c:v>
                </c:pt>
                <c:pt idx="66">
                  <c:v>43473.71875</c:v>
                </c:pt>
                <c:pt idx="67">
                  <c:v>43474.71875</c:v>
                </c:pt>
                <c:pt idx="68">
                  <c:v>43475.71875</c:v>
                </c:pt>
                <c:pt idx="69">
                  <c:v>43476.71875</c:v>
                </c:pt>
                <c:pt idx="70">
                  <c:v>43479.71875</c:v>
                </c:pt>
                <c:pt idx="71">
                  <c:v>43480.71875</c:v>
                </c:pt>
                <c:pt idx="72">
                  <c:v>43481.71875</c:v>
                </c:pt>
                <c:pt idx="73">
                  <c:v>43482.71875</c:v>
                </c:pt>
                <c:pt idx="74">
                  <c:v>43483.71875</c:v>
                </c:pt>
                <c:pt idx="75">
                  <c:v>43486.71875</c:v>
                </c:pt>
                <c:pt idx="76">
                  <c:v>43487.71875</c:v>
                </c:pt>
                <c:pt idx="77">
                  <c:v>43488.71875</c:v>
                </c:pt>
                <c:pt idx="78">
                  <c:v>43489.71875</c:v>
                </c:pt>
                <c:pt idx="79">
                  <c:v>43490.71875</c:v>
                </c:pt>
                <c:pt idx="80">
                  <c:v>43493.71875</c:v>
                </c:pt>
                <c:pt idx="81">
                  <c:v>43494.71875</c:v>
                </c:pt>
                <c:pt idx="82">
                  <c:v>43495.71875</c:v>
                </c:pt>
                <c:pt idx="83">
                  <c:v>43496.71875</c:v>
                </c:pt>
                <c:pt idx="84">
                  <c:v>43497.71875</c:v>
                </c:pt>
                <c:pt idx="85">
                  <c:v>43500.71875</c:v>
                </c:pt>
                <c:pt idx="86">
                  <c:v>43501.71875</c:v>
                </c:pt>
                <c:pt idx="87">
                  <c:v>43502.71875</c:v>
                </c:pt>
                <c:pt idx="88">
                  <c:v>43503.71875</c:v>
                </c:pt>
                <c:pt idx="89">
                  <c:v>43504.71875</c:v>
                </c:pt>
                <c:pt idx="90">
                  <c:v>43507.71875</c:v>
                </c:pt>
                <c:pt idx="91">
                  <c:v>43508.71875</c:v>
                </c:pt>
                <c:pt idx="92">
                  <c:v>43509.71875</c:v>
                </c:pt>
                <c:pt idx="93">
                  <c:v>43510.71875</c:v>
                </c:pt>
                <c:pt idx="94">
                  <c:v>43511.71875</c:v>
                </c:pt>
                <c:pt idx="95">
                  <c:v>43514.71875</c:v>
                </c:pt>
                <c:pt idx="96">
                  <c:v>43515.71875</c:v>
                </c:pt>
                <c:pt idx="97">
                  <c:v>43516.71875</c:v>
                </c:pt>
                <c:pt idx="98">
                  <c:v>43517.71875</c:v>
                </c:pt>
                <c:pt idx="99">
                  <c:v>43518.71875</c:v>
                </c:pt>
                <c:pt idx="100">
                  <c:v>43521.71875</c:v>
                </c:pt>
                <c:pt idx="101">
                  <c:v>43522.71875</c:v>
                </c:pt>
                <c:pt idx="102">
                  <c:v>43523.71875</c:v>
                </c:pt>
                <c:pt idx="103">
                  <c:v>43524.71875</c:v>
                </c:pt>
                <c:pt idx="104">
                  <c:v>43525.71875</c:v>
                </c:pt>
                <c:pt idx="105">
                  <c:v>43529.71875</c:v>
                </c:pt>
                <c:pt idx="106">
                  <c:v>43530.71875</c:v>
                </c:pt>
                <c:pt idx="107">
                  <c:v>43531.71875</c:v>
                </c:pt>
                <c:pt idx="108">
                  <c:v>43532.71875</c:v>
                </c:pt>
                <c:pt idx="109">
                  <c:v>43535.71875</c:v>
                </c:pt>
                <c:pt idx="110">
                  <c:v>43536.71875</c:v>
                </c:pt>
                <c:pt idx="111">
                  <c:v>43537.71875</c:v>
                </c:pt>
                <c:pt idx="112">
                  <c:v>43538.71875</c:v>
                </c:pt>
                <c:pt idx="113">
                  <c:v>43539.71875</c:v>
                </c:pt>
                <c:pt idx="114">
                  <c:v>43542.71875</c:v>
                </c:pt>
                <c:pt idx="115">
                  <c:v>43543.71875</c:v>
                </c:pt>
                <c:pt idx="116">
                  <c:v>43544.71875</c:v>
                </c:pt>
                <c:pt idx="117">
                  <c:v>43545.71875</c:v>
                </c:pt>
                <c:pt idx="118">
                  <c:v>43546.71875</c:v>
                </c:pt>
                <c:pt idx="119">
                  <c:v>43549.71875</c:v>
                </c:pt>
                <c:pt idx="120">
                  <c:v>43550.71875</c:v>
                </c:pt>
                <c:pt idx="121">
                  <c:v>43551.71875</c:v>
                </c:pt>
                <c:pt idx="122">
                  <c:v>43552.71875</c:v>
                </c:pt>
                <c:pt idx="123">
                  <c:v>43553.71875</c:v>
                </c:pt>
              </c:numCache>
            </c:numRef>
          </c:cat>
          <c:val>
            <c:numRef>
              <c:f>'5 index'!$T$18:$T$141</c:f>
              <c:numCache>
                <c:formatCode>#,##0.00</c:formatCode>
                <c:ptCount val="124"/>
                <c:pt idx="0">
                  <c:v>122.64999999999999</c:v>
                </c:pt>
                <c:pt idx="1">
                  <c:v>122.88</c:v>
                </c:pt>
                <c:pt idx="2">
                  <c:v>121.43</c:v>
                </c:pt>
                <c:pt idx="3">
                  <c:v>121.61999999999999</c:v>
                </c:pt>
                <c:pt idx="4">
                  <c:v>121.71000000000002</c:v>
                </c:pt>
                <c:pt idx="5">
                  <c:v>121.14999999999999</c:v>
                </c:pt>
                <c:pt idx="6">
                  <c:v>120.73</c:v>
                </c:pt>
                <c:pt idx="7">
                  <c:v>120.78</c:v>
                </c:pt>
                <c:pt idx="8">
                  <c:v>119.27</c:v>
                </c:pt>
                <c:pt idx="9">
                  <c:v>119.29</c:v>
                </c:pt>
                <c:pt idx="10">
                  <c:v>119.5</c:v>
                </c:pt>
                <c:pt idx="11">
                  <c:v>119.75</c:v>
                </c:pt>
                <c:pt idx="12">
                  <c:v>119.79</c:v>
                </c:pt>
                <c:pt idx="13">
                  <c:v>119.36</c:v>
                </c:pt>
                <c:pt idx="14">
                  <c:v>119.24000000000002</c:v>
                </c:pt>
                <c:pt idx="15">
                  <c:v>118.98</c:v>
                </c:pt>
                <c:pt idx="16">
                  <c:v>117.47</c:v>
                </c:pt>
                <c:pt idx="17">
                  <c:v>118.04</c:v>
                </c:pt>
                <c:pt idx="18">
                  <c:v>117.22</c:v>
                </c:pt>
                <c:pt idx="19">
                  <c:v>117.46000000000002</c:v>
                </c:pt>
                <c:pt idx="20">
                  <c:v>117.66</c:v>
                </c:pt>
                <c:pt idx="21">
                  <c:v>116.93</c:v>
                </c:pt>
                <c:pt idx="22">
                  <c:v>117.03</c:v>
                </c:pt>
                <c:pt idx="23">
                  <c:v>116.9</c:v>
                </c:pt>
                <c:pt idx="24">
                  <c:v>116.76</c:v>
                </c:pt>
                <c:pt idx="25">
                  <c:v>116.75</c:v>
                </c:pt>
                <c:pt idx="26">
                  <c:v>116.36</c:v>
                </c:pt>
                <c:pt idx="27">
                  <c:v>116.17999999999998</c:v>
                </c:pt>
                <c:pt idx="28">
                  <c:v>116.61999999999999</c:v>
                </c:pt>
                <c:pt idx="29">
                  <c:v>117.01</c:v>
                </c:pt>
                <c:pt idx="30">
                  <c:v>116.91000000000012</c:v>
                </c:pt>
                <c:pt idx="31">
                  <c:v>116.31</c:v>
                </c:pt>
                <c:pt idx="32">
                  <c:v>116.58</c:v>
                </c:pt>
                <c:pt idx="33">
                  <c:v>117.11</c:v>
                </c:pt>
                <c:pt idx="34">
                  <c:v>116.64999999999999</c:v>
                </c:pt>
                <c:pt idx="35">
                  <c:v>115.97</c:v>
                </c:pt>
                <c:pt idx="36">
                  <c:v>114.27</c:v>
                </c:pt>
                <c:pt idx="37">
                  <c:v>115</c:v>
                </c:pt>
                <c:pt idx="38">
                  <c:v>114.64</c:v>
                </c:pt>
                <c:pt idx="39">
                  <c:v>114.9</c:v>
                </c:pt>
                <c:pt idx="40">
                  <c:v>114.38</c:v>
                </c:pt>
                <c:pt idx="41">
                  <c:v>113.66999999999999</c:v>
                </c:pt>
                <c:pt idx="42">
                  <c:v>114</c:v>
                </c:pt>
                <c:pt idx="43">
                  <c:v>115.13</c:v>
                </c:pt>
                <c:pt idx="44">
                  <c:v>115.11999999999999</c:v>
                </c:pt>
                <c:pt idx="45">
                  <c:v>116.44000000000018</c:v>
                </c:pt>
                <c:pt idx="46">
                  <c:v>116.84</c:v>
                </c:pt>
                <c:pt idx="47">
                  <c:v>116.26</c:v>
                </c:pt>
                <c:pt idx="48">
                  <c:v>115.64</c:v>
                </c:pt>
                <c:pt idx="49">
                  <c:v>116.16999999999999</c:v>
                </c:pt>
                <c:pt idx="50">
                  <c:v>115.3</c:v>
                </c:pt>
                <c:pt idx="51">
                  <c:v>115.35</c:v>
                </c:pt>
                <c:pt idx="52">
                  <c:v>115.07</c:v>
                </c:pt>
                <c:pt idx="53">
                  <c:v>114.75</c:v>
                </c:pt>
                <c:pt idx="54">
                  <c:v>114.97</c:v>
                </c:pt>
                <c:pt idx="55">
                  <c:v>115.22</c:v>
                </c:pt>
                <c:pt idx="56">
                  <c:v>115.67999999999998</c:v>
                </c:pt>
                <c:pt idx="57">
                  <c:v>115.02</c:v>
                </c:pt>
                <c:pt idx="58">
                  <c:v>115.16</c:v>
                </c:pt>
                <c:pt idx="59">
                  <c:v>115.92</c:v>
                </c:pt>
                <c:pt idx="60">
                  <c:v>115.26</c:v>
                </c:pt>
                <c:pt idx="61">
                  <c:v>115.91000000000012</c:v>
                </c:pt>
                <c:pt idx="62">
                  <c:v>114.7</c:v>
                </c:pt>
                <c:pt idx="63">
                  <c:v>114.57</c:v>
                </c:pt>
                <c:pt idx="64">
                  <c:v>113.46000000000002</c:v>
                </c:pt>
                <c:pt idx="65">
                  <c:v>113.32</c:v>
                </c:pt>
                <c:pt idx="66">
                  <c:v>113.24000000000002</c:v>
                </c:pt>
                <c:pt idx="67">
                  <c:v>112.45</c:v>
                </c:pt>
                <c:pt idx="68">
                  <c:v>112.58</c:v>
                </c:pt>
                <c:pt idx="69">
                  <c:v>112</c:v>
                </c:pt>
                <c:pt idx="70">
                  <c:v>111.9</c:v>
                </c:pt>
                <c:pt idx="71">
                  <c:v>111.58</c:v>
                </c:pt>
                <c:pt idx="72">
                  <c:v>111.14</c:v>
                </c:pt>
                <c:pt idx="73">
                  <c:v>111.61</c:v>
                </c:pt>
                <c:pt idx="74">
                  <c:v>111.75</c:v>
                </c:pt>
                <c:pt idx="75">
                  <c:v>111.56</c:v>
                </c:pt>
                <c:pt idx="76">
                  <c:v>111.48</c:v>
                </c:pt>
                <c:pt idx="77">
                  <c:v>111.36999999999999</c:v>
                </c:pt>
                <c:pt idx="78">
                  <c:v>113.02</c:v>
                </c:pt>
                <c:pt idx="79">
                  <c:v>113.25</c:v>
                </c:pt>
                <c:pt idx="80">
                  <c:v>113.32</c:v>
                </c:pt>
                <c:pt idx="81">
                  <c:v>113.31</c:v>
                </c:pt>
                <c:pt idx="82">
                  <c:v>113.39</c:v>
                </c:pt>
                <c:pt idx="83">
                  <c:v>115</c:v>
                </c:pt>
                <c:pt idx="84">
                  <c:v>115.07</c:v>
                </c:pt>
                <c:pt idx="85">
                  <c:v>114.51</c:v>
                </c:pt>
                <c:pt idx="86">
                  <c:v>114.88</c:v>
                </c:pt>
                <c:pt idx="87">
                  <c:v>114.36</c:v>
                </c:pt>
                <c:pt idx="88">
                  <c:v>113.84</c:v>
                </c:pt>
                <c:pt idx="89">
                  <c:v>114.51</c:v>
                </c:pt>
                <c:pt idx="90">
                  <c:v>114.31</c:v>
                </c:pt>
                <c:pt idx="91">
                  <c:v>114.57</c:v>
                </c:pt>
                <c:pt idx="92">
                  <c:v>114.69</c:v>
                </c:pt>
                <c:pt idx="93">
                  <c:v>115.73</c:v>
                </c:pt>
                <c:pt idx="94">
                  <c:v>115.29</c:v>
                </c:pt>
                <c:pt idx="95">
                  <c:v>115.13</c:v>
                </c:pt>
                <c:pt idx="96">
                  <c:v>115.27</c:v>
                </c:pt>
                <c:pt idx="97">
                  <c:v>114.77</c:v>
                </c:pt>
                <c:pt idx="98">
                  <c:v>114.95</c:v>
                </c:pt>
                <c:pt idx="99">
                  <c:v>115.7</c:v>
                </c:pt>
                <c:pt idx="100">
                  <c:v>117.33</c:v>
                </c:pt>
                <c:pt idx="101">
                  <c:v>117.05</c:v>
                </c:pt>
                <c:pt idx="102">
                  <c:v>116.77</c:v>
                </c:pt>
                <c:pt idx="103">
                  <c:v>116.13</c:v>
                </c:pt>
                <c:pt idx="104">
                  <c:v>116.36999999999999</c:v>
                </c:pt>
                <c:pt idx="105">
                  <c:v>116.23</c:v>
                </c:pt>
                <c:pt idx="106">
                  <c:v>116.3</c:v>
                </c:pt>
                <c:pt idx="107">
                  <c:v>116.32</c:v>
                </c:pt>
                <c:pt idx="108">
                  <c:v>115.74000000000002</c:v>
                </c:pt>
                <c:pt idx="109">
                  <c:v>115.96000000000002</c:v>
                </c:pt>
                <c:pt idx="110">
                  <c:v>115.26</c:v>
                </c:pt>
                <c:pt idx="111">
                  <c:v>115.13</c:v>
                </c:pt>
                <c:pt idx="112">
                  <c:v>115.25</c:v>
                </c:pt>
                <c:pt idx="113">
                  <c:v>115.78</c:v>
                </c:pt>
                <c:pt idx="114">
                  <c:v>116.14</c:v>
                </c:pt>
                <c:pt idx="115">
                  <c:v>117.89</c:v>
                </c:pt>
                <c:pt idx="116">
                  <c:v>116.25</c:v>
                </c:pt>
                <c:pt idx="117">
                  <c:v>115.94000000000018</c:v>
                </c:pt>
                <c:pt idx="118">
                  <c:v>115.38</c:v>
                </c:pt>
                <c:pt idx="119">
                  <c:v>115.58</c:v>
                </c:pt>
                <c:pt idx="120">
                  <c:v>115.04</c:v>
                </c:pt>
                <c:pt idx="121">
                  <c:v>115.31</c:v>
                </c:pt>
                <c:pt idx="122">
                  <c:v>114.95</c:v>
                </c:pt>
                <c:pt idx="123">
                  <c:v>116.27</c:v>
                </c:pt>
              </c:numCache>
            </c:numRef>
          </c:val>
          <c:extLst xmlns:c16r2="http://schemas.microsoft.com/office/drawing/2015/06/chart">
            <c:ext xmlns:c16="http://schemas.microsoft.com/office/drawing/2014/chart" uri="{C3380CC4-5D6E-409C-BE32-E72D297353CC}">
              <c16:uniqueId val="{00000000-AB17-48E3-A9A1-8D3D2E3FF3D2}"/>
            </c:ext>
          </c:extLst>
        </c:ser>
        <c:dLbls>
          <c:showLegendKey val="0"/>
          <c:showVal val="0"/>
          <c:showCatName val="0"/>
          <c:showSerName val="0"/>
          <c:showPercent val="0"/>
          <c:showBubbleSize val="0"/>
        </c:dLbls>
        <c:axId val="140644352"/>
        <c:axId val="140645888"/>
      </c:areaChart>
      <c:dateAx>
        <c:axId val="140644352"/>
        <c:scaling>
          <c:orientation val="minMax"/>
        </c:scaling>
        <c:delete val="0"/>
        <c:axPos val="b"/>
        <c:numFmt formatCode="dd/mm" sourceLinked="0"/>
        <c:majorTickMark val="out"/>
        <c:minorTickMark val="none"/>
        <c:tickLblPos val="nextTo"/>
        <c:txPr>
          <a:bodyPr/>
          <a:lstStyle/>
          <a:p>
            <a:pPr>
              <a:defRPr lang="en-US"/>
            </a:pPr>
            <a:endParaRPr lang="bg-BG"/>
          </a:p>
        </c:txPr>
        <c:crossAx val="140645888"/>
        <c:crosses val="autoZero"/>
        <c:auto val="0"/>
        <c:lblOffset val="100"/>
        <c:baseTimeUnit val="days"/>
        <c:majorUnit val="7"/>
        <c:majorTimeUnit val="days"/>
      </c:dateAx>
      <c:valAx>
        <c:axId val="140645888"/>
        <c:scaling>
          <c:orientation val="minMax"/>
        </c:scaling>
        <c:delete val="0"/>
        <c:axPos val="l"/>
        <c:majorGridlines/>
        <c:numFmt formatCode="#,##0" sourceLinked="0"/>
        <c:majorTickMark val="out"/>
        <c:minorTickMark val="none"/>
        <c:tickLblPos val="nextTo"/>
        <c:txPr>
          <a:bodyPr/>
          <a:lstStyle/>
          <a:p>
            <a:pPr>
              <a:defRPr lang="en-US"/>
            </a:pPr>
            <a:endParaRPr lang="bg-BG"/>
          </a:p>
        </c:txPr>
        <c:crossAx val="140644352"/>
        <c:crosses val="autoZero"/>
        <c:crossBetween val="midCat"/>
      </c:valAx>
    </c:plotArea>
    <c:plotVisOnly val="1"/>
    <c:dispBlanksAs val="zero"/>
    <c:showDLblsOverMax val="0"/>
  </c:chart>
  <c:spPr>
    <a:ln>
      <a:noFill/>
    </a:ln>
  </c:spPr>
  <c:txPr>
    <a:bodyPr/>
    <a:lstStyle/>
    <a:p>
      <a:pPr>
        <a:defRPr sz="600">
          <a:latin typeface="News Gothic Cyr" panose="020B0503020103020203" pitchFamily="34" charset="-52"/>
        </a:defRPr>
      </a:pPr>
      <a:endParaRPr lang="bg-BG"/>
    </a:p>
  </c:txPr>
  <c:externalData r:id="rId1">
    <c:autoUpdate val="0"/>
  </c:externalData>
  <c:userShapes r:id="rId2"/>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8.0651338497133476E-2"/>
          <c:y val="2.5236565556365088E-2"/>
          <c:w val="0.88961282875404857"/>
          <c:h val="0.81568864818137665"/>
        </c:manualLayout>
      </c:layout>
      <c:areaChart>
        <c:grouping val="standard"/>
        <c:varyColors val="0"/>
        <c:ser>
          <c:idx val="0"/>
          <c:order val="0"/>
          <c:tx>
            <c:strRef>
              <c:f>'5 index'!$H$17</c:f>
              <c:strCache>
                <c:ptCount val="1"/>
                <c:pt idx="0">
                  <c:v>BGREIT</c:v>
                </c:pt>
              </c:strCache>
            </c:strRef>
          </c:tx>
          <c:spPr>
            <a:pattFill prst="pct75">
              <a:fgClr>
                <a:srgbClr val="92D050"/>
              </a:fgClr>
              <a:bgClr>
                <a:schemeClr val="bg1"/>
              </a:bgClr>
            </a:pattFill>
          </c:spPr>
          <c:cat>
            <c:numRef>
              <c:f>'5 index'!$I$18:$I$141</c:f>
              <c:numCache>
                <c:formatCode>d/m/yyyy</c:formatCode>
                <c:ptCount val="124"/>
                <c:pt idx="0">
                  <c:v>43374.71875</c:v>
                </c:pt>
                <c:pt idx="1">
                  <c:v>43375.71875</c:v>
                </c:pt>
                <c:pt idx="2">
                  <c:v>43376.71875</c:v>
                </c:pt>
                <c:pt idx="3">
                  <c:v>43377.71875</c:v>
                </c:pt>
                <c:pt idx="4">
                  <c:v>43378.71875</c:v>
                </c:pt>
                <c:pt idx="5">
                  <c:v>43381.71875</c:v>
                </c:pt>
                <c:pt idx="6">
                  <c:v>43382.71875</c:v>
                </c:pt>
                <c:pt idx="7">
                  <c:v>43383.71875</c:v>
                </c:pt>
                <c:pt idx="8">
                  <c:v>43384.71875</c:v>
                </c:pt>
                <c:pt idx="9">
                  <c:v>43385.71875</c:v>
                </c:pt>
                <c:pt idx="10">
                  <c:v>43388.71875</c:v>
                </c:pt>
                <c:pt idx="11">
                  <c:v>43389.71875</c:v>
                </c:pt>
                <c:pt idx="12">
                  <c:v>43390.71875</c:v>
                </c:pt>
                <c:pt idx="13">
                  <c:v>43391.71875</c:v>
                </c:pt>
                <c:pt idx="14">
                  <c:v>43392.71875</c:v>
                </c:pt>
                <c:pt idx="15">
                  <c:v>43395.71875</c:v>
                </c:pt>
                <c:pt idx="16">
                  <c:v>43396.71875</c:v>
                </c:pt>
                <c:pt idx="17">
                  <c:v>43397.71875</c:v>
                </c:pt>
                <c:pt idx="18">
                  <c:v>43398.71875</c:v>
                </c:pt>
                <c:pt idx="19">
                  <c:v>43399.71875</c:v>
                </c:pt>
                <c:pt idx="20">
                  <c:v>43402.71875</c:v>
                </c:pt>
                <c:pt idx="21">
                  <c:v>43403.71875</c:v>
                </c:pt>
                <c:pt idx="22">
                  <c:v>43404.71875</c:v>
                </c:pt>
                <c:pt idx="23">
                  <c:v>43405.71875</c:v>
                </c:pt>
                <c:pt idx="24">
                  <c:v>43406.71875</c:v>
                </c:pt>
                <c:pt idx="25">
                  <c:v>43409.71875</c:v>
                </c:pt>
                <c:pt idx="26">
                  <c:v>43410.71875</c:v>
                </c:pt>
                <c:pt idx="27">
                  <c:v>43411.71875</c:v>
                </c:pt>
                <c:pt idx="28">
                  <c:v>43412.71875</c:v>
                </c:pt>
                <c:pt idx="29">
                  <c:v>43413.71875</c:v>
                </c:pt>
                <c:pt idx="30">
                  <c:v>43416.71875</c:v>
                </c:pt>
                <c:pt idx="31">
                  <c:v>43417.71875</c:v>
                </c:pt>
                <c:pt idx="32">
                  <c:v>43418.71875</c:v>
                </c:pt>
                <c:pt idx="33">
                  <c:v>43419.71875</c:v>
                </c:pt>
                <c:pt idx="34">
                  <c:v>43420.71875</c:v>
                </c:pt>
                <c:pt idx="35">
                  <c:v>43423.71875</c:v>
                </c:pt>
                <c:pt idx="36">
                  <c:v>43424.71875</c:v>
                </c:pt>
                <c:pt idx="37">
                  <c:v>43425.71875</c:v>
                </c:pt>
                <c:pt idx="38">
                  <c:v>43426.71875</c:v>
                </c:pt>
                <c:pt idx="39">
                  <c:v>43427.71875</c:v>
                </c:pt>
                <c:pt idx="40">
                  <c:v>43430.71875</c:v>
                </c:pt>
                <c:pt idx="41">
                  <c:v>43431.71875</c:v>
                </c:pt>
                <c:pt idx="42">
                  <c:v>43432.71875</c:v>
                </c:pt>
                <c:pt idx="43">
                  <c:v>43433.71875</c:v>
                </c:pt>
                <c:pt idx="44">
                  <c:v>43434.71875</c:v>
                </c:pt>
                <c:pt idx="45">
                  <c:v>43437.71875</c:v>
                </c:pt>
                <c:pt idx="46">
                  <c:v>43438.71875</c:v>
                </c:pt>
                <c:pt idx="47">
                  <c:v>43439.71875</c:v>
                </c:pt>
                <c:pt idx="48">
                  <c:v>43440.71875</c:v>
                </c:pt>
                <c:pt idx="49">
                  <c:v>43441.71875</c:v>
                </c:pt>
                <c:pt idx="50">
                  <c:v>43444.71875</c:v>
                </c:pt>
                <c:pt idx="51">
                  <c:v>43445.71875</c:v>
                </c:pt>
                <c:pt idx="52">
                  <c:v>43446.71875</c:v>
                </c:pt>
                <c:pt idx="53">
                  <c:v>43447.71875</c:v>
                </c:pt>
                <c:pt idx="54">
                  <c:v>43448.71875</c:v>
                </c:pt>
                <c:pt idx="55">
                  <c:v>43451.71875</c:v>
                </c:pt>
                <c:pt idx="56">
                  <c:v>43452.71875</c:v>
                </c:pt>
                <c:pt idx="57">
                  <c:v>43453.71875</c:v>
                </c:pt>
                <c:pt idx="58">
                  <c:v>43454.71875</c:v>
                </c:pt>
                <c:pt idx="59">
                  <c:v>43455.71875</c:v>
                </c:pt>
                <c:pt idx="60">
                  <c:v>43461.71875</c:v>
                </c:pt>
                <c:pt idx="61">
                  <c:v>43462.71875</c:v>
                </c:pt>
                <c:pt idx="62">
                  <c:v>43467.71875</c:v>
                </c:pt>
                <c:pt idx="63">
                  <c:v>43468.71875</c:v>
                </c:pt>
                <c:pt idx="64">
                  <c:v>43469.71875</c:v>
                </c:pt>
                <c:pt idx="65">
                  <c:v>43472.71875</c:v>
                </c:pt>
                <c:pt idx="66">
                  <c:v>43473.71875</c:v>
                </c:pt>
                <c:pt idx="67">
                  <c:v>43474.71875</c:v>
                </c:pt>
                <c:pt idx="68">
                  <c:v>43475.71875</c:v>
                </c:pt>
                <c:pt idx="69">
                  <c:v>43476.71875</c:v>
                </c:pt>
                <c:pt idx="70">
                  <c:v>43479.71875</c:v>
                </c:pt>
                <c:pt idx="71">
                  <c:v>43480.71875</c:v>
                </c:pt>
                <c:pt idx="72">
                  <c:v>43481.71875</c:v>
                </c:pt>
                <c:pt idx="73">
                  <c:v>43482.71875</c:v>
                </c:pt>
                <c:pt idx="74">
                  <c:v>43483.71875</c:v>
                </c:pt>
                <c:pt idx="75">
                  <c:v>43486.71875</c:v>
                </c:pt>
                <c:pt idx="76">
                  <c:v>43487.71875</c:v>
                </c:pt>
                <c:pt idx="77">
                  <c:v>43488.71875</c:v>
                </c:pt>
                <c:pt idx="78">
                  <c:v>43489.71875</c:v>
                </c:pt>
                <c:pt idx="79">
                  <c:v>43490.71875</c:v>
                </c:pt>
                <c:pt idx="80">
                  <c:v>43493.71875</c:v>
                </c:pt>
                <c:pt idx="81">
                  <c:v>43494.71875</c:v>
                </c:pt>
                <c:pt idx="82">
                  <c:v>43495.71875</c:v>
                </c:pt>
                <c:pt idx="83">
                  <c:v>43496.71875</c:v>
                </c:pt>
                <c:pt idx="84">
                  <c:v>43497.71875</c:v>
                </c:pt>
                <c:pt idx="85">
                  <c:v>43500.71875</c:v>
                </c:pt>
                <c:pt idx="86">
                  <c:v>43501.71875</c:v>
                </c:pt>
                <c:pt idx="87">
                  <c:v>43502.71875</c:v>
                </c:pt>
                <c:pt idx="88">
                  <c:v>43503.71875</c:v>
                </c:pt>
                <c:pt idx="89">
                  <c:v>43504.71875</c:v>
                </c:pt>
                <c:pt idx="90">
                  <c:v>43507.71875</c:v>
                </c:pt>
                <c:pt idx="91">
                  <c:v>43508.71875</c:v>
                </c:pt>
                <c:pt idx="92">
                  <c:v>43509.71875</c:v>
                </c:pt>
                <c:pt idx="93">
                  <c:v>43510.71875</c:v>
                </c:pt>
                <c:pt idx="94">
                  <c:v>43511.71875</c:v>
                </c:pt>
                <c:pt idx="95">
                  <c:v>43514.71875</c:v>
                </c:pt>
                <c:pt idx="96">
                  <c:v>43515.71875</c:v>
                </c:pt>
                <c:pt idx="97">
                  <c:v>43516.71875</c:v>
                </c:pt>
                <c:pt idx="98">
                  <c:v>43517.71875</c:v>
                </c:pt>
                <c:pt idx="99">
                  <c:v>43518.71875</c:v>
                </c:pt>
                <c:pt idx="100">
                  <c:v>43521.71875</c:v>
                </c:pt>
                <c:pt idx="101">
                  <c:v>43522.71875</c:v>
                </c:pt>
                <c:pt idx="102">
                  <c:v>43523.71875</c:v>
                </c:pt>
                <c:pt idx="103">
                  <c:v>43524.71875</c:v>
                </c:pt>
                <c:pt idx="104">
                  <c:v>43525.71875</c:v>
                </c:pt>
                <c:pt idx="105">
                  <c:v>43529.71875</c:v>
                </c:pt>
                <c:pt idx="106">
                  <c:v>43530.71875</c:v>
                </c:pt>
                <c:pt idx="107">
                  <c:v>43531.71875</c:v>
                </c:pt>
                <c:pt idx="108">
                  <c:v>43532.71875</c:v>
                </c:pt>
                <c:pt idx="109">
                  <c:v>43535.71875</c:v>
                </c:pt>
                <c:pt idx="110">
                  <c:v>43536.71875</c:v>
                </c:pt>
                <c:pt idx="111">
                  <c:v>43537.71875</c:v>
                </c:pt>
                <c:pt idx="112">
                  <c:v>43538.71875</c:v>
                </c:pt>
                <c:pt idx="113">
                  <c:v>43539.71875</c:v>
                </c:pt>
                <c:pt idx="114">
                  <c:v>43542.71875</c:v>
                </c:pt>
                <c:pt idx="115">
                  <c:v>43543.71875</c:v>
                </c:pt>
                <c:pt idx="116">
                  <c:v>43544.71875</c:v>
                </c:pt>
                <c:pt idx="117">
                  <c:v>43545.71875</c:v>
                </c:pt>
                <c:pt idx="118">
                  <c:v>43546.71875</c:v>
                </c:pt>
                <c:pt idx="119">
                  <c:v>43549.71875</c:v>
                </c:pt>
                <c:pt idx="120">
                  <c:v>43550.71875</c:v>
                </c:pt>
                <c:pt idx="121">
                  <c:v>43551.71875</c:v>
                </c:pt>
                <c:pt idx="122">
                  <c:v>43552.71875</c:v>
                </c:pt>
                <c:pt idx="123">
                  <c:v>43553.71875</c:v>
                </c:pt>
              </c:numCache>
            </c:numRef>
          </c:cat>
          <c:val>
            <c:numRef>
              <c:f>'5 index'!$J$18:$J$141</c:f>
              <c:numCache>
                <c:formatCode>#,##0.00</c:formatCode>
                <c:ptCount val="124"/>
                <c:pt idx="0">
                  <c:v>118.14999999999999</c:v>
                </c:pt>
                <c:pt idx="1">
                  <c:v>117.9</c:v>
                </c:pt>
                <c:pt idx="2">
                  <c:v>117.26</c:v>
                </c:pt>
                <c:pt idx="3">
                  <c:v>117.72</c:v>
                </c:pt>
                <c:pt idx="4">
                  <c:v>117.61</c:v>
                </c:pt>
                <c:pt idx="5">
                  <c:v>117.64999999999999</c:v>
                </c:pt>
                <c:pt idx="6">
                  <c:v>117.64999999999999</c:v>
                </c:pt>
                <c:pt idx="7">
                  <c:v>117.88</c:v>
                </c:pt>
                <c:pt idx="8">
                  <c:v>117.3</c:v>
                </c:pt>
                <c:pt idx="9">
                  <c:v>117.17999999999998</c:v>
                </c:pt>
                <c:pt idx="10">
                  <c:v>116.94000000000018</c:v>
                </c:pt>
                <c:pt idx="11">
                  <c:v>117.36</c:v>
                </c:pt>
                <c:pt idx="12">
                  <c:v>117.16</c:v>
                </c:pt>
                <c:pt idx="13">
                  <c:v>116.8</c:v>
                </c:pt>
                <c:pt idx="14">
                  <c:v>117.14999999999999</c:v>
                </c:pt>
                <c:pt idx="15">
                  <c:v>117.03</c:v>
                </c:pt>
                <c:pt idx="16">
                  <c:v>116.45</c:v>
                </c:pt>
                <c:pt idx="17">
                  <c:v>116.45</c:v>
                </c:pt>
                <c:pt idx="18">
                  <c:v>116.39</c:v>
                </c:pt>
                <c:pt idx="19">
                  <c:v>116.45</c:v>
                </c:pt>
                <c:pt idx="20">
                  <c:v>117.26</c:v>
                </c:pt>
                <c:pt idx="21">
                  <c:v>117.03</c:v>
                </c:pt>
                <c:pt idx="22">
                  <c:v>117.23</c:v>
                </c:pt>
                <c:pt idx="23">
                  <c:v>117.17999999999998</c:v>
                </c:pt>
                <c:pt idx="24">
                  <c:v>116.99000000000002</c:v>
                </c:pt>
                <c:pt idx="25">
                  <c:v>117.11</c:v>
                </c:pt>
                <c:pt idx="26">
                  <c:v>117.23</c:v>
                </c:pt>
                <c:pt idx="27">
                  <c:v>117.47</c:v>
                </c:pt>
                <c:pt idx="28">
                  <c:v>117.47</c:v>
                </c:pt>
                <c:pt idx="29">
                  <c:v>117.47</c:v>
                </c:pt>
                <c:pt idx="30">
                  <c:v>117.23</c:v>
                </c:pt>
                <c:pt idx="31">
                  <c:v>117.05</c:v>
                </c:pt>
                <c:pt idx="32">
                  <c:v>116.99000000000002</c:v>
                </c:pt>
                <c:pt idx="33">
                  <c:v>117.35</c:v>
                </c:pt>
                <c:pt idx="34">
                  <c:v>117.23</c:v>
                </c:pt>
                <c:pt idx="35">
                  <c:v>117.16999999999999</c:v>
                </c:pt>
                <c:pt idx="36">
                  <c:v>116.75</c:v>
                </c:pt>
                <c:pt idx="37">
                  <c:v>117.11</c:v>
                </c:pt>
                <c:pt idx="38">
                  <c:v>117.35</c:v>
                </c:pt>
                <c:pt idx="39">
                  <c:v>117.35</c:v>
                </c:pt>
                <c:pt idx="40">
                  <c:v>117.16999999999999</c:v>
                </c:pt>
                <c:pt idx="41">
                  <c:v>116.48</c:v>
                </c:pt>
                <c:pt idx="42">
                  <c:v>116.6</c:v>
                </c:pt>
                <c:pt idx="43">
                  <c:v>116.89</c:v>
                </c:pt>
                <c:pt idx="44">
                  <c:v>117.46000000000002</c:v>
                </c:pt>
                <c:pt idx="45">
                  <c:v>117.69</c:v>
                </c:pt>
                <c:pt idx="46">
                  <c:v>117.58</c:v>
                </c:pt>
                <c:pt idx="47">
                  <c:v>117.47</c:v>
                </c:pt>
                <c:pt idx="48">
                  <c:v>117.8</c:v>
                </c:pt>
                <c:pt idx="49">
                  <c:v>117.8</c:v>
                </c:pt>
                <c:pt idx="50">
                  <c:v>117.67999999999998</c:v>
                </c:pt>
                <c:pt idx="51">
                  <c:v>117.91000000000012</c:v>
                </c:pt>
                <c:pt idx="52">
                  <c:v>117.85</c:v>
                </c:pt>
                <c:pt idx="53">
                  <c:v>118.03</c:v>
                </c:pt>
                <c:pt idx="54">
                  <c:v>118.03</c:v>
                </c:pt>
                <c:pt idx="55">
                  <c:v>119.34</c:v>
                </c:pt>
                <c:pt idx="56">
                  <c:v>118.4</c:v>
                </c:pt>
                <c:pt idx="57">
                  <c:v>118.34</c:v>
                </c:pt>
                <c:pt idx="58">
                  <c:v>118.29</c:v>
                </c:pt>
                <c:pt idx="59">
                  <c:v>119.5</c:v>
                </c:pt>
                <c:pt idx="60">
                  <c:v>119.5</c:v>
                </c:pt>
                <c:pt idx="61">
                  <c:v>121.07</c:v>
                </c:pt>
                <c:pt idx="62">
                  <c:v>121.07</c:v>
                </c:pt>
                <c:pt idx="63">
                  <c:v>120.94000000000018</c:v>
                </c:pt>
                <c:pt idx="64">
                  <c:v>120.83</c:v>
                </c:pt>
                <c:pt idx="65">
                  <c:v>120.95</c:v>
                </c:pt>
                <c:pt idx="66">
                  <c:v>120.95</c:v>
                </c:pt>
                <c:pt idx="67">
                  <c:v>120.76</c:v>
                </c:pt>
                <c:pt idx="68">
                  <c:v>120.33</c:v>
                </c:pt>
                <c:pt idx="69">
                  <c:v>120.46000000000002</c:v>
                </c:pt>
                <c:pt idx="70">
                  <c:v>120.33</c:v>
                </c:pt>
                <c:pt idx="71">
                  <c:v>119.96000000000002</c:v>
                </c:pt>
                <c:pt idx="72">
                  <c:v>119.84</c:v>
                </c:pt>
                <c:pt idx="73">
                  <c:v>119.96000000000002</c:v>
                </c:pt>
                <c:pt idx="74">
                  <c:v>120.21000000000002</c:v>
                </c:pt>
                <c:pt idx="75">
                  <c:v>120.33</c:v>
                </c:pt>
                <c:pt idx="76">
                  <c:v>119.96000000000002</c:v>
                </c:pt>
                <c:pt idx="77">
                  <c:v>120.45</c:v>
                </c:pt>
                <c:pt idx="78">
                  <c:v>120.21000000000002</c:v>
                </c:pt>
                <c:pt idx="79">
                  <c:v>120.51</c:v>
                </c:pt>
                <c:pt idx="80">
                  <c:v>120.51</c:v>
                </c:pt>
                <c:pt idx="81">
                  <c:v>120.34</c:v>
                </c:pt>
                <c:pt idx="82">
                  <c:v>120.35</c:v>
                </c:pt>
                <c:pt idx="83">
                  <c:v>120.77</c:v>
                </c:pt>
                <c:pt idx="84">
                  <c:v>120.64999999999999</c:v>
                </c:pt>
                <c:pt idx="85">
                  <c:v>120.52</c:v>
                </c:pt>
                <c:pt idx="86">
                  <c:v>120.4</c:v>
                </c:pt>
                <c:pt idx="87">
                  <c:v>120.58</c:v>
                </c:pt>
                <c:pt idx="88">
                  <c:v>120.34</c:v>
                </c:pt>
                <c:pt idx="89">
                  <c:v>120.64</c:v>
                </c:pt>
                <c:pt idx="90">
                  <c:v>120.71000000000002</c:v>
                </c:pt>
                <c:pt idx="91">
                  <c:v>120.78</c:v>
                </c:pt>
                <c:pt idx="92">
                  <c:v>120.83</c:v>
                </c:pt>
                <c:pt idx="93">
                  <c:v>121.02</c:v>
                </c:pt>
                <c:pt idx="94">
                  <c:v>120.9</c:v>
                </c:pt>
                <c:pt idx="95">
                  <c:v>121.08</c:v>
                </c:pt>
                <c:pt idx="96">
                  <c:v>121.21000000000002</c:v>
                </c:pt>
                <c:pt idx="97">
                  <c:v>121.14999999999999</c:v>
                </c:pt>
                <c:pt idx="98">
                  <c:v>120.64999999999999</c:v>
                </c:pt>
                <c:pt idx="99">
                  <c:v>120.9</c:v>
                </c:pt>
                <c:pt idx="100">
                  <c:v>121.14999999999999</c:v>
                </c:pt>
                <c:pt idx="101">
                  <c:v>120.84</c:v>
                </c:pt>
                <c:pt idx="102">
                  <c:v>120.72</c:v>
                </c:pt>
                <c:pt idx="103">
                  <c:v>120.89</c:v>
                </c:pt>
                <c:pt idx="104">
                  <c:v>120.71000000000002</c:v>
                </c:pt>
                <c:pt idx="105">
                  <c:v>120.53</c:v>
                </c:pt>
                <c:pt idx="106">
                  <c:v>120.71000000000002</c:v>
                </c:pt>
                <c:pt idx="107">
                  <c:v>120.89</c:v>
                </c:pt>
                <c:pt idx="108">
                  <c:v>121.26</c:v>
                </c:pt>
                <c:pt idx="109">
                  <c:v>121.07</c:v>
                </c:pt>
                <c:pt idx="110">
                  <c:v>120.51</c:v>
                </c:pt>
                <c:pt idx="111">
                  <c:v>120.39</c:v>
                </c:pt>
                <c:pt idx="112">
                  <c:v>120.39</c:v>
                </c:pt>
                <c:pt idx="113">
                  <c:v>120.39</c:v>
                </c:pt>
                <c:pt idx="114">
                  <c:v>120.24000000000002</c:v>
                </c:pt>
                <c:pt idx="115">
                  <c:v>120.3</c:v>
                </c:pt>
                <c:pt idx="116">
                  <c:v>120.11999999999999</c:v>
                </c:pt>
                <c:pt idx="117">
                  <c:v>120.14</c:v>
                </c:pt>
                <c:pt idx="118">
                  <c:v>120.27</c:v>
                </c:pt>
                <c:pt idx="119">
                  <c:v>120.14</c:v>
                </c:pt>
                <c:pt idx="120">
                  <c:v>120.14</c:v>
                </c:pt>
                <c:pt idx="121">
                  <c:v>120.14</c:v>
                </c:pt>
                <c:pt idx="122">
                  <c:v>120.2</c:v>
                </c:pt>
                <c:pt idx="123">
                  <c:v>120.64</c:v>
                </c:pt>
              </c:numCache>
            </c:numRef>
          </c:val>
          <c:extLst xmlns:c16r2="http://schemas.microsoft.com/office/drawing/2015/06/chart">
            <c:ext xmlns:c16="http://schemas.microsoft.com/office/drawing/2014/chart" uri="{C3380CC4-5D6E-409C-BE32-E72D297353CC}">
              <c16:uniqueId val="{00000000-C994-4B20-9D9A-60040B240E49}"/>
            </c:ext>
          </c:extLst>
        </c:ser>
        <c:dLbls>
          <c:showLegendKey val="0"/>
          <c:showVal val="0"/>
          <c:showCatName val="0"/>
          <c:showSerName val="0"/>
          <c:showPercent val="0"/>
          <c:showBubbleSize val="0"/>
        </c:dLbls>
        <c:axId val="140671232"/>
        <c:axId val="140693504"/>
      </c:areaChart>
      <c:dateAx>
        <c:axId val="140671232"/>
        <c:scaling>
          <c:orientation val="minMax"/>
        </c:scaling>
        <c:delete val="0"/>
        <c:axPos val="b"/>
        <c:numFmt formatCode="dd/mm" sourceLinked="0"/>
        <c:majorTickMark val="out"/>
        <c:minorTickMark val="none"/>
        <c:tickLblPos val="nextTo"/>
        <c:txPr>
          <a:bodyPr/>
          <a:lstStyle/>
          <a:p>
            <a:pPr>
              <a:defRPr lang="en-US"/>
            </a:pPr>
            <a:endParaRPr lang="bg-BG"/>
          </a:p>
        </c:txPr>
        <c:crossAx val="140693504"/>
        <c:crosses val="autoZero"/>
        <c:auto val="0"/>
        <c:lblOffset val="100"/>
        <c:baseTimeUnit val="days"/>
        <c:majorUnit val="7"/>
        <c:majorTimeUnit val="days"/>
      </c:dateAx>
      <c:valAx>
        <c:axId val="140693504"/>
        <c:scaling>
          <c:orientation val="minMax"/>
        </c:scaling>
        <c:delete val="0"/>
        <c:axPos val="l"/>
        <c:majorGridlines/>
        <c:numFmt formatCode="#,##0" sourceLinked="0"/>
        <c:majorTickMark val="out"/>
        <c:minorTickMark val="none"/>
        <c:tickLblPos val="nextTo"/>
        <c:txPr>
          <a:bodyPr/>
          <a:lstStyle/>
          <a:p>
            <a:pPr>
              <a:defRPr lang="en-US"/>
            </a:pPr>
            <a:endParaRPr lang="bg-BG"/>
          </a:p>
        </c:txPr>
        <c:crossAx val="140671232"/>
        <c:crosses val="autoZero"/>
        <c:crossBetween val="midCat"/>
      </c:valAx>
    </c:plotArea>
    <c:plotVisOnly val="1"/>
    <c:dispBlanksAs val="zero"/>
    <c:showDLblsOverMax val="0"/>
  </c:chart>
  <c:spPr>
    <a:ln>
      <a:noFill/>
    </a:ln>
  </c:spPr>
  <c:txPr>
    <a:bodyPr/>
    <a:lstStyle/>
    <a:p>
      <a:pPr>
        <a:defRPr sz="600">
          <a:latin typeface="News Gothic Cyr" panose="020B0503020103020203" pitchFamily="34" charset="-52"/>
        </a:defRPr>
      </a:pPr>
      <a:endParaRPr lang="bg-BG"/>
    </a:p>
  </c:txPr>
  <c:externalData r:id="rId1">
    <c:autoUpdate val="0"/>
  </c:externalData>
  <c:userShapes r:id="rId2"/>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5.3865651006072698E-2"/>
          <c:y val="5.8418015584716494E-2"/>
          <c:w val="0.88803486097504458"/>
          <c:h val="0.81736300561950681"/>
        </c:manualLayout>
      </c:layout>
      <c:barChart>
        <c:barDir val="col"/>
        <c:grouping val="clustered"/>
        <c:varyColors val="0"/>
        <c:ser>
          <c:idx val="0"/>
          <c:order val="0"/>
          <c:tx>
            <c:strRef>
              <c:f>'7 BSO DoD'!$A$2</c:f>
              <c:strCache>
                <c:ptCount val="1"/>
                <c:pt idx="0">
                  <c:v>Обем (лотове)</c:v>
                </c:pt>
              </c:strCache>
            </c:strRef>
          </c:tx>
          <c:invertIfNegative val="0"/>
          <c:cat>
            <c:numRef>
              <c:f>'7 BSO DoD'!$C$9:$C$375</c:f>
              <c:numCache>
                <c:formatCode>d/m/yyyy</c:formatCode>
                <c:ptCount val="367"/>
                <c:pt idx="0">
                  <c:v>43374</c:v>
                </c:pt>
                <c:pt idx="1">
                  <c:v>43375</c:v>
                </c:pt>
                <c:pt idx="2">
                  <c:v>43376</c:v>
                </c:pt>
                <c:pt idx="3">
                  <c:v>43377</c:v>
                </c:pt>
                <c:pt idx="4">
                  <c:v>43378</c:v>
                </c:pt>
                <c:pt idx="5">
                  <c:v>43379</c:v>
                </c:pt>
                <c:pt idx="6">
                  <c:v>43380</c:v>
                </c:pt>
                <c:pt idx="7">
                  <c:v>43381</c:v>
                </c:pt>
                <c:pt idx="8">
                  <c:v>43382</c:v>
                </c:pt>
                <c:pt idx="9">
                  <c:v>43383</c:v>
                </c:pt>
                <c:pt idx="10">
                  <c:v>43384</c:v>
                </c:pt>
                <c:pt idx="11">
                  <c:v>43385</c:v>
                </c:pt>
                <c:pt idx="12">
                  <c:v>43386</c:v>
                </c:pt>
                <c:pt idx="13">
                  <c:v>43387</c:v>
                </c:pt>
                <c:pt idx="14">
                  <c:v>43388</c:v>
                </c:pt>
                <c:pt idx="15">
                  <c:v>43389</c:v>
                </c:pt>
                <c:pt idx="16">
                  <c:v>43390</c:v>
                </c:pt>
                <c:pt idx="17">
                  <c:v>43391</c:v>
                </c:pt>
                <c:pt idx="18">
                  <c:v>43392</c:v>
                </c:pt>
                <c:pt idx="19">
                  <c:v>43393</c:v>
                </c:pt>
                <c:pt idx="20">
                  <c:v>43394</c:v>
                </c:pt>
                <c:pt idx="21">
                  <c:v>43395</c:v>
                </c:pt>
                <c:pt idx="22">
                  <c:v>43396</c:v>
                </c:pt>
                <c:pt idx="23">
                  <c:v>43397</c:v>
                </c:pt>
                <c:pt idx="24">
                  <c:v>43398</c:v>
                </c:pt>
                <c:pt idx="25">
                  <c:v>43399</c:v>
                </c:pt>
                <c:pt idx="26">
                  <c:v>43400</c:v>
                </c:pt>
                <c:pt idx="27">
                  <c:v>43401</c:v>
                </c:pt>
                <c:pt idx="28">
                  <c:v>43402</c:v>
                </c:pt>
                <c:pt idx="29">
                  <c:v>43403</c:v>
                </c:pt>
                <c:pt idx="30">
                  <c:v>43404</c:v>
                </c:pt>
                <c:pt idx="31">
                  <c:v>43405</c:v>
                </c:pt>
                <c:pt idx="32">
                  <c:v>43406</c:v>
                </c:pt>
                <c:pt idx="33">
                  <c:v>43407</c:v>
                </c:pt>
                <c:pt idx="34">
                  <c:v>43408</c:v>
                </c:pt>
                <c:pt idx="35">
                  <c:v>43409</c:v>
                </c:pt>
                <c:pt idx="36">
                  <c:v>43410</c:v>
                </c:pt>
                <c:pt idx="37">
                  <c:v>43411</c:v>
                </c:pt>
                <c:pt idx="38">
                  <c:v>43412</c:v>
                </c:pt>
                <c:pt idx="39">
                  <c:v>43413</c:v>
                </c:pt>
                <c:pt idx="40">
                  <c:v>43414</c:v>
                </c:pt>
                <c:pt idx="41">
                  <c:v>43415</c:v>
                </c:pt>
                <c:pt idx="42">
                  <c:v>43416</c:v>
                </c:pt>
                <c:pt idx="43">
                  <c:v>43417</c:v>
                </c:pt>
                <c:pt idx="44">
                  <c:v>43418</c:v>
                </c:pt>
                <c:pt idx="45">
                  <c:v>43419</c:v>
                </c:pt>
                <c:pt idx="46">
                  <c:v>43420</c:v>
                </c:pt>
                <c:pt idx="47">
                  <c:v>43421</c:v>
                </c:pt>
                <c:pt idx="48">
                  <c:v>43422</c:v>
                </c:pt>
                <c:pt idx="49">
                  <c:v>43423</c:v>
                </c:pt>
                <c:pt idx="50">
                  <c:v>43424</c:v>
                </c:pt>
                <c:pt idx="51">
                  <c:v>43425</c:v>
                </c:pt>
                <c:pt idx="52">
                  <c:v>43426</c:v>
                </c:pt>
                <c:pt idx="53">
                  <c:v>43427</c:v>
                </c:pt>
                <c:pt idx="54">
                  <c:v>43428</c:v>
                </c:pt>
                <c:pt idx="55">
                  <c:v>43429</c:v>
                </c:pt>
                <c:pt idx="56">
                  <c:v>43430</c:v>
                </c:pt>
                <c:pt idx="57">
                  <c:v>43431</c:v>
                </c:pt>
                <c:pt idx="58">
                  <c:v>43432</c:v>
                </c:pt>
                <c:pt idx="59">
                  <c:v>43433</c:v>
                </c:pt>
                <c:pt idx="60">
                  <c:v>43434</c:v>
                </c:pt>
                <c:pt idx="61">
                  <c:v>43435</c:v>
                </c:pt>
                <c:pt idx="62">
                  <c:v>43436</c:v>
                </c:pt>
                <c:pt idx="63">
                  <c:v>43437</c:v>
                </c:pt>
                <c:pt idx="64">
                  <c:v>43438</c:v>
                </c:pt>
                <c:pt idx="65">
                  <c:v>43439</c:v>
                </c:pt>
                <c:pt idx="66">
                  <c:v>43440</c:v>
                </c:pt>
                <c:pt idx="67">
                  <c:v>43441</c:v>
                </c:pt>
                <c:pt idx="68">
                  <c:v>43442</c:v>
                </c:pt>
                <c:pt idx="69">
                  <c:v>43443</c:v>
                </c:pt>
                <c:pt idx="70">
                  <c:v>43444</c:v>
                </c:pt>
                <c:pt idx="71">
                  <c:v>43445</c:v>
                </c:pt>
                <c:pt idx="72">
                  <c:v>43446</c:v>
                </c:pt>
                <c:pt idx="73">
                  <c:v>43447</c:v>
                </c:pt>
                <c:pt idx="74">
                  <c:v>43448</c:v>
                </c:pt>
                <c:pt idx="75">
                  <c:v>43449</c:v>
                </c:pt>
                <c:pt idx="76">
                  <c:v>43450</c:v>
                </c:pt>
                <c:pt idx="77">
                  <c:v>43451</c:v>
                </c:pt>
                <c:pt idx="78">
                  <c:v>43452</c:v>
                </c:pt>
                <c:pt idx="79">
                  <c:v>43453</c:v>
                </c:pt>
                <c:pt idx="80">
                  <c:v>43454</c:v>
                </c:pt>
                <c:pt idx="81">
                  <c:v>43455</c:v>
                </c:pt>
                <c:pt idx="82">
                  <c:v>43456</c:v>
                </c:pt>
                <c:pt idx="83">
                  <c:v>43457</c:v>
                </c:pt>
                <c:pt idx="84">
                  <c:v>43458</c:v>
                </c:pt>
                <c:pt idx="85">
                  <c:v>43459</c:v>
                </c:pt>
                <c:pt idx="86">
                  <c:v>43460</c:v>
                </c:pt>
                <c:pt idx="87">
                  <c:v>43461</c:v>
                </c:pt>
                <c:pt idx="88">
                  <c:v>43462</c:v>
                </c:pt>
                <c:pt idx="89">
                  <c:v>43463</c:v>
                </c:pt>
                <c:pt idx="90">
                  <c:v>43464</c:v>
                </c:pt>
                <c:pt idx="91">
                  <c:v>43465</c:v>
                </c:pt>
                <c:pt idx="92">
                  <c:v>43466</c:v>
                </c:pt>
                <c:pt idx="93">
                  <c:v>43467</c:v>
                </c:pt>
                <c:pt idx="94">
                  <c:v>43468</c:v>
                </c:pt>
                <c:pt idx="95">
                  <c:v>43469</c:v>
                </c:pt>
                <c:pt idx="96">
                  <c:v>43470</c:v>
                </c:pt>
                <c:pt idx="97">
                  <c:v>43471</c:v>
                </c:pt>
                <c:pt idx="98">
                  <c:v>43472</c:v>
                </c:pt>
                <c:pt idx="99">
                  <c:v>43473</c:v>
                </c:pt>
                <c:pt idx="100">
                  <c:v>43474</c:v>
                </c:pt>
                <c:pt idx="101">
                  <c:v>43475</c:v>
                </c:pt>
                <c:pt idx="102">
                  <c:v>43476</c:v>
                </c:pt>
                <c:pt idx="103">
                  <c:v>43477</c:v>
                </c:pt>
                <c:pt idx="104">
                  <c:v>43478</c:v>
                </c:pt>
                <c:pt idx="105">
                  <c:v>43479</c:v>
                </c:pt>
                <c:pt idx="106">
                  <c:v>43480</c:v>
                </c:pt>
                <c:pt idx="107">
                  <c:v>43481</c:v>
                </c:pt>
                <c:pt idx="108">
                  <c:v>43482</c:v>
                </c:pt>
                <c:pt idx="109">
                  <c:v>43483</c:v>
                </c:pt>
                <c:pt idx="110">
                  <c:v>43484</c:v>
                </c:pt>
                <c:pt idx="111">
                  <c:v>43485</c:v>
                </c:pt>
                <c:pt idx="112">
                  <c:v>43486</c:v>
                </c:pt>
                <c:pt idx="113">
                  <c:v>43487</c:v>
                </c:pt>
                <c:pt idx="114">
                  <c:v>43488</c:v>
                </c:pt>
                <c:pt idx="115">
                  <c:v>43489</c:v>
                </c:pt>
                <c:pt idx="116">
                  <c:v>43490</c:v>
                </c:pt>
                <c:pt idx="117">
                  <c:v>43491</c:v>
                </c:pt>
                <c:pt idx="118">
                  <c:v>43492</c:v>
                </c:pt>
                <c:pt idx="119">
                  <c:v>43493</c:v>
                </c:pt>
                <c:pt idx="120">
                  <c:v>43494</c:v>
                </c:pt>
                <c:pt idx="121">
                  <c:v>43495</c:v>
                </c:pt>
                <c:pt idx="122">
                  <c:v>43496</c:v>
                </c:pt>
                <c:pt idx="123">
                  <c:v>43497</c:v>
                </c:pt>
                <c:pt idx="124">
                  <c:v>43498</c:v>
                </c:pt>
                <c:pt idx="125">
                  <c:v>43499</c:v>
                </c:pt>
                <c:pt idx="126">
                  <c:v>43500</c:v>
                </c:pt>
                <c:pt idx="127">
                  <c:v>43501</c:v>
                </c:pt>
                <c:pt idx="128">
                  <c:v>43502</c:v>
                </c:pt>
                <c:pt idx="129">
                  <c:v>43503</c:v>
                </c:pt>
                <c:pt idx="130">
                  <c:v>43504</c:v>
                </c:pt>
                <c:pt idx="131">
                  <c:v>43505</c:v>
                </c:pt>
                <c:pt idx="132">
                  <c:v>43506</c:v>
                </c:pt>
                <c:pt idx="133">
                  <c:v>43507</c:v>
                </c:pt>
                <c:pt idx="134">
                  <c:v>43508</c:v>
                </c:pt>
                <c:pt idx="135">
                  <c:v>43509</c:v>
                </c:pt>
                <c:pt idx="136">
                  <c:v>43510</c:v>
                </c:pt>
                <c:pt idx="137">
                  <c:v>43511</c:v>
                </c:pt>
                <c:pt idx="138">
                  <c:v>43512</c:v>
                </c:pt>
                <c:pt idx="139">
                  <c:v>43513</c:v>
                </c:pt>
                <c:pt idx="140">
                  <c:v>43514</c:v>
                </c:pt>
                <c:pt idx="141">
                  <c:v>43515</c:v>
                </c:pt>
                <c:pt idx="142">
                  <c:v>43516</c:v>
                </c:pt>
                <c:pt idx="143">
                  <c:v>43517</c:v>
                </c:pt>
                <c:pt idx="144">
                  <c:v>43518</c:v>
                </c:pt>
                <c:pt idx="145">
                  <c:v>43519</c:v>
                </c:pt>
                <c:pt idx="146">
                  <c:v>43520</c:v>
                </c:pt>
                <c:pt idx="147">
                  <c:v>43521</c:v>
                </c:pt>
                <c:pt idx="148">
                  <c:v>43522</c:v>
                </c:pt>
                <c:pt idx="149">
                  <c:v>43523</c:v>
                </c:pt>
                <c:pt idx="150">
                  <c:v>43524</c:v>
                </c:pt>
                <c:pt idx="151">
                  <c:v>43525</c:v>
                </c:pt>
                <c:pt idx="152">
                  <c:v>43526</c:v>
                </c:pt>
                <c:pt idx="153">
                  <c:v>43527</c:v>
                </c:pt>
                <c:pt idx="154">
                  <c:v>43528</c:v>
                </c:pt>
                <c:pt idx="155">
                  <c:v>43529</c:v>
                </c:pt>
                <c:pt idx="156">
                  <c:v>43530</c:v>
                </c:pt>
                <c:pt idx="157">
                  <c:v>43531</c:v>
                </c:pt>
                <c:pt idx="158">
                  <c:v>43532</c:v>
                </c:pt>
                <c:pt idx="159">
                  <c:v>43533</c:v>
                </c:pt>
                <c:pt idx="160">
                  <c:v>43534</c:v>
                </c:pt>
                <c:pt idx="161">
                  <c:v>43535</c:v>
                </c:pt>
                <c:pt idx="162">
                  <c:v>43536</c:v>
                </c:pt>
                <c:pt idx="163">
                  <c:v>43537</c:v>
                </c:pt>
                <c:pt idx="164">
                  <c:v>43538</c:v>
                </c:pt>
                <c:pt idx="165">
                  <c:v>43539</c:v>
                </c:pt>
                <c:pt idx="166">
                  <c:v>43540</c:v>
                </c:pt>
                <c:pt idx="167">
                  <c:v>43541</c:v>
                </c:pt>
                <c:pt idx="168">
                  <c:v>43542</c:v>
                </c:pt>
                <c:pt idx="169">
                  <c:v>43543</c:v>
                </c:pt>
                <c:pt idx="170">
                  <c:v>43544</c:v>
                </c:pt>
                <c:pt idx="171">
                  <c:v>43545</c:v>
                </c:pt>
                <c:pt idx="172">
                  <c:v>43546</c:v>
                </c:pt>
                <c:pt idx="173">
                  <c:v>43547</c:v>
                </c:pt>
                <c:pt idx="174">
                  <c:v>43548</c:v>
                </c:pt>
                <c:pt idx="175">
                  <c:v>43549</c:v>
                </c:pt>
                <c:pt idx="176">
                  <c:v>43550</c:v>
                </c:pt>
                <c:pt idx="177">
                  <c:v>43551</c:v>
                </c:pt>
                <c:pt idx="178">
                  <c:v>43552</c:v>
                </c:pt>
                <c:pt idx="179">
                  <c:v>43553</c:v>
                </c:pt>
                <c:pt idx="180">
                  <c:v>43554</c:v>
                </c:pt>
                <c:pt idx="181">
                  <c:v>43555</c:v>
                </c:pt>
              </c:numCache>
            </c:numRef>
          </c:cat>
          <c:val>
            <c:numRef>
              <c:f>'7 BSO DoD'!$E$9:$E$375</c:f>
              <c:numCache>
                <c:formatCode>#,##0</c:formatCode>
                <c:ptCount val="367"/>
                <c:pt idx="0">
                  <c:v>100</c:v>
                </c:pt>
                <c:pt idx="1">
                  <c:v>1405</c:v>
                </c:pt>
                <c:pt idx="2">
                  <c:v>727</c:v>
                </c:pt>
                <c:pt idx="3">
                  <c:v>10182</c:v>
                </c:pt>
                <c:pt idx="4">
                  <c:v>5</c:v>
                </c:pt>
                <c:pt idx="5">
                  <c:v>0</c:v>
                </c:pt>
                <c:pt idx="6">
                  <c:v>0</c:v>
                </c:pt>
                <c:pt idx="7">
                  <c:v>195</c:v>
                </c:pt>
                <c:pt idx="8">
                  <c:v>0</c:v>
                </c:pt>
                <c:pt idx="9">
                  <c:v>0</c:v>
                </c:pt>
                <c:pt idx="10">
                  <c:v>2853</c:v>
                </c:pt>
                <c:pt idx="11">
                  <c:v>0</c:v>
                </c:pt>
                <c:pt idx="12">
                  <c:v>0</c:v>
                </c:pt>
                <c:pt idx="13">
                  <c:v>0</c:v>
                </c:pt>
                <c:pt idx="14">
                  <c:v>400</c:v>
                </c:pt>
                <c:pt idx="15">
                  <c:v>3126</c:v>
                </c:pt>
                <c:pt idx="16">
                  <c:v>0</c:v>
                </c:pt>
                <c:pt idx="17">
                  <c:v>285</c:v>
                </c:pt>
                <c:pt idx="18">
                  <c:v>60</c:v>
                </c:pt>
                <c:pt idx="19">
                  <c:v>0</c:v>
                </c:pt>
                <c:pt idx="20">
                  <c:v>0</c:v>
                </c:pt>
                <c:pt idx="21">
                  <c:v>0</c:v>
                </c:pt>
                <c:pt idx="22">
                  <c:v>205</c:v>
                </c:pt>
                <c:pt idx="23">
                  <c:v>60</c:v>
                </c:pt>
                <c:pt idx="24">
                  <c:v>2870</c:v>
                </c:pt>
                <c:pt idx="25">
                  <c:v>1775</c:v>
                </c:pt>
                <c:pt idx="26">
                  <c:v>0</c:v>
                </c:pt>
                <c:pt idx="27">
                  <c:v>0</c:v>
                </c:pt>
                <c:pt idx="28">
                  <c:v>3053</c:v>
                </c:pt>
                <c:pt idx="29">
                  <c:v>1967</c:v>
                </c:pt>
                <c:pt idx="30">
                  <c:v>296</c:v>
                </c:pt>
                <c:pt idx="31">
                  <c:v>200</c:v>
                </c:pt>
                <c:pt idx="32">
                  <c:v>15</c:v>
                </c:pt>
                <c:pt idx="33">
                  <c:v>0</c:v>
                </c:pt>
                <c:pt idx="34">
                  <c:v>0</c:v>
                </c:pt>
                <c:pt idx="35">
                  <c:v>0</c:v>
                </c:pt>
                <c:pt idx="36">
                  <c:v>0</c:v>
                </c:pt>
                <c:pt idx="37">
                  <c:v>2</c:v>
                </c:pt>
                <c:pt idx="38">
                  <c:v>2</c:v>
                </c:pt>
                <c:pt idx="39">
                  <c:v>1098</c:v>
                </c:pt>
                <c:pt idx="40">
                  <c:v>0</c:v>
                </c:pt>
                <c:pt idx="41">
                  <c:v>0</c:v>
                </c:pt>
                <c:pt idx="42">
                  <c:v>1755</c:v>
                </c:pt>
                <c:pt idx="43">
                  <c:v>235</c:v>
                </c:pt>
                <c:pt idx="44">
                  <c:v>50</c:v>
                </c:pt>
                <c:pt idx="45">
                  <c:v>450</c:v>
                </c:pt>
                <c:pt idx="46">
                  <c:v>1250</c:v>
                </c:pt>
                <c:pt idx="47">
                  <c:v>0</c:v>
                </c:pt>
                <c:pt idx="48">
                  <c:v>0</c:v>
                </c:pt>
                <c:pt idx="49">
                  <c:v>356</c:v>
                </c:pt>
                <c:pt idx="50">
                  <c:v>976</c:v>
                </c:pt>
                <c:pt idx="51">
                  <c:v>17050</c:v>
                </c:pt>
                <c:pt idx="52">
                  <c:v>12459</c:v>
                </c:pt>
                <c:pt idx="53">
                  <c:v>0</c:v>
                </c:pt>
                <c:pt idx="54">
                  <c:v>0</c:v>
                </c:pt>
                <c:pt idx="55">
                  <c:v>0</c:v>
                </c:pt>
                <c:pt idx="56">
                  <c:v>3613</c:v>
                </c:pt>
                <c:pt idx="57">
                  <c:v>15449</c:v>
                </c:pt>
                <c:pt idx="58">
                  <c:v>7857</c:v>
                </c:pt>
                <c:pt idx="59">
                  <c:v>1249</c:v>
                </c:pt>
                <c:pt idx="60">
                  <c:v>2975</c:v>
                </c:pt>
                <c:pt idx="61">
                  <c:v>0</c:v>
                </c:pt>
                <c:pt idx="62">
                  <c:v>0</c:v>
                </c:pt>
                <c:pt idx="63">
                  <c:v>541</c:v>
                </c:pt>
                <c:pt idx="64">
                  <c:v>11840</c:v>
                </c:pt>
                <c:pt idx="65">
                  <c:v>52239</c:v>
                </c:pt>
                <c:pt idx="66">
                  <c:v>100</c:v>
                </c:pt>
                <c:pt idx="67">
                  <c:v>17</c:v>
                </c:pt>
                <c:pt idx="68">
                  <c:v>0</c:v>
                </c:pt>
                <c:pt idx="69">
                  <c:v>0</c:v>
                </c:pt>
                <c:pt idx="70">
                  <c:v>5100</c:v>
                </c:pt>
                <c:pt idx="71">
                  <c:v>7900</c:v>
                </c:pt>
                <c:pt idx="72">
                  <c:v>0</c:v>
                </c:pt>
                <c:pt idx="73">
                  <c:v>0</c:v>
                </c:pt>
                <c:pt idx="74">
                  <c:v>45</c:v>
                </c:pt>
                <c:pt idx="75">
                  <c:v>0</c:v>
                </c:pt>
                <c:pt idx="76">
                  <c:v>0</c:v>
                </c:pt>
                <c:pt idx="77">
                  <c:v>0</c:v>
                </c:pt>
                <c:pt idx="78">
                  <c:v>86</c:v>
                </c:pt>
                <c:pt idx="79">
                  <c:v>0</c:v>
                </c:pt>
                <c:pt idx="80">
                  <c:v>0</c:v>
                </c:pt>
                <c:pt idx="81">
                  <c:v>100</c:v>
                </c:pt>
                <c:pt idx="82">
                  <c:v>0</c:v>
                </c:pt>
                <c:pt idx="83">
                  <c:v>0</c:v>
                </c:pt>
                <c:pt idx="84">
                  <c:v>0</c:v>
                </c:pt>
                <c:pt idx="85">
                  <c:v>0</c:v>
                </c:pt>
                <c:pt idx="86">
                  <c:v>0</c:v>
                </c:pt>
                <c:pt idx="87">
                  <c:v>0</c:v>
                </c:pt>
                <c:pt idx="88">
                  <c:v>200</c:v>
                </c:pt>
                <c:pt idx="89">
                  <c:v>0</c:v>
                </c:pt>
                <c:pt idx="90">
                  <c:v>0</c:v>
                </c:pt>
                <c:pt idx="91">
                  <c:v>0</c:v>
                </c:pt>
                <c:pt idx="92">
                  <c:v>0</c:v>
                </c:pt>
                <c:pt idx="93">
                  <c:v>200</c:v>
                </c:pt>
                <c:pt idx="94">
                  <c:v>150</c:v>
                </c:pt>
                <c:pt idx="95">
                  <c:v>438</c:v>
                </c:pt>
                <c:pt idx="96">
                  <c:v>0</c:v>
                </c:pt>
                <c:pt idx="97">
                  <c:v>0</c:v>
                </c:pt>
                <c:pt idx="98">
                  <c:v>190</c:v>
                </c:pt>
                <c:pt idx="99">
                  <c:v>29</c:v>
                </c:pt>
                <c:pt idx="100">
                  <c:v>0</c:v>
                </c:pt>
                <c:pt idx="101">
                  <c:v>1673</c:v>
                </c:pt>
                <c:pt idx="102">
                  <c:v>0</c:v>
                </c:pt>
                <c:pt idx="103">
                  <c:v>0</c:v>
                </c:pt>
                <c:pt idx="104">
                  <c:v>0</c:v>
                </c:pt>
                <c:pt idx="105">
                  <c:v>2012</c:v>
                </c:pt>
                <c:pt idx="106">
                  <c:v>8444</c:v>
                </c:pt>
                <c:pt idx="107">
                  <c:v>300</c:v>
                </c:pt>
                <c:pt idx="108">
                  <c:v>9356</c:v>
                </c:pt>
                <c:pt idx="109">
                  <c:v>20</c:v>
                </c:pt>
                <c:pt idx="110">
                  <c:v>0</c:v>
                </c:pt>
                <c:pt idx="111">
                  <c:v>0</c:v>
                </c:pt>
                <c:pt idx="112">
                  <c:v>0</c:v>
                </c:pt>
                <c:pt idx="113">
                  <c:v>800</c:v>
                </c:pt>
                <c:pt idx="114">
                  <c:v>5722</c:v>
                </c:pt>
                <c:pt idx="115">
                  <c:v>280</c:v>
                </c:pt>
                <c:pt idx="116">
                  <c:v>104</c:v>
                </c:pt>
                <c:pt idx="117">
                  <c:v>0</c:v>
                </c:pt>
                <c:pt idx="118">
                  <c:v>0</c:v>
                </c:pt>
                <c:pt idx="119">
                  <c:v>142</c:v>
                </c:pt>
                <c:pt idx="120">
                  <c:v>200</c:v>
                </c:pt>
                <c:pt idx="121">
                  <c:v>0</c:v>
                </c:pt>
                <c:pt idx="122">
                  <c:v>314</c:v>
                </c:pt>
                <c:pt idx="123">
                  <c:v>10939</c:v>
                </c:pt>
                <c:pt idx="124">
                  <c:v>0</c:v>
                </c:pt>
                <c:pt idx="125">
                  <c:v>0</c:v>
                </c:pt>
                <c:pt idx="126">
                  <c:v>6914</c:v>
                </c:pt>
                <c:pt idx="127">
                  <c:v>0</c:v>
                </c:pt>
                <c:pt idx="128">
                  <c:v>700</c:v>
                </c:pt>
                <c:pt idx="129">
                  <c:v>0</c:v>
                </c:pt>
                <c:pt idx="130">
                  <c:v>150</c:v>
                </c:pt>
                <c:pt idx="131">
                  <c:v>0</c:v>
                </c:pt>
                <c:pt idx="132">
                  <c:v>0</c:v>
                </c:pt>
                <c:pt idx="133">
                  <c:v>0</c:v>
                </c:pt>
                <c:pt idx="134">
                  <c:v>0</c:v>
                </c:pt>
                <c:pt idx="135">
                  <c:v>0</c:v>
                </c:pt>
                <c:pt idx="136">
                  <c:v>0</c:v>
                </c:pt>
                <c:pt idx="137">
                  <c:v>750</c:v>
                </c:pt>
                <c:pt idx="138">
                  <c:v>0</c:v>
                </c:pt>
                <c:pt idx="139">
                  <c:v>0</c:v>
                </c:pt>
                <c:pt idx="140">
                  <c:v>0</c:v>
                </c:pt>
                <c:pt idx="141">
                  <c:v>0</c:v>
                </c:pt>
                <c:pt idx="142">
                  <c:v>0</c:v>
                </c:pt>
                <c:pt idx="143">
                  <c:v>0</c:v>
                </c:pt>
                <c:pt idx="144">
                  <c:v>0</c:v>
                </c:pt>
                <c:pt idx="145">
                  <c:v>0</c:v>
                </c:pt>
                <c:pt idx="146">
                  <c:v>0</c:v>
                </c:pt>
                <c:pt idx="147">
                  <c:v>1335</c:v>
                </c:pt>
                <c:pt idx="148">
                  <c:v>680</c:v>
                </c:pt>
                <c:pt idx="149">
                  <c:v>0</c:v>
                </c:pt>
                <c:pt idx="150">
                  <c:v>700</c:v>
                </c:pt>
                <c:pt idx="151">
                  <c:v>0</c:v>
                </c:pt>
                <c:pt idx="152">
                  <c:v>0</c:v>
                </c:pt>
                <c:pt idx="153">
                  <c:v>0</c:v>
                </c:pt>
                <c:pt idx="154">
                  <c:v>0</c:v>
                </c:pt>
                <c:pt idx="155">
                  <c:v>0</c:v>
                </c:pt>
                <c:pt idx="156">
                  <c:v>0</c:v>
                </c:pt>
                <c:pt idx="157">
                  <c:v>100</c:v>
                </c:pt>
                <c:pt idx="158">
                  <c:v>100</c:v>
                </c:pt>
                <c:pt idx="159">
                  <c:v>0</c:v>
                </c:pt>
                <c:pt idx="160">
                  <c:v>0</c:v>
                </c:pt>
                <c:pt idx="161">
                  <c:v>500</c:v>
                </c:pt>
                <c:pt idx="162">
                  <c:v>300</c:v>
                </c:pt>
                <c:pt idx="163">
                  <c:v>1</c:v>
                </c:pt>
                <c:pt idx="164">
                  <c:v>0</c:v>
                </c:pt>
                <c:pt idx="165">
                  <c:v>0</c:v>
                </c:pt>
                <c:pt idx="166">
                  <c:v>0</c:v>
                </c:pt>
                <c:pt idx="167">
                  <c:v>0</c:v>
                </c:pt>
                <c:pt idx="168">
                  <c:v>90</c:v>
                </c:pt>
                <c:pt idx="169">
                  <c:v>500</c:v>
                </c:pt>
                <c:pt idx="170">
                  <c:v>0</c:v>
                </c:pt>
                <c:pt idx="171">
                  <c:v>0</c:v>
                </c:pt>
                <c:pt idx="172">
                  <c:v>0</c:v>
                </c:pt>
                <c:pt idx="173">
                  <c:v>0</c:v>
                </c:pt>
                <c:pt idx="174">
                  <c:v>0</c:v>
                </c:pt>
                <c:pt idx="175">
                  <c:v>12</c:v>
                </c:pt>
                <c:pt idx="176">
                  <c:v>99</c:v>
                </c:pt>
                <c:pt idx="177">
                  <c:v>100</c:v>
                </c:pt>
                <c:pt idx="178">
                  <c:v>0</c:v>
                </c:pt>
                <c:pt idx="179">
                  <c:v>300</c:v>
                </c:pt>
                <c:pt idx="180">
                  <c:v>0</c:v>
                </c:pt>
                <c:pt idx="181">
                  <c:v>0</c:v>
                </c:pt>
              </c:numCache>
            </c:numRef>
          </c:val>
          <c:extLst xmlns:c16r2="http://schemas.microsoft.com/office/drawing/2015/06/chart">
            <c:ext xmlns:c16="http://schemas.microsoft.com/office/drawing/2014/chart" uri="{C3380CC4-5D6E-409C-BE32-E72D297353CC}">
              <c16:uniqueId val="{00000000-18F0-4FF7-8B3B-AA57C4D40AD1}"/>
            </c:ext>
          </c:extLst>
        </c:ser>
        <c:dLbls>
          <c:showLegendKey val="0"/>
          <c:showVal val="0"/>
          <c:showCatName val="0"/>
          <c:showSerName val="0"/>
          <c:showPercent val="0"/>
          <c:showBubbleSize val="0"/>
        </c:dLbls>
        <c:gapWidth val="150"/>
        <c:axId val="147223296"/>
        <c:axId val="147217024"/>
      </c:barChart>
      <c:lineChart>
        <c:grouping val="standard"/>
        <c:varyColors val="0"/>
        <c:ser>
          <c:idx val="1"/>
          <c:order val="1"/>
          <c:tx>
            <c:strRef>
              <c:f>'7 BSO DoD'!$C$2</c:f>
              <c:strCache>
                <c:ptCount val="1"/>
                <c:pt idx="0">
                  <c:v>Цена</c:v>
                </c:pt>
              </c:strCache>
            </c:strRef>
          </c:tx>
          <c:spPr>
            <a:ln>
              <a:solidFill>
                <a:srgbClr val="C00000"/>
              </a:solidFill>
            </a:ln>
          </c:spPr>
          <c:marker>
            <c:symbol val="none"/>
          </c:marker>
          <c:cat>
            <c:numRef>
              <c:f>'7 BSO DoD'!$C$9:$C$375</c:f>
              <c:numCache>
                <c:formatCode>d/m/yyyy</c:formatCode>
                <c:ptCount val="367"/>
                <c:pt idx="0">
                  <c:v>43374</c:v>
                </c:pt>
                <c:pt idx="1">
                  <c:v>43375</c:v>
                </c:pt>
                <c:pt idx="2">
                  <c:v>43376</c:v>
                </c:pt>
                <c:pt idx="3">
                  <c:v>43377</c:v>
                </c:pt>
                <c:pt idx="4">
                  <c:v>43378</c:v>
                </c:pt>
                <c:pt idx="5">
                  <c:v>43379</c:v>
                </c:pt>
                <c:pt idx="6">
                  <c:v>43380</c:v>
                </c:pt>
                <c:pt idx="7">
                  <c:v>43381</c:v>
                </c:pt>
                <c:pt idx="8">
                  <c:v>43382</c:v>
                </c:pt>
                <c:pt idx="9">
                  <c:v>43383</c:v>
                </c:pt>
                <c:pt idx="10">
                  <c:v>43384</c:v>
                </c:pt>
                <c:pt idx="11">
                  <c:v>43385</c:v>
                </c:pt>
                <c:pt idx="12">
                  <c:v>43386</c:v>
                </c:pt>
                <c:pt idx="13">
                  <c:v>43387</c:v>
                </c:pt>
                <c:pt idx="14">
                  <c:v>43388</c:v>
                </c:pt>
                <c:pt idx="15">
                  <c:v>43389</c:v>
                </c:pt>
                <c:pt idx="16">
                  <c:v>43390</c:v>
                </c:pt>
                <c:pt idx="17">
                  <c:v>43391</c:v>
                </c:pt>
                <c:pt idx="18">
                  <c:v>43392</c:v>
                </c:pt>
                <c:pt idx="19">
                  <c:v>43393</c:v>
                </c:pt>
                <c:pt idx="20">
                  <c:v>43394</c:v>
                </c:pt>
                <c:pt idx="21">
                  <c:v>43395</c:v>
                </c:pt>
                <c:pt idx="22">
                  <c:v>43396</c:v>
                </c:pt>
                <c:pt idx="23">
                  <c:v>43397</c:v>
                </c:pt>
                <c:pt idx="24">
                  <c:v>43398</c:v>
                </c:pt>
                <c:pt idx="25">
                  <c:v>43399</c:v>
                </c:pt>
                <c:pt idx="26">
                  <c:v>43400</c:v>
                </c:pt>
                <c:pt idx="27">
                  <c:v>43401</c:v>
                </c:pt>
                <c:pt idx="28">
                  <c:v>43402</c:v>
                </c:pt>
                <c:pt idx="29">
                  <c:v>43403</c:v>
                </c:pt>
                <c:pt idx="30">
                  <c:v>43404</c:v>
                </c:pt>
                <c:pt idx="31">
                  <c:v>43405</c:v>
                </c:pt>
                <c:pt idx="32">
                  <c:v>43406</c:v>
                </c:pt>
                <c:pt idx="33">
                  <c:v>43407</c:v>
                </c:pt>
                <c:pt idx="34">
                  <c:v>43408</c:v>
                </c:pt>
                <c:pt idx="35">
                  <c:v>43409</c:v>
                </c:pt>
                <c:pt idx="36">
                  <c:v>43410</c:v>
                </c:pt>
                <c:pt idx="37">
                  <c:v>43411</c:v>
                </c:pt>
                <c:pt idx="38">
                  <c:v>43412</c:v>
                </c:pt>
                <c:pt idx="39">
                  <c:v>43413</c:v>
                </c:pt>
                <c:pt idx="40">
                  <c:v>43414</c:v>
                </c:pt>
                <c:pt idx="41">
                  <c:v>43415</c:v>
                </c:pt>
                <c:pt idx="42">
                  <c:v>43416</c:v>
                </c:pt>
                <c:pt idx="43">
                  <c:v>43417</c:v>
                </c:pt>
                <c:pt idx="44">
                  <c:v>43418</c:v>
                </c:pt>
                <c:pt idx="45">
                  <c:v>43419</c:v>
                </c:pt>
                <c:pt idx="46">
                  <c:v>43420</c:v>
                </c:pt>
                <c:pt idx="47">
                  <c:v>43421</c:v>
                </c:pt>
                <c:pt idx="48">
                  <c:v>43422</c:v>
                </c:pt>
                <c:pt idx="49">
                  <c:v>43423</c:v>
                </c:pt>
                <c:pt idx="50">
                  <c:v>43424</c:v>
                </c:pt>
                <c:pt idx="51">
                  <c:v>43425</c:v>
                </c:pt>
                <c:pt idx="52">
                  <c:v>43426</c:v>
                </c:pt>
                <c:pt idx="53">
                  <c:v>43427</c:v>
                </c:pt>
                <c:pt idx="54">
                  <c:v>43428</c:v>
                </c:pt>
                <c:pt idx="55">
                  <c:v>43429</c:v>
                </c:pt>
                <c:pt idx="56">
                  <c:v>43430</c:v>
                </c:pt>
                <c:pt idx="57">
                  <c:v>43431</c:v>
                </c:pt>
                <c:pt idx="58">
                  <c:v>43432</c:v>
                </c:pt>
                <c:pt idx="59">
                  <c:v>43433</c:v>
                </c:pt>
                <c:pt idx="60">
                  <c:v>43434</c:v>
                </c:pt>
                <c:pt idx="61">
                  <c:v>43435</c:v>
                </c:pt>
                <c:pt idx="62">
                  <c:v>43436</c:v>
                </c:pt>
                <c:pt idx="63">
                  <c:v>43437</c:v>
                </c:pt>
                <c:pt idx="64">
                  <c:v>43438</c:v>
                </c:pt>
                <c:pt idx="65">
                  <c:v>43439</c:v>
                </c:pt>
                <c:pt idx="66">
                  <c:v>43440</c:v>
                </c:pt>
                <c:pt idx="67">
                  <c:v>43441</c:v>
                </c:pt>
                <c:pt idx="68">
                  <c:v>43442</c:v>
                </c:pt>
                <c:pt idx="69">
                  <c:v>43443</c:v>
                </c:pt>
                <c:pt idx="70">
                  <c:v>43444</c:v>
                </c:pt>
                <c:pt idx="71">
                  <c:v>43445</c:v>
                </c:pt>
                <c:pt idx="72">
                  <c:v>43446</c:v>
                </c:pt>
                <c:pt idx="73">
                  <c:v>43447</c:v>
                </c:pt>
                <c:pt idx="74">
                  <c:v>43448</c:v>
                </c:pt>
                <c:pt idx="75">
                  <c:v>43449</c:v>
                </c:pt>
                <c:pt idx="76">
                  <c:v>43450</c:v>
                </c:pt>
                <c:pt idx="77">
                  <c:v>43451</c:v>
                </c:pt>
                <c:pt idx="78">
                  <c:v>43452</c:v>
                </c:pt>
                <c:pt idx="79">
                  <c:v>43453</c:v>
                </c:pt>
                <c:pt idx="80">
                  <c:v>43454</c:v>
                </c:pt>
                <c:pt idx="81">
                  <c:v>43455</c:v>
                </c:pt>
                <c:pt idx="82">
                  <c:v>43456</c:v>
                </c:pt>
                <c:pt idx="83">
                  <c:v>43457</c:v>
                </c:pt>
                <c:pt idx="84">
                  <c:v>43458</c:v>
                </c:pt>
                <c:pt idx="85">
                  <c:v>43459</c:v>
                </c:pt>
                <c:pt idx="86">
                  <c:v>43460</c:v>
                </c:pt>
                <c:pt idx="87">
                  <c:v>43461</c:v>
                </c:pt>
                <c:pt idx="88">
                  <c:v>43462</c:v>
                </c:pt>
                <c:pt idx="89">
                  <c:v>43463</c:v>
                </c:pt>
                <c:pt idx="90">
                  <c:v>43464</c:v>
                </c:pt>
                <c:pt idx="91">
                  <c:v>43465</c:v>
                </c:pt>
                <c:pt idx="92">
                  <c:v>43466</c:v>
                </c:pt>
                <c:pt idx="93">
                  <c:v>43467</c:v>
                </c:pt>
                <c:pt idx="94">
                  <c:v>43468</c:v>
                </c:pt>
                <c:pt idx="95">
                  <c:v>43469</c:v>
                </c:pt>
                <c:pt idx="96">
                  <c:v>43470</c:v>
                </c:pt>
                <c:pt idx="97">
                  <c:v>43471</c:v>
                </c:pt>
                <c:pt idx="98">
                  <c:v>43472</c:v>
                </c:pt>
                <c:pt idx="99">
                  <c:v>43473</c:v>
                </c:pt>
                <c:pt idx="100">
                  <c:v>43474</c:v>
                </c:pt>
                <c:pt idx="101">
                  <c:v>43475</c:v>
                </c:pt>
                <c:pt idx="102">
                  <c:v>43476</c:v>
                </c:pt>
                <c:pt idx="103">
                  <c:v>43477</c:v>
                </c:pt>
                <c:pt idx="104">
                  <c:v>43478</c:v>
                </c:pt>
                <c:pt idx="105">
                  <c:v>43479</c:v>
                </c:pt>
                <c:pt idx="106">
                  <c:v>43480</c:v>
                </c:pt>
                <c:pt idx="107">
                  <c:v>43481</c:v>
                </c:pt>
                <c:pt idx="108">
                  <c:v>43482</c:v>
                </c:pt>
                <c:pt idx="109">
                  <c:v>43483</c:v>
                </c:pt>
                <c:pt idx="110">
                  <c:v>43484</c:v>
                </c:pt>
                <c:pt idx="111">
                  <c:v>43485</c:v>
                </c:pt>
                <c:pt idx="112">
                  <c:v>43486</c:v>
                </c:pt>
                <c:pt idx="113">
                  <c:v>43487</c:v>
                </c:pt>
                <c:pt idx="114">
                  <c:v>43488</c:v>
                </c:pt>
                <c:pt idx="115">
                  <c:v>43489</c:v>
                </c:pt>
                <c:pt idx="116">
                  <c:v>43490</c:v>
                </c:pt>
                <c:pt idx="117">
                  <c:v>43491</c:v>
                </c:pt>
                <c:pt idx="118">
                  <c:v>43492</c:v>
                </c:pt>
                <c:pt idx="119">
                  <c:v>43493</c:v>
                </c:pt>
                <c:pt idx="120">
                  <c:v>43494</c:v>
                </c:pt>
                <c:pt idx="121">
                  <c:v>43495</c:v>
                </c:pt>
                <c:pt idx="122">
                  <c:v>43496</c:v>
                </c:pt>
                <c:pt idx="123">
                  <c:v>43497</c:v>
                </c:pt>
                <c:pt idx="124">
                  <c:v>43498</c:v>
                </c:pt>
                <c:pt idx="125">
                  <c:v>43499</c:v>
                </c:pt>
                <c:pt idx="126">
                  <c:v>43500</c:v>
                </c:pt>
                <c:pt idx="127">
                  <c:v>43501</c:v>
                </c:pt>
                <c:pt idx="128">
                  <c:v>43502</c:v>
                </c:pt>
                <c:pt idx="129">
                  <c:v>43503</c:v>
                </c:pt>
                <c:pt idx="130">
                  <c:v>43504</c:v>
                </c:pt>
                <c:pt idx="131">
                  <c:v>43505</c:v>
                </c:pt>
                <c:pt idx="132">
                  <c:v>43506</c:v>
                </c:pt>
                <c:pt idx="133">
                  <c:v>43507</c:v>
                </c:pt>
                <c:pt idx="134">
                  <c:v>43508</c:v>
                </c:pt>
                <c:pt idx="135">
                  <c:v>43509</c:v>
                </c:pt>
                <c:pt idx="136">
                  <c:v>43510</c:v>
                </c:pt>
                <c:pt idx="137">
                  <c:v>43511</c:v>
                </c:pt>
                <c:pt idx="138">
                  <c:v>43512</c:v>
                </c:pt>
                <c:pt idx="139">
                  <c:v>43513</c:v>
                </c:pt>
                <c:pt idx="140">
                  <c:v>43514</c:v>
                </c:pt>
                <c:pt idx="141">
                  <c:v>43515</c:v>
                </c:pt>
                <c:pt idx="142">
                  <c:v>43516</c:v>
                </c:pt>
                <c:pt idx="143">
                  <c:v>43517</c:v>
                </c:pt>
                <c:pt idx="144">
                  <c:v>43518</c:v>
                </c:pt>
                <c:pt idx="145">
                  <c:v>43519</c:v>
                </c:pt>
                <c:pt idx="146">
                  <c:v>43520</c:v>
                </c:pt>
                <c:pt idx="147">
                  <c:v>43521</c:v>
                </c:pt>
                <c:pt idx="148">
                  <c:v>43522</c:v>
                </c:pt>
                <c:pt idx="149">
                  <c:v>43523</c:v>
                </c:pt>
                <c:pt idx="150">
                  <c:v>43524</c:v>
                </c:pt>
                <c:pt idx="151">
                  <c:v>43525</c:v>
                </c:pt>
                <c:pt idx="152">
                  <c:v>43526</c:v>
                </c:pt>
                <c:pt idx="153">
                  <c:v>43527</c:v>
                </c:pt>
                <c:pt idx="154">
                  <c:v>43528</c:v>
                </c:pt>
                <c:pt idx="155">
                  <c:v>43529</c:v>
                </c:pt>
                <c:pt idx="156">
                  <c:v>43530</c:v>
                </c:pt>
                <c:pt idx="157">
                  <c:v>43531</c:v>
                </c:pt>
                <c:pt idx="158">
                  <c:v>43532</c:v>
                </c:pt>
                <c:pt idx="159">
                  <c:v>43533</c:v>
                </c:pt>
                <c:pt idx="160">
                  <c:v>43534</c:v>
                </c:pt>
                <c:pt idx="161">
                  <c:v>43535</c:v>
                </c:pt>
                <c:pt idx="162">
                  <c:v>43536</c:v>
                </c:pt>
                <c:pt idx="163">
                  <c:v>43537</c:v>
                </c:pt>
                <c:pt idx="164">
                  <c:v>43538</c:v>
                </c:pt>
                <c:pt idx="165">
                  <c:v>43539</c:v>
                </c:pt>
                <c:pt idx="166">
                  <c:v>43540</c:v>
                </c:pt>
                <c:pt idx="167">
                  <c:v>43541</c:v>
                </c:pt>
                <c:pt idx="168">
                  <c:v>43542</c:v>
                </c:pt>
                <c:pt idx="169">
                  <c:v>43543</c:v>
                </c:pt>
                <c:pt idx="170">
                  <c:v>43544</c:v>
                </c:pt>
                <c:pt idx="171">
                  <c:v>43545</c:v>
                </c:pt>
                <c:pt idx="172">
                  <c:v>43546</c:v>
                </c:pt>
                <c:pt idx="173">
                  <c:v>43547</c:v>
                </c:pt>
                <c:pt idx="174">
                  <c:v>43548</c:v>
                </c:pt>
                <c:pt idx="175">
                  <c:v>43549</c:v>
                </c:pt>
                <c:pt idx="176">
                  <c:v>43550</c:v>
                </c:pt>
                <c:pt idx="177">
                  <c:v>43551</c:v>
                </c:pt>
                <c:pt idx="178">
                  <c:v>43552</c:v>
                </c:pt>
                <c:pt idx="179">
                  <c:v>43553</c:v>
                </c:pt>
                <c:pt idx="180">
                  <c:v>43554</c:v>
                </c:pt>
                <c:pt idx="181">
                  <c:v>43555</c:v>
                </c:pt>
              </c:numCache>
            </c:numRef>
          </c:cat>
          <c:val>
            <c:numRef>
              <c:f>'7 BSO DoD'!$F$9:$F$375</c:f>
              <c:numCache>
                <c:formatCode>#,##0.000</c:formatCode>
                <c:ptCount val="367"/>
                <c:pt idx="0">
                  <c:v>6</c:v>
                </c:pt>
                <c:pt idx="1">
                  <c:v>5.95</c:v>
                </c:pt>
                <c:pt idx="2">
                  <c:v>5.9</c:v>
                </c:pt>
                <c:pt idx="3">
                  <c:v>5.95</c:v>
                </c:pt>
                <c:pt idx="4">
                  <c:v>5.9</c:v>
                </c:pt>
                <c:pt idx="5">
                  <c:v>5.9</c:v>
                </c:pt>
                <c:pt idx="6">
                  <c:v>5.9</c:v>
                </c:pt>
                <c:pt idx="7">
                  <c:v>5.9</c:v>
                </c:pt>
                <c:pt idx="8">
                  <c:v>5.9</c:v>
                </c:pt>
                <c:pt idx="9">
                  <c:v>5.9</c:v>
                </c:pt>
                <c:pt idx="10">
                  <c:v>5.8</c:v>
                </c:pt>
                <c:pt idx="11">
                  <c:v>5.8</c:v>
                </c:pt>
                <c:pt idx="12">
                  <c:v>5.8</c:v>
                </c:pt>
                <c:pt idx="13">
                  <c:v>5.8</c:v>
                </c:pt>
                <c:pt idx="14">
                  <c:v>5.8</c:v>
                </c:pt>
                <c:pt idx="15">
                  <c:v>5.75</c:v>
                </c:pt>
                <c:pt idx="16">
                  <c:v>5.75</c:v>
                </c:pt>
                <c:pt idx="17">
                  <c:v>5.9</c:v>
                </c:pt>
                <c:pt idx="18">
                  <c:v>5.8</c:v>
                </c:pt>
                <c:pt idx="19">
                  <c:v>5.8</c:v>
                </c:pt>
                <c:pt idx="20">
                  <c:v>5.8</c:v>
                </c:pt>
                <c:pt idx="21">
                  <c:v>5.8</c:v>
                </c:pt>
                <c:pt idx="22">
                  <c:v>5.75</c:v>
                </c:pt>
                <c:pt idx="23">
                  <c:v>5.7</c:v>
                </c:pt>
                <c:pt idx="24">
                  <c:v>5.6499999999999995</c:v>
                </c:pt>
                <c:pt idx="25">
                  <c:v>5.8</c:v>
                </c:pt>
                <c:pt idx="26">
                  <c:v>5.8</c:v>
                </c:pt>
                <c:pt idx="27">
                  <c:v>5.8</c:v>
                </c:pt>
                <c:pt idx="28">
                  <c:v>5.9</c:v>
                </c:pt>
                <c:pt idx="29">
                  <c:v>5.85</c:v>
                </c:pt>
                <c:pt idx="30">
                  <c:v>5.8</c:v>
                </c:pt>
                <c:pt idx="31">
                  <c:v>5.7</c:v>
                </c:pt>
                <c:pt idx="32">
                  <c:v>5.85</c:v>
                </c:pt>
                <c:pt idx="33">
                  <c:v>5.85</c:v>
                </c:pt>
                <c:pt idx="34">
                  <c:v>5.85</c:v>
                </c:pt>
                <c:pt idx="35">
                  <c:v>5.85</c:v>
                </c:pt>
                <c:pt idx="36">
                  <c:v>5.85</c:v>
                </c:pt>
                <c:pt idx="37">
                  <c:v>5.8</c:v>
                </c:pt>
                <c:pt idx="38">
                  <c:v>5.6499999999999995</c:v>
                </c:pt>
                <c:pt idx="39">
                  <c:v>5.6</c:v>
                </c:pt>
                <c:pt idx="40">
                  <c:v>5.6</c:v>
                </c:pt>
                <c:pt idx="41">
                  <c:v>5.6</c:v>
                </c:pt>
                <c:pt idx="42">
                  <c:v>5.6</c:v>
                </c:pt>
                <c:pt idx="43">
                  <c:v>5.55</c:v>
                </c:pt>
                <c:pt idx="44">
                  <c:v>5.5</c:v>
                </c:pt>
                <c:pt idx="45">
                  <c:v>5.5</c:v>
                </c:pt>
                <c:pt idx="46">
                  <c:v>5.4</c:v>
                </c:pt>
                <c:pt idx="47">
                  <c:v>5.4</c:v>
                </c:pt>
                <c:pt idx="48">
                  <c:v>5.4</c:v>
                </c:pt>
                <c:pt idx="49">
                  <c:v>5.3</c:v>
                </c:pt>
                <c:pt idx="50">
                  <c:v>5</c:v>
                </c:pt>
                <c:pt idx="51">
                  <c:v>5</c:v>
                </c:pt>
                <c:pt idx="52">
                  <c:v>4.9400000000000004</c:v>
                </c:pt>
                <c:pt idx="53">
                  <c:v>4.9400000000000004</c:v>
                </c:pt>
                <c:pt idx="54">
                  <c:v>4.9400000000000004</c:v>
                </c:pt>
                <c:pt idx="55">
                  <c:v>4.9400000000000004</c:v>
                </c:pt>
                <c:pt idx="56">
                  <c:v>5</c:v>
                </c:pt>
                <c:pt idx="57">
                  <c:v>4.9000000000000004</c:v>
                </c:pt>
                <c:pt idx="58">
                  <c:v>5.7</c:v>
                </c:pt>
                <c:pt idx="59">
                  <c:v>5.7</c:v>
                </c:pt>
                <c:pt idx="60">
                  <c:v>5.5</c:v>
                </c:pt>
                <c:pt idx="61">
                  <c:v>5.5</c:v>
                </c:pt>
                <c:pt idx="62">
                  <c:v>5.5</c:v>
                </c:pt>
                <c:pt idx="63">
                  <c:v>5.6499999999999995</c:v>
                </c:pt>
                <c:pt idx="64">
                  <c:v>5.25</c:v>
                </c:pt>
                <c:pt idx="65">
                  <c:v>5.2</c:v>
                </c:pt>
                <c:pt idx="66">
                  <c:v>5.25</c:v>
                </c:pt>
                <c:pt idx="67">
                  <c:v>5.55</c:v>
                </c:pt>
                <c:pt idx="68">
                  <c:v>5.55</c:v>
                </c:pt>
                <c:pt idx="69">
                  <c:v>5.55</c:v>
                </c:pt>
                <c:pt idx="70">
                  <c:v>5.4</c:v>
                </c:pt>
                <c:pt idx="71">
                  <c:v>5.5</c:v>
                </c:pt>
                <c:pt idx="72">
                  <c:v>5.5</c:v>
                </c:pt>
                <c:pt idx="73">
                  <c:v>5.5</c:v>
                </c:pt>
                <c:pt idx="74">
                  <c:v>5.55</c:v>
                </c:pt>
                <c:pt idx="75">
                  <c:v>5.55</c:v>
                </c:pt>
                <c:pt idx="76">
                  <c:v>5.55</c:v>
                </c:pt>
                <c:pt idx="77">
                  <c:v>5.55</c:v>
                </c:pt>
                <c:pt idx="78">
                  <c:v>5.5</c:v>
                </c:pt>
                <c:pt idx="79">
                  <c:v>5.5</c:v>
                </c:pt>
                <c:pt idx="80">
                  <c:v>5.5</c:v>
                </c:pt>
                <c:pt idx="81">
                  <c:v>5.4</c:v>
                </c:pt>
                <c:pt idx="82">
                  <c:v>5.4</c:v>
                </c:pt>
                <c:pt idx="83">
                  <c:v>5.4</c:v>
                </c:pt>
                <c:pt idx="84">
                  <c:v>5.4</c:v>
                </c:pt>
                <c:pt idx="85">
                  <c:v>5.4</c:v>
                </c:pt>
                <c:pt idx="86">
                  <c:v>5.4</c:v>
                </c:pt>
                <c:pt idx="87">
                  <c:v>5.4</c:v>
                </c:pt>
                <c:pt idx="88">
                  <c:v>5.4</c:v>
                </c:pt>
                <c:pt idx="89">
                  <c:v>5.4</c:v>
                </c:pt>
                <c:pt idx="90">
                  <c:v>5.4</c:v>
                </c:pt>
                <c:pt idx="91">
                  <c:v>5.4</c:v>
                </c:pt>
                <c:pt idx="92">
                  <c:v>5.4</c:v>
                </c:pt>
                <c:pt idx="93">
                  <c:v>5.35</c:v>
                </c:pt>
                <c:pt idx="94">
                  <c:v>5.3</c:v>
                </c:pt>
                <c:pt idx="95">
                  <c:v>5.1499999999999995</c:v>
                </c:pt>
                <c:pt idx="96">
                  <c:v>5.1499999999999995</c:v>
                </c:pt>
                <c:pt idx="97">
                  <c:v>5.1499999999999995</c:v>
                </c:pt>
                <c:pt idx="98">
                  <c:v>5.45</c:v>
                </c:pt>
                <c:pt idx="99">
                  <c:v>5.5</c:v>
                </c:pt>
                <c:pt idx="100">
                  <c:v>5.5</c:v>
                </c:pt>
                <c:pt idx="101">
                  <c:v>5.2</c:v>
                </c:pt>
                <c:pt idx="102">
                  <c:v>5.2</c:v>
                </c:pt>
                <c:pt idx="103">
                  <c:v>5.2</c:v>
                </c:pt>
                <c:pt idx="104">
                  <c:v>5.2</c:v>
                </c:pt>
                <c:pt idx="105">
                  <c:v>5.2</c:v>
                </c:pt>
                <c:pt idx="106">
                  <c:v>5.2</c:v>
                </c:pt>
                <c:pt idx="107">
                  <c:v>5.2</c:v>
                </c:pt>
                <c:pt idx="108">
                  <c:v>5.2</c:v>
                </c:pt>
                <c:pt idx="109">
                  <c:v>5.3</c:v>
                </c:pt>
                <c:pt idx="110">
                  <c:v>5.3</c:v>
                </c:pt>
                <c:pt idx="111">
                  <c:v>5.3</c:v>
                </c:pt>
                <c:pt idx="112">
                  <c:v>5.3</c:v>
                </c:pt>
                <c:pt idx="113">
                  <c:v>5.3</c:v>
                </c:pt>
                <c:pt idx="114">
                  <c:v>5.55</c:v>
                </c:pt>
                <c:pt idx="115">
                  <c:v>5.5</c:v>
                </c:pt>
                <c:pt idx="116">
                  <c:v>5.4</c:v>
                </c:pt>
                <c:pt idx="117">
                  <c:v>5.4</c:v>
                </c:pt>
                <c:pt idx="118">
                  <c:v>5.4</c:v>
                </c:pt>
                <c:pt idx="119">
                  <c:v>5.55</c:v>
                </c:pt>
                <c:pt idx="120">
                  <c:v>5.4</c:v>
                </c:pt>
                <c:pt idx="121">
                  <c:v>5.4</c:v>
                </c:pt>
                <c:pt idx="122">
                  <c:v>5.6499999999999995</c:v>
                </c:pt>
                <c:pt idx="123">
                  <c:v>5.8</c:v>
                </c:pt>
                <c:pt idx="124">
                  <c:v>5.8</c:v>
                </c:pt>
                <c:pt idx="125">
                  <c:v>5.8</c:v>
                </c:pt>
                <c:pt idx="126">
                  <c:v>5.9</c:v>
                </c:pt>
                <c:pt idx="127">
                  <c:v>5.9</c:v>
                </c:pt>
                <c:pt idx="128">
                  <c:v>5.9</c:v>
                </c:pt>
                <c:pt idx="129">
                  <c:v>5.9</c:v>
                </c:pt>
                <c:pt idx="130">
                  <c:v>5.75</c:v>
                </c:pt>
                <c:pt idx="131">
                  <c:v>5.75</c:v>
                </c:pt>
                <c:pt idx="132">
                  <c:v>5.75</c:v>
                </c:pt>
                <c:pt idx="133">
                  <c:v>5.75</c:v>
                </c:pt>
                <c:pt idx="134">
                  <c:v>5.75</c:v>
                </c:pt>
                <c:pt idx="135">
                  <c:v>5.75</c:v>
                </c:pt>
                <c:pt idx="136">
                  <c:v>5.75</c:v>
                </c:pt>
                <c:pt idx="137">
                  <c:v>5.7</c:v>
                </c:pt>
                <c:pt idx="138">
                  <c:v>5.7</c:v>
                </c:pt>
                <c:pt idx="139">
                  <c:v>5.7</c:v>
                </c:pt>
                <c:pt idx="140">
                  <c:v>5.7</c:v>
                </c:pt>
                <c:pt idx="141">
                  <c:v>5.7</c:v>
                </c:pt>
                <c:pt idx="142">
                  <c:v>5.7</c:v>
                </c:pt>
                <c:pt idx="143">
                  <c:v>5.7</c:v>
                </c:pt>
                <c:pt idx="144">
                  <c:v>5.7</c:v>
                </c:pt>
                <c:pt idx="145">
                  <c:v>5.7</c:v>
                </c:pt>
                <c:pt idx="146">
                  <c:v>5.7</c:v>
                </c:pt>
                <c:pt idx="147">
                  <c:v>5.55</c:v>
                </c:pt>
                <c:pt idx="148">
                  <c:v>5.35</c:v>
                </c:pt>
                <c:pt idx="149">
                  <c:v>5.35</c:v>
                </c:pt>
                <c:pt idx="150">
                  <c:v>5.55</c:v>
                </c:pt>
                <c:pt idx="151">
                  <c:v>5.55</c:v>
                </c:pt>
                <c:pt idx="152">
                  <c:v>5.55</c:v>
                </c:pt>
                <c:pt idx="153">
                  <c:v>5.55</c:v>
                </c:pt>
                <c:pt idx="154">
                  <c:v>5.55</c:v>
                </c:pt>
                <c:pt idx="155">
                  <c:v>5.55</c:v>
                </c:pt>
                <c:pt idx="156">
                  <c:v>5.55</c:v>
                </c:pt>
                <c:pt idx="157">
                  <c:v>5.6</c:v>
                </c:pt>
                <c:pt idx="158">
                  <c:v>5.55</c:v>
                </c:pt>
                <c:pt idx="159">
                  <c:v>5.55</c:v>
                </c:pt>
                <c:pt idx="160">
                  <c:v>5.55</c:v>
                </c:pt>
                <c:pt idx="161">
                  <c:v>5.6</c:v>
                </c:pt>
                <c:pt idx="162">
                  <c:v>5.75</c:v>
                </c:pt>
                <c:pt idx="163">
                  <c:v>5.75</c:v>
                </c:pt>
                <c:pt idx="164">
                  <c:v>5.75</c:v>
                </c:pt>
                <c:pt idx="165">
                  <c:v>5.75</c:v>
                </c:pt>
                <c:pt idx="166">
                  <c:v>5.75</c:v>
                </c:pt>
                <c:pt idx="167">
                  <c:v>5.75</c:v>
                </c:pt>
                <c:pt idx="168">
                  <c:v>5.5</c:v>
                </c:pt>
                <c:pt idx="169">
                  <c:v>5.6</c:v>
                </c:pt>
                <c:pt idx="170">
                  <c:v>5.6</c:v>
                </c:pt>
                <c:pt idx="171">
                  <c:v>5.6</c:v>
                </c:pt>
                <c:pt idx="172">
                  <c:v>5.6</c:v>
                </c:pt>
                <c:pt idx="173">
                  <c:v>5.6</c:v>
                </c:pt>
                <c:pt idx="174">
                  <c:v>5.6</c:v>
                </c:pt>
                <c:pt idx="175">
                  <c:v>5.35</c:v>
                </c:pt>
                <c:pt idx="176">
                  <c:v>5.35</c:v>
                </c:pt>
                <c:pt idx="177">
                  <c:v>5.5</c:v>
                </c:pt>
                <c:pt idx="178">
                  <c:v>5.5</c:v>
                </c:pt>
                <c:pt idx="179">
                  <c:v>5.55</c:v>
                </c:pt>
                <c:pt idx="180">
                  <c:v>5.55</c:v>
                </c:pt>
                <c:pt idx="181">
                  <c:v>5.55</c:v>
                </c:pt>
              </c:numCache>
            </c:numRef>
          </c:val>
          <c:smooth val="0"/>
          <c:extLst xmlns:c16r2="http://schemas.microsoft.com/office/drawing/2015/06/chart">
            <c:ext xmlns:c16="http://schemas.microsoft.com/office/drawing/2014/chart" uri="{C3380CC4-5D6E-409C-BE32-E72D297353CC}">
              <c16:uniqueId val="{00000001-18F0-4FF7-8B3B-AA57C4D40AD1}"/>
            </c:ext>
          </c:extLst>
        </c:ser>
        <c:dLbls>
          <c:showLegendKey val="0"/>
          <c:showVal val="0"/>
          <c:showCatName val="0"/>
          <c:showSerName val="0"/>
          <c:showPercent val="0"/>
          <c:showBubbleSize val="0"/>
        </c:dLbls>
        <c:marker val="1"/>
        <c:smooth val="0"/>
        <c:axId val="147107200"/>
        <c:axId val="147215488"/>
      </c:lineChart>
      <c:dateAx>
        <c:axId val="147107200"/>
        <c:scaling>
          <c:orientation val="minMax"/>
        </c:scaling>
        <c:delete val="0"/>
        <c:axPos val="b"/>
        <c:numFmt formatCode="dd/mm/yy" sourceLinked="0"/>
        <c:majorTickMark val="out"/>
        <c:minorTickMark val="none"/>
        <c:tickLblPos val="nextTo"/>
        <c:txPr>
          <a:bodyPr rot="-5400000" vert="horz"/>
          <a:lstStyle/>
          <a:p>
            <a:pPr>
              <a:defRPr lang="en-US"/>
            </a:pPr>
            <a:endParaRPr lang="bg-BG"/>
          </a:p>
        </c:txPr>
        <c:crossAx val="147215488"/>
        <c:crosses val="autoZero"/>
        <c:auto val="1"/>
        <c:lblOffset val="100"/>
        <c:baseTimeUnit val="days"/>
        <c:majorUnit val="10"/>
        <c:majorTimeUnit val="days"/>
      </c:dateAx>
      <c:valAx>
        <c:axId val="147215488"/>
        <c:scaling>
          <c:orientation val="minMax"/>
          <c:min val="4.7"/>
        </c:scaling>
        <c:delete val="0"/>
        <c:axPos val="l"/>
        <c:majorGridlines>
          <c:spPr>
            <a:ln>
              <a:solidFill>
                <a:schemeClr val="bg1">
                  <a:lumMod val="85000"/>
                </a:schemeClr>
              </a:solidFill>
            </a:ln>
          </c:spPr>
        </c:majorGridlines>
        <c:numFmt formatCode="#\ ##0.0" sourceLinked="0"/>
        <c:majorTickMark val="out"/>
        <c:minorTickMark val="none"/>
        <c:tickLblPos val="nextTo"/>
        <c:txPr>
          <a:bodyPr/>
          <a:lstStyle/>
          <a:p>
            <a:pPr>
              <a:defRPr lang="en-US"/>
            </a:pPr>
            <a:endParaRPr lang="bg-BG"/>
          </a:p>
        </c:txPr>
        <c:crossAx val="147107200"/>
        <c:crosses val="autoZero"/>
        <c:crossBetween val="between"/>
      </c:valAx>
      <c:valAx>
        <c:axId val="147217024"/>
        <c:scaling>
          <c:orientation val="minMax"/>
          <c:max val="100000"/>
        </c:scaling>
        <c:delete val="0"/>
        <c:axPos val="r"/>
        <c:numFmt formatCode="#,##0" sourceLinked="1"/>
        <c:majorTickMark val="out"/>
        <c:minorTickMark val="none"/>
        <c:tickLblPos val="nextTo"/>
        <c:txPr>
          <a:bodyPr/>
          <a:lstStyle/>
          <a:p>
            <a:pPr>
              <a:defRPr lang="en-US"/>
            </a:pPr>
            <a:endParaRPr lang="bg-BG"/>
          </a:p>
        </c:txPr>
        <c:crossAx val="147223296"/>
        <c:crosses val="max"/>
        <c:crossBetween val="between"/>
        <c:dispUnits>
          <c:builtInUnit val="thousands"/>
          <c:dispUnitsLbl>
            <c:layout>
              <c:manualLayout>
                <c:xMode val="edge"/>
                <c:yMode val="edge"/>
                <c:x val="0.90949969953812582"/>
                <c:y val="0.17157754018356439"/>
              </c:manualLayout>
            </c:layout>
            <c:tx>
              <c:rich>
                <a:bodyPr/>
                <a:lstStyle/>
                <a:p>
                  <a:pPr>
                    <a:defRPr lang="en-US"/>
                  </a:pPr>
                  <a:r>
                    <a:rPr lang="bg-BG"/>
                    <a:t>хиляди</a:t>
                  </a:r>
                </a:p>
              </c:rich>
            </c:tx>
          </c:dispUnitsLbl>
        </c:dispUnits>
      </c:valAx>
      <c:dateAx>
        <c:axId val="147223296"/>
        <c:scaling>
          <c:orientation val="minMax"/>
        </c:scaling>
        <c:delete val="1"/>
        <c:axPos val="b"/>
        <c:numFmt formatCode="d/m/yyyy" sourceLinked="1"/>
        <c:majorTickMark val="out"/>
        <c:minorTickMark val="none"/>
        <c:tickLblPos val="none"/>
        <c:crossAx val="147217024"/>
        <c:crosses val="autoZero"/>
        <c:auto val="1"/>
        <c:lblOffset val="100"/>
        <c:baseTimeUnit val="days"/>
      </c:dateAx>
    </c:plotArea>
    <c:legend>
      <c:legendPos val="t"/>
      <c:layout>
        <c:manualLayout>
          <c:xMode val="edge"/>
          <c:yMode val="edge"/>
          <c:x val="0.23719266425203064"/>
          <c:y val="0"/>
          <c:w val="0.62691824004787933"/>
          <c:h val="5.4103071080069988E-2"/>
        </c:manualLayout>
      </c:layout>
      <c:overlay val="0"/>
      <c:txPr>
        <a:bodyPr/>
        <a:lstStyle/>
        <a:p>
          <a:pPr>
            <a:defRPr lang="en-US"/>
          </a:pPr>
          <a:endParaRPr lang="bg-BG"/>
        </a:p>
      </c:txPr>
    </c:legend>
    <c:plotVisOnly val="1"/>
    <c:dispBlanksAs val="gap"/>
    <c:showDLblsOverMax val="0"/>
  </c:chart>
  <c:spPr>
    <a:ln>
      <a:noFill/>
    </a:ln>
  </c:spPr>
  <c:txPr>
    <a:bodyPr/>
    <a:lstStyle/>
    <a:p>
      <a:pPr>
        <a:defRPr sz="600">
          <a:latin typeface="News Gothic Cyr" panose="020B0503020103020203" pitchFamily="34" charset="-52"/>
        </a:defRPr>
      </a:pPr>
      <a:endParaRPr lang="bg-BG"/>
    </a:p>
  </c:txPr>
  <c:externalData r:id="rId1">
    <c:autoUpdate val="0"/>
  </c:externalData>
  <c:userShapes r:id="rId2"/>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5.8326552930883797E-2"/>
          <c:y val="5.0925925925925923E-2"/>
          <c:w val="0.89869422572178481"/>
          <c:h val="0.79787037037037212"/>
        </c:manualLayout>
      </c:layout>
      <c:barChart>
        <c:barDir val="col"/>
        <c:grouping val="clustered"/>
        <c:varyColors val="0"/>
        <c:ser>
          <c:idx val="0"/>
          <c:order val="0"/>
          <c:tx>
            <c:strRef>
              <c:f>'7 BSO ToT'!$C$4</c:f>
              <c:strCache>
                <c:ptCount val="1"/>
                <c:pt idx="0">
                  <c:v>Обем (лотове)</c:v>
                </c:pt>
              </c:strCache>
            </c:strRef>
          </c:tx>
          <c:spPr>
            <a:solidFill>
              <a:schemeClr val="accent1"/>
            </a:solidFill>
            <a:ln>
              <a:noFill/>
            </a:ln>
            <a:effectLst/>
          </c:spPr>
          <c:invertIfNegative val="0"/>
          <c:cat>
            <c:numRef>
              <c:f>'7 BSO ToT'!$B$5:$B$265</c:f>
              <c:numCache>
                <c:formatCode>d/m/yyyy</c:formatCode>
                <c:ptCount val="261"/>
                <c:pt idx="0">
                  <c:v>43467.64135416667</c:v>
                </c:pt>
                <c:pt idx="1">
                  <c:v>43468.491620370354</c:v>
                </c:pt>
                <c:pt idx="2">
                  <c:v>43469.592916666654</c:v>
                </c:pt>
                <c:pt idx="3">
                  <c:v>43469.592916666654</c:v>
                </c:pt>
                <c:pt idx="4">
                  <c:v>43469.592916666654</c:v>
                </c:pt>
                <c:pt idx="5">
                  <c:v>43472.512951388984</c:v>
                </c:pt>
                <c:pt idx="6">
                  <c:v>43473.577673611035</c:v>
                </c:pt>
                <c:pt idx="7">
                  <c:v>43473.702546296299</c:v>
                </c:pt>
                <c:pt idx="8">
                  <c:v>43475.578692129631</c:v>
                </c:pt>
                <c:pt idx="9">
                  <c:v>43475.64303240741</c:v>
                </c:pt>
                <c:pt idx="10">
                  <c:v>43475.659687499996</c:v>
                </c:pt>
                <c:pt idx="11">
                  <c:v>43475.659687499996</c:v>
                </c:pt>
                <c:pt idx="12">
                  <c:v>43475.660486110988</c:v>
                </c:pt>
                <c:pt idx="13">
                  <c:v>43479.613298611104</c:v>
                </c:pt>
                <c:pt idx="14">
                  <c:v>43479.695567129624</c:v>
                </c:pt>
                <c:pt idx="15">
                  <c:v>43479.695567129624</c:v>
                </c:pt>
                <c:pt idx="16">
                  <c:v>43479.695567129624</c:v>
                </c:pt>
                <c:pt idx="17">
                  <c:v>43479.695567129624</c:v>
                </c:pt>
                <c:pt idx="18">
                  <c:v>43479.695567129624</c:v>
                </c:pt>
                <c:pt idx="19">
                  <c:v>43479.695567129624</c:v>
                </c:pt>
                <c:pt idx="20">
                  <c:v>43479.695567129624</c:v>
                </c:pt>
                <c:pt idx="21">
                  <c:v>43479.695567129624</c:v>
                </c:pt>
                <c:pt idx="22">
                  <c:v>43479.696469907343</c:v>
                </c:pt>
                <c:pt idx="23">
                  <c:v>43479.701354166624</c:v>
                </c:pt>
                <c:pt idx="24">
                  <c:v>43479.704375000001</c:v>
                </c:pt>
                <c:pt idx="25">
                  <c:v>43480.517650462993</c:v>
                </c:pt>
                <c:pt idx="26">
                  <c:v>43480.517650462993</c:v>
                </c:pt>
                <c:pt idx="27">
                  <c:v>43480.517650462993</c:v>
                </c:pt>
                <c:pt idx="28">
                  <c:v>43480.517650462993</c:v>
                </c:pt>
                <c:pt idx="29">
                  <c:v>43480.518078703702</c:v>
                </c:pt>
                <c:pt idx="30">
                  <c:v>43480.518078703702</c:v>
                </c:pt>
                <c:pt idx="31">
                  <c:v>43480.518078703702</c:v>
                </c:pt>
                <c:pt idx="32">
                  <c:v>43480.518078703702</c:v>
                </c:pt>
                <c:pt idx="33">
                  <c:v>43480.519583333335</c:v>
                </c:pt>
                <c:pt idx="34">
                  <c:v>43480.519583333335</c:v>
                </c:pt>
                <c:pt idx="35">
                  <c:v>43480.519583333335</c:v>
                </c:pt>
                <c:pt idx="36">
                  <c:v>43480.541631944441</c:v>
                </c:pt>
                <c:pt idx="37">
                  <c:v>43480.542222222219</c:v>
                </c:pt>
                <c:pt idx="38">
                  <c:v>43480.555520833324</c:v>
                </c:pt>
                <c:pt idx="39">
                  <c:v>43480.556655092667</c:v>
                </c:pt>
                <c:pt idx="40">
                  <c:v>43480.556956018605</c:v>
                </c:pt>
                <c:pt idx="41">
                  <c:v>43480.562349537024</c:v>
                </c:pt>
                <c:pt idx="42">
                  <c:v>43480.600717592592</c:v>
                </c:pt>
                <c:pt idx="43">
                  <c:v>43480.612071759257</c:v>
                </c:pt>
                <c:pt idx="44">
                  <c:v>43480.612071759257</c:v>
                </c:pt>
                <c:pt idx="45">
                  <c:v>43480.612523148237</c:v>
                </c:pt>
                <c:pt idx="46">
                  <c:v>43480.613043981415</c:v>
                </c:pt>
                <c:pt idx="47">
                  <c:v>43480.614282407412</c:v>
                </c:pt>
                <c:pt idx="48">
                  <c:v>43480.6213541666</c:v>
                </c:pt>
                <c:pt idx="49">
                  <c:v>43480.621643518403</c:v>
                </c:pt>
                <c:pt idx="50">
                  <c:v>43480.689375000002</c:v>
                </c:pt>
                <c:pt idx="51">
                  <c:v>43481.708472222221</c:v>
                </c:pt>
                <c:pt idx="52">
                  <c:v>43482.427129629585</c:v>
                </c:pt>
                <c:pt idx="53">
                  <c:v>43482.489456018542</c:v>
                </c:pt>
                <c:pt idx="54">
                  <c:v>43482.508576389009</c:v>
                </c:pt>
                <c:pt idx="55">
                  <c:v>43482.521620370324</c:v>
                </c:pt>
                <c:pt idx="56">
                  <c:v>43482.537245370368</c:v>
                </c:pt>
                <c:pt idx="57">
                  <c:v>43482.537245370368</c:v>
                </c:pt>
                <c:pt idx="58">
                  <c:v>43482.549502314818</c:v>
                </c:pt>
                <c:pt idx="59">
                  <c:v>43482.550081018519</c:v>
                </c:pt>
                <c:pt idx="60">
                  <c:v>43482.550300925941</c:v>
                </c:pt>
                <c:pt idx="61">
                  <c:v>43482.554259259348</c:v>
                </c:pt>
                <c:pt idx="62">
                  <c:v>43482.554629629631</c:v>
                </c:pt>
                <c:pt idx="63">
                  <c:v>43482.55641203704</c:v>
                </c:pt>
                <c:pt idx="64">
                  <c:v>43482.575370370381</c:v>
                </c:pt>
                <c:pt idx="65">
                  <c:v>43482.606736111105</c:v>
                </c:pt>
                <c:pt idx="66">
                  <c:v>43482.619652777779</c:v>
                </c:pt>
                <c:pt idx="67">
                  <c:v>43482.619652777779</c:v>
                </c:pt>
                <c:pt idx="68">
                  <c:v>43482.619652777779</c:v>
                </c:pt>
                <c:pt idx="69">
                  <c:v>43482.620150462964</c:v>
                </c:pt>
                <c:pt idx="70">
                  <c:v>43482.624583333265</c:v>
                </c:pt>
                <c:pt idx="71">
                  <c:v>43483.698263888888</c:v>
                </c:pt>
                <c:pt idx="72">
                  <c:v>43487.476886574092</c:v>
                </c:pt>
                <c:pt idx="73">
                  <c:v>43487.481111111105</c:v>
                </c:pt>
                <c:pt idx="74">
                  <c:v>43487.490393518521</c:v>
                </c:pt>
                <c:pt idx="75">
                  <c:v>43487.490393518521</c:v>
                </c:pt>
                <c:pt idx="76">
                  <c:v>43488.43613425926</c:v>
                </c:pt>
                <c:pt idx="77">
                  <c:v>43488.448252314905</c:v>
                </c:pt>
                <c:pt idx="78">
                  <c:v>43488.461898148213</c:v>
                </c:pt>
                <c:pt idx="79">
                  <c:v>43488.481111111105</c:v>
                </c:pt>
                <c:pt idx="80">
                  <c:v>43488.481111111105</c:v>
                </c:pt>
                <c:pt idx="81">
                  <c:v>43488.586932870392</c:v>
                </c:pt>
                <c:pt idx="82">
                  <c:v>43488.588657407498</c:v>
                </c:pt>
                <c:pt idx="83">
                  <c:v>43488.596643518504</c:v>
                </c:pt>
                <c:pt idx="84">
                  <c:v>43488.596643518504</c:v>
                </c:pt>
                <c:pt idx="85">
                  <c:v>43488.613958333335</c:v>
                </c:pt>
                <c:pt idx="86">
                  <c:v>43488.635138888887</c:v>
                </c:pt>
                <c:pt idx="87">
                  <c:v>43488.635138888887</c:v>
                </c:pt>
                <c:pt idx="88">
                  <c:v>43488.635486110987</c:v>
                </c:pt>
                <c:pt idx="89">
                  <c:v>43488.644270833334</c:v>
                </c:pt>
                <c:pt idx="90">
                  <c:v>43488.644270833334</c:v>
                </c:pt>
                <c:pt idx="91">
                  <c:v>43488.644270833334</c:v>
                </c:pt>
                <c:pt idx="92">
                  <c:v>43488.644270833334</c:v>
                </c:pt>
                <c:pt idx="93">
                  <c:v>43488.646932870368</c:v>
                </c:pt>
                <c:pt idx="94">
                  <c:v>43488.687974537024</c:v>
                </c:pt>
                <c:pt idx="95">
                  <c:v>43489.663865740724</c:v>
                </c:pt>
                <c:pt idx="96">
                  <c:v>43489.679988425931</c:v>
                </c:pt>
                <c:pt idx="97">
                  <c:v>43489.679988425931</c:v>
                </c:pt>
                <c:pt idx="98">
                  <c:v>43490.435937500006</c:v>
                </c:pt>
                <c:pt idx="99">
                  <c:v>43490.435937500006</c:v>
                </c:pt>
                <c:pt idx="100">
                  <c:v>43493.692870370367</c:v>
                </c:pt>
                <c:pt idx="101">
                  <c:v>43494.423784722174</c:v>
                </c:pt>
                <c:pt idx="102">
                  <c:v>43494.423784722174</c:v>
                </c:pt>
                <c:pt idx="103">
                  <c:v>43494.423784722174</c:v>
                </c:pt>
                <c:pt idx="104">
                  <c:v>43496.429895833324</c:v>
                </c:pt>
                <c:pt idx="105">
                  <c:v>43496.445497685185</c:v>
                </c:pt>
                <c:pt idx="106">
                  <c:v>43496.674780092595</c:v>
                </c:pt>
                <c:pt idx="107">
                  <c:v>43497.424861111074</c:v>
                </c:pt>
                <c:pt idx="108">
                  <c:v>43497.425706018505</c:v>
                </c:pt>
                <c:pt idx="109">
                  <c:v>43497.425706018505</c:v>
                </c:pt>
                <c:pt idx="110">
                  <c:v>43497.426180555478</c:v>
                </c:pt>
                <c:pt idx="111">
                  <c:v>43497.426180555478</c:v>
                </c:pt>
                <c:pt idx="112">
                  <c:v>43497.436851851853</c:v>
                </c:pt>
                <c:pt idx="113">
                  <c:v>43497.438356481493</c:v>
                </c:pt>
                <c:pt idx="114">
                  <c:v>43497.438831018597</c:v>
                </c:pt>
                <c:pt idx="115">
                  <c:v>43497.438831018597</c:v>
                </c:pt>
                <c:pt idx="116">
                  <c:v>43497.438831018597</c:v>
                </c:pt>
                <c:pt idx="117">
                  <c:v>43497.439004629625</c:v>
                </c:pt>
                <c:pt idx="118">
                  <c:v>43497.439004629625</c:v>
                </c:pt>
                <c:pt idx="119">
                  <c:v>43497.439004629625</c:v>
                </c:pt>
                <c:pt idx="120">
                  <c:v>43497.439004629625</c:v>
                </c:pt>
                <c:pt idx="121">
                  <c:v>43497.439004629625</c:v>
                </c:pt>
                <c:pt idx="122">
                  <c:v>43497.439004629625</c:v>
                </c:pt>
                <c:pt idx="123">
                  <c:v>43497.439004629625</c:v>
                </c:pt>
                <c:pt idx="124">
                  <c:v>43497.439074074093</c:v>
                </c:pt>
                <c:pt idx="125">
                  <c:v>43497.439074074093</c:v>
                </c:pt>
                <c:pt idx="126">
                  <c:v>43497.439074074093</c:v>
                </c:pt>
                <c:pt idx="127">
                  <c:v>43497.439074074093</c:v>
                </c:pt>
                <c:pt idx="128">
                  <c:v>43497.439074074093</c:v>
                </c:pt>
                <c:pt idx="129">
                  <c:v>43497.439074074093</c:v>
                </c:pt>
                <c:pt idx="130">
                  <c:v>43497.439074074093</c:v>
                </c:pt>
                <c:pt idx="131">
                  <c:v>43497.439097222232</c:v>
                </c:pt>
                <c:pt idx="132">
                  <c:v>43497.439097222232</c:v>
                </c:pt>
                <c:pt idx="133">
                  <c:v>43497.439097222232</c:v>
                </c:pt>
                <c:pt idx="134">
                  <c:v>43497.464166666592</c:v>
                </c:pt>
                <c:pt idx="135">
                  <c:v>43497.464317129641</c:v>
                </c:pt>
                <c:pt idx="136">
                  <c:v>43497.464317129641</c:v>
                </c:pt>
                <c:pt idx="137">
                  <c:v>43497.464432870373</c:v>
                </c:pt>
                <c:pt idx="138">
                  <c:v>43500.458101851851</c:v>
                </c:pt>
                <c:pt idx="139">
                  <c:v>43500.458101851851</c:v>
                </c:pt>
                <c:pt idx="140">
                  <c:v>43500.458969907413</c:v>
                </c:pt>
                <c:pt idx="141">
                  <c:v>43500.458969907413</c:v>
                </c:pt>
                <c:pt idx="142">
                  <c:v>43500.458969907413</c:v>
                </c:pt>
                <c:pt idx="143">
                  <c:v>43500.458969907413</c:v>
                </c:pt>
                <c:pt idx="144">
                  <c:v>43500.458969907413</c:v>
                </c:pt>
                <c:pt idx="145">
                  <c:v>43500.458969907413</c:v>
                </c:pt>
                <c:pt idx="146">
                  <c:v>43500.471655092602</c:v>
                </c:pt>
                <c:pt idx="147">
                  <c:v>43500.529363425929</c:v>
                </c:pt>
                <c:pt idx="148">
                  <c:v>43500.530231481483</c:v>
                </c:pt>
                <c:pt idx="149">
                  <c:v>43500.530833333331</c:v>
                </c:pt>
                <c:pt idx="150">
                  <c:v>43500.530833333331</c:v>
                </c:pt>
                <c:pt idx="151">
                  <c:v>43500.532199074092</c:v>
                </c:pt>
                <c:pt idx="152">
                  <c:v>43500.532199074092</c:v>
                </c:pt>
                <c:pt idx="153">
                  <c:v>43500.532199074092</c:v>
                </c:pt>
                <c:pt idx="154">
                  <c:v>43500.532199074092</c:v>
                </c:pt>
                <c:pt idx="155">
                  <c:v>43500.532268518517</c:v>
                </c:pt>
                <c:pt idx="156">
                  <c:v>43500.532268518517</c:v>
                </c:pt>
                <c:pt idx="157">
                  <c:v>43500.532268518517</c:v>
                </c:pt>
                <c:pt idx="158">
                  <c:v>43500.53230324074</c:v>
                </c:pt>
                <c:pt idx="159">
                  <c:v>43500.532835648213</c:v>
                </c:pt>
                <c:pt idx="160">
                  <c:v>43500.532835648213</c:v>
                </c:pt>
                <c:pt idx="161">
                  <c:v>43500.532835648213</c:v>
                </c:pt>
                <c:pt idx="162">
                  <c:v>43500.534212962993</c:v>
                </c:pt>
                <c:pt idx="163">
                  <c:v>43500.534999999996</c:v>
                </c:pt>
                <c:pt idx="164">
                  <c:v>43500.535127314804</c:v>
                </c:pt>
                <c:pt idx="165">
                  <c:v>43500.540509259263</c:v>
                </c:pt>
                <c:pt idx="166">
                  <c:v>43500.540509259263</c:v>
                </c:pt>
                <c:pt idx="167">
                  <c:v>43500.542060185187</c:v>
                </c:pt>
                <c:pt idx="168">
                  <c:v>43500.542060185187</c:v>
                </c:pt>
                <c:pt idx="169">
                  <c:v>43500.542060185187</c:v>
                </c:pt>
                <c:pt idx="170">
                  <c:v>43500.542060185187</c:v>
                </c:pt>
                <c:pt idx="171">
                  <c:v>43500.658252314905</c:v>
                </c:pt>
                <c:pt idx="172">
                  <c:v>43500.658252314905</c:v>
                </c:pt>
                <c:pt idx="173">
                  <c:v>43500.667256944442</c:v>
                </c:pt>
                <c:pt idx="174">
                  <c:v>43500.680335648212</c:v>
                </c:pt>
                <c:pt idx="175">
                  <c:v>43500.680856481493</c:v>
                </c:pt>
                <c:pt idx="176">
                  <c:v>43500.682708333334</c:v>
                </c:pt>
                <c:pt idx="177">
                  <c:v>43502.423657407409</c:v>
                </c:pt>
                <c:pt idx="178">
                  <c:v>43502.423657407409</c:v>
                </c:pt>
                <c:pt idx="179">
                  <c:v>43502.423657407409</c:v>
                </c:pt>
                <c:pt idx="180">
                  <c:v>43502.423657407409</c:v>
                </c:pt>
                <c:pt idx="181">
                  <c:v>43502.423657407409</c:v>
                </c:pt>
                <c:pt idx="182">
                  <c:v>43504.449606481481</c:v>
                </c:pt>
                <c:pt idx="183">
                  <c:v>43511.469675925931</c:v>
                </c:pt>
                <c:pt idx="184">
                  <c:v>43511.482731481483</c:v>
                </c:pt>
                <c:pt idx="185">
                  <c:v>43511.652986111105</c:v>
                </c:pt>
                <c:pt idx="186">
                  <c:v>43511.708680555494</c:v>
                </c:pt>
                <c:pt idx="187">
                  <c:v>43521.441006944442</c:v>
                </c:pt>
                <c:pt idx="188">
                  <c:v>43521.441006944442</c:v>
                </c:pt>
                <c:pt idx="189">
                  <c:v>43521.441006944442</c:v>
                </c:pt>
                <c:pt idx="190">
                  <c:v>43521.441006944442</c:v>
                </c:pt>
                <c:pt idx="191">
                  <c:v>43521.517986111074</c:v>
                </c:pt>
                <c:pt idx="192">
                  <c:v>43521.520891203705</c:v>
                </c:pt>
                <c:pt idx="193">
                  <c:v>43521.521562499998</c:v>
                </c:pt>
                <c:pt idx="194">
                  <c:v>43521.611863425933</c:v>
                </c:pt>
                <c:pt idx="195">
                  <c:v>43521.611863425933</c:v>
                </c:pt>
                <c:pt idx="196">
                  <c:v>43521.611863425933</c:v>
                </c:pt>
                <c:pt idx="197">
                  <c:v>43521.611863425933</c:v>
                </c:pt>
                <c:pt idx="198">
                  <c:v>43521.628761574008</c:v>
                </c:pt>
                <c:pt idx="199">
                  <c:v>43522.42756944451</c:v>
                </c:pt>
                <c:pt idx="200">
                  <c:v>43522.502268518518</c:v>
                </c:pt>
                <c:pt idx="201">
                  <c:v>43522.502268518518</c:v>
                </c:pt>
                <c:pt idx="202">
                  <c:v>43522.530474536994</c:v>
                </c:pt>
                <c:pt idx="203">
                  <c:v>43522.530474536994</c:v>
                </c:pt>
                <c:pt idx="204">
                  <c:v>43524.423657407409</c:v>
                </c:pt>
                <c:pt idx="205">
                  <c:v>43524.423657407409</c:v>
                </c:pt>
                <c:pt idx="206">
                  <c:v>43524.424363425933</c:v>
                </c:pt>
                <c:pt idx="207">
                  <c:v>43524.424560185187</c:v>
                </c:pt>
                <c:pt idx="208">
                  <c:v>43524.424884259257</c:v>
                </c:pt>
                <c:pt idx="209">
                  <c:v>43524.708379629628</c:v>
                </c:pt>
                <c:pt idx="210">
                  <c:v>43531.68854166667</c:v>
                </c:pt>
                <c:pt idx="211">
                  <c:v>43532.50068287037</c:v>
                </c:pt>
                <c:pt idx="212">
                  <c:v>43535.684687500005</c:v>
                </c:pt>
                <c:pt idx="213">
                  <c:v>43535.696180555438</c:v>
                </c:pt>
                <c:pt idx="214">
                  <c:v>43536.498055555552</c:v>
                </c:pt>
                <c:pt idx="215">
                  <c:v>43536.502615740741</c:v>
                </c:pt>
                <c:pt idx="216">
                  <c:v>43537.553483796284</c:v>
                </c:pt>
                <c:pt idx="217">
                  <c:v>43542.674097222232</c:v>
                </c:pt>
                <c:pt idx="218">
                  <c:v>43543.497812500005</c:v>
                </c:pt>
                <c:pt idx="219">
                  <c:v>43549.429340277777</c:v>
                </c:pt>
                <c:pt idx="220">
                  <c:v>43549.429340277777</c:v>
                </c:pt>
                <c:pt idx="221">
                  <c:v>43550.450289351917</c:v>
                </c:pt>
                <c:pt idx="222">
                  <c:v>43550.450289351917</c:v>
                </c:pt>
                <c:pt idx="223">
                  <c:v>43551.428020833264</c:v>
                </c:pt>
                <c:pt idx="224">
                  <c:v>43553.553506944518</c:v>
                </c:pt>
                <c:pt idx="225">
                  <c:v>43553.585856481492</c:v>
                </c:pt>
              </c:numCache>
            </c:numRef>
          </c:cat>
          <c:val>
            <c:numRef>
              <c:f>'7 BSO ToT'!$C$5:$C$265</c:f>
              <c:numCache>
                <c:formatCode>#,##0</c:formatCode>
                <c:ptCount val="261"/>
                <c:pt idx="0">
                  <c:v>200</c:v>
                </c:pt>
                <c:pt idx="1">
                  <c:v>150</c:v>
                </c:pt>
                <c:pt idx="2">
                  <c:v>150</c:v>
                </c:pt>
                <c:pt idx="3">
                  <c:v>38</c:v>
                </c:pt>
                <c:pt idx="4">
                  <c:v>250</c:v>
                </c:pt>
                <c:pt idx="5">
                  <c:v>190</c:v>
                </c:pt>
                <c:pt idx="6">
                  <c:v>10</c:v>
                </c:pt>
                <c:pt idx="7">
                  <c:v>19</c:v>
                </c:pt>
                <c:pt idx="8">
                  <c:v>100</c:v>
                </c:pt>
                <c:pt idx="9">
                  <c:v>73</c:v>
                </c:pt>
                <c:pt idx="10">
                  <c:v>190</c:v>
                </c:pt>
                <c:pt idx="11">
                  <c:v>1000</c:v>
                </c:pt>
                <c:pt idx="12">
                  <c:v>310</c:v>
                </c:pt>
                <c:pt idx="13">
                  <c:v>112</c:v>
                </c:pt>
                <c:pt idx="14">
                  <c:v>88</c:v>
                </c:pt>
                <c:pt idx="15">
                  <c:v>200</c:v>
                </c:pt>
                <c:pt idx="16">
                  <c:v>490</c:v>
                </c:pt>
                <c:pt idx="17">
                  <c:v>150</c:v>
                </c:pt>
                <c:pt idx="18">
                  <c:v>98</c:v>
                </c:pt>
                <c:pt idx="19">
                  <c:v>200</c:v>
                </c:pt>
                <c:pt idx="20">
                  <c:v>100</c:v>
                </c:pt>
                <c:pt idx="21">
                  <c:v>300</c:v>
                </c:pt>
                <c:pt idx="22">
                  <c:v>74</c:v>
                </c:pt>
                <c:pt idx="23">
                  <c:v>100</c:v>
                </c:pt>
                <c:pt idx="24">
                  <c:v>100</c:v>
                </c:pt>
                <c:pt idx="25">
                  <c:v>200</c:v>
                </c:pt>
                <c:pt idx="26">
                  <c:v>300</c:v>
                </c:pt>
                <c:pt idx="27">
                  <c:v>400</c:v>
                </c:pt>
                <c:pt idx="28">
                  <c:v>400</c:v>
                </c:pt>
                <c:pt idx="29">
                  <c:v>100</c:v>
                </c:pt>
                <c:pt idx="30">
                  <c:v>400</c:v>
                </c:pt>
                <c:pt idx="31">
                  <c:v>400</c:v>
                </c:pt>
                <c:pt idx="32">
                  <c:v>400</c:v>
                </c:pt>
                <c:pt idx="33">
                  <c:v>400</c:v>
                </c:pt>
                <c:pt idx="34">
                  <c:v>400</c:v>
                </c:pt>
                <c:pt idx="35">
                  <c:v>400</c:v>
                </c:pt>
                <c:pt idx="36">
                  <c:v>200</c:v>
                </c:pt>
                <c:pt idx="37">
                  <c:v>120</c:v>
                </c:pt>
                <c:pt idx="38">
                  <c:v>130</c:v>
                </c:pt>
                <c:pt idx="39">
                  <c:v>96</c:v>
                </c:pt>
                <c:pt idx="40">
                  <c:v>96</c:v>
                </c:pt>
                <c:pt idx="41">
                  <c:v>358</c:v>
                </c:pt>
                <c:pt idx="42">
                  <c:v>642</c:v>
                </c:pt>
                <c:pt idx="43">
                  <c:v>358</c:v>
                </c:pt>
                <c:pt idx="44">
                  <c:v>1662</c:v>
                </c:pt>
                <c:pt idx="45">
                  <c:v>100</c:v>
                </c:pt>
                <c:pt idx="46">
                  <c:v>120</c:v>
                </c:pt>
                <c:pt idx="47">
                  <c:v>118</c:v>
                </c:pt>
                <c:pt idx="48">
                  <c:v>200</c:v>
                </c:pt>
                <c:pt idx="49">
                  <c:v>360</c:v>
                </c:pt>
                <c:pt idx="50">
                  <c:v>84</c:v>
                </c:pt>
                <c:pt idx="51">
                  <c:v>300</c:v>
                </c:pt>
                <c:pt idx="52">
                  <c:v>256</c:v>
                </c:pt>
                <c:pt idx="53">
                  <c:v>1000</c:v>
                </c:pt>
                <c:pt idx="54">
                  <c:v>800</c:v>
                </c:pt>
                <c:pt idx="55">
                  <c:v>300</c:v>
                </c:pt>
                <c:pt idx="56">
                  <c:v>1200</c:v>
                </c:pt>
                <c:pt idx="57">
                  <c:v>1500</c:v>
                </c:pt>
                <c:pt idx="58">
                  <c:v>800</c:v>
                </c:pt>
                <c:pt idx="59">
                  <c:v>100</c:v>
                </c:pt>
                <c:pt idx="60">
                  <c:v>300</c:v>
                </c:pt>
                <c:pt idx="61">
                  <c:v>300</c:v>
                </c:pt>
                <c:pt idx="62">
                  <c:v>200</c:v>
                </c:pt>
                <c:pt idx="63">
                  <c:v>800</c:v>
                </c:pt>
                <c:pt idx="64">
                  <c:v>200</c:v>
                </c:pt>
                <c:pt idx="65">
                  <c:v>800</c:v>
                </c:pt>
                <c:pt idx="66">
                  <c:v>200</c:v>
                </c:pt>
                <c:pt idx="67">
                  <c:v>300</c:v>
                </c:pt>
                <c:pt idx="68">
                  <c:v>110</c:v>
                </c:pt>
                <c:pt idx="69">
                  <c:v>96</c:v>
                </c:pt>
                <c:pt idx="70">
                  <c:v>94</c:v>
                </c:pt>
                <c:pt idx="71">
                  <c:v>20</c:v>
                </c:pt>
                <c:pt idx="72">
                  <c:v>110</c:v>
                </c:pt>
                <c:pt idx="73">
                  <c:v>110</c:v>
                </c:pt>
                <c:pt idx="74">
                  <c:v>500</c:v>
                </c:pt>
                <c:pt idx="75">
                  <c:v>80</c:v>
                </c:pt>
                <c:pt idx="76">
                  <c:v>284</c:v>
                </c:pt>
                <c:pt idx="77">
                  <c:v>200</c:v>
                </c:pt>
                <c:pt idx="78">
                  <c:v>92</c:v>
                </c:pt>
                <c:pt idx="79">
                  <c:v>91</c:v>
                </c:pt>
                <c:pt idx="80">
                  <c:v>19</c:v>
                </c:pt>
                <c:pt idx="81">
                  <c:v>409</c:v>
                </c:pt>
                <c:pt idx="82">
                  <c:v>120</c:v>
                </c:pt>
                <c:pt idx="83">
                  <c:v>7</c:v>
                </c:pt>
                <c:pt idx="84">
                  <c:v>1000</c:v>
                </c:pt>
                <c:pt idx="85">
                  <c:v>100</c:v>
                </c:pt>
                <c:pt idx="86">
                  <c:v>100</c:v>
                </c:pt>
                <c:pt idx="87">
                  <c:v>900</c:v>
                </c:pt>
                <c:pt idx="88">
                  <c:v>200</c:v>
                </c:pt>
                <c:pt idx="89">
                  <c:v>190</c:v>
                </c:pt>
                <c:pt idx="90">
                  <c:v>1000</c:v>
                </c:pt>
                <c:pt idx="91">
                  <c:v>152</c:v>
                </c:pt>
                <c:pt idx="92">
                  <c:v>500</c:v>
                </c:pt>
                <c:pt idx="93">
                  <c:v>200</c:v>
                </c:pt>
                <c:pt idx="94">
                  <c:v>158</c:v>
                </c:pt>
                <c:pt idx="95">
                  <c:v>100</c:v>
                </c:pt>
                <c:pt idx="96">
                  <c:v>90</c:v>
                </c:pt>
                <c:pt idx="97">
                  <c:v>90</c:v>
                </c:pt>
                <c:pt idx="98">
                  <c:v>100</c:v>
                </c:pt>
                <c:pt idx="99">
                  <c:v>4</c:v>
                </c:pt>
                <c:pt idx="100">
                  <c:v>142</c:v>
                </c:pt>
                <c:pt idx="101">
                  <c:v>92</c:v>
                </c:pt>
                <c:pt idx="102">
                  <c:v>8</c:v>
                </c:pt>
                <c:pt idx="103">
                  <c:v>100</c:v>
                </c:pt>
                <c:pt idx="104">
                  <c:v>100</c:v>
                </c:pt>
                <c:pt idx="105">
                  <c:v>200</c:v>
                </c:pt>
                <c:pt idx="106">
                  <c:v>14</c:v>
                </c:pt>
                <c:pt idx="107">
                  <c:v>300</c:v>
                </c:pt>
                <c:pt idx="108">
                  <c:v>186</c:v>
                </c:pt>
                <c:pt idx="109">
                  <c:v>194</c:v>
                </c:pt>
                <c:pt idx="110">
                  <c:v>500</c:v>
                </c:pt>
                <c:pt idx="111">
                  <c:v>500</c:v>
                </c:pt>
                <c:pt idx="112">
                  <c:v>82</c:v>
                </c:pt>
                <c:pt idx="113">
                  <c:v>350</c:v>
                </c:pt>
                <c:pt idx="114">
                  <c:v>182</c:v>
                </c:pt>
                <c:pt idx="115">
                  <c:v>68</c:v>
                </c:pt>
                <c:pt idx="116">
                  <c:v>500</c:v>
                </c:pt>
                <c:pt idx="117">
                  <c:v>500</c:v>
                </c:pt>
                <c:pt idx="118">
                  <c:v>500</c:v>
                </c:pt>
                <c:pt idx="119">
                  <c:v>500</c:v>
                </c:pt>
                <c:pt idx="120">
                  <c:v>500</c:v>
                </c:pt>
                <c:pt idx="121">
                  <c:v>500</c:v>
                </c:pt>
                <c:pt idx="122">
                  <c:v>318</c:v>
                </c:pt>
                <c:pt idx="123">
                  <c:v>182</c:v>
                </c:pt>
                <c:pt idx="124">
                  <c:v>318</c:v>
                </c:pt>
                <c:pt idx="125" formatCode="#,##0.00">
                  <c:v>500</c:v>
                </c:pt>
                <c:pt idx="126">
                  <c:v>182</c:v>
                </c:pt>
                <c:pt idx="127">
                  <c:v>500</c:v>
                </c:pt>
                <c:pt idx="128">
                  <c:v>500</c:v>
                </c:pt>
                <c:pt idx="129">
                  <c:v>500</c:v>
                </c:pt>
                <c:pt idx="130">
                  <c:v>500</c:v>
                </c:pt>
                <c:pt idx="131">
                  <c:v>500</c:v>
                </c:pt>
                <c:pt idx="132">
                  <c:v>500</c:v>
                </c:pt>
                <c:pt idx="133">
                  <c:v>318</c:v>
                </c:pt>
                <c:pt idx="134">
                  <c:v>359</c:v>
                </c:pt>
                <c:pt idx="135">
                  <c:v>30</c:v>
                </c:pt>
                <c:pt idx="136">
                  <c:v>170</c:v>
                </c:pt>
                <c:pt idx="137">
                  <c:v>200</c:v>
                </c:pt>
                <c:pt idx="138">
                  <c:v>1</c:v>
                </c:pt>
                <c:pt idx="139">
                  <c:v>33</c:v>
                </c:pt>
                <c:pt idx="140">
                  <c:v>263</c:v>
                </c:pt>
                <c:pt idx="141">
                  <c:v>263</c:v>
                </c:pt>
                <c:pt idx="142">
                  <c:v>263</c:v>
                </c:pt>
                <c:pt idx="143">
                  <c:v>209</c:v>
                </c:pt>
                <c:pt idx="144">
                  <c:v>239</c:v>
                </c:pt>
                <c:pt idx="145">
                  <c:v>263</c:v>
                </c:pt>
                <c:pt idx="146">
                  <c:v>50</c:v>
                </c:pt>
                <c:pt idx="147">
                  <c:v>54</c:v>
                </c:pt>
                <c:pt idx="148">
                  <c:v>250</c:v>
                </c:pt>
                <c:pt idx="149">
                  <c:v>13</c:v>
                </c:pt>
                <c:pt idx="150">
                  <c:v>77</c:v>
                </c:pt>
                <c:pt idx="151">
                  <c:v>186</c:v>
                </c:pt>
                <c:pt idx="152">
                  <c:v>188</c:v>
                </c:pt>
                <c:pt idx="153">
                  <c:v>263</c:v>
                </c:pt>
                <c:pt idx="154">
                  <c:v>263</c:v>
                </c:pt>
                <c:pt idx="155">
                  <c:v>62</c:v>
                </c:pt>
                <c:pt idx="156">
                  <c:v>75</c:v>
                </c:pt>
                <c:pt idx="157">
                  <c:v>263</c:v>
                </c:pt>
                <c:pt idx="158">
                  <c:v>78</c:v>
                </c:pt>
                <c:pt idx="159">
                  <c:v>114</c:v>
                </c:pt>
                <c:pt idx="160">
                  <c:v>263</c:v>
                </c:pt>
                <c:pt idx="161">
                  <c:v>123</c:v>
                </c:pt>
                <c:pt idx="162">
                  <c:v>149</c:v>
                </c:pt>
                <c:pt idx="163">
                  <c:v>86</c:v>
                </c:pt>
                <c:pt idx="164">
                  <c:v>86</c:v>
                </c:pt>
                <c:pt idx="165">
                  <c:v>109</c:v>
                </c:pt>
                <c:pt idx="166">
                  <c:v>91</c:v>
                </c:pt>
                <c:pt idx="167">
                  <c:v>3</c:v>
                </c:pt>
                <c:pt idx="168">
                  <c:v>154</c:v>
                </c:pt>
                <c:pt idx="169">
                  <c:v>263</c:v>
                </c:pt>
                <c:pt idx="170">
                  <c:v>263</c:v>
                </c:pt>
                <c:pt idx="171">
                  <c:v>294</c:v>
                </c:pt>
                <c:pt idx="172">
                  <c:v>6</c:v>
                </c:pt>
                <c:pt idx="173">
                  <c:v>98</c:v>
                </c:pt>
                <c:pt idx="174">
                  <c:v>500</c:v>
                </c:pt>
                <c:pt idx="175">
                  <c:v>500</c:v>
                </c:pt>
                <c:pt idx="176">
                  <c:v>456</c:v>
                </c:pt>
                <c:pt idx="177">
                  <c:v>248</c:v>
                </c:pt>
                <c:pt idx="178">
                  <c:v>200</c:v>
                </c:pt>
                <c:pt idx="179">
                  <c:v>84</c:v>
                </c:pt>
                <c:pt idx="180">
                  <c:v>84</c:v>
                </c:pt>
                <c:pt idx="181">
                  <c:v>84</c:v>
                </c:pt>
                <c:pt idx="182">
                  <c:v>150</c:v>
                </c:pt>
                <c:pt idx="183">
                  <c:v>100</c:v>
                </c:pt>
                <c:pt idx="184">
                  <c:v>100</c:v>
                </c:pt>
                <c:pt idx="185">
                  <c:v>250</c:v>
                </c:pt>
                <c:pt idx="186">
                  <c:v>300</c:v>
                </c:pt>
                <c:pt idx="187">
                  <c:v>395</c:v>
                </c:pt>
                <c:pt idx="188">
                  <c:v>95</c:v>
                </c:pt>
                <c:pt idx="189">
                  <c:v>10</c:v>
                </c:pt>
                <c:pt idx="190">
                  <c:v>160</c:v>
                </c:pt>
                <c:pt idx="191">
                  <c:v>89</c:v>
                </c:pt>
                <c:pt idx="192">
                  <c:v>6</c:v>
                </c:pt>
                <c:pt idx="193">
                  <c:v>90</c:v>
                </c:pt>
                <c:pt idx="194">
                  <c:v>50</c:v>
                </c:pt>
                <c:pt idx="195">
                  <c:v>90</c:v>
                </c:pt>
                <c:pt idx="196">
                  <c:v>200</c:v>
                </c:pt>
                <c:pt idx="197">
                  <c:v>60</c:v>
                </c:pt>
                <c:pt idx="198">
                  <c:v>90</c:v>
                </c:pt>
                <c:pt idx="199">
                  <c:v>100</c:v>
                </c:pt>
                <c:pt idx="200">
                  <c:v>200</c:v>
                </c:pt>
                <c:pt idx="201">
                  <c:v>260</c:v>
                </c:pt>
                <c:pt idx="202">
                  <c:v>100</c:v>
                </c:pt>
                <c:pt idx="203">
                  <c:v>20</c:v>
                </c:pt>
                <c:pt idx="204">
                  <c:v>300</c:v>
                </c:pt>
                <c:pt idx="205">
                  <c:v>100</c:v>
                </c:pt>
                <c:pt idx="206">
                  <c:v>87</c:v>
                </c:pt>
                <c:pt idx="207">
                  <c:v>87</c:v>
                </c:pt>
                <c:pt idx="208">
                  <c:v>85</c:v>
                </c:pt>
                <c:pt idx="209">
                  <c:v>41</c:v>
                </c:pt>
                <c:pt idx="210">
                  <c:v>100</c:v>
                </c:pt>
                <c:pt idx="211">
                  <c:v>100</c:v>
                </c:pt>
                <c:pt idx="212">
                  <c:v>400</c:v>
                </c:pt>
                <c:pt idx="213">
                  <c:v>100</c:v>
                </c:pt>
                <c:pt idx="214">
                  <c:v>200</c:v>
                </c:pt>
                <c:pt idx="215">
                  <c:v>100</c:v>
                </c:pt>
                <c:pt idx="216">
                  <c:v>1</c:v>
                </c:pt>
                <c:pt idx="217">
                  <c:v>90</c:v>
                </c:pt>
                <c:pt idx="218">
                  <c:v>500</c:v>
                </c:pt>
                <c:pt idx="219">
                  <c:v>2</c:v>
                </c:pt>
                <c:pt idx="220">
                  <c:v>10</c:v>
                </c:pt>
                <c:pt idx="221">
                  <c:v>84</c:v>
                </c:pt>
                <c:pt idx="222">
                  <c:v>15</c:v>
                </c:pt>
                <c:pt idx="223">
                  <c:v>100</c:v>
                </c:pt>
                <c:pt idx="224">
                  <c:v>100</c:v>
                </c:pt>
                <c:pt idx="225">
                  <c:v>200</c:v>
                </c:pt>
              </c:numCache>
            </c:numRef>
          </c:val>
          <c:extLst xmlns:c16r2="http://schemas.microsoft.com/office/drawing/2015/06/chart">
            <c:ext xmlns:c16="http://schemas.microsoft.com/office/drawing/2014/chart" uri="{C3380CC4-5D6E-409C-BE32-E72D297353CC}">
              <c16:uniqueId val="{00000000-2DE9-4978-9761-76FFD0A58439}"/>
            </c:ext>
          </c:extLst>
        </c:ser>
        <c:dLbls>
          <c:showLegendKey val="0"/>
          <c:showVal val="0"/>
          <c:showCatName val="0"/>
          <c:showSerName val="0"/>
          <c:showPercent val="0"/>
          <c:showBubbleSize val="0"/>
        </c:dLbls>
        <c:gapWidth val="150"/>
        <c:axId val="147293696"/>
        <c:axId val="147283328"/>
      </c:barChart>
      <c:lineChart>
        <c:grouping val="standard"/>
        <c:varyColors val="0"/>
        <c:ser>
          <c:idx val="1"/>
          <c:order val="1"/>
          <c:tx>
            <c:strRef>
              <c:f>'7 BSO ToT'!$D$4</c:f>
              <c:strCache>
                <c:ptCount val="1"/>
                <c:pt idx="0">
                  <c:v>Цена</c:v>
                </c:pt>
              </c:strCache>
            </c:strRef>
          </c:tx>
          <c:spPr>
            <a:ln w="19050" cap="rnd">
              <a:solidFill>
                <a:srgbClr val="C00000"/>
              </a:solidFill>
              <a:round/>
            </a:ln>
            <a:effectLst/>
          </c:spPr>
          <c:marker>
            <c:symbol val="none"/>
          </c:marker>
          <c:cat>
            <c:numRef>
              <c:f>'7 BSO ToT'!$B$5:$B$265</c:f>
              <c:numCache>
                <c:formatCode>d/m/yyyy</c:formatCode>
                <c:ptCount val="261"/>
                <c:pt idx="0">
                  <c:v>43467.64135416667</c:v>
                </c:pt>
                <c:pt idx="1">
                  <c:v>43468.491620370354</c:v>
                </c:pt>
                <c:pt idx="2">
                  <c:v>43469.592916666654</c:v>
                </c:pt>
                <c:pt idx="3">
                  <c:v>43469.592916666654</c:v>
                </c:pt>
                <c:pt idx="4">
                  <c:v>43469.592916666654</c:v>
                </c:pt>
                <c:pt idx="5">
                  <c:v>43472.512951388984</c:v>
                </c:pt>
                <c:pt idx="6">
                  <c:v>43473.577673611035</c:v>
                </c:pt>
                <c:pt idx="7">
                  <c:v>43473.702546296299</c:v>
                </c:pt>
                <c:pt idx="8">
                  <c:v>43475.578692129631</c:v>
                </c:pt>
                <c:pt idx="9">
                  <c:v>43475.64303240741</c:v>
                </c:pt>
                <c:pt idx="10">
                  <c:v>43475.659687499996</c:v>
                </c:pt>
                <c:pt idx="11">
                  <c:v>43475.659687499996</c:v>
                </c:pt>
                <c:pt idx="12">
                  <c:v>43475.660486110988</c:v>
                </c:pt>
                <c:pt idx="13">
                  <c:v>43479.613298611104</c:v>
                </c:pt>
                <c:pt idx="14">
                  <c:v>43479.695567129624</c:v>
                </c:pt>
                <c:pt idx="15">
                  <c:v>43479.695567129624</c:v>
                </c:pt>
                <c:pt idx="16">
                  <c:v>43479.695567129624</c:v>
                </c:pt>
                <c:pt idx="17">
                  <c:v>43479.695567129624</c:v>
                </c:pt>
                <c:pt idx="18">
                  <c:v>43479.695567129624</c:v>
                </c:pt>
                <c:pt idx="19">
                  <c:v>43479.695567129624</c:v>
                </c:pt>
                <c:pt idx="20">
                  <c:v>43479.695567129624</c:v>
                </c:pt>
                <c:pt idx="21">
                  <c:v>43479.695567129624</c:v>
                </c:pt>
                <c:pt idx="22">
                  <c:v>43479.696469907343</c:v>
                </c:pt>
                <c:pt idx="23">
                  <c:v>43479.701354166624</c:v>
                </c:pt>
                <c:pt idx="24">
                  <c:v>43479.704375000001</c:v>
                </c:pt>
                <c:pt idx="25">
                  <c:v>43480.517650462993</c:v>
                </c:pt>
                <c:pt idx="26">
                  <c:v>43480.517650462993</c:v>
                </c:pt>
                <c:pt idx="27">
                  <c:v>43480.517650462993</c:v>
                </c:pt>
                <c:pt idx="28">
                  <c:v>43480.517650462993</c:v>
                </c:pt>
                <c:pt idx="29">
                  <c:v>43480.518078703702</c:v>
                </c:pt>
                <c:pt idx="30">
                  <c:v>43480.518078703702</c:v>
                </c:pt>
                <c:pt idx="31">
                  <c:v>43480.518078703702</c:v>
                </c:pt>
                <c:pt idx="32">
                  <c:v>43480.518078703702</c:v>
                </c:pt>
                <c:pt idx="33">
                  <c:v>43480.519583333335</c:v>
                </c:pt>
                <c:pt idx="34">
                  <c:v>43480.519583333335</c:v>
                </c:pt>
                <c:pt idx="35">
                  <c:v>43480.519583333335</c:v>
                </c:pt>
                <c:pt idx="36">
                  <c:v>43480.541631944441</c:v>
                </c:pt>
                <c:pt idx="37">
                  <c:v>43480.542222222219</c:v>
                </c:pt>
                <c:pt idx="38">
                  <c:v>43480.555520833324</c:v>
                </c:pt>
                <c:pt idx="39">
                  <c:v>43480.556655092667</c:v>
                </c:pt>
                <c:pt idx="40">
                  <c:v>43480.556956018605</c:v>
                </c:pt>
                <c:pt idx="41">
                  <c:v>43480.562349537024</c:v>
                </c:pt>
                <c:pt idx="42">
                  <c:v>43480.600717592592</c:v>
                </c:pt>
                <c:pt idx="43">
                  <c:v>43480.612071759257</c:v>
                </c:pt>
                <c:pt idx="44">
                  <c:v>43480.612071759257</c:v>
                </c:pt>
                <c:pt idx="45">
                  <c:v>43480.612523148237</c:v>
                </c:pt>
                <c:pt idx="46">
                  <c:v>43480.613043981415</c:v>
                </c:pt>
                <c:pt idx="47">
                  <c:v>43480.614282407412</c:v>
                </c:pt>
                <c:pt idx="48">
                  <c:v>43480.6213541666</c:v>
                </c:pt>
                <c:pt idx="49">
                  <c:v>43480.621643518403</c:v>
                </c:pt>
                <c:pt idx="50">
                  <c:v>43480.689375000002</c:v>
                </c:pt>
                <c:pt idx="51">
                  <c:v>43481.708472222221</c:v>
                </c:pt>
                <c:pt idx="52">
                  <c:v>43482.427129629585</c:v>
                </c:pt>
                <c:pt idx="53">
                  <c:v>43482.489456018542</c:v>
                </c:pt>
                <c:pt idx="54">
                  <c:v>43482.508576389009</c:v>
                </c:pt>
                <c:pt idx="55">
                  <c:v>43482.521620370324</c:v>
                </c:pt>
                <c:pt idx="56">
                  <c:v>43482.537245370368</c:v>
                </c:pt>
                <c:pt idx="57">
                  <c:v>43482.537245370368</c:v>
                </c:pt>
                <c:pt idx="58">
                  <c:v>43482.549502314818</c:v>
                </c:pt>
                <c:pt idx="59">
                  <c:v>43482.550081018519</c:v>
                </c:pt>
                <c:pt idx="60">
                  <c:v>43482.550300925941</c:v>
                </c:pt>
                <c:pt idx="61">
                  <c:v>43482.554259259348</c:v>
                </c:pt>
                <c:pt idx="62">
                  <c:v>43482.554629629631</c:v>
                </c:pt>
                <c:pt idx="63">
                  <c:v>43482.55641203704</c:v>
                </c:pt>
                <c:pt idx="64">
                  <c:v>43482.575370370381</c:v>
                </c:pt>
                <c:pt idx="65">
                  <c:v>43482.606736111105</c:v>
                </c:pt>
                <c:pt idx="66">
                  <c:v>43482.619652777779</c:v>
                </c:pt>
                <c:pt idx="67">
                  <c:v>43482.619652777779</c:v>
                </c:pt>
                <c:pt idx="68">
                  <c:v>43482.619652777779</c:v>
                </c:pt>
                <c:pt idx="69">
                  <c:v>43482.620150462964</c:v>
                </c:pt>
                <c:pt idx="70">
                  <c:v>43482.624583333265</c:v>
                </c:pt>
                <c:pt idx="71">
                  <c:v>43483.698263888888</c:v>
                </c:pt>
                <c:pt idx="72">
                  <c:v>43487.476886574092</c:v>
                </c:pt>
                <c:pt idx="73">
                  <c:v>43487.481111111105</c:v>
                </c:pt>
                <c:pt idx="74">
                  <c:v>43487.490393518521</c:v>
                </c:pt>
                <c:pt idx="75">
                  <c:v>43487.490393518521</c:v>
                </c:pt>
                <c:pt idx="76">
                  <c:v>43488.43613425926</c:v>
                </c:pt>
                <c:pt idx="77">
                  <c:v>43488.448252314905</c:v>
                </c:pt>
                <c:pt idx="78">
                  <c:v>43488.461898148213</c:v>
                </c:pt>
                <c:pt idx="79">
                  <c:v>43488.481111111105</c:v>
                </c:pt>
                <c:pt idx="80">
                  <c:v>43488.481111111105</c:v>
                </c:pt>
                <c:pt idx="81">
                  <c:v>43488.586932870392</c:v>
                </c:pt>
                <c:pt idx="82">
                  <c:v>43488.588657407498</c:v>
                </c:pt>
                <c:pt idx="83">
                  <c:v>43488.596643518504</c:v>
                </c:pt>
                <c:pt idx="84">
                  <c:v>43488.596643518504</c:v>
                </c:pt>
                <c:pt idx="85">
                  <c:v>43488.613958333335</c:v>
                </c:pt>
                <c:pt idx="86">
                  <c:v>43488.635138888887</c:v>
                </c:pt>
                <c:pt idx="87">
                  <c:v>43488.635138888887</c:v>
                </c:pt>
                <c:pt idx="88">
                  <c:v>43488.635486110987</c:v>
                </c:pt>
                <c:pt idx="89">
                  <c:v>43488.644270833334</c:v>
                </c:pt>
                <c:pt idx="90">
                  <c:v>43488.644270833334</c:v>
                </c:pt>
                <c:pt idx="91">
                  <c:v>43488.644270833334</c:v>
                </c:pt>
                <c:pt idx="92">
                  <c:v>43488.644270833334</c:v>
                </c:pt>
                <c:pt idx="93">
                  <c:v>43488.646932870368</c:v>
                </c:pt>
                <c:pt idx="94">
                  <c:v>43488.687974537024</c:v>
                </c:pt>
                <c:pt idx="95">
                  <c:v>43489.663865740724</c:v>
                </c:pt>
                <c:pt idx="96">
                  <c:v>43489.679988425931</c:v>
                </c:pt>
                <c:pt idx="97">
                  <c:v>43489.679988425931</c:v>
                </c:pt>
                <c:pt idx="98">
                  <c:v>43490.435937500006</c:v>
                </c:pt>
                <c:pt idx="99">
                  <c:v>43490.435937500006</c:v>
                </c:pt>
                <c:pt idx="100">
                  <c:v>43493.692870370367</c:v>
                </c:pt>
                <c:pt idx="101">
                  <c:v>43494.423784722174</c:v>
                </c:pt>
                <c:pt idx="102">
                  <c:v>43494.423784722174</c:v>
                </c:pt>
                <c:pt idx="103">
                  <c:v>43494.423784722174</c:v>
                </c:pt>
                <c:pt idx="104">
                  <c:v>43496.429895833324</c:v>
                </c:pt>
                <c:pt idx="105">
                  <c:v>43496.445497685185</c:v>
                </c:pt>
                <c:pt idx="106">
                  <c:v>43496.674780092595</c:v>
                </c:pt>
                <c:pt idx="107">
                  <c:v>43497.424861111074</c:v>
                </c:pt>
                <c:pt idx="108">
                  <c:v>43497.425706018505</c:v>
                </c:pt>
                <c:pt idx="109">
                  <c:v>43497.425706018505</c:v>
                </c:pt>
                <c:pt idx="110">
                  <c:v>43497.426180555478</c:v>
                </c:pt>
                <c:pt idx="111">
                  <c:v>43497.426180555478</c:v>
                </c:pt>
                <c:pt idx="112">
                  <c:v>43497.436851851853</c:v>
                </c:pt>
                <c:pt idx="113">
                  <c:v>43497.438356481493</c:v>
                </c:pt>
                <c:pt idx="114">
                  <c:v>43497.438831018597</c:v>
                </c:pt>
                <c:pt idx="115">
                  <c:v>43497.438831018597</c:v>
                </c:pt>
                <c:pt idx="116">
                  <c:v>43497.438831018597</c:v>
                </c:pt>
                <c:pt idx="117">
                  <c:v>43497.439004629625</c:v>
                </c:pt>
                <c:pt idx="118">
                  <c:v>43497.439004629625</c:v>
                </c:pt>
                <c:pt idx="119">
                  <c:v>43497.439004629625</c:v>
                </c:pt>
                <c:pt idx="120">
                  <c:v>43497.439004629625</c:v>
                </c:pt>
                <c:pt idx="121">
                  <c:v>43497.439004629625</c:v>
                </c:pt>
                <c:pt idx="122">
                  <c:v>43497.439004629625</c:v>
                </c:pt>
                <c:pt idx="123">
                  <c:v>43497.439004629625</c:v>
                </c:pt>
                <c:pt idx="124">
                  <c:v>43497.439074074093</c:v>
                </c:pt>
                <c:pt idx="125">
                  <c:v>43497.439074074093</c:v>
                </c:pt>
                <c:pt idx="126">
                  <c:v>43497.439074074093</c:v>
                </c:pt>
                <c:pt idx="127">
                  <c:v>43497.439074074093</c:v>
                </c:pt>
                <c:pt idx="128">
                  <c:v>43497.439074074093</c:v>
                </c:pt>
                <c:pt idx="129">
                  <c:v>43497.439074074093</c:v>
                </c:pt>
                <c:pt idx="130">
                  <c:v>43497.439074074093</c:v>
                </c:pt>
                <c:pt idx="131">
                  <c:v>43497.439097222232</c:v>
                </c:pt>
                <c:pt idx="132">
                  <c:v>43497.439097222232</c:v>
                </c:pt>
                <c:pt idx="133">
                  <c:v>43497.439097222232</c:v>
                </c:pt>
                <c:pt idx="134">
                  <c:v>43497.464166666592</c:v>
                </c:pt>
                <c:pt idx="135">
                  <c:v>43497.464317129641</c:v>
                </c:pt>
                <c:pt idx="136">
                  <c:v>43497.464317129641</c:v>
                </c:pt>
                <c:pt idx="137">
                  <c:v>43497.464432870373</c:v>
                </c:pt>
                <c:pt idx="138">
                  <c:v>43500.458101851851</c:v>
                </c:pt>
                <c:pt idx="139">
                  <c:v>43500.458101851851</c:v>
                </c:pt>
                <c:pt idx="140">
                  <c:v>43500.458969907413</c:v>
                </c:pt>
                <c:pt idx="141">
                  <c:v>43500.458969907413</c:v>
                </c:pt>
                <c:pt idx="142">
                  <c:v>43500.458969907413</c:v>
                </c:pt>
                <c:pt idx="143">
                  <c:v>43500.458969907413</c:v>
                </c:pt>
                <c:pt idx="144">
                  <c:v>43500.458969907413</c:v>
                </c:pt>
                <c:pt idx="145">
                  <c:v>43500.458969907413</c:v>
                </c:pt>
                <c:pt idx="146">
                  <c:v>43500.471655092602</c:v>
                </c:pt>
                <c:pt idx="147">
                  <c:v>43500.529363425929</c:v>
                </c:pt>
                <c:pt idx="148">
                  <c:v>43500.530231481483</c:v>
                </c:pt>
                <c:pt idx="149">
                  <c:v>43500.530833333331</c:v>
                </c:pt>
                <c:pt idx="150">
                  <c:v>43500.530833333331</c:v>
                </c:pt>
                <c:pt idx="151">
                  <c:v>43500.532199074092</c:v>
                </c:pt>
                <c:pt idx="152">
                  <c:v>43500.532199074092</c:v>
                </c:pt>
                <c:pt idx="153">
                  <c:v>43500.532199074092</c:v>
                </c:pt>
                <c:pt idx="154">
                  <c:v>43500.532199074092</c:v>
                </c:pt>
                <c:pt idx="155">
                  <c:v>43500.532268518517</c:v>
                </c:pt>
                <c:pt idx="156">
                  <c:v>43500.532268518517</c:v>
                </c:pt>
                <c:pt idx="157">
                  <c:v>43500.532268518517</c:v>
                </c:pt>
                <c:pt idx="158">
                  <c:v>43500.53230324074</c:v>
                </c:pt>
                <c:pt idx="159">
                  <c:v>43500.532835648213</c:v>
                </c:pt>
                <c:pt idx="160">
                  <c:v>43500.532835648213</c:v>
                </c:pt>
                <c:pt idx="161">
                  <c:v>43500.532835648213</c:v>
                </c:pt>
                <c:pt idx="162">
                  <c:v>43500.534212962993</c:v>
                </c:pt>
                <c:pt idx="163">
                  <c:v>43500.534999999996</c:v>
                </c:pt>
                <c:pt idx="164">
                  <c:v>43500.535127314804</c:v>
                </c:pt>
                <c:pt idx="165">
                  <c:v>43500.540509259263</c:v>
                </c:pt>
                <c:pt idx="166">
                  <c:v>43500.540509259263</c:v>
                </c:pt>
                <c:pt idx="167">
                  <c:v>43500.542060185187</c:v>
                </c:pt>
                <c:pt idx="168">
                  <c:v>43500.542060185187</c:v>
                </c:pt>
                <c:pt idx="169">
                  <c:v>43500.542060185187</c:v>
                </c:pt>
                <c:pt idx="170">
                  <c:v>43500.542060185187</c:v>
                </c:pt>
                <c:pt idx="171">
                  <c:v>43500.658252314905</c:v>
                </c:pt>
                <c:pt idx="172">
                  <c:v>43500.658252314905</c:v>
                </c:pt>
                <c:pt idx="173">
                  <c:v>43500.667256944442</c:v>
                </c:pt>
                <c:pt idx="174">
                  <c:v>43500.680335648212</c:v>
                </c:pt>
                <c:pt idx="175">
                  <c:v>43500.680856481493</c:v>
                </c:pt>
                <c:pt idx="176">
                  <c:v>43500.682708333334</c:v>
                </c:pt>
                <c:pt idx="177">
                  <c:v>43502.423657407409</c:v>
                </c:pt>
                <c:pt idx="178">
                  <c:v>43502.423657407409</c:v>
                </c:pt>
                <c:pt idx="179">
                  <c:v>43502.423657407409</c:v>
                </c:pt>
                <c:pt idx="180">
                  <c:v>43502.423657407409</c:v>
                </c:pt>
                <c:pt idx="181">
                  <c:v>43502.423657407409</c:v>
                </c:pt>
                <c:pt idx="182">
                  <c:v>43504.449606481481</c:v>
                </c:pt>
                <c:pt idx="183">
                  <c:v>43511.469675925931</c:v>
                </c:pt>
                <c:pt idx="184">
                  <c:v>43511.482731481483</c:v>
                </c:pt>
                <c:pt idx="185">
                  <c:v>43511.652986111105</c:v>
                </c:pt>
                <c:pt idx="186">
                  <c:v>43511.708680555494</c:v>
                </c:pt>
                <c:pt idx="187">
                  <c:v>43521.441006944442</c:v>
                </c:pt>
                <c:pt idx="188">
                  <c:v>43521.441006944442</c:v>
                </c:pt>
                <c:pt idx="189">
                  <c:v>43521.441006944442</c:v>
                </c:pt>
                <c:pt idx="190">
                  <c:v>43521.441006944442</c:v>
                </c:pt>
                <c:pt idx="191">
                  <c:v>43521.517986111074</c:v>
                </c:pt>
                <c:pt idx="192">
                  <c:v>43521.520891203705</c:v>
                </c:pt>
                <c:pt idx="193">
                  <c:v>43521.521562499998</c:v>
                </c:pt>
                <c:pt idx="194">
                  <c:v>43521.611863425933</c:v>
                </c:pt>
                <c:pt idx="195">
                  <c:v>43521.611863425933</c:v>
                </c:pt>
                <c:pt idx="196">
                  <c:v>43521.611863425933</c:v>
                </c:pt>
                <c:pt idx="197">
                  <c:v>43521.611863425933</c:v>
                </c:pt>
                <c:pt idx="198">
                  <c:v>43521.628761574008</c:v>
                </c:pt>
                <c:pt idx="199">
                  <c:v>43522.42756944451</c:v>
                </c:pt>
                <c:pt idx="200">
                  <c:v>43522.502268518518</c:v>
                </c:pt>
                <c:pt idx="201">
                  <c:v>43522.502268518518</c:v>
                </c:pt>
                <c:pt idx="202">
                  <c:v>43522.530474536994</c:v>
                </c:pt>
                <c:pt idx="203">
                  <c:v>43522.530474536994</c:v>
                </c:pt>
                <c:pt idx="204">
                  <c:v>43524.423657407409</c:v>
                </c:pt>
                <c:pt idx="205">
                  <c:v>43524.423657407409</c:v>
                </c:pt>
                <c:pt idx="206">
                  <c:v>43524.424363425933</c:v>
                </c:pt>
                <c:pt idx="207">
                  <c:v>43524.424560185187</c:v>
                </c:pt>
                <c:pt idx="208">
                  <c:v>43524.424884259257</c:v>
                </c:pt>
                <c:pt idx="209">
                  <c:v>43524.708379629628</c:v>
                </c:pt>
                <c:pt idx="210">
                  <c:v>43531.68854166667</c:v>
                </c:pt>
                <c:pt idx="211">
                  <c:v>43532.50068287037</c:v>
                </c:pt>
                <c:pt idx="212">
                  <c:v>43535.684687500005</c:v>
                </c:pt>
                <c:pt idx="213">
                  <c:v>43535.696180555438</c:v>
                </c:pt>
                <c:pt idx="214">
                  <c:v>43536.498055555552</c:v>
                </c:pt>
                <c:pt idx="215">
                  <c:v>43536.502615740741</c:v>
                </c:pt>
                <c:pt idx="216">
                  <c:v>43537.553483796284</c:v>
                </c:pt>
                <c:pt idx="217">
                  <c:v>43542.674097222232</c:v>
                </c:pt>
                <c:pt idx="218">
                  <c:v>43543.497812500005</c:v>
                </c:pt>
                <c:pt idx="219">
                  <c:v>43549.429340277777</c:v>
                </c:pt>
                <c:pt idx="220">
                  <c:v>43549.429340277777</c:v>
                </c:pt>
                <c:pt idx="221">
                  <c:v>43550.450289351917</c:v>
                </c:pt>
                <c:pt idx="222">
                  <c:v>43550.450289351917</c:v>
                </c:pt>
                <c:pt idx="223">
                  <c:v>43551.428020833264</c:v>
                </c:pt>
                <c:pt idx="224">
                  <c:v>43553.553506944518</c:v>
                </c:pt>
                <c:pt idx="225">
                  <c:v>43553.585856481492</c:v>
                </c:pt>
              </c:numCache>
            </c:numRef>
          </c:cat>
          <c:val>
            <c:numRef>
              <c:f>'7 BSO ToT'!$D$5:$D$265</c:f>
              <c:numCache>
                <c:formatCode>#,##0.000</c:formatCode>
                <c:ptCount val="261"/>
                <c:pt idx="0">
                  <c:v>5.35</c:v>
                </c:pt>
                <c:pt idx="1">
                  <c:v>5.3</c:v>
                </c:pt>
                <c:pt idx="2">
                  <c:v>5.1499999999999995</c:v>
                </c:pt>
                <c:pt idx="3">
                  <c:v>5.3</c:v>
                </c:pt>
                <c:pt idx="4">
                  <c:v>5.1499999999999995</c:v>
                </c:pt>
                <c:pt idx="5">
                  <c:v>5.45</c:v>
                </c:pt>
                <c:pt idx="6">
                  <c:v>5.5</c:v>
                </c:pt>
                <c:pt idx="7">
                  <c:v>5.5</c:v>
                </c:pt>
                <c:pt idx="8">
                  <c:v>5.4</c:v>
                </c:pt>
                <c:pt idx="9">
                  <c:v>5.45</c:v>
                </c:pt>
                <c:pt idx="10">
                  <c:v>5.25</c:v>
                </c:pt>
                <c:pt idx="11">
                  <c:v>5.2</c:v>
                </c:pt>
                <c:pt idx="12">
                  <c:v>5.2</c:v>
                </c:pt>
                <c:pt idx="13">
                  <c:v>5.2</c:v>
                </c:pt>
                <c:pt idx="14">
                  <c:v>5.2</c:v>
                </c:pt>
                <c:pt idx="15">
                  <c:v>5.0999999999999996</c:v>
                </c:pt>
                <c:pt idx="16">
                  <c:v>5.0999999999999996</c:v>
                </c:pt>
                <c:pt idx="17">
                  <c:v>5.2</c:v>
                </c:pt>
                <c:pt idx="18">
                  <c:v>5.0999999999999996</c:v>
                </c:pt>
                <c:pt idx="19">
                  <c:v>5.2</c:v>
                </c:pt>
                <c:pt idx="20">
                  <c:v>5.1499999999999995</c:v>
                </c:pt>
                <c:pt idx="21">
                  <c:v>5.1499999999999995</c:v>
                </c:pt>
                <c:pt idx="22">
                  <c:v>5.0999999999999996</c:v>
                </c:pt>
                <c:pt idx="23">
                  <c:v>5.2</c:v>
                </c:pt>
                <c:pt idx="24">
                  <c:v>5.2</c:v>
                </c:pt>
                <c:pt idx="25">
                  <c:v>5.2</c:v>
                </c:pt>
                <c:pt idx="26">
                  <c:v>5.2</c:v>
                </c:pt>
                <c:pt idx="27">
                  <c:v>5.2</c:v>
                </c:pt>
                <c:pt idx="28">
                  <c:v>5.2</c:v>
                </c:pt>
                <c:pt idx="29">
                  <c:v>5.2</c:v>
                </c:pt>
                <c:pt idx="30">
                  <c:v>5.2</c:v>
                </c:pt>
                <c:pt idx="31">
                  <c:v>5.2</c:v>
                </c:pt>
                <c:pt idx="32">
                  <c:v>5.2</c:v>
                </c:pt>
                <c:pt idx="33">
                  <c:v>5.2</c:v>
                </c:pt>
                <c:pt idx="34">
                  <c:v>5.2</c:v>
                </c:pt>
                <c:pt idx="35">
                  <c:v>5.2</c:v>
                </c:pt>
                <c:pt idx="36">
                  <c:v>5.2</c:v>
                </c:pt>
                <c:pt idx="37">
                  <c:v>5.2</c:v>
                </c:pt>
                <c:pt idx="38">
                  <c:v>5.2</c:v>
                </c:pt>
                <c:pt idx="39">
                  <c:v>5.2</c:v>
                </c:pt>
                <c:pt idx="40">
                  <c:v>5.2</c:v>
                </c:pt>
                <c:pt idx="41">
                  <c:v>5.2</c:v>
                </c:pt>
                <c:pt idx="42">
                  <c:v>5.2</c:v>
                </c:pt>
                <c:pt idx="43">
                  <c:v>5.2</c:v>
                </c:pt>
                <c:pt idx="44">
                  <c:v>5.2</c:v>
                </c:pt>
                <c:pt idx="45">
                  <c:v>5.2</c:v>
                </c:pt>
                <c:pt idx="46">
                  <c:v>5.2</c:v>
                </c:pt>
                <c:pt idx="47">
                  <c:v>5.2</c:v>
                </c:pt>
                <c:pt idx="48">
                  <c:v>5.2</c:v>
                </c:pt>
                <c:pt idx="49">
                  <c:v>5.2</c:v>
                </c:pt>
                <c:pt idx="50">
                  <c:v>5.2</c:v>
                </c:pt>
                <c:pt idx="51">
                  <c:v>5.2</c:v>
                </c:pt>
                <c:pt idx="52">
                  <c:v>5.2</c:v>
                </c:pt>
                <c:pt idx="53">
                  <c:v>5.2</c:v>
                </c:pt>
                <c:pt idx="54">
                  <c:v>5.2</c:v>
                </c:pt>
                <c:pt idx="55">
                  <c:v>5.2</c:v>
                </c:pt>
                <c:pt idx="56">
                  <c:v>5.2</c:v>
                </c:pt>
                <c:pt idx="57">
                  <c:v>5.2</c:v>
                </c:pt>
                <c:pt idx="58">
                  <c:v>5.2</c:v>
                </c:pt>
                <c:pt idx="59">
                  <c:v>5.2</c:v>
                </c:pt>
                <c:pt idx="60">
                  <c:v>5.2</c:v>
                </c:pt>
                <c:pt idx="61">
                  <c:v>5.2</c:v>
                </c:pt>
                <c:pt idx="62">
                  <c:v>5.2</c:v>
                </c:pt>
                <c:pt idx="63">
                  <c:v>5.2</c:v>
                </c:pt>
                <c:pt idx="64">
                  <c:v>5.2</c:v>
                </c:pt>
                <c:pt idx="65">
                  <c:v>5.2</c:v>
                </c:pt>
                <c:pt idx="66">
                  <c:v>5.2</c:v>
                </c:pt>
                <c:pt idx="67">
                  <c:v>5.2</c:v>
                </c:pt>
                <c:pt idx="68">
                  <c:v>5.25</c:v>
                </c:pt>
                <c:pt idx="69">
                  <c:v>5.2</c:v>
                </c:pt>
                <c:pt idx="70">
                  <c:v>5.2</c:v>
                </c:pt>
                <c:pt idx="71">
                  <c:v>5.3</c:v>
                </c:pt>
                <c:pt idx="72">
                  <c:v>5.35</c:v>
                </c:pt>
                <c:pt idx="73">
                  <c:v>5.35</c:v>
                </c:pt>
                <c:pt idx="74">
                  <c:v>5.3</c:v>
                </c:pt>
                <c:pt idx="75">
                  <c:v>5.3</c:v>
                </c:pt>
                <c:pt idx="76">
                  <c:v>5.4</c:v>
                </c:pt>
                <c:pt idx="77">
                  <c:v>5.4</c:v>
                </c:pt>
                <c:pt idx="78">
                  <c:v>5.4</c:v>
                </c:pt>
                <c:pt idx="79">
                  <c:v>5.4</c:v>
                </c:pt>
                <c:pt idx="80">
                  <c:v>5.4</c:v>
                </c:pt>
                <c:pt idx="81">
                  <c:v>5.4</c:v>
                </c:pt>
                <c:pt idx="82">
                  <c:v>5.45</c:v>
                </c:pt>
                <c:pt idx="83">
                  <c:v>5.45</c:v>
                </c:pt>
                <c:pt idx="84">
                  <c:v>5.45</c:v>
                </c:pt>
                <c:pt idx="85">
                  <c:v>5.45</c:v>
                </c:pt>
                <c:pt idx="86">
                  <c:v>5.45</c:v>
                </c:pt>
                <c:pt idx="87">
                  <c:v>5.45</c:v>
                </c:pt>
                <c:pt idx="88">
                  <c:v>5.45</c:v>
                </c:pt>
                <c:pt idx="89">
                  <c:v>5.5</c:v>
                </c:pt>
                <c:pt idx="90">
                  <c:v>5.5</c:v>
                </c:pt>
                <c:pt idx="91">
                  <c:v>5.5</c:v>
                </c:pt>
                <c:pt idx="92">
                  <c:v>5.5</c:v>
                </c:pt>
                <c:pt idx="93">
                  <c:v>5.55</c:v>
                </c:pt>
                <c:pt idx="94">
                  <c:v>5.55</c:v>
                </c:pt>
                <c:pt idx="95">
                  <c:v>5.5</c:v>
                </c:pt>
                <c:pt idx="96">
                  <c:v>5.5</c:v>
                </c:pt>
                <c:pt idx="97">
                  <c:v>5.5</c:v>
                </c:pt>
                <c:pt idx="98">
                  <c:v>5.4</c:v>
                </c:pt>
                <c:pt idx="99">
                  <c:v>5.4</c:v>
                </c:pt>
                <c:pt idx="100">
                  <c:v>5.55</c:v>
                </c:pt>
                <c:pt idx="101">
                  <c:v>5.4</c:v>
                </c:pt>
                <c:pt idx="102">
                  <c:v>5.4</c:v>
                </c:pt>
                <c:pt idx="103">
                  <c:v>5.4</c:v>
                </c:pt>
                <c:pt idx="104">
                  <c:v>5.55</c:v>
                </c:pt>
                <c:pt idx="105">
                  <c:v>5.6</c:v>
                </c:pt>
                <c:pt idx="106">
                  <c:v>5.6499999999999995</c:v>
                </c:pt>
                <c:pt idx="107">
                  <c:v>5.6499999999999995</c:v>
                </c:pt>
                <c:pt idx="108">
                  <c:v>5.6499999999999995</c:v>
                </c:pt>
                <c:pt idx="109">
                  <c:v>5.6499999999999995</c:v>
                </c:pt>
                <c:pt idx="110">
                  <c:v>5.6499999999999995</c:v>
                </c:pt>
                <c:pt idx="111">
                  <c:v>5.6499999999999995</c:v>
                </c:pt>
                <c:pt idx="112">
                  <c:v>5.6499999999999995</c:v>
                </c:pt>
                <c:pt idx="113">
                  <c:v>5.6499999999999995</c:v>
                </c:pt>
                <c:pt idx="114">
                  <c:v>5.6499999999999995</c:v>
                </c:pt>
                <c:pt idx="115">
                  <c:v>5.6499999999999995</c:v>
                </c:pt>
                <c:pt idx="116">
                  <c:v>5.6499999999999995</c:v>
                </c:pt>
                <c:pt idx="117">
                  <c:v>5.6499999999999995</c:v>
                </c:pt>
                <c:pt idx="118">
                  <c:v>5.6499999999999995</c:v>
                </c:pt>
                <c:pt idx="119">
                  <c:v>5.6499999999999995</c:v>
                </c:pt>
                <c:pt idx="120">
                  <c:v>5.6499999999999995</c:v>
                </c:pt>
                <c:pt idx="121">
                  <c:v>5.6499999999999995</c:v>
                </c:pt>
                <c:pt idx="122">
                  <c:v>5.6499999999999995</c:v>
                </c:pt>
                <c:pt idx="123">
                  <c:v>5.6499999999999995</c:v>
                </c:pt>
                <c:pt idx="124">
                  <c:v>5.6499999999999995</c:v>
                </c:pt>
                <c:pt idx="125">
                  <c:v>5.6499999999999995</c:v>
                </c:pt>
                <c:pt idx="126">
                  <c:v>5.6499999999999995</c:v>
                </c:pt>
                <c:pt idx="127">
                  <c:v>5.6499999999999995</c:v>
                </c:pt>
                <c:pt idx="128">
                  <c:v>5.6499999999999995</c:v>
                </c:pt>
                <c:pt idx="129">
                  <c:v>5.6499999999999995</c:v>
                </c:pt>
                <c:pt idx="130">
                  <c:v>5.6499999999999995</c:v>
                </c:pt>
                <c:pt idx="131">
                  <c:v>5.6499999999999995</c:v>
                </c:pt>
                <c:pt idx="132">
                  <c:v>5.6499999999999995</c:v>
                </c:pt>
                <c:pt idx="133">
                  <c:v>5.6499999999999995</c:v>
                </c:pt>
                <c:pt idx="134">
                  <c:v>5.7</c:v>
                </c:pt>
                <c:pt idx="135">
                  <c:v>5.8</c:v>
                </c:pt>
                <c:pt idx="136">
                  <c:v>5.8</c:v>
                </c:pt>
                <c:pt idx="137">
                  <c:v>5.8</c:v>
                </c:pt>
                <c:pt idx="138">
                  <c:v>5.8</c:v>
                </c:pt>
                <c:pt idx="139">
                  <c:v>5.8</c:v>
                </c:pt>
                <c:pt idx="140">
                  <c:v>5.8</c:v>
                </c:pt>
                <c:pt idx="141">
                  <c:v>5.8</c:v>
                </c:pt>
                <c:pt idx="142">
                  <c:v>5.8</c:v>
                </c:pt>
                <c:pt idx="143">
                  <c:v>5.8</c:v>
                </c:pt>
                <c:pt idx="144">
                  <c:v>5.8</c:v>
                </c:pt>
                <c:pt idx="145">
                  <c:v>5.8</c:v>
                </c:pt>
                <c:pt idx="146">
                  <c:v>5.75</c:v>
                </c:pt>
                <c:pt idx="147">
                  <c:v>5.8</c:v>
                </c:pt>
                <c:pt idx="148">
                  <c:v>5.8</c:v>
                </c:pt>
                <c:pt idx="149">
                  <c:v>5.8</c:v>
                </c:pt>
                <c:pt idx="150">
                  <c:v>5.8</c:v>
                </c:pt>
                <c:pt idx="151">
                  <c:v>5.8</c:v>
                </c:pt>
                <c:pt idx="152">
                  <c:v>5.8</c:v>
                </c:pt>
                <c:pt idx="153">
                  <c:v>5.8</c:v>
                </c:pt>
                <c:pt idx="154">
                  <c:v>5.8</c:v>
                </c:pt>
                <c:pt idx="155">
                  <c:v>5.8</c:v>
                </c:pt>
                <c:pt idx="156">
                  <c:v>5.8</c:v>
                </c:pt>
                <c:pt idx="157">
                  <c:v>5.8</c:v>
                </c:pt>
                <c:pt idx="158">
                  <c:v>5.8</c:v>
                </c:pt>
                <c:pt idx="159">
                  <c:v>5.8</c:v>
                </c:pt>
                <c:pt idx="160">
                  <c:v>5.8</c:v>
                </c:pt>
                <c:pt idx="161">
                  <c:v>5.8</c:v>
                </c:pt>
                <c:pt idx="162">
                  <c:v>5.8</c:v>
                </c:pt>
                <c:pt idx="163">
                  <c:v>5.8</c:v>
                </c:pt>
                <c:pt idx="164">
                  <c:v>5.8</c:v>
                </c:pt>
                <c:pt idx="165">
                  <c:v>5.8</c:v>
                </c:pt>
                <c:pt idx="166">
                  <c:v>5.8</c:v>
                </c:pt>
                <c:pt idx="167">
                  <c:v>5.8</c:v>
                </c:pt>
                <c:pt idx="168">
                  <c:v>5.8</c:v>
                </c:pt>
                <c:pt idx="169">
                  <c:v>5.8</c:v>
                </c:pt>
                <c:pt idx="170">
                  <c:v>5.8</c:v>
                </c:pt>
                <c:pt idx="171">
                  <c:v>5.85</c:v>
                </c:pt>
                <c:pt idx="172">
                  <c:v>5.85</c:v>
                </c:pt>
                <c:pt idx="173">
                  <c:v>5.85</c:v>
                </c:pt>
                <c:pt idx="174">
                  <c:v>5.9</c:v>
                </c:pt>
                <c:pt idx="175">
                  <c:v>5.9</c:v>
                </c:pt>
                <c:pt idx="176">
                  <c:v>5.9</c:v>
                </c:pt>
                <c:pt idx="177">
                  <c:v>5.9</c:v>
                </c:pt>
                <c:pt idx="178">
                  <c:v>5.9</c:v>
                </c:pt>
                <c:pt idx="179">
                  <c:v>5.9</c:v>
                </c:pt>
                <c:pt idx="180">
                  <c:v>5.9</c:v>
                </c:pt>
                <c:pt idx="181">
                  <c:v>5.9</c:v>
                </c:pt>
                <c:pt idx="182">
                  <c:v>5.75</c:v>
                </c:pt>
                <c:pt idx="183">
                  <c:v>5.75</c:v>
                </c:pt>
                <c:pt idx="184">
                  <c:v>5.75</c:v>
                </c:pt>
                <c:pt idx="185">
                  <c:v>5.75</c:v>
                </c:pt>
                <c:pt idx="186">
                  <c:v>5.7</c:v>
                </c:pt>
                <c:pt idx="187">
                  <c:v>5.6</c:v>
                </c:pt>
                <c:pt idx="188">
                  <c:v>5.6499999999999995</c:v>
                </c:pt>
                <c:pt idx="189">
                  <c:v>5.7</c:v>
                </c:pt>
                <c:pt idx="190">
                  <c:v>5.6499999999999995</c:v>
                </c:pt>
                <c:pt idx="191">
                  <c:v>5.6</c:v>
                </c:pt>
                <c:pt idx="192">
                  <c:v>5.6</c:v>
                </c:pt>
                <c:pt idx="193">
                  <c:v>5.55</c:v>
                </c:pt>
                <c:pt idx="194">
                  <c:v>5.55</c:v>
                </c:pt>
                <c:pt idx="195">
                  <c:v>5.6</c:v>
                </c:pt>
                <c:pt idx="196">
                  <c:v>5.6</c:v>
                </c:pt>
                <c:pt idx="197">
                  <c:v>5.55</c:v>
                </c:pt>
                <c:pt idx="198">
                  <c:v>5.55</c:v>
                </c:pt>
                <c:pt idx="199">
                  <c:v>5.55</c:v>
                </c:pt>
                <c:pt idx="200">
                  <c:v>5.55</c:v>
                </c:pt>
                <c:pt idx="201">
                  <c:v>5.55</c:v>
                </c:pt>
                <c:pt idx="202">
                  <c:v>5.4</c:v>
                </c:pt>
                <c:pt idx="203">
                  <c:v>5.35</c:v>
                </c:pt>
                <c:pt idx="204">
                  <c:v>5.7</c:v>
                </c:pt>
                <c:pt idx="205">
                  <c:v>5.7</c:v>
                </c:pt>
                <c:pt idx="206">
                  <c:v>5.7</c:v>
                </c:pt>
                <c:pt idx="207">
                  <c:v>5.7</c:v>
                </c:pt>
                <c:pt idx="208">
                  <c:v>5.7</c:v>
                </c:pt>
                <c:pt idx="209">
                  <c:v>5.55</c:v>
                </c:pt>
                <c:pt idx="210">
                  <c:v>5.6</c:v>
                </c:pt>
                <c:pt idx="211">
                  <c:v>5.55</c:v>
                </c:pt>
                <c:pt idx="212">
                  <c:v>5.6</c:v>
                </c:pt>
                <c:pt idx="213">
                  <c:v>5.6</c:v>
                </c:pt>
                <c:pt idx="214">
                  <c:v>5.6</c:v>
                </c:pt>
                <c:pt idx="215">
                  <c:v>5.75</c:v>
                </c:pt>
                <c:pt idx="216">
                  <c:v>5.75</c:v>
                </c:pt>
                <c:pt idx="217">
                  <c:v>5.5</c:v>
                </c:pt>
                <c:pt idx="218">
                  <c:v>5.6</c:v>
                </c:pt>
                <c:pt idx="219">
                  <c:v>5.35</c:v>
                </c:pt>
                <c:pt idx="220">
                  <c:v>5.55</c:v>
                </c:pt>
                <c:pt idx="221">
                  <c:v>5.4</c:v>
                </c:pt>
                <c:pt idx="222">
                  <c:v>5.35</c:v>
                </c:pt>
                <c:pt idx="223">
                  <c:v>5.5</c:v>
                </c:pt>
                <c:pt idx="224">
                  <c:v>5.5</c:v>
                </c:pt>
                <c:pt idx="225">
                  <c:v>5.55</c:v>
                </c:pt>
              </c:numCache>
            </c:numRef>
          </c:val>
          <c:smooth val="0"/>
          <c:extLst xmlns:c16r2="http://schemas.microsoft.com/office/drawing/2015/06/chart">
            <c:ext xmlns:c16="http://schemas.microsoft.com/office/drawing/2014/chart" uri="{C3380CC4-5D6E-409C-BE32-E72D297353CC}">
              <c16:uniqueId val="{00000001-2DE9-4978-9761-76FFD0A58439}"/>
            </c:ext>
          </c:extLst>
        </c:ser>
        <c:dLbls>
          <c:showLegendKey val="0"/>
          <c:showVal val="0"/>
          <c:showCatName val="0"/>
          <c:showSerName val="0"/>
          <c:showPercent val="0"/>
          <c:showBubbleSize val="0"/>
        </c:dLbls>
        <c:marker val="1"/>
        <c:smooth val="0"/>
        <c:axId val="147280256"/>
        <c:axId val="147281792"/>
      </c:lineChart>
      <c:dateAx>
        <c:axId val="147280256"/>
        <c:scaling>
          <c:orientation val="minMax"/>
        </c:scaling>
        <c:delete val="0"/>
        <c:axPos val="b"/>
        <c:numFmt formatCode="d/m/yyyy"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en-US" sz="600" b="0" i="0" u="none" strike="noStrike" kern="1200" baseline="0">
                <a:solidFill>
                  <a:schemeClr val="tx1">
                    <a:lumMod val="65000"/>
                    <a:lumOff val="35000"/>
                  </a:schemeClr>
                </a:solidFill>
                <a:latin typeface="Calibri" panose="020F0502020204030204" pitchFamily="34" charset="0"/>
                <a:ea typeface="+mn-ea"/>
                <a:cs typeface="Calibri" panose="020F0502020204030204" pitchFamily="34" charset="0"/>
              </a:defRPr>
            </a:pPr>
            <a:endParaRPr lang="bg-BG"/>
          </a:p>
        </c:txPr>
        <c:crossAx val="147281792"/>
        <c:crosses val="autoZero"/>
        <c:auto val="0"/>
        <c:lblOffset val="100"/>
        <c:baseTimeUnit val="days"/>
        <c:majorUnit val="3"/>
        <c:majorTimeUnit val="days"/>
      </c:dateAx>
      <c:valAx>
        <c:axId val="147281792"/>
        <c:scaling>
          <c:orientation val="minMax"/>
          <c:min val="3.5"/>
        </c:scaling>
        <c:delete val="0"/>
        <c:axPos val="l"/>
        <c:majorGridlines>
          <c:spPr>
            <a:ln w="9525" cap="flat" cmpd="sng" algn="ctr">
              <a:solidFill>
                <a:schemeClr val="tx1">
                  <a:lumMod val="15000"/>
                  <a:lumOff val="85000"/>
                </a:schemeClr>
              </a:solidFill>
              <a:round/>
            </a:ln>
            <a:effectLst/>
          </c:spPr>
        </c:majorGridlines>
        <c:numFmt formatCode="#,##0.0\ &quot;лв.&quot;" sourceLinked="0"/>
        <c:majorTickMark val="none"/>
        <c:minorTickMark val="none"/>
        <c:tickLblPos val="nextTo"/>
        <c:spPr>
          <a:noFill/>
          <a:ln>
            <a:solidFill>
              <a:schemeClr val="accent2"/>
            </a:solidFill>
          </a:ln>
          <a:effectLst/>
        </c:spPr>
        <c:txPr>
          <a:bodyPr rot="-60000000" spcFirstLastPara="1" vertOverflow="ellipsis" vert="horz" wrap="square" anchor="ctr" anchorCtr="1"/>
          <a:lstStyle/>
          <a:p>
            <a:pPr>
              <a:defRPr lang="en-US" sz="600" b="0" i="0" u="none" strike="noStrike" kern="1200" baseline="0">
                <a:solidFill>
                  <a:srgbClr val="C00000"/>
                </a:solidFill>
                <a:latin typeface="Calibri" panose="020F0502020204030204" pitchFamily="34" charset="0"/>
                <a:ea typeface="+mn-ea"/>
                <a:cs typeface="Calibri" panose="020F0502020204030204" pitchFamily="34" charset="0"/>
              </a:defRPr>
            </a:pPr>
            <a:endParaRPr lang="bg-BG"/>
          </a:p>
        </c:txPr>
        <c:crossAx val="147280256"/>
        <c:crosses val="autoZero"/>
        <c:crossBetween val="between"/>
      </c:valAx>
      <c:valAx>
        <c:axId val="147283328"/>
        <c:scaling>
          <c:orientation val="minMax"/>
        </c:scaling>
        <c:delete val="0"/>
        <c:axPos val="r"/>
        <c:numFmt formatCode="#,##0.0" sourceLinked="0"/>
        <c:majorTickMark val="out"/>
        <c:minorTickMark val="none"/>
        <c:tickLblPos val="nextTo"/>
        <c:spPr>
          <a:noFill/>
          <a:ln>
            <a:solidFill>
              <a:schemeClr val="accent1"/>
            </a:solidFill>
          </a:ln>
          <a:effectLst/>
        </c:spPr>
        <c:txPr>
          <a:bodyPr rot="-60000000" spcFirstLastPara="1" vertOverflow="ellipsis" vert="horz" wrap="square" anchor="ctr" anchorCtr="1"/>
          <a:lstStyle/>
          <a:p>
            <a:pPr>
              <a:defRPr lang="en-US" sz="600" b="0" i="0" u="none" strike="noStrike" kern="1200" baseline="0">
                <a:solidFill>
                  <a:schemeClr val="accent1"/>
                </a:solidFill>
                <a:latin typeface="Calibri" panose="020F0502020204030204" pitchFamily="34" charset="0"/>
                <a:ea typeface="+mn-ea"/>
                <a:cs typeface="Calibri" panose="020F0502020204030204" pitchFamily="34" charset="0"/>
              </a:defRPr>
            </a:pPr>
            <a:endParaRPr lang="bg-BG"/>
          </a:p>
        </c:txPr>
        <c:crossAx val="147293696"/>
        <c:crosses val="max"/>
        <c:crossBetween val="between"/>
        <c:dispUnits>
          <c:builtInUnit val="thousands"/>
          <c:dispUnitsLbl>
            <c:layout>
              <c:manualLayout>
                <c:xMode val="edge"/>
                <c:yMode val="edge"/>
                <c:x val="0.92596981490424612"/>
                <c:y val="5.5555555555555455E-2"/>
              </c:manualLayout>
            </c:layout>
            <c:tx>
              <c:rich>
                <a:bodyPr rot="-5400000" spcFirstLastPara="1" vertOverflow="ellipsis" vert="horz" wrap="square" anchor="ctr" anchorCtr="1"/>
                <a:lstStyle/>
                <a:p>
                  <a:pPr>
                    <a:defRPr lang="en-US" sz="600" b="0" i="0" u="none" strike="noStrike" kern="1200" baseline="0">
                      <a:solidFill>
                        <a:schemeClr val="tx1">
                          <a:lumMod val="65000"/>
                          <a:lumOff val="35000"/>
                        </a:schemeClr>
                      </a:solidFill>
                      <a:latin typeface="Calibri" panose="020F0502020204030204" pitchFamily="34" charset="0"/>
                      <a:ea typeface="+mn-ea"/>
                      <a:cs typeface="Calibri" panose="020F0502020204030204" pitchFamily="34" charset="0"/>
                    </a:defRPr>
                  </a:pPr>
                  <a:r>
                    <a:rPr lang="bg-BG"/>
                    <a:t>хиляди</a:t>
                  </a:r>
                  <a:endParaRPr lang="en-US"/>
                </a:p>
              </c:rich>
            </c:tx>
            <c:spPr>
              <a:noFill/>
              <a:ln>
                <a:noFill/>
              </a:ln>
              <a:effectLst/>
            </c:spPr>
          </c:dispUnitsLbl>
        </c:dispUnits>
      </c:valAx>
      <c:dateAx>
        <c:axId val="147293696"/>
        <c:scaling>
          <c:orientation val="minMax"/>
        </c:scaling>
        <c:delete val="1"/>
        <c:axPos val="b"/>
        <c:numFmt formatCode="d/m/yyyy" sourceLinked="1"/>
        <c:majorTickMark val="out"/>
        <c:minorTickMark val="none"/>
        <c:tickLblPos val="none"/>
        <c:crossAx val="147283328"/>
        <c:crosses val="autoZero"/>
        <c:auto val="0"/>
        <c:lblOffset val="100"/>
        <c:baseTimeUnit val="days"/>
      </c:dateAx>
      <c:spPr>
        <a:noFill/>
        <a:ln>
          <a:noFill/>
        </a:ln>
        <a:effectLst/>
      </c:spPr>
    </c:plotArea>
    <c:legend>
      <c:legendPos val="b"/>
      <c:layout>
        <c:manualLayout>
          <c:xMode val="edge"/>
          <c:yMode val="edge"/>
          <c:x val="4.8577865266841616E-2"/>
          <c:y val="5.7815689705453582E-4"/>
          <c:w val="0.86728346456692906"/>
          <c:h val="6.1350612423447123E-2"/>
        </c:manualLayout>
      </c:layout>
      <c:overlay val="0"/>
      <c:spPr>
        <a:noFill/>
        <a:ln>
          <a:noFill/>
        </a:ln>
        <a:effectLst/>
      </c:spPr>
      <c:txPr>
        <a:bodyPr rot="0" spcFirstLastPara="1" vertOverflow="ellipsis" vert="horz" wrap="square" anchor="ctr" anchorCtr="1"/>
        <a:lstStyle/>
        <a:p>
          <a:pPr>
            <a:defRPr lang="en-US" sz="600" b="0" i="0" u="none" strike="noStrike" kern="1200" baseline="0">
              <a:solidFill>
                <a:schemeClr val="tx1">
                  <a:lumMod val="65000"/>
                  <a:lumOff val="35000"/>
                </a:schemeClr>
              </a:solidFill>
              <a:latin typeface="Calibri" panose="020F0502020204030204" pitchFamily="34" charset="0"/>
              <a:ea typeface="+mn-ea"/>
              <a:cs typeface="Calibri" panose="020F0502020204030204" pitchFamily="34" charset="0"/>
            </a:defRPr>
          </a:pPr>
          <a:endParaRPr lang="bg-BG"/>
        </a:p>
      </c:txPr>
    </c:legend>
    <c:plotVisOnly val="1"/>
    <c:dispBlanksAs val="gap"/>
    <c:showDLblsOverMax val="0"/>
  </c:chart>
  <c:spPr>
    <a:solidFill>
      <a:schemeClr val="bg1"/>
    </a:solidFill>
    <a:ln w="9525" cap="flat" cmpd="sng" algn="ctr">
      <a:noFill/>
      <a:round/>
    </a:ln>
    <a:effectLst/>
  </c:spPr>
  <c:txPr>
    <a:bodyPr/>
    <a:lstStyle/>
    <a:p>
      <a:pPr>
        <a:defRPr sz="600">
          <a:latin typeface="Calibri" panose="020F0502020204030204" pitchFamily="34" charset="0"/>
          <a:cs typeface="Calibri" panose="020F0502020204030204" pitchFamily="34" charset="0"/>
        </a:defRPr>
      </a:pPr>
      <a:endParaRPr lang="bg-BG"/>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6.8284797997070462E-2"/>
          <c:y val="2.5236565556365071E-2"/>
          <c:w val="0.90713027430584681"/>
          <c:h val="0.82004324561017883"/>
        </c:manualLayout>
      </c:layout>
      <c:areaChart>
        <c:grouping val="standard"/>
        <c:varyColors val="0"/>
        <c:ser>
          <c:idx val="0"/>
          <c:order val="0"/>
          <c:tx>
            <c:strRef>
              <c:f>'5 index'!$W$17</c:f>
              <c:strCache>
                <c:ptCount val="1"/>
                <c:pt idx="0">
                  <c:v>CGIX</c:v>
                </c:pt>
              </c:strCache>
            </c:strRef>
          </c:tx>
          <c:spPr>
            <a:pattFill prst="pct75">
              <a:fgClr>
                <a:schemeClr val="accent2"/>
              </a:fgClr>
              <a:bgClr>
                <a:schemeClr val="bg1"/>
              </a:bgClr>
            </a:pattFill>
          </c:spPr>
          <c:cat>
            <c:numRef>
              <c:f>'5 index'!$X$18:$X$199</c:f>
              <c:numCache>
                <c:formatCode>d/m/yyyy</c:formatCode>
                <c:ptCount val="182"/>
                <c:pt idx="0">
                  <c:v>43374.71875</c:v>
                </c:pt>
                <c:pt idx="1">
                  <c:v>43375.71875</c:v>
                </c:pt>
                <c:pt idx="2">
                  <c:v>43376.71875</c:v>
                </c:pt>
                <c:pt idx="3">
                  <c:v>43377.71875</c:v>
                </c:pt>
                <c:pt idx="4">
                  <c:v>43378.71875</c:v>
                </c:pt>
                <c:pt idx="5">
                  <c:v>43379.71875</c:v>
                </c:pt>
                <c:pt idx="6">
                  <c:v>43380.71875</c:v>
                </c:pt>
                <c:pt idx="7">
                  <c:v>43381.71875</c:v>
                </c:pt>
                <c:pt idx="8">
                  <c:v>43382.71875</c:v>
                </c:pt>
                <c:pt idx="9">
                  <c:v>43383.71875</c:v>
                </c:pt>
                <c:pt idx="10">
                  <c:v>43384.71875</c:v>
                </c:pt>
                <c:pt idx="11">
                  <c:v>43385.71875</c:v>
                </c:pt>
                <c:pt idx="12">
                  <c:v>43386.71875</c:v>
                </c:pt>
                <c:pt idx="13">
                  <c:v>43387.71875</c:v>
                </c:pt>
                <c:pt idx="14">
                  <c:v>43388.71875</c:v>
                </c:pt>
                <c:pt idx="15">
                  <c:v>43389.71875</c:v>
                </c:pt>
                <c:pt idx="16">
                  <c:v>43390.71875</c:v>
                </c:pt>
                <c:pt idx="17">
                  <c:v>43391.71875</c:v>
                </c:pt>
                <c:pt idx="18">
                  <c:v>43392.71875</c:v>
                </c:pt>
                <c:pt idx="19">
                  <c:v>43393.71875</c:v>
                </c:pt>
                <c:pt idx="20">
                  <c:v>43394.71875</c:v>
                </c:pt>
                <c:pt idx="21">
                  <c:v>43395.71875</c:v>
                </c:pt>
                <c:pt idx="22">
                  <c:v>43396.71875</c:v>
                </c:pt>
                <c:pt idx="23">
                  <c:v>43397.71875</c:v>
                </c:pt>
                <c:pt idx="24">
                  <c:v>43398.71875</c:v>
                </c:pt>
                <c:pt idx="25">
                  <c:v>43399.71875</c:v>
                </c:pt>
                <c:pt idx="26">
                  <c:v>43400.71875</c:v>
                </c:pt>
                <c:pt idx="27">
                  <c:v>43401.71875</c:v>
                </c:pt>
                <c:pt idx="28">
                  <c:v>43402.71875</c:v>
                </c:pt>
                <c:pt idx="29">
                  <c:v>43403.71875</c:v>
                </c:pt>
                <c:pt idx="30">
                  <c:v>43404.71875</c:v>
                </c:pt>
                <c:pt idx="31">
                  <c:v>43405.71875</c:v>
                </c:pt>
                <c:pt idx="32">
                  <c:v>43406.71875</c:v>
                </c:pt>
                <c:pt idx="33">
                  <c:v>43407.71875</c:v>
                </c:pt>
                <c:pt idx="34">
                  <c:v>43408.71875</c:v>
                </c:pt>
                <c:pt idx="35">
                  <c:v>43409.71875</c:v>
                </c:pt>
                <c:pt idx="36">
                  <c:v>43410.71875</c:v>
                </c:pt>
                <c:pt idx="37">
                  <c:v>43411.71875</c:v>
                </c:pt>
                <c:pt idx="38">
                  <c:v>43412.71875</c:v>
                </c:pt>
                <c:pt idx="39">
                  <c:v>43413.71875</c:v>
                </c:pt>
                <c:pt idx="40">
                  <c:v>43414.71875</c:v>
                </c:pt>
                <c:pt idx="41">
                  <c:v>43415.71875</c:v>
                </c:pt>
                <c:pt idx="42">
                  <c:v>43416.71875</c:v>
                </c:pt>
                <c:pt idx="43">
                  <c:v>43417.71875</c:v>
                </c:pt>
                <c:pt idx="44">
                  <c:v>43418.71875</c:v>
                </c:pt>
                <c:pt idx="45">
                  <c:v>43419.71875</c:v>
                </c:pt>
                <c:pt idx="46">
                  <c:v>43420.71875</c:v>
                </c:pt>
                <c:pt idx="47">
                  <c:v>43421.71875</c:v>
                </c:pt>
                <c:pt idx="48">
                  <c:v>43422.71875</c:v>
                </c:pt>
                <c:pt idx="49">
                  <c:v>43423.71875</c:v>
                </c:pt>
                <c:pt idx="50">
                  <c:v>43424.71875</c:v>
                </c:pt>
                <c:pt idx="51">
                  <c:v>43425.71875</c:v>
                </c:pt>
                <c:pt idx="52">
                  <c:v>43426.71875</c:v>
                </c:pt>
                <c:pt idx="53">
                  <c:v>43427.71875</c:v>
                </c:pt>
                <c:pt idx="54">
                  <c:v>43428.71875</c:v>
                </c:pt>
                <c:pt idx="55">
                  <c:v>43429.71875</c:v>
                </c:pt>
                <c:pt idx="56">
                  <c:v>43430.71875</c:v>
                </c:pt>
                <c:pt idx="57">
                  <c:v>43431.71875</c:v>
                </c:pt>
                <c:pt idx="58">
                  <c:v>43432.71875</c:v>
                </c:pt>
                <c:pt idx="59">
                  <c:v>43433.71875</c:v>
                </c:pt>
                <c:pt idx="60">
                  <c:v>43434.71875</c:v>
                </c:pt>
                <c:pt idx="61">
                  <c:v>43435.71875</c:v>
                </c:pt>
                <c:pt idx="62">
                  <c:v>43436.71875</c:v>
                </c:pt>
                <c:pt idx="63">
                  <c:v>43437.71875</c:v>
                </c:pt>
                <c:pt idx="64">
                  <c:v>43438.71875</c:v>
                </c:pt>
                <c:pt idx="65">
                  <c:v>43439.71875</c:v>
                </c:pt>
                <c:pt idx="66">
                  <c:v>43440.71875</c:v>
                </c:pt>
                <c:pt idx="67">
                  <c:v>43441.71875</c:v>
                </c:pt>
                <c:pt idx="68">
                  <c:v>43442.71875</c:v>
                </c:pt>
                <c:pt idx="69">
                  <c:v>43443.71875</c:v>
                </c:pt>
                <c:pt idx="70">
                  <c:v>43444.71875</c:v>
                </c:pt>
                <c:pt idx="71">
                  <c:v>43445.71875</c:v>
                </c:pt>
                <c:pt idx="72">
                  <c:v>43446.71875</c:v>
                </c:pt>
                <c:pt idx="73">
                  <c:v>43447.71875</c:v>
                </c:pt>
                <c:pt idx="74">
                  <c:v>43448.71875</c:v>
                </c:pt>
                <c:pt idx="75">
                  <c:v>43449.71875</c:v>
                </c:pt>
                <c:pt idx="76">
                  <c:v>43450.71875</c:v>
                </c:pt>
                <c:pt idx="77">
                  <c:v>43451.71875</c:v>
                </c:pt>
                <c:pt idx="78">
                  <c:v>43452.71875</c:v>
                </c:pt>
                <c:pt idx="79">
                  <c:v>43453.71875</c:v>
                </c:pt>
                <c:pt idx="80">
                  <c:v>43454.71875</c:v>
                </c:pt>
                <c:pt idx="81">
                  <c:v>43455.71875</c:v>
                </c:pt>
                <c:pt idx="82">
                  <c:v>43456.71875</c:v>
                </c:pt>
                <c:pt idx="83">
                  <c:v>43457.71875</c:v>
                </c:pt>
                <c:pt idx="84">
                  <c:v>43458.71875</c:v>
                </c:pt>
                <c:pt idx="85">
                  <c:v>43459.71875</c:v>
                </c:pt>
                <c:pt idx="86">
                  <c:v>43460.71875</c:v>
                </c:pt>
                <c:pt idx="87">
                  <c:v>43461.71875</c:v>
                </c:pt>
                <c:pt idx="88">
                  <c:v>43462.71875</c:v>
                </c:pt>
                <c:pt idx="89">
                  <c:v>43463.71875</c:v>
                </c:pt>
                <c:pt idx="90">
                  <c:v>43464.71875</c:v>
                </c:pt>
                <c:pt idx="91">
                  <c:v>43465.71875</c:v>
                </c:pt>
                <c:pt idx="92">
                  <c:v>43466.71875</c:v>
                </c:pt>
                <c:pt idx="93">
                  <c:v>43467.71875</c:v>
                </c:pt>
                <c:pt idx="94">
                  <c:v>43468.71875</c:v>
                </c:pt>
                <c:pt idx="95">
                  <c:v>43469.71875</c:v>
                </c:pt>
                <c:pt idx="96">
                  <c:v>43470.71875</c:v>
                </c:pt>
                <c:pt idx="97">
                  <c:v>43471.71875</c:v>
                </c:pt>
                <c:pt idx="98">
                  <c:v>43472.71875</c:v>
                </c:pt>
                <c:pt idx="99">
                  <c:v>43473.71875</c:v>
                </c:pt>
                <c:pt idx="100">
                  <c:v>43474.71875</c:v>
                </c:pt>
                <c:pt idx="101">
                  <c:v>43475.71875</c:v>
                </c:pt>
                <c:pt idx="102">
                  <c:v>43476.71875</c:v>
                </c:pt>
                <c:pt idx="103">
                  <c:v>43477.71875</c:v>
                </c:pt>
                <c:pt idx="104">
                  <c:v>43478.71875</c:v>
                </c:pt>
                <c:pt idx="105">
                  <c:v>43479.71875</c:v>
                </c:pt>
                <c:pt idx="106">
                  <c:v>43480.71875</c:v>
                </c:pt>
                <c:pt idx="107">
                  <c:v>43481.71875</c:v>
                </c:pt>
                <c:pt idx="108">
                  <c:v>43482.71875</c:v>
                </c:pt>
                <c:pt idx="109">
                  <c:v>43483.71875</c:v>
                </c:pt>
                <c:pt idx="110">
                  <c:v>43484.71875</c:v>
                </c:pt>
                <c:pt idx="111">
                  <c:v>43485.71875</c:v>
                </c:pt>
                <c:pt idx="112">
                  <c:v>43486.71875</c:v>
                </c:pt>
                <c:pt idx="113">
                  <c:v>43487.71875</c:v>
                </c:pt>
                <c:pt idx="114">
                  <c:v>43488.71875</c:v>
                </c:pt>
                <c:pt idx="115">
                  <c:v>43489.71875</c:v>
                </c:pt>
                <c:pt idx="116">
                  <c:v>43490.71875</c:v>
                </c:pt>
                <c:pt idx="117">
                  <c:v>43491.71875</c:v>
                </c:pt>
                <c:pt idx="118">
                  <c:v>43492.71875</c:v>
                </c:pt>
                <c:pt idx="119">
                  <c:v>43493.71875</c:v>
                </c:pt>
                <c:pt idx="120">
                  <c:v>43494.71875</c:v>
                </c:pt>
                <c:pt idx="121">
                  <c:v>43495.71875</c:v>
                </c:pt>
                <c:pt idx="122">
                  <c:v>43496.71875</c:v>
                </c:pt>
                <c:pt idx="123">
                  <c:v>43497.71875</c:v>
                </c:pt>
                <c:pt idx="124">
                  <c:v>43498.71875</c:v>
                </c:pt>
                <c:pt idx="125">
                  <c:v>43499.71875</c:v>
                </c:pt>
                <c:pt idx="126">
                  <c:v>43500.71875</c:v>
                </c:pt>
                <c:pt idx="127">
                  <c:v>43501.71875</c:v>
                </c:pt>
                <c:pt idx="128">
                  <c:v>43502.71875</c:v>
                </c:pt>
                <c:pt idx="129">
                  <c:v>43503.71875</c:v>
                </c:pt>
                <c:pt idx="130">
                  <c:v>43504.71875</c:v>
                </c:pt>
                <c:pt idx="131">
                  <c:v>43505.71875</c:v>
                </c:pt>
                <c:pt idx="132">
                  <c:v>43506.71875</c:v>
                </c:pt>
                <c:pt idx="133">
                  <c:v>43507.71875</c:v>
                </c:pt>
                <c:pt idx="134">
                  <c:v>43508.71875</c:v>
                </c:pt>
                <c:pt idx="135">
                  <c:v>43509.71875</c:v>
                </c:pt>
                <c:pt idx="136">
                  <c:v>43510.71875</c:v>
                </c:pt>
                <c:pt idx="137">
                  <c:v>43511.71875</c:v>
                </c:pt>
                <c:pt idx="138">
                  <c:v>43512.71875</c:v>
                </c:pt>
                <c:pt idx="139">
                  <c:v>43513.71875</c:v>
                </c:pt>
                <c:pt idx="140">
                  <c:v>43514.71875</c:v>
                </c:pt>
                <c:pt idx="141">
                  <c:v>43515.71875</c:v>
                </c:pt>
                <c:pt idx="142">
                  <c:v>43516.71875</c:v>
                </c:pt>
                <c:pt idx="143">
                  <c:v>43517.71875</c:v>
                </c:pt>
                <c:pt idx="144">
                  <c:v>43518.71875</c:v>
                </c:pt>
                <c:pt idx="145">
                  <c:v>43519.71875</c:v>
                </c:pt>
                <c:pt idx="146">
                  <c:v>43520.71875</c:v>
                </c:pt>
                <c:pt idx="147">
                  <c:v>43521.71875</c:v>
                </c:pt>
                <c:pt idx="148">
                  <c:v>43522.71875</c:v>
                </c:pt>
                <c:pt idx="149">
                  <c:v>43523.71875</c:v>
                </c:pt>
                <c:pt idx="150">
                  <c:v>43524.71875</c:v>
                </c:pt>
                <c:pt idx="151">
                  <c:v>43525.71875</c:v>
                </c:pt>
                <c:pt idx="152">
                  <c:v>43526.71875</c:v>
                </c:pt>
                <c:pt idx="153">
                  <c:v>43527.71875</c:v>
                </c:pt>
                <c:pt idx="154">
                  <c:v>43528.71875</c:v>
                </c:pt>
                <c:pt idx="155">
                  <c:v>43529.71875</c:v>
                </c:pt>
                <c:pt idx="156">
                  <c:v>43530.71875</c:v>
                </c:pt>
                <c:pt idx="157">
                  <c:v>43531.71875</c:v>
                </c:pt>
                <c:pt idx="158">
                  <c:v>43532.71875</c:v>
                </c:pt>
                <c:pt idx="159">
                  <c:v>43533.71875</c:v>
                </c:pt>
                <c:pt idx="160">
                  <c:v>43534.71875</c:v>
                </c:pt>
                <c:pt idx="161">
                  <c:v>43535.71875</c:v>
                </c:pt>
                <c:pt idx="162">
                  <c:v>43536.71875</c:v>
                </c:pt>
                <c:pt idx="163">
                  <c:v>43537.71875</c:v>
                </c:pt>
                <c:pt idx="164">
                  <c:v>43538.71875</c:v>
                </c:pt>
                <c:pt idx="165">
                  <c:v>43539.71875</c:v>
                </c:pt>
                <c:pt idx="166">
                  <c:v>43540.71875</c:v>
                </c:pt>
                <c:pt idx="167">
                  <c:v>43541.71875</c:v>
                </c:pt>
                <c:pt idx="168">
                  <c:v>43542.71875</c:v>
                </c:pt>
                <c:pt idx="169">
                  <c:v>43543.71875</c:v>
                </c:pt>
                <c:pt idx="170">
                  <c:v>43544.71875</c:v>
                </c:pt>
                <c:pt idx="171">
                  <c:v>43545.71875</c:v>
                </c:pt>
                <c:pt idx="172">
                  <c:v>43546.71875</c:v>
                </c:pt>
                <c:pt idx="173">
                  <c:v>43547.71875</c:v>
                </c:pt>
                <c:pt idx="174">
                  <c:v>43548.71875</c:v>
                </c:pt>
                <c:pt idx="175">
                  <c:v>43549.71875</c:v>
                </c:pt>
                <c:pt idx="176">
                  <c:v>43550.71875</c:v>
                </c:pt>
                <c:pt idx="177">
                  <c:v>43551.71875</c:v>
                </c:pt>
                <c:pt idx="178">
                  <c:v>43552.71875</c:v>
                </c:pt>
                <c:pt idx="179">
                  <c:v>43553.71875</c:v>
                </c:pt>
                <c:pt idx="180">
                  <c:v>43554.71875</c:v>
                </c:pt>
                <c:pt idx="181">
                  <c:v>43555.71875</c:v>
                </c:pt>
              </c:numCache>
            </c:numRef>
          </c:cat>
          <c:val>
            <c:numRef>
              <c:f>'5 index'!$Y$18:$Y$199</c:f>
              <c:numCache>
                <c:formatCode>#,##0.00</c:formatCode>
                <c:ptCount val="182"/>
                <c:pt idx="0">
                  <c:v>165.26</c:v>
                </c:pt>
                <c:pt idx="1">
                  <c:v>164.6</c:v>
                </c:pt>
                <c:pt idx="2">
                  <c:v>163.85000000000025</c:v>
                </c:pt>
                <c:pt idx="3">
                  <c:v>164.9</c:v>
                </c:pt>
                <c:pt idx="4">
                  <c:v>164.22</c:v>
                </c:pt>
                <c:pt idx="5">
                  <c:v>164.22</c:v>
                </c:pt>
                <c:pt idx="6">
                  <c:v>164.22</c:v>
                </c:pt>
                <c:pt idx="7">
                  <c:v>163.79</c:v>
                </c:pt>
                <c:pt idx="8">
                  <c:v>163.39000000000001</c:v>
                </c:pt>
                <c:pt idx="9">
                  <c:v>162.83000000000001</c:v>
                </c:pt>
                <c:pt idx="10">
                  <c:v>160.34</c:v>
                </c:pt>
                <c:pt idx="11">
                  <c:v>161.19</c:v>
                </c:pt>
                <c:pt idx="12">
                  <c:v>161.19</c:v>
                </c:pt>
                <c:pt idx="13">
                  <c:v>161.19</c:v>
                </c:pt>
                <c:pt idx="14">
                  <c:v>161.23999999999998</c:v>
                </c:pt>
                <c:pt idx="15">
                  <c:v>160.52000000000001</c:v>
                </c:pt>
                <c:pt idx="16">
                  <c:v>160.72999999999999</c:v>
                </c:pt>
                <c:pt idx="17">
                  <c:v>160.99</c:v>
                </c:pt>
                <c:pt idx="18">
                  <c:v>160.49</c:v>
                </c:pt>
                <c:pt idx="19">
                  <c:v>160.49</c:v>
                </c:pt>
                <c:pt idx="20">
                  <c:v>160.49</c:v>
                </c:pt>
                <c:pt idx="21">
                  <c:v>159.41</c:v>
                </c:pt>
                <c:pt idx="22">
                  <c:v>156.29</c:v>
                </c:pt>
                <c:pt idx="23">
                  <c:v>156.84</c:v>
                </c:pt>
                <c:pt idx="24">
                  <c:v>156.16</c:v>
                </c:pt>
                <c:pt idx="25">
                  <c:v>155.91999999999999</c:v>
                </c:pt>
                <c:pt idx="26">
                  <c:v>155.91999999999999</c:v>
                </c:pt>
                <c:pt idx="27">
                  <c:v>155.91999999999999</c:v>
                </c:pt>
                <c:pt idx="28">
                  <c:v>156.28</c:v>
                </c:pt>
                <c:pt idx="29">
                  <c:v>154.58000000000001</c:v>
                </c:pt>
                <c:pt idx="30">
                  <c:v>155.68</c:v>
                </c:pt>
                <c:pt idx="31">
                  <c:v>155.22999999999999</c:v>
                </c:pt>
                <c:pt idx="32">
                  <c:v>157.02000000000001</c:v>
                </c:pt>
                <c:pt idx="33">
                  <c:v>157.02000000000001</c:v>
                </c:pt>
                <c:pt idx="34">
                  <c:v>157.02000000000001</c:v>
                </c:pt>
                <c:pt idx="35">
                  <c:v>156.20999999999998</c:v>
                </c:pt>
                <c:pt idx="36">
                  <c:v>156.35000000000025</c:v>
                </c:pt>
                <c:pt idx="37">
                  <c:v>155.96</c:v>
                </c:pt>
                <c:pt idx="38">
                  <c:v>155.75</c:v>
                </c:pt>
                <c:pt idx="39">
                  <c:v>157.68</c:v>
                </c:pt>
                <c:pt idx="40">
                  <c:v>157.68</c:v>
                </c:pt>
                <c:pt idx="41">
                  <c:v>157.68</c:v>
                </c:pt>
                <c:pt idx="42">
                  <c:v>157.56</c:v>
                </c:pt>
                <c:pt idx="43">
                  <c:v>156.37</c:v>
                </c:pt>
                <c:pt idx="44">
                  <c:v>156.86000000000001</c:v>
                </c:pt>
                <c:pt idx="45">
                  <c:v>158.33000000000001</c:v>
                </c:pt>
                <c:pt idx="46">
                  <c:v>156.81</c:v>
                </c:pt>
                <c:pt idx="47">
                  <c:v>156.81</c:v>
                </c:pt>
                <c:pt idx="48">
                  <c:v>156.81</c:v>
                </c:pt>
                <c:pt idx="49">
                  <c:v>156.63999999999999</c:v>
                </c:pt>
                <c:pt idx="50">
                  <c:v>153.9</c:v>
                </c:pt>
                <c:pt idx="51">
                  <c:v>156.37</c:v>
                </c:pt>
                <c:pt idx="52">
                  <c:v>155.51</c:v>
                </c:pt>
                <c:pt idx="53">
                  <c:v>156.02000000000001</c:v>
                </c:pt>
                <c:pt idx="54">
                  <c:v>156.02000000000001</c:v>
                </c:pt>
                <c:pt idx="55">
                  <c:v>156.02000000000001</c:v>
                </c:pt>
                <c:pt idx="56">
                  <c:v>155.47</c:v>
                </c:pt>
                <c:pt idx="57">
                  <c:v>153.91</c:v>
                </c:pt>
                <c:pt idx="58">
                  <c:v>156.88000000000025</c:v>
                </c:pt>
                <c:pt idx="59">
                  <c:v>158.49</c:v>
                </c:pt>
                <c:pt idx="60">
                  <c:v>158.35000000000025</c:v>
                </c:pt>
                <c:pt idx="61">
                  <c:v>158.35000000000025</c:v>
                </c:pt>
                <c:pt idx="62">
                  <c:v>158.35000000000025</c:v>
                </c:pt>
                <c:pt idx="63">
                  <c:v>160.94</c:v>
                </c:pt>
                <c:pt idx="64">
                  <c:v>160.94</c:v>
                </c:pt>
                <c:pt idx="65">
                  <c:v>159.43</c:v>
                </c:pt>
                <c:pt idx="66">
                  <c:v>157.49</c:v>
                </c:pt>
                <c:pt idx="67">
                  <c:v>158.89000000000001</c:v>
                </c:pt>
                <c:pt idx="68">
                  <c:v>158.89000000000001</c:v>
                </c:pt>
                <c:pt idx="69">
                  <c:v>158.89000000000001</c:v>
                </c:pt>
                <c:pt idx="70">
                  <c:v>158.44</c:v>
                </c:pt>
                <c:pt idx="71">
                  <c:v>157.78</c:v>
                </c:pt>
                <c:pt idx="72">
                  <c:v>157.41999999999999</c:v>
                </c:pt>
                <c:pt idx="73">
                  <c:v>156.05000000000001</c:v>
                </c:pt>
                <c:pt idx="74">
                  <c:v>156.12</c:v>
                </c:pt>
                <c:pt idx="75">
                  <c:v>156.12</c:v>
                </c:pt>
                <c:pt idx="76">
                  <c:v>156.12</c:v>
                </c:pt>
                <c:pt idx="77">
                  <c:v>156.47</c:v>
                </c:pt>
                <c:pt idx="78">
                  <c:v>155.94999999999999</c:v>
                </c:pt>
                <c:pt idx="79">
                  <c:v>155.15</c:v>
                </c:pt>
                <c:pt idx="80">
                  <c:v>154.72999999999999</c:v>
                </c:pt>
                <c:pt idx="81">
                  <c:v>155.89000000000001</c:v>
                </c:pt>
                <c:pt idx="82">
                  <c:v>155.89000000000001</c:v>
                </c:pt>
                <c:pt idx="83">
                  <c:v>155.89000000000001</c:v>
                </c:pt>
                <c:pt idx="84">
                  <c:v>155.89000000000001</c:v>
                </c:pt>
                <c:pt idx="85">
                  <c:v>155.89000000000001</c:v>
                </c:pt>
                <c:pt idx="86">
                  <c:v>155.89000000000001</c:v>
                </c:pt>
                <c:pt idx="87">
                  <c:v>155.35000000000025</c:v>
                </c:pt>
                <c:pt idx="88">
                  <c:v>155.16999999999999</c:v>
                </c:pt>
                <c:pt idx="89">
                  <c:v>155.16999999999999</c:v>
                </c:pt>
                <c:pt idx="90">
                  <c:v>155.16999999999999</c:v>
                </c:pt>
                <c:pt idx="91">
                  <c:v>155.16999999999999</c:v>
                </c:pt>
                <c:pt idx="92">
                  <c:v>155.16999999999999</c:v>
                </c:pt>
                <c:pt idx="93">
                  <c:v>152.91999999999999</c:v>
                </c:pt>
                <c:pt idx="94">
                  <c:v>151.47999999999999</c:v>
                </c:pt>
                <c:pt idx="95">
                  <c:v>149.69999999999999</c:v>
                </c:pt>
                <c:pt idx="96">
                  <c:v>149.69999999999999</c:v>
                </c:pt>
                <c:pt idx="97">
                  <c:v>149.69999999999999</c:v>
                </c:pt>
                <c:pt idx="98">
                  <c:v>150.65</c:v>
                </c:pt>
                <c:pt idx="99">
                  <c:v>151.31</c:v>
                </c:pt>
                <c:pt idx="100">
                  <c:v>149.30000000000001</c:v>
                </c:pt>
                <c:pt idx="101">
                  <c:v>149.76</c:v>
                </c:pt>
                <c:pt idx="102">
                  <c:v>149.23999999999998</c:v>
                </c:pt>
                <c:pt idx="103">
                  <c:v>149.23999999999998</c:v>
                </c:pt>
                <c:pt idx="104">
                  <c:v>149.23999999999998</c:v>
                </c:pt>
                <c:pt idx="105">
                  <c:v>149.39000000000001</c:v>
                </c:pt>
                <c:pt idx="106">
                  <c:v>149.15</c:v>
                </c:pt>
                <c:pt idx="107">
                  <c:v>148.36000000000001</c:v>
                </c:pt>
                <c:pt idx="108">
                  <c:v>149.44</c:v>
                </c:pt>
                <c:pt idx="109">
                  <c:v>148.89000000000001</c:v>
                </c:pt>
                <c:pt idx="110">
                  <c:v>148.89000000000001</c:v>
                </c:pt>
                <c:pt idx="111">
                  <c:v>148.89000000000001</c:v>
                </c:pt>
                <c:pt idx="112">
                  <c:v>149.20999999999998</c:v>
                </c:pt>
                <c:pt idx="113">
                  <c:v>150.32000000000025</c:v>
                </c:pt>
                <c:pt idx="114">
                  <c:v>149.75</c:v>
                </c:pt>
                <c:pt idx="115">
                  <c:v>153.04</c:v>
                </c:pt>
                <c:pt idx="116">
                  <c:v>152.46</c:v>
                </c:pt>
                <c:pt idx="117">
                  <c:v>152.46</c:v>
                </c:pt>
                <c:pt idx="118">
                  <c:v>152.46</c:v>
                </c:pt>
                <c:pt idx="119">
                  <c:v>154.13999999999999</c:v>
                </c:pt>
                <c:pt idx="120">
                  <c:v>152.54</c:v>
                </c:pt>
                <c:pt idx="121">
                  <c:v>152.13</c:v>
                </c:pt>
                <c:pt idx="122">
                  <c:v>154.66</c:v>
                </c:pt>
                <c:pt idx="123">
                  <c:v>156.06</c:v>
                </c:pt>
                <c:pt idx="124">
                  <c:v>156.06</c:v>
                </c:pt>
                <c:pt idx="125">
                  <c:v>156.06</c:v>
                </c:pt>
                <c:pt idx="126">
                  <c:v>155.19999999999999</c:v>
                </c:pt>
                <c:pt idx="127">
                  <c:v>155.79</c:v>
                </c:pt>
                <c:pt idx="128">
                  <c:v>154.59</c:v>
                </c:pt>
                <c:pt idx="129">
                  <c:v>153.63</c:v>
                </c:pt>
                <c:pt idx="130">
                  <c:v>154.82000000000025</c:v>
                </c:pt>
                <c:pt idx="131">
                  <c:v>154.82000000000025</c:v>
                </c:pt>
                <c:pt idx="132">
                  <c:v>154.82000000000025</c:v>
                </c:pt>
                <c:pt idx="133">
                  <c:v>153.5</c:v>
                </c:pt>
                <c:pt idx="134">
                  <c:v>153.26</c:v>
                </c:pt>
                <c:pt idx="135">
                  <c:v>153.63</c:v>
                </c:pt>
                <c:pt idx="136">
                  <c:v>154.25</c:v>
                </c:pt>
                <c:pt idx="137">
                  <c:v>153.26</c:v>
                </c:pt>
                <c:pt idx="138">
                  <c:v>153.26</c:v>
                </c:pt>
                <c:pt idx="139">
                  <c:v>153.26</c:v>
                </c:pt>
                <c:pt idx="140">
                  <c:v>153.76</c:v>
                </c:pt>
                <c:pt idx="141">
                  <c:v>153.96</c:v>
                </c:pt>
                <c:pt idx="142">
                  <c:v>151.54</c:v>
                </c:pt>
                <c:pt idx="143">
                  <c:v>151.84</c:v>
                </c:pt>
                <c:pt idx="144">
                  <c:v>153.78</c:v>
                </c:pt>
                <c:pt idx="145">
                  <c:v>153.78</c:v>
                </c:pt>
                <c:pt idx="146">
                  <c:v>153.78</c:v>
                </c:pt>
                <c:pt idx="147">
                  <c:v>157.53</c:v>
                </c:pt>
                <c:pt idx="148">
                  <c:v>157.44999999999999</c:v>
                </c:pt>
                <c:pt idx="149">
                  <c:v>156.34</c:v>
                </c:pt>
                <c:pt idx="150">
                  <c:v>155.93</c:v>
                </c:pt>
                <c:pt idx="151">
                  <c:v>156.02000000000001</c:v>
                </c:pt>
                <c:pt idx="152">
                  <c:v>156.02000000000001</c:v>
                </c:pt>
                <c:pt idx="153">
                  <c:v>156.02000000000001</c:v>
                </c:pt>
                <c:pt idx="154">
                  <c:v>156.02000000000001</c:v>
                </c:pt>
                <c:pt idx="155">
                  <c:v>155.13</c:v>
                </c:pt>
                <c:pt idx="156">
                  <c:v>154.87</c:v>
                </c:pt>
                <c:pt idx="157">
                  <c:v>155.86000000000001</c:v>
                </c:pt>
                <c:pt idx="158">
                  <c:v>154.29</c:v>
                </c:pt>
                <c:pt idx="159">
                  <c:v>154.29</c:v>
                </c:pt>
                <c:pt idx="160">
                  <c:v>154.29</c:v>
                </c:pt>
                <c:pt idx="161">
                  <c:v>156.66</c:v>
                </c:pt>
                <c:pt idx="162">
                  <c:v>153.66</c:v>
                </c:pt>
                <c:pt idx="163">
                  <c:v>152.81</c:v>
                </c:pt>
                <c:pt idx="164">
                  <c:v>152.57</c:v>
                </c:pt>
                <c:pt idx="165">
                  <c:v>152.19</c:v>
                </c:pt>
                <c:pt idx="166">
                  <c:v>152.19</c:v>
                </c:pt>
                <c:pt idx="167">
                  <c:v>152.19</c:v>
                </c:pt>
                <c:pt idx="168">
                  <c:v>153.09</c:v>
                </c:pt>
                <c:pt idx="169">
                  <c:v>153.44</c:v>
                </c:pt>
                <c:pt idx="170">
                  <c:v>151.81</c:v>
                </c:pt>
                <c:pt idx="171">
                  <c:v>151.9</c:v>
                </c:pt>
                <c:pt idx="172">
                  <c:v>151.23999999999998</c:v>
                </c:pt>
                <c:pt idx="173">
                  <c:v>151.23999999999998</c:v>
                </c:pt>
                <c:pt idx="174">
                  <c:v>151.23999999999998</c:v>
                </c:pt>
                <c:pt idx="175">
                  <c:v>150.86000000000001</c:v>
                </c:pt>
                <c:pt idx="176">
                  <c:v>149.26999999999998</c:v>
                </c:pt>
                <c:pt idx="177">
                  <c:v>149.63999999999999</c:v>
                </c:pt>
                <c:pt idx="178">
                  <c:v>149.76</c:v>
                </c:pt>
                <c:pt idx="179">
                  <c:v>149.41</c:v>
                </c:pt>
                <c:pt idx="180">
                  <c:v>149.41</c:v>
                </c:pt>
                <c:pt idx="181">
                  <c:v>149.41</c:v>
                </c:pt>
              </c:numCache>
            </c:numRef>
          </c:val>
          <c:extLst xmlns:c16r2="http://schemas.microsoft.com/office/drawing/2015/06/chart">
            <c:ext xmlns:c16="http://schemas.microsoft.com/office/drawing/2014/chart" uri="{C3380CC4-5D6E-409C-BE32-E72D297353CC}">
              <c16:uniqueId val="{00000000-0604-46B4-B111-A20E428C8637}"/>
            </c:ext>
          </c:extLst>
        </c:ser>
        <c:dLbls>
          <c:showLegendKey val="0"/>
          <c:showVal val="0"/>
          <c:showCatName val="0"/>
          <c:showSerName val="0"/>
          <c:showPercent val="0"/>
          <c:showBubbleSize val="0"/>
        </c:dLbls>
        <c:axId val="147314176"/>
        <c:axId val="147315712"/>
      </c:areaChart>
      <c:dateAx>
        <c:axId val="147314176"/>
        <c:scaling>
          <c:orientation val="minMax"/>
        </c:scaling>
        <c:delete val="0"/>
        <c:axPos val="b"/>
        <c:numFmt formatCode="dd/mm" sourceLinked="0"/>
        <c:majorTickMark val="out"/>
        <c:minorTickMark val="none"/>
        <c:tickLblPos val="nextTo"/>
        <c:txPr>
          <a:bodyPr rot="-5400000" vert="horz"/>
          <a:lstStyle/>
          <a:p>
            <a:pPr>
              <a:defRPr lang="en-US"/>
            </a:pPr>
            <a:endParaRPr lang="bg-BG"/>
          </a:p>
        </c:txPr>
        <c:crossAx val="147315712"/>
        <c:crosses val="autoZero"/>
        <c:auto val="0"/>
        <c:lblOffset val="100"/>
        <c:baseTimeUnit val="days"/>
        <c:majorUnit val="10"/>
        <c:majorTimeUnit val="days"/>
      </c:dateAx>
      <c:valAx>
        <c:axId val="147315712"/>
        <c:scaling>
          <c:orientation val="minMax"/>
        </c:scaling>
        <c:delete val="0"/>
        <c:axPos val="l"/>
        <c:majorGridlines/>
        <c:numFmt formatCode="#,##0" sourceLinked="0"/>
        <c:majorTickMark val="out"/>
        <c:minorTickMark val="none"/>
        <c:tickLblPos val="nextTo"/>
        <c:txPr>
          <a:bodyPr/>
          <a:lstStyle/>
          <a:p>
            <a:pPr>
              <a:defRPr lang="en-US"/>
            </a:pPr>
            <a:endParaRPr lang="bg-BG"/>
          </a:p>
        </c:txPr>
        <c:crossAx val="147314176"/>
        <c:crosses val="autoZero"/>
        <c:crossBetween val="midCat"/>
      </c:valAx>
    </c:plotArea>
    <c:plotVisOnly val="1"/>
    <c:dispBlanksAs val="zero"/>
    <c:showDLblsOverMax val="0"/>
  </c:chart>
  <c:spPr>
    <a:ln>
      <a:noFill/>
    </a:ln>
  </c:spPr>
  <c:txPr>
    <a:bodyPr/>
    <a:lstStyle/>
    <a:p>
      <a:pPr>
        <a:defRPr sz="600">
          <a:latin typeface="News Gothic Cyr" panose="020B0503020103020203" pitchFamily="34" charset="-52"/>
        </a:defRPr>
      </a:pPr>
      <a:endParaRPr lang="bg-BG"/>
    </a:p>
  </c:txPr>
  <c:externalData r:id="rId1">
    <c:autoUpdate val="0"/>
  </c:externalData>
  <c:userShapes r:id="rId2"/>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bg-BG"/>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
          <c:y val="2.0833333333333412E-2"/>
          <c:w val="1"/>
          <c:h val="0.9555857548901816"/>
        </c:manualLayout>
      </c:layout>
      <c:pie3DChart>
        <c:varyColors val="1"/>
        <c:ser>
          <c:idx val="0"/>
          <c:order val="0"/>
          <c:explosion val="25"/>
          <c:dLbls>
            <c:dLbl>
              <c:idx val="0"/>
              <c:layout>
                <c:manualLayout>
                  <c:x val="-0.12925783901118124"/>
                  <c:y val="-7.3696113299992372E-2"/>
                </c:manualLayout>
              </c:layout>
              <c:showLegendKey val="0"/>
              <c:showVal val="1"/>
              <c:showCatName val="1"/>
              <c:showSerName val="0"/>
              <c:showPercent val="1"/>
              <c:showBubbleSize val="0"/>
              <c:separator>
</c:separato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C767-4CB2-9F46-79BC04009259}"/>
                </c:ext>
              </c:extLst>
            </c:dLbl>
            <c:dLbl>
              <c:idx val="1"/>
              <c:layout>
                <c:manualLayout>
                  <c:x val="0.19861728406696158"/>
                  <c:y val="-0.29718016565514188"/>
                </c:manualLayout>
              </c:layout>
              <c:showLegendKey val="0"/>
              <c:showVal val="1"/>
              <c:showCatName val="1"/>
              <c:showSerName val="0"/>
              <c:showPercent val="1"/>
              <c:showBubbleSize val="0"/>
              <c:separator>
</c:separato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C767-4CB2-9F46-79BC04009259}"/>
                </c:ext>
              </c:extLst>
            </c:dLbl>
            <c:numFmt formatCode="0.00%" sourceLinked="0"/>
            <c:spPr>
              <a:noFill/>
              <a:ln>
                <a:noFill/>
              </a:ln>
              <a:effectLst/>
            </c:spPr>
            <c:txPr>
              <a:bodyPr/>
              <a:lstStyle/>
              <a:p>
                <a:pPr>
                  <a:defRPr lang="en-US" sz="1000">
                    <a:solidFill>
                      <a:schemeClr val="bg1"/>
                    </a:solidFill>
                    <a:latin typeface="Calibri" pitchFamily="34" charset="0"/>
                  </a:defRPr>
                </a:pPr>
                <a:endParaRPr lang="bg-BG"/>
              </a:p>
            </c:txPr>
            <c:showLegendKey val="0"/>
            <c:showVal val="1"/>
            <c:showCatName val="1"/>
            <c:showSerName val="0"/>
            <c:showPercent val="1"/>
            <c:showBubbleSize val="0"/>
            <c:separator>
</c:separator>
            <c:showLeaderLines val="1"/>
            <c:extLst xmlns:c16r2="http://schemas.microsoft.com/office/drawing/2015/06/chart">
              <c:ext xmlns:c15="http://schemas.microsoft.com/office/drawing/2012/chart" uri="{CE6537A1-D6FC-4f65-9D91-7224C49458BB}"/>
            </c:extLst>
          </c:dLbls>
          <c:cat>
            <c:strRef>
              <c:f>Shareholders!$B$3:$B$6</c:f>
              <c:strCache>
                <c:ptCount val="4"/>
                <c:pt idx="0">
                  <c:v>Министерство на финансите</c:v>
                </c:pt>
                <c:pt idx="1">
                  <c:v>Инвестиционни посредници и търговски банки</c:v>
                </c:pt>
                <c:pt idx="2">
                  <c:v>Други юридически лица</c:v>
                </c:pt>
                <c:pt idx="3">
                  <c:v>Физически лица</c:v>
                </c:pt>
              </c:strCache>
            </c:strRef>
          </c:cat>
          <c:val>
            <c:numRef>
              <c:f>Shareholders!$C$3:$C$6</c:f>
              <c:numCache>
                <c:formatCode>#,##0</c:formatCode>
                <c:ptCount val="4"/>
                <c:pt idx="0">
                  <c:v>3295000</c:v>
                </c:pt>
                <c:pt idx="1">
                  <c:v>1016875</c:v>
                </c:pt>
                <c:pt idx="2">
                  <c:v>1338102</c:v>
                </c:pt>
                <c:pt idx="3">
                  <c:v>932883</c:v>
                </c:pt>
              </c:numCache>
            </c:numRef>
          </c:val>
          <c:extLst xmlns:c16r2="http://schemas.microsoft.com/office/drawing/2015/06/chart">
            <c:ext xmlns:c16="http://schemas.microsoft.com/office/drawing/2014/chart" uri="{C3380CC4-5D6E-409C-BE32-E72D297353CC}">
              <c16:uniqueId val="{00000000-D7A1-4610-82CA-CAC845D5CBB6}"/>
            </c:ext>
          </c:extLst>
        </c:ser>
        <c:dLbls>
          <c:showLegendKey val="0"/>
          <c:showVal val="0"/>
          <c:showCatName val="0"/>
          <c:showSerName val="0"/>
          <c:showPercent val="0"/>
          <c:showBubbleSize val="0"/>
          <c:showLeaderLines val="1"/>
        </c:dLbls>
      </c:pie3DChart>
    </c:plotArea>
    <c:plotVisOnly val="1"/>
    <c:dispBlanksAs val="zero"/>
    <c:showDLblsOverMax val="0"/>
  </c:chart>
  <c:spPr>
    <a:ln>
      <a:noFill/>
    </a:ln>
  </c:spPr>
  <c:txPr>
    <a:bodyPr/>
    <a:lstStyle/>
    <a:p>
      <a:pPr>
        <a:defRPr sz="600">
          <a:latin typeface="News Gothic Cyr" panose="020B0503020103020203" pitchFamily="34" charset="-52"/>
        </a:defRPr>
      </a:pPr>
      <a:endParaRPr lang="bg-BG"/>
    </a:p>
  </c:tx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0.54529</cdr:x>
      <cdr:y>0.02653</cdr:y>
    </cdr:from>
    <cdr:to>
      <cdr:x>0.97172</cdr:x>
      <cdr:y>0.84048</cdr:y>
    </cdr:to>
    <cdr:sp macro="" textlink="">
      <cdr:nvSpPr>
        <cdr:cNvPr id="2" name="Rectangle 1"/>
        <cdr:cNvSpPr/>
      </cdr:nvSpPr>
      <cdr:spPr>
        <a:xfrm xmlns:a="http://schemas.openxmlformats.org/drawingml/2006/main">
          <a:off x="1751610" y="62039"/>
          <a:ext cx="1369822" cy="1903328"/>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0.09956</cdr:x>
      <cdr:y>0.00634</cdr:y>
    </cdr:from>
    <cdr:to>
      <cdr:x>0.21306</cdr:x>
      <cdr:y>0.13322</cdr:y>
    </cdr:to>
    <cdr:sp macro="" textlink="">
      <cdr:nvSpPr>
        <cdr:cNvPr id="3" name="TextBox 2"/>
        <cdr:cNvSpPr txBox="1"/>
      </cdr:nvSpPr>
      <cdr:spPr>
        <a:xfrm xmlns:a="http://schemas.openxmlformats.org/drawingml/2006/main">
          <a:off x="297657" y="13096"/>
          <a:ext cx="339328" cy="26193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Q4</a:t>
          </a:r>
        </a:p>
      </cdr:txBody>
    </cdr:sp>
  </cdr:relSizeAnchor>
  <cdr:relSizeAnchor xmlns:cdr="http://schemas.openxmlformats.org/drawingml/2006/chartDrawing">
    <cdr:from>
      <cdr:x>0.84933</cdr:x>
      <cdr:y>0.00731</cdr:y>
    </cdr:from>
    <cdr:to>
      <cdr:x>0.96283</cdr:x>
      <cdr:y>0.11592</cdr:y>
    </cdr:to>
    <cdr:sp macro="" textlink="">
      <cdr:nvSpPr>
        <cdr:cNvPr id="4" name="TextBox 1"/>
        <cdr:cNvSpPr txBox="1"/>
      </cdr:nvSpPr>
      <cdr:spPr>
        <a:xfrm xmlns:a="http://schemas.openxmlformats.org/drawingml/2006/main">
          <a:off x="2539207" y="15082"/>
          <a:ext cx="339328" cy="2242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Q1</a:t>
          </a:r>
        </a:p>
      </cdr:txBody>
    </cdr:sp>
  </cdr:relSizeAnchor>
</c:userShapes>
</file>

<file path=word/drawings/drawing2.xml><?xml version="1.0" encoding="utf-8"?>
<c:userShapes xmlns:c="http://schemas.openxmlformats.org/drawingml/2006/chart">
  <cdr:relSizeAnchor xmlns:cdr="http://schemas.openxmlformats.org/drawingml/2006/chartDrawing">
    <cdr:from>
      <cdr:x>0.54264</cdr:x>
      <cdr:y>0.02653</cdr:y>
    </cdr:from>
    <cdr:to>
      <cdr:x>0.97172</cdr:x>
      <cdr:y>0.83503</cdr:y>
    </cdr:to>
    <cdr:sp macro="" textlink="">
      <cdr:nvSpPr>
        <cdr:cNvPr id="2" name="Rectangle 1"/>
        <cdr:cNvSpPr/>
      </cdr:nvSpPr>
      <cdr:spPr>
        <a:xfrm xmlns:a="http://schemas.openxmlformats.org/drawingml/2006/main">
          <a:off x="1662546" y="62065"/>
          <a:ext cx="1314642" cy="1891426"/>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0.09956</cdr:x>
      <cdr:y>0.00634</cdr:y>
    </cdr:from>
    <cdr:to>
      <cdr:x>0.21306</cdr:x>
      <cdr:y>0.13322</cdr:y>
    </cdr:to>
    <cdr:sp macro="" textlink="">
      <cdr:nvSpPr>
        <cdr:cNvPr id="3" name="TextBox 2"/>
        <cdr:cNvSpPr txBox="1"/>
      </cdr:nvSpPr>
      <cdr:spPr>
        <a:xfrm xmlns:a="http://schemas.openxmlformats.org/drawingml/2006/main">
          <a:off x="297657" y="13096"/>
          <a:ext cx="339328" cy="26193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Q4</a:t>
          </a:r>
        </a:p>
      </cdr:txBody>
    </cdr:sp>
  </cdr:relSizeAnchor>
  <cdr:relSizeAnchor xmlns:cdr="http://schemas.openxmlformats.org/drawingml/2006/chartDrawing">
    <cdr:from>
      <cdr:x>0.84933</cdr:x>
      <cdr:y>0.00731</cdr:y>
    </cdr:from>
    <cdr:to>
      <cdr:x>0.96283</cdr:x>
      <cdr:y>0.11592</cdr:y>
    </cdr:to>
    <cdr:sp macro="" textlink="">
      <cdr:nvSpPr>
        <cdr:cNvPr id="4" name="TextBox 1"/>
        <cdr:cNvSpPr txBox="1"/>
      </cdr:nvSpPr>
      <cdr:spPr>
        <a:xfrm xmlns:a="http://schemas.openxmlformats.org/drawingml/2006/main">
          <a:off x="2539207" y="15082"/>
          <a:ext cx="339328" cy="2242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Q1</a:t>
          </a:r>
        </a:p>
      </cdr:txBody>
    </cdr:sp>
  </cdr:relSizeAnchor>
</c:userShapes>
</file>

<file path=word/drawings/drawing3.xml><?xml version="1.0" encoding="utf-8"?>
<c:userShapes xmlns:c="http://schemas.openxmlformats.org/drawingml/2006/chart">
  <cdr:relSizeAnchor xmlns:cdr="http://schemas.openxmlformats.org/drawingml/2006/chartDrawing">
    <cdr:from>
      <cdr:x>0.54274</cdr:x>
      <cdr:y>0.02653</cdr:y>
    </cdr:from>
    <cdr:to>
      <cdr:x>0.97172</cdr:x>
      <cdr:y>0.83459</cdr:y>
    </cdr:to>
    <cdr:sp macro="" textlink="">
      <cdr:nvSpPr>
        <cdr:cNvPr id="2" name="Rectangle 1"/>
        <cdr:cNvSpPr/>
      </cdr:nvSpPr>
      <cdr:spPr>
        <a:xfrm xmlns:a="http://schemas.openxmlformats.org/drawingml/2006/main">
          <a:off x="1620982" y="62853"/>
          <a:ext cx="1281200" cy="1914389"/>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0.09956</cdr:x>
      <cdr:y>0.00634</cdr:y>
    </cdr:from>
    <cdr:to>
      <cdr:x>0.21306</cdr:x>
      <cdr:y>0.13322</cdr:y>
    </cdr:to>
    <cdr:sp macro="" textlink="">
      <cdr:nvSpPr>
        <cdr:cNvPr id="3" name="TextBox 2"/>
        <cdr:cNvSpPr txBox="1"/>
      </cdr:nvSpPr>
      <cdr:spPr>
        <a:xfrm xmlns:a="http://schemas.openxmlformats.org/drawingml/2006/main">
          <a:off x="297657" y="13096"/>
          <a:ext cx="339328" cy="26193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Q4</a:t>
          </a:r>
        </a:p>
      </cdr:txBody>
    </cdr:sp>
  </cdr:relSizeAnchor>
  <cdr:relSizeAnchor xmlns:cdr="http://schemas.openxmlformats.org/drawingml/2006/chartDrawing">
    <cdr:from>
      <cdr:x>0.84933</cdr:x>
      <cdr:y>0.00731</cdr:y>
    </cdr:from>
    <cdr:to>
      <cdr:x>0.96283</cdr:x>
      <cdr:y>0.11592</cdr:y>
    </cdr:to>
    <cdr:sp macro="" textlink="">
      <cdr:nvSpPr>
        <cdr:cNvPr id="4" name="TextBox 1"/>
        <cdr:cNvSpPr txBox="1"/>
      </cdr:nvSpPr>
      <cdr:spPr>
        <a:xfrm xmlns:a="http://schemas.openxmlformats.org/drawingml/2006/main">
          <a:off x="2539207" y="15082"/>
          <a:ext cx="339328" cy="2242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Q1</a:t>
          </a:r>
        </a:p>
      </cdr:txBody>
    </cdr:sp>
  </cdr:relSizeAnchor>
</c:userShapes>
</file>

<file path=word/drawings/drawing4.xml><?xml version="1.0" encoding="utf-8"?>
<c:userShapes xmlns:c="http://schemas.openxmlformats.org/drawingml/2006/chart">
  <cdr:relSizeAnchor xmlns:cdr="http://schemas.openxmlformats.org/drawingml/2006/chartDrawing">
    <cdr:from>
      <cdr:x>0.54681</cdr:x>
      <cdr:y>0.02653</cdr:y>
    </cdr:from>
    <cdr:to>
      <cdr:x>0.97172</cdr:x>
      <cdr:y>0.83709</cdr:y>
    </cdr:to>
    <cdr:sp macro="" textlink="">
      <cdr:nvSpPr>
        <cdr:cNvPr id="2" name="Rectangle 1"/>
        <cdr:cNvSpPr/>
      </cdr:nvSpPr>
      <cdr:spPr>
        <a:xfrm xmlns:a="http://schemas.openxmlformats.org/drawingml/2006/main">
          <a:off x="1525979" y="62852"/>
          <a:ext cx="1185801" cy="1920327"/>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0.09956</cdr:x>
      <cdr:y>0.00634</cdr:y>
    </cdr:from>
    <cdr:to>
      <cdr:x>0.21306</cdr:x>
      <cdr:y>0.13322</cdr:y>
    </cdr:to>
    <cdr:sp macro="" textlink="">
      <cdr:nvSpPr>
        <cdr:cNvPr id="3" name="TextBox 2"/>
        <cdr:cNvSpPr txBox="1"/>
      </cdr:nvSpPr>
      <cdr:spPr>
        <a:xfrm xmlns:a="http://schemas.openxmlformats.org/drawingml/2006/main">
          <a:off x="297657" y="13096"/>
          <a:ext cx="339328" cy="26193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Q4</a:t>
          </a:r>
        </a:p>
      </cdr:txBody>
    </cdr:sp>
  </cdr:relSizeAnchor>
  <cdr:relSizeAnchor xmlns:cdr="http://schemas.openxmlformats.org/drawingml/2006/chartDrawing">
    <cdr:from>
      <cdr:x>0.84933</cdr:x>
      <cdr:y>0.00731</cdr:y>
    </cdr:from>
    <cdr:to>
      <cdr:x>0.96283</cdr:x>
      <cdr:y>0.11592</cdr:y>
    </cdr:to>
    <cdr:sp macro="" textlink="">
      <cdr:nvSpPr>
        <cdr:cNvPr id="4" name="TextBox 1"/>
        <cdr:cNvSpPr txBox="1"/>
      </cdr:nvSpPr>
      <cdr:spPr>
        <a:xfrm xmlns:a="http://schemas.openxmlformats.org/drawingml/2006/main">
          <a:off x="2539207" y="15082"/>
          <a:ext cx="339328" cy="2242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Q1</a:t>
          </a:r>
        </a:p>
      </cdr:txBody>
    </cdr:sp>
  </cdr:relSizeAnchor>
</c:userShapes>
</file>

<file path=word/drawings/drawing5.xml><?xml version="1.0" encoding="utf-8"?>
<c:userShapes xmlns:c="http://schemas.openxmlformats.org/drawingml/2006/chart">
  <cdr:relSizeAnchor xmlns:cdr="http://schemas.openxmlformats.org/drawingml/2006/chartDrawing">
    <cdr:from>
      <cdr:x>0.49488</cdr:x>
      <cdr:y>0.05334</cdr:y>
    </cdr:from>
    <cdr:to>
      <cdr:x>0.93997</cdr:x>
      <cdr:y>0.87713</cdr:y>
    </cdr:to>
    <cdr:sp macro="" textlink="">
      <cdr:nvSpPr>
        <cdr:cNvPr id="2" name="Rectangle 1"/>
        <cdr:cNvSpPr/>
      </cdr:nvSpPr>
      <cdr:spPr>
        <a:xfrm xmlns:a="http://schemas.openxmlformats.org/drawingml/2006/main">
          <a:off x="2006930" y="167543"/>
          <a:ext cx="1805049" cy="2587531"/>
        </a:xfrm>
        <a:prstGeom xmlns:a="http://schemas.openxmlformats.org/drawingml/2006/main" prst="rect">
          <a:avLst/>
        </a:prstGeom>
        <a:solidFill xmlns:a="http://schemas.openxmlformats.org/drawingml/2006/main">
          <a:schemeClr val="accent6">
            <a:alpha val="1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0.08703</cdr:x>
      <cdr:y>0.47667</cdr:y>
    </cdr:from>
    <cdr:to>
      <cdr:x>0.22055</cdr:x>
      <cdr:y>0.57685</cdr:y>
    </cdr:to>
    <cdr:sp macro="" textlink="">
      <cdr:nvSpPr>
        <cdr:cNvPr id="3" name="TextBox 2"/>
        <cdr:cNvSpPr txBox="1"/>
      </cdr:nvSpPr>
      <cdr:spPr>
        <a:xfrm xmlns:a="http://schemas.openxmlformats.org/drawingml/2006/main">
          <a:off x="392934" y="1131729"/>
          <a:ext cx="602808" cy="237864"/>
        </a:xfrm>
        <a:prstGeom xmlns:a="http://schemas.openxmlformats.org/drawingml/2006/main" prst="rect">
          <a:avLst/>
        </a:prstGeom>
      </cdr:spPr>
      <cdr:txBody>
        <a:bodyPr xmlns:a="http://schemas.openxmlformats.org/drawingml/2006/main" vertOverflow="clip" wrap="none" tIns="18000" bIns="18000" rtlCol="0"/>
        <a:lstStyle xmlns:a="http://schemas.openxmlformats.org/drawingml/2006/main"/>
        <a:p xmlns:a="http://schemas.openxmlformats.org/drawingml/2006/main">
          <a:r>
            <a:rPr lang="en-US" sz="1100">
              <a:latin typeface="Calibri" pitchFamily="34" charset="0"/>
            </a:rPr>
            <a:t>Q4</a:t>
          </a:r>
          <a:r>
            <a:rPr lang="en-US" sz="1100" baseline="0">
              <a:latin typeface="Calibri" pitchFamily="34" charset="0"/>
            </a:rPr>
            <a:t> '18</a:t>
          </a:r>
          <a:endParaRPr lang="en-US" sz="1100">
            <a:latin typeface="Calibri" pitchFamily="34" charset="0"/>
          </a:endParaRPr>
        </a:p>
      </cdr:txBody>
    </cdr:sp>
  </cdr:relSizeAnchor>
  <cdr:relSizeAnchor xmlns:cdr="http://schemas.openxmlformats.org/drawingml/2006/chartDrawing">
    <cdr:from>
      <cdr:x>0.80304</cdr:x>
      <cdr:y>0.05773</cdr:y>
    </cdr:from>
    <cdr:to>
      <cdr:x>0.93657</cdr:x>
      <cdr:y>0.14174</cdr:y>
    </cdr:to>
    <cdr:sp macro="" textlink="">
      <cdr:nvSpPr>
        <cdr:cNvPr id="4" name="TextBox 1"/>
        <cdr:cNvSpPr txBox="1"/>
      </cdr:nvSpPr>
      <cdr:spPr>
        <a:xfrm xmlns:a="http://schemas.openxmlformats.org/drawingml/2006/main">
          <a:off x="3625498" y="137061"/>
          <a:ext cx="602853" cy="199476"/>
        </a:xfrm>
        <a:prstGeom xmlns:a="http://schemas.openxmlformats.org/drawingml/2006/main" prst="rect">
          <a:avLst/>
        </a:prstGeom>
      </cdr:spPr>
      <cdr:txBody>
        <a:bodyPr xmlns:a="http://schemas.openxmlformats.org/drawingml/2006/main" wrap="none" tIns="18000" bIns="1800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baseline="0"/>
            <a:t>Q1 '19</a:t>
          </a:r>
          <a:endParaRPr lang="en-US" sz="1100"/>
        </a:p>
      </cdr:txBody>
    </cdr:sp>
  </cdr:relSizeAnchor>
</c:userShapes>
</file>

<file path=word/drawings/drawing6.xml><?xml version="1.0" encoding="utf-8"?>
<c:userShapes xmlns:c="http://schemas.openxmlformats.org/drawingml/2006/chart">
  <cdr:relSizeAnchor xmlns:cdr="http://schemas.openxmlformats.org/drawingml/2006/chartDrawing">
    <cdr:from>
      <cdr:x>0.52471</cdr:x>
      <cdr:y>0.02653</cdr:y>
    </cdr:from>
    <cdr:to>
      <cdr:x>0.97509</cdr:x>
      <cdr:y>0.84167</cdr:y>
    </cdr:to>
    <cdr:sp macro="" textlink="">
      <cdr:nvSpPr>
        <cdr:cNvPr id="2" name="Rectangle 1"/>
        <cdr:cNvSpPr/>
      </cdr:nvSpPr>
      <cdr:spPr>
        <a:xfrm xmlns:a="http://schemas.openxmlformats.org/drawingml/2006/main">
          <a:off x="1625684" y="56710"/>
          <a:ext cx="1395350" cy="1742402"/>
        </a:xfrm>
        <a:prstGeom xmlns:a="http://schemas.openxmlformats.org/drawingml/2006/main" prst="rect">
          <a:avLst/>
        </a:prstGeom>
        <a:solidFill xmlns:a="http://schemas.openxmlformats.org/drawingml/2006/main">
          <a:schemeClr val="accent1">
            <a:alpha val="25000"/>
          </a:schemeClr>
        </a:solidFill>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rot="0" spcFirstLastPara="0" vert="horz" wrap="square" lIns="91440" tIns="45720" rIns="91440" bIns="45720" numCol="1" spcCol="0" rtlCol="0" fromWordArt="0" anchor="t" anchorCtr="0" forceAA="0" compatLnSpc="1">
          <a:prstTxWarp prst="textNoShape">
            <a:avLst/>
          </a:prstTxWarp>
          <a:noAutofit/>
        </a:bodyPr>
        <a:lstStyle xmlns:a="http://schemas.openxmlformats.org/drawingml/2006/main">
          <a:lvl1pPr marL="0" indent="0">
            <a:defRPr sz="1100">
              <a:solidFill>
                <a:schemeClr val="lt1"/>
              </a:solidFill>
              <a:latin typeface="+mn-lt"/>
              <a:ea typeface="+mn-ea"/>
              <a:cs typeface="+mn-cs"/>
            </a:defRPr>
          </a:lvl1pPr>
          <a:lvl2pPr marL="457200" indent="0">
            <a:defRPr sz="1100">
              <a:solidFill>
                <a:schemeClr val="lt1"/>
              </a:solidFill>
              <a:latin typeface="+mn-lt"/>
              <a:ea typeface="+mn-ea"/>
              <a:cs typeface="+mn-cs"/>
            </a:defRPr>
          </a:lvl2pPr>
          <a:lvl3pPr marL="914400" indent="0">
            <a:defRPr sz="1100">
              <a:solidFill>
                <a:schemeClr val="lt1"/>
              </a:solidFill>
              <a:latin typeface="+mn-lt"/>
              <a:ea typeface="+mn-ea"/>
              <a:cs typeface="+mn-cs"/>
            </a:defRPr>
          </a:lvl3pPr>
          <a:lvl4pPr marL="1371600" indent="0">
            <a:defRPr sz="1100">
              <a:solidFill>
                <a:schemeClr val="lt1"/>
              </a:solidFill>
              <a:latin typeface="+mn-lt"/>
              <a:ea typeface="+mn-ea"/>
              <a:cs typeface="+mn-cs"/>
            </a:defRPr>
          </a:lvl4pPr>
          <a:lvl5pPr marL="1828800" indent="0">
            <a:defRPr sz="1100">
              <a:solidFill>
                <a:schemeClr val="lt1"/>
              </a:solidFill>
              <a:latin typeface="+mn-lt"/>
              <a:ea typeface="+mn-ea"/>
              <a:cs typeface="+mn-cs"/>
            </a:defRPr>
          </a:lvl5pPr>
          <a:lvl6pPr marL="2286000" indent="0">
            <a:defRPr sz="1100">
              <a:solidFill>
                <a:schemeClr val="lt1"/>
              </a:solidFill>
              <a:latin typeface="+mn-lt"/>
              <a:ea typeface="+mn-ea"/>
              <a:cs typeface="+mn-cs"/>
            </a:defRPr>
          </a:lvl6pPr>
          <a:lvl7pPr marL="2743200" indent="0">
            <a:defRPr sz="1100">
              <a:solidFill>
                <a:schemeClr val="lt1"/>
              </a:solidFill>
              <a:latin typeface="+mn-lt"/>
              <a:ea typeface="+mn-ea"/>
              <a:cs typeface="+mn-cs"/>
            </a:defRPr>
          </a:lvl7pPr>
          <a:lvl8pPr marL="3200400" indent="0">
            <a:defRPr sz="1100">
              <a:solidFill>
                <a:schemeClr val="lt1"/>
              </a:solidFill>
              <a:latin typeface="+mn-lt"/>
              <a:ea typeface="+mn-ea"/>
              <a:cs typeface="+mn-cs"/>
            </a:defRPr>
          </a:lvl8pPr>
          <a:lvl9pPr marL="3657600" indent="0">
            <a:defRPr sz="1100">
              <a:solidFill>
                <a:schemeClr val="lt1"/>
              </a:solidFill>
              <a:latin typeface="+mn-lt"/>
              <a:ea typeface="+mn-ea"/>
              <a:cs typeface="+mn-cs"/>
            </a:defRPr>
          </a:lvl9pPr>
        </a:lstStyle>
        <a:p xmlns:a="http://schemas.openxmlformats.org/drawingml/2006/main">
          <a:pPr algn="l"/>
          <a:endParaRPr lang="bg-BG" sz="1100"/>
        </a:p>
      </cdr:txBody>
    </cdr:sp>
  </cdr:relSizeAnchor>
  <cdr:relSizeAnchor xmlns:cdr="http://schemas.openxmlformats.org/drawingml/2006/chartDrawing">
    <cdr:from>
      <cdr:x>0.09956</cdr:x>
      <cdr:y>0.00634</cdr:y>
    </cdr:from>
    <cdr:to>
      <cdr:x>0.21306</cdr:x>
      <cdr:y>0.13322</cdr:y>
    </cdr:to>
    <cdr:sp macro="" textlink="">
      <cdr:nvSpPr>
        <cdr:cNvPr id="3" name="TextBox 2"/>
        <cdr:cNvSpPr txBox="1"/>
      </cdr:nvSpPr>
      <cdr:spPr>
        <a:xfrm xmlns:a="http://schemas.openxmlformats.org/drawingml/2006/main">
          <a:off x="297657" y="13096"/>
          <a:ext cx="339328" cy="261937"/>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en-US" sz="1100"/>
            <a:t>Q4</a:t>
          </a:r>
        </a:p>
      </cdr:txBody>
    </cdr:sp>
  </cdr:relSizeAnchor>
  <cdr:relSizeAnchor xmlns:cdr="http://schemas.openxmlformats.org/drawingml/2006/chartDrawing">
    <cdr:from>
      <cdr:x>0.84933</cdr:x>
      <cdr:y>0.00731</cdr:y>
    </cdr:from>
    <cdr:to>
      <cdr:x>0.96283</cdr:x>
      <cdr:y>0.11592</cdr:y>
    </cdr:to>
    <cdr:sp macro="" textlink="">
      <cdr:nvSpPr>
        <cdr:cNvPr id="4" name="TextBox 1"/>
        <cdr:cNvSpPr txBox="1"/>
      </cdr:nvSpPr>
      <cdr:spPr>
        <a:xfrm xmlns:a="http://schemas.openxmlformats.org/drawingml/2006/main">
          <a:off x="2539207" y="15082"/>
          <a:ext cx="339328" cy="224233"/>
        </a:xfrm>
        <a:prstGeom xmlns:a="http://schemas.openxmlformats.org/drawingml/2006/main" prst="rect">
          <a:avLst/>
        </a:prstGeom>
      </cdr:spPr>
      <cdr:txBody>
        <a:bodyPr xmlns:a="http://schemas.openxmlformats.org/drawingml/2006/main" wrap="non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en-US" sz="1100"/>
            <a:t>Q1</a:t>
          </a:r>
        </a:p>
      </cdr:txBody>
    </cdr:sp>
  </cdr:relSizeAnchor>
</c:userShape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5E75A9-81D7-4225-A5AD-FF282B524D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Pages>
  <Words>8082</Words>
  <Characters>46074</Characters>
  <Application>Microsoft Office Word</Application>
  <DocSecurity>4</DocSecurity>
  <Lines>383</Lines>
  <Paragraphs>108</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Доклад за дейността за Q4 2015</vt:lpstr>
      <vt:lpstr>Доклад за дейността за Q4 2015</vt:lpstr>
    </vt:vector>
  </TitlesOfParts>
  <Company/>
  <LinksUpToDate>false</LinksUpToDate>
  <CharactersWithSpaces>54048</CharactersWithSpaces>
  <SharedDoc>false</SharedDoc>
  <HLinks>
    <vt:vector size="186" baseType="variant">
      <vt:variant>
        <vt:i4>1835059</vt:i4>
      </vt:variant>
      <vt:variant>
        <vt:i4>182</vt:i4>
      </vt:variant>
      <vt:variant>
        <vt:i4>0</vt:i4>
      </vt:variant>
      <vt:variant>
        <vt:i4>5</vt:i4>
      </vt:variant>
      <vt:variant>
        <vt:lpwstr/>
      </vt:variant>
      <vt:variant>
        <vt:lpwstr>_Toc291160636</vt:lpwstr>
      </vt:variant>
      <vt:variant>
        <vt:i4>1835059</vt:i4>
      </vt:variant>
      <vt:variant>
        <vt:i4>176</vt:i4>
      </vt:variant>
      <vt:variant>
        <vt:i4>0</vt:i4>
      </vt:variant>
      <vt:variant>
        <vt:i4>5</vt:i4>
      </vt:variant>
      <vt:variant>
        <vt:lpwstr/>
      </vt:variant>
      <vt:variant>
        <vt:lpwstr>_Toc291160635</vt:lpwstr>
      </vt:variant>
      <vt:variant>
        <vt:i4>1835059</vt:i4>
      </vt:variant>
      <vt:variant>
        <vt:i4>170</vt:i4>
      </vt:variant>
      <vt:variant>
        <vt:i4>0</vt:i4>
      </vt:variant>
      <vt:variant>
        <vt:i4>5</vt:i4>
      </vt:variant>
      <vt:variant>
        <vt:lpwstr/>
      </vt:variant>
      <vt:variant>
        <vt:lpwstr>_Toc291160634</vt:lpwstr>
      </vt:variant>
      <vt:variant>
        <vt:i4>1835059</vt:i4>
      </vt:variant>
      <vt:variant>
        <vt:i4>164</vt:i4>
      </vt:variant>
      <vt:variant>
        <vt:i4>0</vt:i4>
      </vt:variant>
      <vt:variant>
        <vt:i4>5</vt:i4>
      </vt:variant>
      <vt:variant>
        <vt:lpwstr/>
      </vt:variant>
      <vt:variant>
        <vt:lpwstr>_Toc291160633</vt:lpwstr>
      </vt:variant>
      <vt:variant>
        <vt:i4>1835059</vt:i4>
      </vt:variant>
      <vt:variant>
        <vt:i4>158</vt:i4>
      </vt:variant>
      <vt:variant>
        <vt:i4>0</vt:i4>
      </vt:variant>
      <vt:variant>
        <vt:i4>5</vt:i4>
      </vt:variant>
      <vt:variant>
        <vt:lpwstr/>
      </vt:variant>
      <vt:variant>
        <vt:lpwstr>_Toc291160632</vt:lpwstr>
      </vt:variant>
      <vt:variant>
        <vt:i4>1835059</vt:i4>
      </vt:variant>
      <vt:variant>
        <vt:i4>152</vt:i4>
      </vt:variant>
      <vt:variant>
        <vt:i4>0</vt:i4>
      </vt:variant>
      <vt:variant>
        <vt:i4>5</vt:i4>
      </vt:variant>
      <vt:variant>
        <vt:lpwstr/>
      </vt:variant>
      <vt:variant>
        <vt:lpwstr>_Toc291160631</vt:lpwstr>
      </vt:variant>
      <vt:variant>
        <vt:i4>1835059</vt:i4>
      </vt:variant>
      <vt:variant>
        <vt:i4>146</vt:i4>
      </vt:variant>
      <vt:variant>
        <vt:i4>0</vt:i4>
      </vt:variant>
      <vt:variant>
        <vt:i4>5</vt:i4>
      </vt:variant>
      <vt:variant>
        <vt:lpwstr/>
      </vt:variant>
      <vt:variant>
        <vt:lpwstr>_Toc291160630</vt:lpwstr>
      </vt:variant>
      <vt:variant>
        <vt:i4>1900595</vt:i4>
      </vt:variant>
      <vt:variant>
        <vt:i4>140</vt:i4>
      </vt:variant>
      <vt:variant>
        <vt:i4>0</vt:i4>
      </vt:variant>
      <vt:variant>
        <vt:i4>5</vt:i4>
      </vt:variant>
      <vt:variant>
        <vt:lpwstr/>
      </vt:variant>
      <vt:variant>
        <vt:lpwstr>_Toc291160629</vt:lpwstr>
      </vt:variant>
      <vt:variant>
        <vt:i4>1900595</vt:i4>
      </vt:variant>
      <vt:variant>
        <vt:i4>134</vt:i4>
      </vt:variant>
      <vt:variant>
        <vt:i4>0</vt:i4>
      </vt:variant>
      <vt:variant>
        <vt:i4>5</vt:i4>
      </vt:variant>
      <vt:variant>
        <vt:lpwstr/>
      </vt:variant>
      <vt:variant>
        <vt:lpwstr>_Toc291160628</vt:lpwstr>
      </vt:variant>
      <vt:variant>
        <vt:i4>1900595</vt:i4>
      </vt:variant>
      <vt:variant>
        <vt:i4>128</vt:i4>
      </vt:variant>
      <vt:variant>
        <vt:i4>0</vt:i4>
      </vt:variant>
      <vt:variant>
        <vt:i4>5</vt:i4>
      </vt:variant>
      <vt:variant>
        <vt:lpwstr/>
      </vt:variant>
      <vt:variant>
        <vt:lpwstr>_Toc291160627</vt:lpwstr>
      </vt:variant>
      <vt:variant>
        <vt:i4>1900595</vt:i4>
      </vt:variant>
      <vt:variant>
        <vt:i4>122</vt:i4>
      </vt:variant>
      <vt:variant>
        <vt:i4>0</vt:i4>
      </vt:variant>
      <vt:variant>
        <vt:i4>5</vt:i4>
      </vt:variant>
      <vt:variant>
        <vt:lpwstr/>
      </vt:variant>
      <vt:variant>
        <vt:lpwstr>_Toc291160626</vt:lpwstr>
      </vt:variant>
      <vt:variant>
        <vt:i4>1900595</vt:i4>
      </vt:variant>
      <vt:variant>
        <vt:i4>116</vt:i4>
      </vt:variant>
      <vt:variant>
        <vt:i4>0</vt:i4>
      </vt:variant>
      <vt:variant>
        <vt:i4>5</vt:i4>
      </vt:variant>
      <vt:variant>
        <vt:lpwstr/>
      </vt:variant>
      <vt:variant>
        <vt:lpwstr>_Toc291160625</vt:lpwstr>
      </vt:variant>
      <vt:variant>
        <vt:i4>1900595</vt:i4>
      </vt:variant>
      <vt:variant>
        <vt:i4>110</vt:i4>
      </vt:variant>
      <vt:variant>
        <vt:i4>0</vt:i4>
      </vt:variant>
      <vt:variant>
        <vt:i4>5</vt:i4>
      </vt:variant>
      <vt:variant>
        <vt:lpwstr/>
      </vt:variant>
      <vt:variant>
        <vt:lpwstr>_Toc291160624</vt:lpwstr>
      </vt:variant>
      <vt:variant>
        <vt:i4>1900595</vt:i4>
      </vt:variant>
      <vt:variant>
        <vt:i4>104</vt:i4>
      </vt:variant>
      <vt:variant>
        <vt:i4>0</vt:i4>
      </vt:variant>
      <vt:variant>
        <vt:i4>5</vt:i4>
      </vt:variant>
      <vt:variant>
        <vt:lpwstr/>
      </vt:variant>
      <vt:variant>
        <vt:lpwstr>_Toc291160623</vt:lpwstr>
      </vt:variant>
      <vt:variant>
        <vt:i4>1900595</vt:i4>
      </vt:variant>
      <vt:variant>
        <vt:i4>98</vt:i4>
      </vt:variant>
      <vt:variant>
        <vt:i4>0</vt:i4>
      </vt:variant>
      <vt:variant>
        <vt:i4>5</vt:i4>
      </vt:variant>
      <vt:variant>
        <vt:lpwstr/>
      </vt:variant>
      <vt:variant>
        <vt:lpwstr>_Toc291160622</vt:lpwstr>
      </vt:variant>
      <vt:variant>
        <vt:i4>1900595</vt:i4>
      </vt:variant>
      <vt:variant>
        <vt:i4>92</vt:i4>
      </vt:variant>
      <vt:variant>
        <vt:i4>0</vt:i4>
      </vt:variant>
      <vt:variant>
        <vt:i4>5</vt:i4>
      </vt:variant>
      <vt:variant>
        <vt:lpwstr/>
      </vt:variant>
      <vt:variant>
        <vt:lpwstr>_Toc291160621</vt:lpwstr>
      </vt:variant>
      <vt:variant>
        <vt:i4>1900595</vt:i4>
      </vt:variant>
      <vt:variant>
        <vt:i4>86</vt:i4>
      </vt:variant>
      <vt:variant>
        <vt:i4>0</vt:i4>
      </vt:variant>
      <vt:variant>
        <vt:i4>5</vt:i4>
      </vt:variant>
      <vt:variant>
        <vt:lpwstr/>
      </vt:variant>
      <vt:variant>
        <vt:lpwstr>_Toc291160620</vt:lpwstr>
      </vt:variant>
      <vt:variant>
        <vt:i4>1966131</vt:i4>
      </vt:variant>
      <vt:variant>
        <vt:i4>80</vt:i4>
      </vt:variant>
      <vt:variant>
        <vt:i4>0</vt:i4>
      </vt:variant>
      <vt:variant>
        <vt:i4>5</vt:i4>
      </vt:variant>
      <vt:variant>
        <vt:lpwstr/>
      </vt:variant>
      <vt:variant>
        <vt:lpwstr>_Toc291160619</vt:lpwstr>
      </vt:variant>
      <vt:variant>
        <vt:i4>1966131</vt:i4>
      </vt:variant>
      <vt:variant>
        <vt:i4>74</vt:i4>
      </vt:variant>
      <vt:variant>
        <vt:i4>0</vt:i4>
      </vt:variant>
      <vt:variant>
        <vt:i4>5</vt:i4>
      </vt:variant>
      <vt:variant>
        <vt:lpwstr/>
      </vt:variant>
      <vt:variant>
        <vt:lpwstr>_Toc291160618</vt:lpwstr>
      </vt:variant>
      <vt:variant>
        <vt:i4>1966131</vt:i4>
      </vt:variant>
      <vt:variant>
        <vt:i4>68</vt:i4>
      </vt:variant>
      <vt:variant>
        <vt:i4>0</vt:i4>
      </vt:variant>
      <vt:variant>
        <vt:i4>5</vt:i4>
      </vt:variant>
      <vt:variant>
        <vt:lpwstr/>
      </vt:variant>
      <vt:variant>
        <vt:lpwstr>_Toc291160617</vt:lpwstr>
      </vt:variant>
      <vt:variant>
        <vt:i4>1966131</vt:i4>
      </vt:variant>
      <vt:variant>
        <vt:i4>62</vt:i4>
      </vt:variant>
      <vt:variant>
        <vt:i4>0</vt:i4>
      </vt:variant>
      <vt:variant>
        <vt:i4>5</vt:i4>
      </vt:variant>
      <vt:variant>
        <vt:lpwstr/>
      </vt:variant>
      <vt:variant>
        <vt:lpwstr>_Toc291160616</vt:lpwstr>
      </vt:variant>
      <vt:variant>
        <vt:i4>1966131</vt:i4>
      </vt:variant>
      <vt:variant>
        <vt:i4>56</vt:i4>
      </vt:variant>
      <vt:variant>
        <vt:i4>0</vt:i4>
      </vt:variant>
      <vt:variant>
        <vt:i4>5</vt:i4>
      </vt:variant>
      <vt:variant>
        <vt:lpwstr/>
      </vt:variant>
      <vt:variant>
        <vt:lpwstr>_Toc291160615</vt:lpwstr>
      </vt:variant>
      <vt:variant>
        <vt:i4>1966131</vt:i4>
      </vt:variant>
      <vt:variant>
        <vt:i4>50</vt:i4>
      </vt:variant>
      <vt:variant>
        <vt:i4>0</vt:i4>
      </vt:variant>
      <vt:variant>
        <vt:i4>5</vt:i4>
      </vt:variant>
      <vt:variant>
        <vt:lpwstr/>
      </vt:variant>
      <vt:variant>
        <vt:lpwstr>_Toc291160614</vt:lpwstr>
      </vt:variant>
      <vt:variant>
        <vt:i4>1966131</vt:i4>
      </vt:variant>
      <vt:variant>
        <vt:i4>44</vt:i4>
      </vt:variant>
      <vt:variant>
        <vt:i4>0</vt:i4>
      </vt:variant>
      <vt:variant>
        <vt:i4>5</vt:i4>
      </vt:variant>
      <vt:variant>
        <vt:lpwstr/>
      </vt:variant>
      <vt:variant>
        <vt:lpwstr>_Toc291160613</vt:lpwstr>
      </vt:variant>
      <vt:variant>
        <vt:i4>1966131</vt:i4>
      </vt:variant>
      <vt:variant>
        <vt:i4>38</vt:i4>
      </vt:variant>
      <vt:variant>
        <vt:i4>0</vt:i4>
      </vt:variant>
      <vt:variant>
        <vt:i4>5</vt:i4>
      </vt:variant>
      <vt:variant>
        <vt:lpwstr/>
      </vt:variant>
      <vt:variant>
        <vt:lpwstr>_Toc291160612</vt:lpwstr>
      </vt:variant>
      <vt:variant>
        <vt:i4>1966131</vt:i4>
      </vt:variant>
      <vt:variant>
        <vt:i4>32</vt:i4>
      </vt:variant>
      <vt:variant>
        <vt:i4>0</vt:i4>
      </vt:variant>
      <vt:variant>
        <vt:i4>5</vt:i4>
      </vt:variant>
      <vt:variant>
        <vt:lpwstr/>
      </vt:variant>
      <vt:variant>
        <vt:lpwstr>_Toc291160611</vt:lpwstr>
      </vt:variant>
      <vt:variant>
        <vt:i4>1966131</vt:i4>
      </vt:variant>
      <vt:variant>
        <vt:i4>26</vt:i4>
      </vt:variant>
      <vt:variant>
        <vt:i4>0</vt:i4>
      </vt:variant>
      <vt:variant>
        <vt:i4>5</vt:i4>
      </vt:variant>
      <vt:variant>
        <vt:lpwstr/>
      </vt:variant>
      <vt:variant>
        <vt:lpwstr>_Toc291160610</vt:lpwstr>
      </vt:variant>
      <vt:variant>
        <vt:i4>2031667</vt:i4>
      </vt:variant>
      <vt:variant>
        <vt:i4>20</vt:i4>
      </vt:variant>
      <vt:variant>
        <vt:i4>0</vt:i4>
      </vt:variant>
      <vt:variant>
        <vt:i4>5</vt:i4>
      </vt:variant>
      <vt:variant>
        <vt:lpwstr/>
      </vt:variant>
      <vt:variant>
        <vt:lpwstr>_Toc291160609</vt:lpwstr>
      </vt:variant>
      <vt:variant>
        <vt:i4>2031667</vt:i4>
      </vt:variant>
      <vt:variant>
        <vt:i4>14</vt:i4>
      </vt:variant>
      <vt:variant>
        <vt:i4>0</vt:i4>
      </vt:variant>
      <vt:variant>
        <vt:i4>5</vt:i4>
      </vt:variant>
      <vt:variant>
        <vt:lpwstr/>
      </vt:variant>
      <vt:variant>
        <vt:lpwstr>_Toc291160608</vt:lpwstr>
      </vt:variant>
      <vt:variant>
        <vt:i4>2031667</vt:i4>
      </vt:variant>
      <vt:variant>
        <vt:i4>8</vt:i4>
      </vt:variant>
      <vt:variant>
        <vt:i4>0</vt:i4>
      </vt:variant>
      <vt:variant>
        <vt:i4>5</vt:i4>
      </vt:variant>
      <vt:variant>
        <vt:lpwstr/>
      </vt:variant>
      <vt:variant>
        <vt:lpwstr>_Toc291160607</vt:lpwstr>
      </vt:variant>
      <vt:variant>
        <vt:i4>2031667</vt:i4>
      </vt:variant>
      <vt:variant>
        <vt:i4>2</vt:i4>
      </vt:variant>
      <vt:variant>
        <vt:i4>0</vt:i4>
      </vt:variant>
      <vt:variant>
        <vt:i4>5</vt:i4>
      </vt:variant>
      <vt:variant>
        <vt:lpwstr/>
      </vt:variant>
      <vt:variant>
        <vt:lpwstr>_Toc291160606</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Доклад за дейността за Q4 2015</dc:title>
  <dc:creator>ivo stankov</dc:creator>
  <cp:lastModifiedBy>Диана Влахова</cp:lastModifiedBy>
  <cp:revision>2</cp:revision>
  <cp:lastPrinted>2015-10-28T12:37:00Z</cp:lastPrinted>
  <dcterms:created xsi:type="dcterms:W3CDTF">2019-05-02T12:17:00Z</dcterms:created>
  <dcterms:modified xsi:type="dcterms:W3CDTF">2019-05-02T12:17:00Z</dcterms:modified>
</cp:coreProperties>
</file>