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5304A" w14:textId="77777777" w:rsidR="00983275" w:rsidRPr="00040438" w:rsidRDefault="00983275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17985CCF" w14:textId="77777777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14:paraId="07B7320E" w14:textId="5BB4EC49" w:rsidR="00983275" w:rsidRDefault="004167C1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67C1">
        <w:rPr>
          <w:rFonts w:ascii="Times New Roman" w:eastAsia="Times New Roman" w:hAnsi="Times New Roman" w:cs="Times New Roman"/>
          <w:b/>
          <w:sz w:val="72"/>
          <w:szCs w:val="72"/>
        </w:rPr>
        <w:t>ОПИСАНИЕ НА ПРЕДМЕТА НА ОБЩЕСТВЕНАТА ПОРЪЧКА, ТЕХНИЧЕСКА СПЕЦИФИКАЦИЯ</w:t>
      </w:r>
      <w:r w:rsidR="00D03E53">
        <w:rPr>
          <w:rFonts w:ascii="Times New Roman" w:eastAsia="Times New Roman" w:hAnsi="Times New Roman" w:cs="Times New Roman"/>
          <w:b/>
          <w:sz w:val="72"/>
          <w:szCs w:val="72"/>
          <w:lang w:val="en-US"/>
        </w:rPr>
        <w:t xml:space="preserve">, </w:t>
      </w:r>
      <w:r w:rsidR="00D03E53">
        <w:rPr>
          <w:rFonts w:ascii="Times New Roman" w:eastAsia="Times New Roman" w:hAnsi="Times New Roman" w:cs="Times New Roman"/>
          <w:b/>
          <w:sz w:val="72"/>
          <w:szCs w:val="72"/>
        </w:rPr>
        <w:t>ВЪЗЛАГАНЕ</w:t>
      </w:r>
      <w:r w:rsidRPr="004167C1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E82EB69" w14:textId="1F8DD1B2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B25622" w14:textId="77777777" w:rsidR="006F579D" w:rsidRPr="00040438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07F4C4" w14:textId="304A48A9" w:rsidR="00983275" w:rsidRPr="00040438" w:rsidRDefault="00983275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7BB7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04043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Провеждане на проучвания, изготвяне на анализи, изготвяне на предложения за промени в нормативни актове и методологически документи, осигуряване на лектори за обучения и представители на регионални срещи</w:t>
      </w:r>
      <w:r w:rsidR="004C7BB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“</w:t>
      </w:r>
    </w:p>
    <w:p w14:paraId="3E45C717" w14:textId="3A9F203B" w:rsidR="00983275" w:rsidRDefault="00983275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A45506" w14:textId="0C5E75A4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D3B95F" w14:textId="3B7B2C1B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57E34B" w14:textId="69B7AC21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389C8D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3DAAC29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70B59B0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97CA901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E6C4CC7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BCA37B8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47C88E58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409B396" w14:textId="77777777" w:rsid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333B77BB" w14:textId="77777777" w:rsidR="00734E4E" w:rsidRPr="00734E4E" w:rsidRDefault="00734E4E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C574DB" w14:textId="4720C655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657D60" w14:textId="0387A532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D91010" w14:textId="7349DF52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093EC1" w14:textId="21B95698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3BCF06" w14:textId="3781EFCC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71C678" w14:textId="37D7CDB3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FB1947" w14:textId="7188950F" w:rsidR="006F579D" w:rsidRP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6F579D">
        <w:rPr>
          <w:rFonts w:ascii="Times New Roman" w:eastAsia="Times New Roman" w:hAnsi="Times New Roman" w:cs="Times New Roman"/>
          <w:bCs/>
          <w:i/>
          <w:sz w:val="24"/>
          <w:szCs w:val="24"/>
        </w:rPr>
        <w:t>София, 2019 г.</w:t>
      </w:r>
    </w:p>
    <w:p w14:paraId="687FC882" w14:textId="1FCB4CA6" w:rsidR="0063767D" w:rsidRDefault="0063767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794B97" w14:textId="7155BF50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9949A4" w14:textId="70AAC981" w:rsid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032581" w14:textId="2068336F" w:rsidR="006F579D" w:rsidRPr="006F579D" w:rsidRDefault="006F579D" w:rsidP="00983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РАЗДЕЛ </w:t>
      </w: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</w:p>
    <w:p w14:paraId="7E71A57C" w14:textId="2D3F51CC" w:rsidR="00983275" w:rsidRDefault="00983275" w:rsidP="00983275">
      <w:pPr>
        <w:spacing w:after="0" w:line="240" w:lineRule="auto"/>
        <w:ind w:firstLine="330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C4B7D7" w14:textId="6D2E6828" w:rsidR="006F579D" w:rsidRDefault="006F579D" w:rsidP="00E11ED8">
      <w:pPr>
        <w:shd w:val="clear" w:color="auto" w:fill="C6D9F1" w:themeFill="text2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85EC490" w14:textId="7EEA9533" w:rsidR="004167C1" w:rsidRDefault="004167C1" w:rsidP="00E11ED8">
      <w:pPr>
        <w:shd w:val="clear" w:color="auto" w:fill="C6D9F1" w:themeFill="text2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167C1">
        <w:rPr>
          <w:rFonts w:ascii="Times New Roman" w:eastAsia="Times New Roman" w:hAnsi="Times New Roman" w:cs="Times New Roman"/>
          <w:b/>
          <w:bCs/>
          <w:sz w:val="32"/>
          <w:szCs w:val="32"/>
        </w:rPr>
        <w:t>ОПИСАНИЕ НА ПОРЪЧКАТА</w:t>
      </w:r>
    </w:p>
    <w:p w14:paraId="5EB3A7F5" w14:textId="77777777" w:rsidR="006F579D" w:rsidRPr="00E11ED8" w:rsidRDefault="006F579D" w:rsidP="00E11ED8">
      <w:pPr>
        <w:shd w:val="clear" w:color="auto" w:fill="C6D9F1" w:themeFill="text2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FC18B19" w14:textId="622581C6" w:rsidR="00983275" w:rsidRDefault="00983275" w:rsidP="00983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D7CF37" w14:textId="77777777" w:rsidR="004167C1" w:rsidRDefault="004167C1" w:rsidP="00983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F070EE" w14:textId="086AAF68" w:rsidR="004167C1" w:rsidRPr="00906C75" w:rsidRDefault="004167C1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6C7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 И ЦЕЛ НА ОБЩЕСТВЕНАТА ПОРЪЧКА</w:t>
      </w:r>
    </w:p>
    <w:p w14:paraId="2A74B7E3" w14:textId="77777777" w:rsidR="004167C1" w:rsidRPr="004C7BB7" w:rsidRDefault="004167C1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0222EF" w14:textId="4641FBA0" w:rsidR="00983275" w:rsidRPr="004C7BB7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7BB7">
        <w:rPr>
          <w:rFonts w:ascii="Times New Roman" w:eastAsia="Times New Roman" w:hAnsi="Times New Roman" w:cs="Times New Roman"/>
          <w:b/>
          <w:bCs/>
          <w:sz w:val="24"/>
          <w:szCs w:val="24"/>
        </w:rPr>
        <w:t>1. Предметът</w:t>
      </w:r>
      <w:r w:rsidRPr="004C7BB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настоящата обществена поръчка е</w:t>
      </w:r>
      <w:r w:rsidRPr="004C7B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50589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8505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Провеждане на проучвания, изготвяне на анализи, изготвяне на предложения за промени в нормативни актове и </w:t>
      </w:r>
      <w:proofErr w:type="spellStart"/>
      <w:r w:rsidRPr="00850589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методологически</w:t>
      </w:r>
      <w:proofErr w:type="spellEnd"/>
      <w:r w:rsidRPr="008505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документи, осигуряване на лектори за обучения и представители на регионални срещи</w:t>
      </w:r>
      <w:r w:rsidRPr="0085058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”, </w:t>
      </w:r>
      <w:r w:rsidRPr="00850589">
        <w:rPr>
          <w:rFonts w:ascii="Times New Roman" w:eastAsia="Times New Roman" w:hAnsi="Times New Roman" w:cs="Times New Roman"/>
          <w:bCs/>
          <w:iCs/>
          <w:sz w:val="24"/>
          <w:szCs w:val="24"/>
        </w:rPr>
        <w:t>в изпълнение на</w:t>
      </w:r>
      <w:r w:rsidRPr="0085058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5058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Проект № BG05SFOP001-2.010-0001, с наименование: „Усъвършенстване на системите за финансово управление и контрол и функцията по вътрешен одит в публичния сектор“, финансиран по Административен договор № BG05SFOP001-2.010-0001-С01/02.11.2018 г. за предоставяне на безвъзмездна финансова помощ /БФП/ по Оперативна програма „Добро управление” /ОПДУ/, </w:t>
      </w:r>
      <w:proofErr w:type="spellStart"/>
      <w:r w:rsidRPr="00850589">
        <w:rPr>
          <w:rFonts w:ascii="Times New Roman" w:eastAsia="Times New Roman" w:hAnsi="Times New Roman" w:cs="Times New Roman"/>
          <w:bCs/>
          <w:iCs/>
          <w:sz w:val="24"/>
          <w:szCs w:val="24"/>
        </w:rPr>
        <w:t>съфинансирана</w:t>
      </w:r>
      <w:proofErr w:type="spellEnd"/>
      <w:r w:rsidRPr="0085058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от Европейския съюз чрез Европейския социален фонд</w:t>
      </w:r>
      <w:r w:rsidR="004C7BB7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14:paraId="4003178C" w14:textId="77777777" w:rsidR="00983275" w:rsidRPr="00040438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AA1123" w14:textId="06C8101F" w:rsidR="00325BA6" w:rsidRPr="00040438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 Целта 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настоящата обществена поръчка е осигуряване на </w:t>
      </w:r>
      <w:r w:rsidR="00325BA6" w:rsidRPr="00040438">
        <w:rPr>
          <w:rFonts w:ascii="Times New Roman" w:eastAsia="Times New Roman" w:hAnsi="Times New Roman" w:cs="Times New Roman"/>
          <w:bCs/>
          <w:sz w:val="24"/>
          <w:szCs w:val="24"/>
        </w:rPr>
        <w:t>модернизацията на вътрешния контрол върху управлението и дейността на организациите от публичния сектор</w:t>
      </w:r>
      <w:r w:rsidR="007E36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25BA6"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/ПС/ чрез повишаване на ефективността на 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системите за финансовото управление и контрол /</w:t>
      </w:r>
      <w:r w:rsidR="00325BA6" w:rsidRPr="00040438">
        <w:rPr>
          <w:rFonts w:ascii="Times New Roman" w:eastAsia="Times New Roman" w:hAnsi="Times New Roman" w:cs="Times New Roman"/>
          <w:bCs/>
          <w:sz w:val="24"/>
          <w:szCs w:val="24"/>
        </w:rPr>
        <w:t>СФУК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325BA6"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ПС и повишаване на качеството на вътрешния одит в ПС.</w:t>
      </w:r>
    </w:p>
    <w:p w14:paraId="34603AC4" w14:textId="5D43ED8F" w:rsidR="00325BA6" w:rsidRPr="00040438" w:rsidRDefault="00325BA6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Целевите групи по проекта са вътрешни </w:t>
      </w:r>
      <w:proofErr w:type="spellStart"/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организациите от публичния сектор, финансови контрольори, лица на ръководни длъжности в ПС, дирекция 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„Методология на контрола и вътрешен одит“ /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МКВО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 в 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Министерство на финансите /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МФ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AE8D320" w14:textId="2CD23B4F" w:rsidR="009D0369" w:rsidRPr="00040438" w:rsidRDefault="009D0369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Стратегията за развитие на вътрешния контрол в публичния сектор на РБ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периода 2018-2020 г.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 /</w:t>
      </w:r>
      <w:r w:rsidR="009E614D">
        <w:rPr>
          <w:rFonts w:ascii="Times New Roman" w:eastAsia="Times New Roman" w:hAnsi="Times New Roman" w:cs="Times New Roman"/>
          <w:bCs/>
          <w:sz w:val="24"/>
          <w:szCs w:val="24"/>
        </w:rPr>
        <w:t>Стратегията</w:t>
      </w: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/ предвижда предприемането на различни дейности по изпълнение на стратегическите цели, като: </w:t>
      </w:r>
    </w:p>
    <w:p w14:paraId="1DD48678" w14:textId="77777777" w:rsidR="009D0369" w:rsidRPr="00040438" w:rsidRDefault="009D0369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 xml:space="preserve">• Актуализиране на методологията по финансово управление и контрол в съответствие с Рамката COSO 2013; </w:t>
      </w:r>
    </w:p>
    <w:p w14:paraId="4E867496" w14:textId="183A1D38" w:rsidR="009D0369" w:rsidRPr="00040438" w:rsidRDefault="009D0369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• Изготвяне на проекти на нови/актуализация на нормативни актове с цел подобрение и надграждане на системите за управление и контрол;</w:t>
      </w:r>
    </w:p>
    <w:p w14:paraId="18E29FE9" w14:textId="5157F65A" w:rsidR="009D0369" w:rsidRPr="00040438" w:rsidRDefault="009D0369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Cs/>
          <w:sz w:val="24"/>
          <w:szCs w:val="24"/>
        </w:rPr>
        <w:t>• Привеждането на нормативните актове и методологията в съответствие със Стандартите, Указанията за прилагане, част от препоръчителните елементи на Международните професионални практики по вътрешен одит (IPPF) и добрите международни практики в областта.</w:t>
      </w:r>
    </w:p>
    <w:p w14:paraId="08DE040C" w14:textId="3F2450E6" w:rsidR="009D0369" w:rsidRDefault="009D0369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F406357" w14:textId="142FEE01" w:rsidR="006F579D" w:rsidRDefault="006F579D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99346AC" w14:textId="77777777" w:rsidR="006F579D" w:rsidRDefault="006F579D" w:rsidP="009A0C3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</w:p>
    <w:p w14:paraId="06C6D157" w14:textId="66E1FD70" w:rsidR="00F13A14" w:rsidRDefault="00F13A14" w:rsidP="009A0C3F">
      <w:pPr>
        <w:spacing w:before="120" w:after="120" w:line="240" w:lineRule="auto"/>
        <w:ind w:firstLine="3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A14">
        <w:rPr>
          <w:rFonts w:ascii="Times New Roman" w:eastAsia="Times New Roman" w:hAnsi="Times New Roman" w:cs="Times New Roman"/>
          <w:b/>
          <w:sz w:val="24"/>
          <w:szCs w:val="24"/>
        </w:rPr>
        <w:t>ОБЩА ИНФОРМАЦИЯ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6C4A861" w14:textId="77777777" w:rsidR="00F13A14" w:rsidRPr="00F13A14" w:rsidRDefault="00F13A14" w:rsidP="009A0C3F">
      <w:pPr>
        <w:spacing w:before="120" w:after="120" w:line="240" w:lineRule="auto"/>
        <w:ind w:firstLine="3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10A377" w14:textId="3D948BDF" w:rsidR="00F13A14" w:rsidRPr="00040438" w:rsidRDefault="00F13A14" w:rsidP="009A0C3F">
      <w:pPr>
        <w:spacing w:before="120" w:after="120" w:line="240" w:lineRule="auto"/>
        <w:ind w:firstLine="3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Поръчката включва </w:t>
      </w:r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дейности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като </w:t>
      </w:r>
      <w:r w:rsidRPr="00FD7BAF">
        <w:rPr>
          <w:rFonts w:ascii="Times New Roman" w:eastAsia="Times New Roman" w:hAnsi="Times New Roman" w:cs="Times New Roman"/>
          <w:sz w:val="24"/>
          <w:szCs w:val="24"/>
        </w:rPr>
        <w:t>изпълнителят следва да предвиди и осигуряване на лектори за обучения и представители на регионални срещи, които ще представят резултата от трите дейности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545BF3EE" w14:textId="77777777" w:rsidR="00F13A14" w:rsidRPr="00040438" w:rsidRDefault="00F13A14" w:rsidP="009A0C3F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Проучване на добри практики в областта на финансовото управление и контрол в публичния сектор, в т.ч. и вътрешния одит във водещи страни от ЕС; </w:t>
      </w:r>
    </w:p>
    <w:p w14:paraId="66A9DA49" w14:textId="77777777" w:rsidR="00F13A14" w:rsidRPr="00040438" w:rsidRDefault="00F13A14" w:rsidP="009A0C3F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>Анализ на текущото състояние на финансовото управление и контрол в публичния сектор, в т.ч. и вътрешния одит в България;</w:t>
      </w:r>
    </w:p>
    <w:p w14:paraId="3E6804A8" w14:textId="3E8ABA02" w:rsidR="00F13A14" w:rsidRDefault="00F13A14" w:rsidP="009A0C3F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>Изготвяне на предложения за промени в законодателството в областта на вътрешния контрол и актуализиране на методологията за вътрешен конт</w:t>
      </w:r>
      <w:r w:rsidR="00372C33">
        <w:rPr>
          <w:rFonts w:ascii="Times New Roman" w:eastAsia="Times New Roman" w:hAnsi="Times New Roman" w:cs="Times New Roman"/>
          <w:sz w:val="24"/>
          <w:szCs w:val="24"/>
        </w:rPr>
        <w:t>рол, в т. ч. и за вътрешен одит.</w:t>
      </w:r>
    </w:p>
    <w:p w14:paraId="6B0EBC29" w14:textId="77777777" w:rsidR="00372C33" w:rsidRPr="00372C33" w:rsidRDefault="00372C33" w:rsidP="009A0C3F">
      <w:pPr>
        <w:spacing w:before="120" w:after="12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87855C" w14:textId="02822905" w:rsidR="00F13A14" w:rsidRPr="00040438" w:rsidRDefault="00F13A14" w:rsidP="009A0C3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8"/>
        </w:rPr>
        <w:t xml:space="preserve">Обща прогнозна стойност на услугата: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177 083</w:t>
      </w:r>
      <w:r w:rsidRPr="00040438">
        <w:rPr>
          <w:rFonts w:ascii="Times New Roman" w:eastAsia="Times New Roman" w:hAnsi="Times New Roman" w:cs="Times New Roman"/>
          <w:b/>
          <w:sz w:val="24"/>
          <w:szCs w:val="28"/>
        </w:rPr>
        <w:t>,00 (</w:t>
      </w:r>
      <w:r w:rsidR="00732538">
        <w:rPr>
          <w:rFonts w:ascii="Times New Roman" w:eastAsia="Times New Roman" w:hAnsi="Times New Roman" w:cs="Times New Roman"/>
          <w:b/>
          <w:sz w:val="24"/>
          <w:szCs w:val="28"/>
        </w:rPr>
        <w:t>сто седемдесет и седем</w:t>
      </w:r>
      <w:r w:rsidRPr="00040438">
        <w:rPr>
          <w:rFonts w:ascii="Times New Roman" w:eastAsia="Times New Roman" w:hAnsi="Times New Roman" w:cs="Times New Roman"/>
          <w:b/>
          <w:sz w:val="24"/>
          <w:szCs w:val="28"/>
        </w:rPr>
        <w:t xml:space="preserve"> хиляди и </w:t>
      </w:r>
      <w:r w:rsidR="00732538">
        <w:rPr>
          <w:rFonts w:ascii="Times New Roman" w:eastAsia="Times New Roman" w:hAnsi="Times New Roman" w:cs="Times New Roman"/>
          <w:b/>
          <w:sz w:val="24"/>
          <w:szCs w:val="28"/>
        </w:rPr>
        <w:t>осемдесет и три</w:t>
      </w:r>
      <w:r w:rsidRPr="00040438">
        <w:rPr>
          <w:rFonts w:ascii="Times New Roman" w:eastAsia="Times New Roman" w:hAnsi="Times New Roman" w:cs="Times New Roman"/>
          <w:b/>
          <w:sz w:val="24"/>
          <w:szCs w:val="28"/>
        </w:rPr>
        <w:t xml:space="preserve">) лева без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включен</w:t>
      </w:r>
      <w:r w:rsidRPr="00040438">
        <w:rPr>
          <w:rFonts w:ascii="Times New Roman" w:eastAsia="Times New Roman" w:hAnsi="Times New Roman" w:cs="Times New Roman"/>
          <w:b/>
          <w:sz w:val="24"/>
          <w:szCs w:val="28"/>
        </w:rPr>
        <w:t xml:space="preserve"> ДДС, разпределени както следва:</w:t>
      </w:r>
    </w:p>
    <w:p w14:paraId="6513FC93" w14:textId="77777777" w:rsidR="00F13A14" w:rsidRPr="00040438" w:rsidRDefault="00F13A14" w:rsidP="00F13A14">
      <w:pPr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Grid"/>
        <w:tblW w:w="9216" w:type="dxa"/>
        <w:tblInd w:w="277" w:type="dxa"/>
        <w:tblLook w:val="04A0" w:firstRow="1" w:lastRow="0" w:firstColumn="1" w:lastColumn="0" w:noHBand="0" w:noVBand="1"/>
      </w:tblPr>
      <w:tblGrid>
        <w:gridCol w:w="852"/>
        <w:gridCol w:w="6663"/>
        <w:gridCol w:w="1701"/>
      </w:tblGrid>
      <w:tr w:rsidR="00F13A14" w:rsidRPr="00040438" w14:paraId="7E83105A" w14:textId="77777777" w:rsidTr="00997BC3">
        <w:tc>
          <w:tcPr>
            <w:tcW w:w="852" w:type="dxa"/>
            <w:shd w:val="clear" w:color="auto" w:fill="F2DBDB" w:themeFill="accent2" w:themeFillTint="33"/>
          </w:tcPr>
          <w:p w14:paraId="4ACD91A8" w14:textId="77777777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0438">
              <w:rPr>
                <w:rFonts w:ascii="Times New Roman" w:eastAsia="Times New Roman" w:hAnsi="Times New Roman" w:cs="Times New Roman"/>
                <w:b/>
              </w:rPr>
              <w:t>№ по ред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4B59B658" w14:textId="77777777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0438">
              <w:rPr>
                <w:rFonts w:ascii="Times New Roman" w:eastAsia="Times New Roman" w:hAnsi="Times New Roman" w:cs="Times New Roman"/>
                <w:b/>
              </w:rPr>
              <w:t>Дейност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4BB51F6A" w14:textId="77777777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0438">
              <w:rPr>
                <w:rFonts w:ascii="Times New Roman" w:eastAsia="Times New Roman" w:hAnsi="Times New Roman" w:cs="Times New Roman"/>
                <w:b/>
              </w:rPr>
              <w:t>Цена в лева без ДДС</w:t>
            </w:r>
          </w:p>
        </w:tc>
      </w:tr>
      <w:tr w:rsidR="00F13A14" w:rsidRPr="00040438" w14:paraId="5C88F802" w14:textId="77777777" w:rsidTr="00997BC3">
        <w:tc>
          <w:tcPr>
            <w:tcW w:w="852" w:type="dxa"/>
          </w:tcPr>
          <w:p w14:paraId="05174DA7" w14:textId="77777777" w:rsidR="00F13A14" w:rsidRPr="00040438" w:rsidRDefault="00F13A14" w:rsidP="00997B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043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14:paraId="6A0AA402" w14:textId="77777777" w:rsidR="00F13A14" w:rsidRPr="00040438" w:rsidRDefault="00F13A14" w:rsidP="00997B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0438">
              <w:rPr>
                <w:rFonts w:ascii="Times New Roman" w:eastAsia="Times New Roman" w:hAnsi="Times New Roman" w:cs="Times New Roman"/>
              </w:rPr>
              <w:t>Проучване на добри практики в областта на финансовото управление и контрол в публичния сектор, в т.ч. и вътрешния одит във водещи страни от ЕС</w:t>
            </w:r>
          </w:p>
        </w:tc>
        <w:tc>
          <w:tcPr>
            <w:tcW w:w="1701" w:type="dxa"/>
          </w:tcPr>
          <w:p w14:paraId="3542BE3D" w14:textId="2848F587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47 083</w:t>
            </w:r>
            <w:r w:rsidR="001759A7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</w:tr>
      <w:tr w:rsidR="00F13A14" w:rsidRPr="00040438" w14:paraId="2845F7A9" w14:textId="77777777" w:rsidTr="00997BC3">
        <w:tc>
          <w:tcPr>
            <w:tcW w:w="852" w:type="dxa"/>
          </w:tcPr>
          <w:p w14:paraId="0D9F5A5E" w14:textId="77777777" w:rsidR="00F13A14" w:rsidRPr="00040438" w:rsidRDefault="00F13A14" w:rsidP="00997B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043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663" w:type="dxa"/>
          </w:tcPr>
          <w:p w14:paraId="355A825E" w14:textId="77777777" w:rsidR="00F13A14" w:rsidRPr="00040438" w:rsidRDefault="00F13A14" w:rsidP="00997B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0438">
              <w:rPr>
                <w:rFonts w:ascii="Times New Roman" w:eastAsia="Times New Roman" w:hAnsi="Times New Roman" w:cs="Times New Roman"/>
              </w:rPr>
              <w:t>Анализ на текущото състояние на финансовото управление и контрол в публичния сектор, в т.ч. и вътрешния одит в България</w:t>
            </w:r>
          </w:p>
        </w:tc>
        <w:tc>
          <w:tcPr>
            <w:tcW w:w="1701" w:type="dxa"/>
          </w:tcPr>
          <w:p w14:paraId="6C482F28" w14:textId="383C3BC4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30 000</w:t>
            </w:r>
            <w:r w:rsidR="001759A7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</w:tr>
      <w:tr w:rsidR="00F13A14" w:rsidRPr="00040438" w14:paraId="68D2F8F9" w14:textId="77777777" w:rsidTr="00997BC3">
        <w:tc>
          <w:tcPr>
            <w:tcW w:w="852" w:type="dxa"/>
          </w:tcPr>
          <w:p w14:paraId="1F3AD80D" w14:textId="77777777" w:rsidR="00F13A14" w:rsidRPr="00040438" w:rsidRDefault="00F13A14" w:rsidP="00997B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043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663" w:type="dxa"/>
          </w:tcPr>
          <w:p w14:paraId="2F7F3368" w14:textId="77777777" w:rsidR="00F13A14" w:rsidRPr="00040438" w:rsidRDefault="00F13A14" w:rsidP="00997B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0438">
              <w:rPr>
                <w:rFonts w:ascii="Times New Roman" w:eastAsia="Times New Roman" w:hAnsi="Times New Roman" w:cs="Times New Roman"/>
              </w:rPr>
              <w:t>Изготвяне на предложения за промени в законодателството в областта на вътрешния контрол и актуализиране на методологията за вътрешен контрол, в т. ч. и за вътрешен одит</w:t>
            </w:r>
          </w:p>
        </w:tc>
        <w:tc>
          <w:tcPr>
            <w:tcW w:w="1701" w:type="dxa"/>
          </w:tcPr>
          <w:p w14:paraId="3DE3D79A" w14:textId="766B4FB9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100 000</w:t>
            </w:r>
            <w:r w:rsidR="001759A7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</w:tr>
      <w:tr w:rsidR="00F13A14" w:rsidRPr="00040438" w14:paraId="04D0CD0E" w14:textId="77777777" w:rsidTr="00997BC3">
        <w:tc>
          <w:tcPr>
            <w:tcW w:w="7515" w:type="dxa"/>
            <w:gridSpan w:val="2"/>
          </w:tcPr>
          <w:p w14:paraId="3A3CC9FA" w14:textId="77777777" w:rsidR="00F13A14" w:rsidRPr="00040438" w:rsidRDefault="00F13A14" w:rsidP="00997BC3">
            <w:pPr>
              <w:spacing w:line="264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40438">
              <w:rPr>
                <w:rFonts w:ascii="Times New Roman" w:eastAsia="Times New Roman" w:hAnsi="Times New Roman" w:cs="Times New Roman"/>
                <w:b/>
              </w:rPr>
              <w:t>ОБЩА ПРОГНОЗНА СТОЙНОСТ:</w:t>
            </w:r>
          </w:p>
        </w:tc>
        <w:tc>
          <w:tcPr>
            <w:tcW w:w="1701" w:type="dxa"/>
          </w:tcPr>
          <w:p w14:paraId="491D519D" w14:textId="004B1B1C" w:rsidR="00F13A14" w:rsidRPr="00040438" w:rsidRDefault="00F13A14" w:rsidP="00997BC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177 083</w:t>
            </w:r>
            <w:r w:rsidR="001759A7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</w:tr>
    </w:tbl>
    <w:p w14:paraId="59573D78" w14:textId="77777777" w:rsidR="00F13A14" w:rsidRPr="00040438" w:rsidRDefault="00F13A14" w:rsidP="00F13A14">
      <w:pPr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14:paraId="02DE04F5" w14:textId="2AE87C9D" w:rsidR="00F13A14" w:rsidRPr="0063767D" w:rsidRDefault="00F13A14" w:rsidP="009A0C3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Забележка: Към услугата изпълнителят следва да предвиди и о</w:t>
      </w:r>
      <w:r w:rsidRPr="0063767D">
        <w:rPr>
          <w:rFonts w:ascii="Times New Roman" w:eastAsia="Times New Roman" w:hAnsi="Times New Roman" w:cs="Times New Roman"/>
          <w:b/>
          <w:sz w:val="24"/>
          <w:szCs w:val="28"/>
        </w:rPr>
        <w:t>сигуряване на лектори за обучения и представители на регионални срещи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, които ще представят резултата от трите дейности.</w:t>
      </w:r>
      <w:r w:rsidR="00E048B8">
        <w:rPr>
          <w:rFonts w:ascii="Times New Roman" w:eastAsia="Times New Roman" w:hAnsi="Times New Roman" w:cs="Times New Roman"/>
          <w:b/>
          <w:sz w:val="24"/>
          <w:szCs w:val="28"/>
        </w:rPr>
        <w:t xml:space="preserve"> Възложителят не поставя изисквания по отношение на тези лица.</w:t>
      </w:r>
    </w:p>
    <w:p w14:paraId="1A70CEBF" w14:textId="1C56C30D" w:rsidR="00F13A14" w:rsidRPr="00040438" w:rsidRDefault="00F13A14" w:rsidP="009A0C3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040438">
        <w:rPr>
          <w:rFonts w:ascii="Times New Roman" w:eastAsia="Times New Roman" w:hAnsi="Times New Roman" w:cs="Times New Roman"/>
          <w:b/>
          <w:i/>
          <w:sz w:val="24"/>
          <w:szCs w:val="28"/>
        </w:rPr>
        <w:t xml:space="preserve">Посочената прогнозна стойност 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 xml:space="preserve">без ДДС </w:t>
      </w:r>
      <w:r w:rsidRPr="00040438">
        <w:rPr>
          <w:rFonts w:ascii="Times New Roman" w:eastAsia="Times New Roman" w:hAnsi="Times New Roman" w:cs="Times New Roman"/>
          <w:b/>
          <w:i/>
          <w:sz w:val="24"/>
          <w:szCs w:val="28"/>
        </w:rPr>
        <w:t xml:space="preserve">представлява максималния финансов ресурс, с който разполага Възложителят за изпълнението на поръчката. Оферта, която превишава </w:t>
      </w:r>
      <w:r w:rsidR="00E20592">
        <w:rPr>
          <w:rFonts w:ascii="Times New Roman" w:eastAsia="Times New Roman" w:hAnsi="Times New Roman" w:cs="Times New Roman"/>
          <w:b/>
          <w:i/>
          <w:sz w:val="24"/>
          <w:szCs w:val="28"/>
        </w:rPr>
        <w:t>общата прогнозна стойност</w:t>
      </w:r>
      <w:r w:rsidRPr="00040438">
        <w:rPr>
          <w:rFonts w:ascii="Times New Roman" w:eastAsia="Times New Roman" w:hAnsi="Times New Roman" w:cs="Times New Roman"/>
          <w:b/>
          <w:i/>
          <w:sz w:val="24"/>
          <w:szCs w:val="28"/>
        </w:rPr>
        <w:t xml:space="preserve"> на поръчката или максимална предвидена стойност за отделна дейност, ще бъде отстран</w:t>
      </w:r>
      <w:r w:rsidR="000D7F40">
        <w:rPr>
          <w:rFonts w:ascii="Times New Roman" w:eastAsia="Times New Roman" w:hAnsi="Times New Roman" w:cs="Times New Roman"/>
          <w:b/>
          <w:i/>
          <w:sz w:val="24"/>
          <w:szCs w:val="28"/>
        </w:rPr>
        <w:t>ена</w:t>
      </w:r>
      <w:r w:rsidRPr="00040438">
        <w:rPr>
          <w:rFonts w:ascii="Times New Roman" w:eastAsia="Times New Roman" w:hAnsi="Times New Roman" w:cs="Times New Roman"/>
          <w:b/>
          <w:i/>
          <w:sz w:val="24"/>
          <w:szCs w:val="28"/>
        </w:rPr>
        <w:t>.</w:t>
      </w:r>
    </w:p>
    <w:p w14:paraId="74B84183" w14:textId="77777777" w:rsidR="00F13A14" w:rsidRPr="00040438" w:rsidRDefault="00F13A14" w:rsidP="009A0C3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14:paraId="5BB64469" w14:textId="47858118" w:rsidR="00F13A14" w:rsidRPr="00FD7BAF" w:rsidRDefault="00F13A14" w:rsidP="009A0C3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D7BAF">
        <w:rPr>
          <w:rFonts w:ascii="Times New Roman" w:eastAsia="Times New Roman" w:hAnsi="Times New Roman" w:cs="Times New Roman"/>
          <w:b/>
          <w:sz w:val="24"/>
          <w:szCs w:val="28"/>
        </w:rPr>
        <w:t>Срок за извършване на услугата: 31.12.2020 г.</w:t>
      </w:r>
    </w:p>
    <w:p w14:paraId="7A6B59DD" w14:textId="67B65879" w:rsidR="00F13A14" w:rsidRPr="00040438" w:rsidRDefault="00F13A14" w:rsidP="009A0C3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D7BAF">
        <w:rPr>
          <w:rFonts w:ascii="Times New Roman" w:eastAsia="Times New Roman" w:hAnsi="Times New Roman" w:cs="Times New Roman"/>
          <w:b/>
          <w:sz w:val="24"/>
          <w:szCs w:val="28"/>
        </w:rPr>
        <w:t xml:space="preserve">Място на изпълнение: </w:t>
      </w:r>
      <w:r w:rsidR="00E048B8">
        <w:rPr>
          <w:rFonts w:ascii="Times New Roman" w:eastAsia="Times New Roman" w:hAnsi="Times New Roman" w:cs="Times New Roman"/>
          <w:b/>
          <w:sz w:val="24"/>
          <w:szCs w:val="28"/>
        </w:rPr>
        <w:t>територията на България</w:t>
      </w:r>
    </w:p>
    <w:p w14:paraId="0F4DA3C2" w14:textId="308FFA42" w:rsidR="00906C75" w:rsidRDefault="00906C75" w:rsidP="00906C75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14:paraId="531C8254" w14:textId="07C0A8B6" w:rsidR="00906C75" w:rsidRPr="006F579D" w:rsidRDefault="00906C75" w:rsidP="0090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РАЗДЕЛ </w:t>
      </w: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</w:p>
    <w:p w14:paraId="1E8072F8" w14:textId="33655DC1" w:rsidR="00906C75" w:rsidRDefault="00906C75" w:rsidP="00906C75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14:paraId="05D9846A" w14:textId="77777777" w:rsidR="00906C75" w:rsidRDefault="00906C75" w:rsidP="00906C75">
      <w:pPr>
        <w:spacing w:after="0" w:line="240" w:lineRule="auto"/>
        <w:ind w:firstLine="330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B9826B" w14:textId="77777777" w:rsidR="00906C75" w:rsidRDefault="00906C75" w:rsidP="00906C75">
      <w:pPr>
        <w:shd w:val="clear" w:color="auto" w:fill="C6D9F1" w:themeFill="text2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BCD0747" w14:textId="50A58D22" w:rsidR="00906C75" w:rsidRDefault="00906C75" w:rsidP="00906C75">
      <w:pPr>
        <w:shd w:val="clear" w:color="auto" w:fill="C6D9F1" w:themeFill="text2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ТЕХНИЧЕСКА СПЕЦИФИКАЦИЯ</w:t>
      </w:r>
    </w:p>
    <w:p w14:paraId="639D28C6" w14:textId="77777777" w:rsidR="00906C75" w:rsidRPr="00E11ED8" w:rsidRDefault="00906C75" w:rsidP="00906C75">
      <w:pPr>
        <w:shd w:val="clear" w:color="auto" w:fill="C6D9F1" w:themeFill="text2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F32290C" w14:textId="77777777" w:rsidR="00906C75" w:rsidRDefault="00906C75" w:rsidP="00906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731DDC" w14:textId="77777777" w:rsidR="00B75AE6" w:rsidRDefault="00B75AE6" w:rsidP="00B75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57A9D1D" w14:textId="0BEA3EAD" w:rsidR="00B75AE6" w:rsidRPr="00B75AE6" w:rsidRDefault="00B75AE6" w:rsidP="00B75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75AE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ИЗИСКВАНИЯ КЪМ ИЗПЪЛНЕНИЕТО СЛЕД СКЛЮЧВАНЕ НА ДОГОВОР ЗА ОБЩЕСТВЕНА ПОРЪЧКА:</w:t>
      </w:r>
    </w:p>
    <w:p w14:paraId="43E2EA43" w14:textId="77777777" w:rsidR="00906C75" w:rsidRPr="00040438" w:rsidRDefault="00906C75" w:rsidP="00906C75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14:paraId="1B0460B5" w14:textId="2C28C0DA" w:rsidR="00F13A14" w:rsidRDefault="00F13A14" w:rsidP="00F13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7B4077" w14:textId="77777777" w:rsidR="007B3AD0" w:rsidRPr="00040438" w:rsidRDefault="007B3AD0" w:rsidP="00F13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3B03D9" w14:textId="2C16F469" w:rsidR="000A2BCA" w:rsidRPr="000A2BCA" w:rsidRDefault="00F13A14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ДЕЙНОСТИ:</w:t>
      </w:r>
    </w:p>
    <w:p w14:paraId="1EEFC1E3" w14:textId="77777777" w:rsidR="0009625C" w:rsidRPr="00040438" w:rsidRDefault="0009625C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D19CAF" w14:textId="743135F4" w:rsidR="00983275" w:rsidRPr="00040438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Дейност 1: </w:t>
      </w:r>
      <w:r w:rsidR="00CE2146" w:rsidRPr="00040438">
        <w:rPr>
          <w:rFonts w:ascii="Times New Roman" w:eastAsia="Times New Roman" w:hAnsi="Times New Roman" w:cs="Times New Roman"/>
          <w:b/>
          <w:sz w:val="24"/>
          <w:szCs w:val="24"/>
        </w:rPr>
        <w:t>Проучване на добри практики в областта на финансовото управление и контрол в публичния сектор, в т.ч. и вътрешния одит във водещи страни от ЕС</w:t>
      </w:r>
    </w:p>
    <w:p w14:paraId="4374B9F2" w14:textId="77777777" w:rsidR="00983275" w:rsidRPr="00040438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563DE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 xml:space="preserve">Необходимостта от актуализация на нормативната рамка и методологията в областта на финансовото управление и контрол в публичния сектор (ФУКПС), в т.ч. и вътрешния одит е залегнала в определената визия за вътрешния контрол и доброто управление в публичния сектор, стратегическите цели и дейности, определени в Стратегията за развитие на вътрешния контрол в публичния сектор на Република България за периода 2018-2020 г., приета на основание чл.48, ал.2, т.1 от ЗВОПС с Решение на МС от 08.11.2017 г (Стратегията). </w:t>
      </w:r>
    </w:p>
    <w:p w14:paraId="4A350680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Стратегията дефинира различни предизвикателства и проблеми пред ФУКПС и вътрешния одит, в това число:</w:t>
      </w:r>
    </w:p>
    <w:p w14:paraId="6F4747F2" w14:textId="77777777" w:rsidR="00112EA2" w:rsidRPr="00237660" w:rsidRDefault="00112EA2" w:rsidP="009A0C3F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планирането на ясни, измерими и ресурсно обезпечени стратегически и оперативни цели на ниво организации;</w:t>
      </w:r>
    </w:p>
    <w:p w14:paraId="1C9FFAE3" w14:textId="77777777" w:rsidR="00112EA2" w:rsidRPr="00237660" w:rsidRDefault="00112EA2" w:rsidP="009A0C3F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утвърждаването и ефективното прилагане на правила и процедури за управление на</w:t>
      </w:r>
    </w:p>
    <w:p w14:paraId="4068A690" w14:textId="77777777" w:rsidR="00112EA2" w:rsidRPr="00237660" w:rsidRDefault="00112EA2" w:rsidP="009A0C3F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риска, както и за идентифицирането и докладването на грешки, нередности и измами;</w:t>
      </w:r>
    </w:p>
    <w:p w14:paraId="09CAC2D3" w14:textId="77777777" w:rsidR="00112EA2" w:rsidRPr="00237660" w:rsidRDefault="00112EA2" w:rsidP="009A0C3F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съобразяване на контролните механизми и разходите за тяхното осъществяване със значимостта на съответните рискове, към които те са насочени;</w:t>
      </w:r>
    </w:p>
    <w:p w14:paraId="42A0CA54" w14:textId="77777777" w:rsidR="00112EA2" w:rsidRPr="00237660" w:rsidRDefault="00112EA2" w:rsidP="009A0C3F">
      <w:pPr>
        <w:pStyle w:val="ListParagraph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запълването на капацитета на контролните звена и утвърждаването на тяхната роля при усъвършенстване на управлението в организациите</w:t>
      </w:r>
    </w:p>
    <w:p w14:paraId="2D7EE2C4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 xml:space="preserve">За да отговори на предизвикателствата, Стратегията дефинира и различни въпроси, отговорът на които се опитва да намери, чрез заложените стратегически цели и </w:t>
      </w:r>
      <w:r w:rsidRPr="00237660">
        <w:rPr>
          <w:rFonts w:ascii="Times New Roman" w:hAnsi="Times New Roman" w:cs="Times New Roman"/>
          <w:bCs/>
          <w:sz w:val="24"/>
          <w:szCs w:val="24"/>
        </w:rPr>
        <w:lastRenderedPageBreak/>
        <w:t>дейностите по тяхното изпълнение. Един от въпросите е „Какво може да научим от държави с по-голям опит в прилагането на вътрешния контрол в публичния сектор?“</w:t>
      </w:r>
    </w:p>
    <w:p w14:paraId="77CE4268" w14:textId="1A3AC986" w:rsidR="00112EA2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 xml:space="preserve">В тази връзка, в рамките на дейност 1 </w:t>
      </w:r>
      <w:r w:rsidR="006A70AE">
        <w:rPr>
          <w:rFonts w:ascii="Times New Roman" w:hAnsi="Times New Roman" w:cs="Times New Roman"/>
          <w:bCs/>
          <w:sz w:val="24"/>
          <w:szCs w:val="24"/>
        </w:rPr>
        <w:t>следва да</w:t>
      </w:r>
      <w:r w:rsidR="006A70AE" w:rsidRPr="002376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7660">
        <w:rPr>
          <w:rFonts w:ascii="Times New Roman" w:hAnsi="Times New Roman" w:cs="Times New Roman"/>
          <w:bCs/>
          <w:sz w:val="24"/>
          <w:szCs w:val="24"/>
        </w:rPr>
        <w:t>се направи проучване и анализ на съществуващи добри практики в 3 държави от ЕС.</w:t>
      </w:r>
    </w:p>
    <w:p w14:paraId="3ED67B61" w14:textId="0928D027" w:rsidR="00112EA2" w:rsidRPr="007B3AD0" w:rsidRDefault="00817226" w:rsidP="009A0C3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112EA2" w:rsidRPr="007B3AD0">
        <w:rPr>
          <w:rFonts w:ascii="Times New Roman" w:hAnsi="Times New Roman" w:cs="Times New Roman"/>
          <w:bCs/>
          <w:sz w:val="24"/>
          <w:szCs w:val="24"/>
        </w:rPr>
        <w:t xml:space="preserve">Държавите, на чийто практики </w:t>
      </w:r>
      <w:r w:rsidR="006A70AE" w:rsidRPr="007B3AD0">
        <w:rPr>
          <w:rFonts w:ascii="Times New Roman" w:hAnsi="Times New Roman" w:cs="Times New Roman"/>
          <w:bCs/>
          <w:sz w:val="24"/>
          <w:szCs w:val="24"/>
        </w:rPr>
        <w:t xml:space="preserve">следва да </w:t>
      </w:r>
      <w:r w:rsidR="00112EA2" w:rsidRPr="007B3AD0">
        <w:rPr>
          <w:rFonts w:ascii="Times New Roman" w:hAnsi="Times New Roman" w:cs="Times New Roman"/>
          <w:bCs/>
          <w:sz w:val="24"/>
          <w:szCs w:val="24"/>
        </w:rPr>
        <w:t>се проведе проучване</w:t>
      </w:r>
      <w:r w:rsidR="006A70AE" w:rsidRPr="007B3AD0">
        <w:rPr>
          <w:rFonts w:ascii="Times New Roman" w:hAnsi="Times New Roman" w:cs="Times New Roman"/>
          <w:bCs/>
          <w:sz w:val="24"/>
          <w:szCs w:val="24"/>
        </w:rPr>
        <w:t xml:space="preserve"> е необходимо</w:t>
      </w:r>
      <w:r w:rsidR="00112EA2" w:rsidRPr="007B3AD0">
        <w:rPr>
          <w:rFonts w:ascii="Times New Roman" w:hAnsi="Times New Roman" w:cs="Times New Roman"/>
          <w:bCs/>
          <w:sz w:val="24"/>
          <w:szCs w:val="24"/>
        </w:rPr>
        <w:t xml:space="preserve"> да</w:t>
      </w:r>
      <w:r w:rsidR="009A0C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12EA2" w:rsidRPr="007B3AD0">
        <w:rPr>
          <w:rFonts w:ascii="Times New Roman" w:hAnsi="Times New Roman" w:cs="Times New Roman"/>
          <w:bCs/>
          <w:sz w:val="24"/>
          <w:szCs w:val="24"/>
        </w:rPr>
        <w:t>отговарят като минимум на следните критерии:</w:t>
      </w:r>
    </w:p>
    <w:p w14:paraId="45480BC9" w14:textId="77777777" w:rsidR="00112EA2" w:rsidRPr="00D560AD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1.</w:t>
      </w:r>
      <w:r w:rsidRPr="00D560AD">
        <w:rPr>
          <w:rFonts w:ascii="Times New Roman" w:hAnsi="Times New Roman" w:cs="Times New Roman"/>
          <w:bCs/>
          <w:sz w:val="24"/>
          <w:szCs w:val="24"/>
        </w:rPr>
        <w:tab/>
        <w:t xml:space="preserve">Системите за управление и контрол в публичния сектор са фокусирани върху принципите на </w:t>
      </w:r>
      <w:proofErr w:type="spellStart"/>
      <w:r w:rsidRPr="00D560AD">
        <w:rPr>
          <w:rFonts w:ascii="Times New Roman" w:hAnsi="Times New Roman" w:cs="Times New Roman"/>
          <w:bCs/>
          <w:sz w:val="24"/>
          <w:szCs w:val="24"/>
        </w:rPr>
        <w:t>целеполагане</w:t>
      </w:r>
      <w:proofErr w:type="spellEnd"/>
      <w:r w:rsidRPr="00D560AD">
        <w:rPr>
          <w:rFonts w:ascii="Times New Roman" w:hAnsi="Times New Roman" w:cs="Times New Roman"/>
          <w:bCs/>
          <w:sz w:val="24"/>
          <w:szCs w:val="24"/>
        </w:rPr>
        <w:t xml:space="preserve">, ефективност и отчетност. Такива са например (но не само) системи за управление и контрол, базирани на принципа на програмното </w:t>
      </w:r>
      <w:proofErr w:type="spellStart"/>
      <w:r w:rsidRPr="00D560AD">
        <w:rPr>
          <w:rFonts w:ascii="Times New Roman" w:hAnsi="Times New Roman" w:cs="Times New Roman"/>
          <w:bCs/>
          <w:sz w:val="24"/>
          <w:szCs w:val="24"/>
        </w:rPr>
        <w:t>бюджетиране</w:t>
      </w:r>
      <w:proofErr w:type="spellEnd"/>
      <w:r w:rsidRPr="00D560A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F8E5CC" w14:textId="77777777" w:rsidR="00112EA2" w:rsidRPr="00D560AD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2.</w:t>
      </w:r>
      <w:r w:rsidRPr="00D560AD">
        <w:rPr>
          <w:rFonts w:ascii="Times New Roman" w:hAnsi="Times New Roman" w:cs="Times New Roman"/>
          <w:bCs/>
          <w:sz w:val="24"/>
          <w:szCs w:val="24"/>
        </w:rPr>
        <w:tab/>
        <w:t>Системите за управление и контрол в публичния сектор са организиран в съответствие с принципите на трите линии на защита (Оперативно управление; Управление на риска, финансов контрол и инспекции; Вътрешен одит).</w:t>
      </w:r>
    </w:p>
    <w:p w14:paraId="2294C3C3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3.</w:t>
      </w:r>
      <w:r w:rsidRPr="00D560AD">
        <w:rPr>
          <w:rFonts w:ascii="Times New Roman" w:hAnsi="Times New Roman" w:cs="Times New Roman"/>
          <w:bCs/>
          <w:sz w:val="24"/>
          <w:szCs w:val="24"/>
        </w:rPr>
        <w:tab/>
        <w:t>Вътрешният одит в публичния сектор е базиран на Международните професионални практики по вътрешен одит.</w:t>
      </w:r>
    </w:p>
    <w:p w14:paraId="4026E509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Проучването и анализът следва да идентифицират добри практики, както в сферата на финансовото управление и контрола в публичния сектор като цяло, така и по отношение на вътрешния одит в публичния сектор.</w:t>
      </w:r>
    </w:p>
    <w:p w14:paraId="2F2D51E7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Добрите практики, идентифицирани по отношение на ФУКПС следва да са базирани на актуалната рамка на модела COSO.</w:t>
      </w:r>
    </w:p>
    <w:p w14:paraId="78ABD744" w14:textId="77777777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При техния анализ, следва да се оцени и анализира приносът им за развитието на:</w:t>
      </w:r>
    </w:p>
    <w:p w14:paraId="736E4F6D" w14:textId="74CFDFD0" w:rsidR="00112EA2" w:rsidRPr="00237660" w:rsidRDefault="00112EA2" w:rsidP="009A0C3F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принци</w:t>
      </w:r>
      <w:r w:rsidR="00FD278B">
        <w:rPr>
          <w:rFonts w:ascii="Times New Roman" w:hAnsi="Times New Roman" w:cs="Times New Roman"/>
          <w:bCs/>
          <w:sz w:val="24"/>
          <w:szCs w:val="24"/>
        </w:rPr>
        <w:t>пите на „трите линии на защита“;</w:t>
      </w:r>
    </w:p>
    <w:p w14:paraId="69E9EEDF" w14:textId="77777777" w:rsidR="00112EA2" w:rsidRPr="00237660" w:rsidRDefault="00112EA2" w:rsidP="009A0C3F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 xml:space="preserve">проследяването и максимално постигане на функционалните и финансови цели на организациите от публичния сектор, в рамките на съответните законови изисквания </w:t>
      </w:r>
    </w:p>
    <w:p w14:paraId="4E7DDEF7" w14:textId="77777777" w:rsidR="00112EA2" w:rsidRPr="00237660" w:rsidRDefault="00112EA2" w:rsidP="009A0C3F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интегрирана оценка на ефективността на системата за вътрешен контрол, на база налични и функциониращи компоненти и съответните принципи;</w:t>
      </w:r>
    </w:p>
    <w:p w14:paraId="4DDF9088" w14:textId="77777777" w:rsidR="00112EA2" w:rsidRPr="00237660" w:rsidRDefault="00112EA2" w:rsidP="009A0C3F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ефективно управление на риска и свързаните с него механизми за вътрешен контрол;</w:t>
      </w:r>
    </w:p>
    <w:p w14:paraId="14B89357" w14:textId="77777777" w:rsidR="00112EA2" w:rsidRPr="00237660" w:rsidRDefault="00112EA2" w:rsidP="009A0C3F">
      <w:pPr>
        <w:pStyle w:val="ListParagraph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993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>реална обратна връзка за състоянието на вътрешния контрол в публичния сектор, която чрез обективно консолидиране да има силен обществен отзвук и реални мерки за евентуално подобрение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7F93398" w14:textId="313B36FD" w:rsidR="00112EA2" w:rsidRPr="00237660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660">
        <w:rPr>
          <w:rFonts w:ascii="Times New Roman" w:hAnsi="Times New Roman" w:cs="Times New Roman"/>
          <w:bCs/>
          <w:sz w:val="24"/>
          <w:szCs w:val="24"/>
        </w:rPr>
        <w:t xml:space="preserve">Добрите практики, идентифицирани по отношение на вътрешния одит в публичния сектор следва да са в съответствие със Стандартите, Указанията за прилагане, част от препоръчителните елементи на Международните професионални практики по вътрешен одит (IPPF). </w:t>
      </w:r>
    </w:p>
    <w:p w14:paraId="7E3D1087" w14:textId="65CA368E" w:rsidR="00112EA2" w:rsidRDefault="00112EA2" w:rsidP="009A0C3F">
      <w:pPr>
        <w:pStyle w:val="ListParagraph"/>
        <w:spacing w:before="120" w:after="120" w:line="240" w:lineRule="auto"/>
        <w:ind w:left="0" w:firstLine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 xml:space="preserve">На база на проведените проучвания и анализ на добри практики в държави членки на ЕС, да се изведат препоръки за добри практики в областта на финансовото управление и контрол, в т.ч. и вътрешния одит, приложими в публичния сектор на България. Резултатите от проучванията и анализите, както и изведените на тази база </w:t>
      </w:r>
      <w:r w:rsidRPr="00D560AD">
        <w:rPr>
          <w:rFonts w:ascii="Times New Roman" w:hAnsi="Times New Roman" w:cs="Times New Roman"/>
          <w:bCs/>
          <w:sz w:val="24"/>
          <w:szCs w:val="24"/>
        </w:rPr>
        <w:lastRenderedPageBreak/>
        <w:t>препоръки, ще се опишат в детайлен</w:t>
      </w:r>
      <w:r w:rsidR="00FD27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0AA8">
        <w:rPr>
          <w:rFonts w:ascii="Times New Roman" w:hAnsi="Times New Roman" w:cs="Times New Roman"/>
          <w:bCs/>
          <w:sz w:val="24"/>
          <w:szCs w:val="24"/>
        </w:rPr>
        <w:t>Анализ</w:t>
      </w:r>
      <w:r w:rsidRPr="00D560AD">
        <w:rPr>
          <w:rFonts w:ascii="Times New Roman" w:hAnsi="Times New Roman" w:cs="Times New Roman"/>
          <w:bCs/>
          <w:sz w:val="24"/>
          <w:szCs w:val="24"/>
        </w:rPr>
        <w:t xml:space="preserve">, съдържащ резултатите за всяка една държава членка, както и изведените и мотивирани препоръки. </w:t>
      </w:r>
    </w:p>
    <w:p w14:paraId="07B001BC" w14:textId="57D1F461" w:rsidR="00112EA2" w:rsidRDefault="00112EA2" w:rsidP="009A0C3F">
      <w:pPr>
        <w:pStyle w:val="ListParagraph"/>
        <w:spacing w:before="120" w:after="120" w:line="240" w:lineRule="auto"/>
        <w:ind w:left="0" w:firstLine="708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Държавите от ЕС, чийто практики следва да се проучат, ще бъдат подбрани и предложени от изпълнителя</w:t>
      </w:r>
      <w:r w:rsidR="00FD278B">
        <w:rPr>
          <w:rFonts w:ascii="Times New Roman" w:hAnsi="Times New Roman" w:cs="Times New Roman"/>
          <w:bCs/>
          <w:sz w:val="24"/>
          <w:szCs w:val="24"/>
        </w:rPr>
        <w:t xml:space="preserve"> след сключването на договор за обществена поръчка</w:t>
      </w:r>
      <w:r>
        <w:rPr>
          <w:rFonts w:ascii="Times New Roman" w:hAnsi="Times New Roman" w:cs="Times New Roman"/>
          <w:bCs/>
          <w:sz w:val="24"/>
          <w:szCs w:val="24"/>
        </w:rPr>
        <w:t>, след което следва да бъдат одобрени от Възложителя. Едва след одобрението на предложените държави, изпълнителят следва да пристъпи към извършване на проучването.</w:t>
      </w:r>
    </w:p>
    <w:p w14:paraId="6BE8CDD6" w14:textId="14ED890C" w:rsidR="00983275" w:rsidRPr="00040438" w:rsidRDefault="00983275" w:rsidP="009A0C3F">
      <w:pPr>
        <w:spacing w:before="120" w:after="120" w:line="240" w:lineRule="auto"/>
        <w:ind w:firstLine="3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1E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Срок</w:t>
      </w:r>
      <w:r w:rsidR="008C1E26" w:rsidRPr="000404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761330" w:rsidRPr="000404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изпълнение</w:t>
      </w:r>
      <w:r w:rsidR="00761330"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6A70AE">
        <w:rPr>
          <w:rFonts w:ascii="Times New Roman" w:eastAsia="Times New Roman" w:hAnsi="Times New Roman" w:cs="Times New Roman"/>
          <w:sz w:val="24"/>
          <w:szCs w:val="24"/>
        </w:rPr>
        <w:t>30.11.2019 г.</w:t>
      </w:r>
    </w:p>
    <w:p w14:paraId="58A1DA17" w14:textId="721C99CB" w:rsidR="00761330" w:rsidRPr="00040438" w:rsidRDefault="00761330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33AE9B18" w14:textId="11B11B5C" w:rsidR="00983275" w:rsidRPr="00040438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80B5DC" w14:textId="025ACEBC" w:rsidR="00983275" w:rsidRPr="00040438" w:rsidRDefault="00605EED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Дейност</w:t>
      </w:r>
      <w:r w:rsidR="0009625C"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: Анализ на текущото състояние на финансовото управление и контрол в публичния сектор, в т.ч. и вътрешния одит в България</w:t>
      </w:r>
    </w:p>
    <w:p w14:paraId="3C935144" w14:textId="77777777" w:rsidR="00605EED" w:rsidRPr="00040438" w:rsidRDefault="00605EED" w:rsidP="009A0C3F">
      <w:pPr>
        <w:tabs>
          <w:tab w:val="num" w:pos="0"/>
        </w:tabs>
        <w:spacing w:before="120" w:after="120" w:line="240" w:lineRule="auto"/>
        <w:ind w:firstLine="3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E8C72" w14:textId="09FF623F" w:rsidR="00112EA2" w:rsidRPr="001D352C" w:rsidRDefault="00112EA2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52C">
        <w:rPr>
          <w:rFonts w:ascii="Times New Roman" w:hAnsi="Times New Roman" w:cs="Times New Roman"/>
          <w:bCs/>
          <w:sz w:val="24"/>
          <w:szCs w:val="24"/>
        </w:rPr>
        <w:t>Стратегията за развитие на вътрешния контрол в публичния сектор на Република България е идентифицирала редица предизвикателства и проблеми пред развитието на финансовото управление и контрол и на вътрешния одит в публичния сектор.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52C">
        <w:rPr>
          <w:rFonts w:ascii="Times New Roman" w:hAnsi="Times New Roman" w:cs="Times New Roman"/>
          <w:bCs/>
          <w:sz w:val="24"/>
          <w:szCs w:val="24"/>
        </w:rPr>
        <w:t>Дирекция „Методология на контрола и вътрешен одит“ в Министерството на финансите, като част от дейността си, събира и анализира значителна информация, в хода на координацията и наблюдението на системите за ФУКПС и на вътрешния одит.</w:t>
      </w:r>
    </w:p>
    <w:p w14:paraId="4BCEB752" w14:textId="77777777" w:rsidR="00112EA2" w:rsidRPr="001D352C" w:rsidRDefault="00112EA2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52C">
        <w:rPr>
          <w:rFonts w:ascii="Times New Roman" w:hAnsi="Times New Roman" w:cs="Times New Roman"/>
          <w:bCs/>
          <w:sz w:val="24"/>
          <w:szCs w:val="24"/>
        </w:rPr>
        <w:t>Същевременно, предвид динамиката в развитието на сектора и предвид нуждата от сравнение на установеното в рамките на дейност 1 положение в другите държави от ЕС с актуалното положение в България, е необходимо да се направи една оценка и анализ на текущото състояние на финансовото управление и контрол в публичния сектор, в т.ч. и вътрешния одит в България.</w:t>
      </w:r>
    </w:p>
    <w:p w14:paraId="545BB0AF" w14:textId="240ABA03" w:rsidR="00112EA2" w:rsidRDefault="00112EA2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52C">
        <w:rPr>
          <w:rFonts w:ascii="Times New Roman" w:hAnsi="Times New Roman" w:cs="Times New Roman"/>
          <w:bCs/>
          <w:sz w:val="24"/>
          <w:szCs w:val="24"/>
        </w:rPr>
        <w:t xml:space="preserve">За целта, в хода на дейността </w:t>
      </w:r>
      <w:r w:rsidR="00665523">
        <w:rPr>
          <w:rFonts w:ascii="Times New Roman" w:hAnsi="Times New Roman" w:cs="Times New Roman"/>
          <w:bCs/>
          <w:sz w:val="24"/>
          <w:szCs w:val="24"/>
        </w:rPr>
        <w:t>следва да</w:t>
      </w:r>
      <w:r w:rsidR="00665523" w:rsidRPr="001D3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52C">
        <w:rPr>
          <w:rFonts w:ascii="Times New Roman" w:hAnsi="Times New Roman" w:cs="Times New Roman"/>
          <w:bCs/>
          <w:sz w:val="24"/>
          <w:szCs w:val="24"/>
        </w:rPr>
        <w:t xml:space="preserve">се анализират съществуващи доклади, анализи и проучвания на състоянието на финансовото управление и контрол в публичния сектор, в т.ч. и вътрешния одит в България. Анализът </w:t>
      </w:r>
      <w:r w:rsidR="00665523">
        <w:rPr>
          <w:rFonts w:ascii="Times New Roman" w:hAnsi="Times New Roman" w:cs="Times New Roman"/>
          <w:bCs/>
          <w:sz w:val="24"/>
          <w:szCs w:val="24"/>
        </w:rPr>
        <w:t>следва да</w:t>
      </w:r>
      <w:r w:rsidR="00665523" w:rsidRPr="001D3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52C">
        <w:rPr>
          <w:rFonts w:ascii="Times New Roman" w:hAnsi="Times New Roman" w:cs="Times New Roman"/>
          <w:bCs/>
          <w:sz w:val="24"/>
          <w:szCs w:val="24"/>
        </w:rPr>
        <w:t xml:space="preserve">включва и базата с данни и информация, поддържана от </w:t>
      </w:r>
      <w:r w:rsidR="00665523">
        <w:rPr>
          <w:rFonts w:ascii="Times New Roman" w:hAnsi="Times New Roman" w:cs="Times New Roman"/>
          <w:bCs/>
          <w:sz w:val="24"/>
          <w:szCs w:val="24"/>
        </w:rPr>
        <w:t>д</w:t>
      </w:r>
      <w:r w:rsidR="00665523" w:rsidRPr="001D352C">
        <w:rPr>
          <w:rFonts w:ascii="Times New Roman" w:hAnsi="Times New Roman" w:cs="Times New Roman"/>
          <w:bCs/>
          <w:sz w:val="24"/>
          <w:szCs w:val="24"/>
        </w:rPr>
        <w:t xml:space="preserve">ирекция </w:t>
      </w:r>
      <w:r w:rsidRPr="001D352C">
        <w:rPr>
          <w:rFonts w:ascii="Times New Roman" w:hAnsi="Times New Roman" w:cs="Times New Roman"/>
          <w:bCs/>
          <w:sz w:val="24"/>
          <w:szCs w:val="24"/>
        </w:rPr>
        <w:t>„Методология на контрола и вътрешен одит“ в Министерството на финансите.</w:t>
      </w:r>
    </w:p>
    <w:p w14:paraId="5C9618FE" w14:textId="77777777" w:rsidR="00112EA2" w:rsidRPr="00D560AD" w:rsidRDefault="00112EA2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В обхвата на анализа влизат:</w:t>
      </w:r>
    </w:p>
    <w:p w14:paraId="0549A5F0" w14:textId="77777777" w:rsidR="00112EA2" w:rsidRPr="00D560AD" w:rsidRDefault="00112EA2" w:rsidP="009A0C3F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 xml:space="preserve">Данните от проведените, в резултат от указания на  Министерството на финансите и дирекция „Методология на контрола и вътрешен одит“ </w:t>
      </w:r>
      <w:proofErr w:type="spellStart"/>
      <w:r w:rsidRPr="00D560AD">
        <w:rPr>
          <w:rFonts w:ascii="Times New Roman" w:hAnsi="Times New Roman" w:cs="Times New Roman"/>
          <w:bCs/>
          <w:sz w:val="24"/>
          <w:szCs w:val="24"/>
        </w:rPr>
        <w:t>одитни</w:t>
      </w:r>
      <w:proofErr w:type="spellEnd"/>
      <w:r w:rsidRPr="00D560AD">
        <w:rPr>
          <w:rFonts w:ascii="Times New Roman" w:hAnsi="Times New Roman" w:cs="Times New Roman"/>
          <w:bCs/>
          <w:sz w:val="24"/>
          <w:szCs w:val="24"/>
        </w:rPr>
        <w:t xml:space="preserve"> ангажименти относно осъществявания предварителен контрол за законосъобразност (52 </w:t>
      </w:r>
      <w:proofErr w:type="spellStart"/>
      <w:r w:rsidRPr="00D560AD">
        <w:rPr>
          <w:rFonts w:ascii="Times New Roman" w:hAnsi="Times New Roman" w:cs="Times New Roman"/>
          <w:bCs/>
          <w:sz w:val="24"/>
          <w:szCs w:val="24"/>
        </w:rPr>
        <w:t>одитни</w:t>
      </w:r>
      <w:proofErr w:type="spellEnd"/>
      <w:r w:rsidRPr="00D560AD">
        <w:rPr>
          <w:rFonts w:ascii="Times New Roman" w:hAnsi="Times New Roman" w:cs="Times New Roman"/>
          <w:bCs/>
          <w:sz w:val="24"/>
          <w:szCs w:val="24"/>
        </w:rPr>
        <w:t xml:space="preserve"> доклада)</w:t>
      </w:r>
    </w:p>
    <w:p w14:paraId="756F9D9C" w14:textId="77777777" w:rsidR="00112EA2" w:rsidRPr="00D560AD" w:rsidRDefault="00112EA2" w:rsidP="009A0C3F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Информацията от обобщаването, анализирането и консолидирането на годишните доклади и въпросници за състоянието на финансовото управление и контрол за последните 3 години (2015, 2016, 2017)</w:t>
      </w:r>
    </w:p>
    <w:p w14:paraId="55FE5711" w14:textId="77777777" w:rsidR="00112EA2" w:rsidRPr="00D560AD" w:rsidRDefault="00112EA2" w:rsidP="009A0C3F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Информацията от обобщаването, анализирането и консолидирането на годишните доклади за дейността по вътрешен одит в публичния сектор за последните 3 години (2015, 2016, 2017)</w:t>
      </w:r>
    </w:p>
    <w:p w14:paraId="195F0883" w14:textId="61172EE9" w:rsidR="00112EA2" w:rsidRPr="00D560AD" w:rsidRDefault="00112EA2" w:rsidP="009A0C3F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 xml:space="preserve">Резултатите от извършените от служители на дирекция „Методология на контрола и вътрешен одит“ в Министерството на финансите системни наблюдения по </w:t>
      </w:r>
      <w:r w:rsidRPr="00D560A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вътрешен одит, в съответствие с чл. 49 от ЗВОПС и по финансово управление и контрол, съгласно чл. 18 от ЗФУКПС за последните </w:t>
      </w:r>
      <w:r w:rsidR="00665523">
        <w:rPr>
          <w:rFonts w:ascii="Times New Roman" w:hAnsi="Times New Roman" w:cs="Times New Roman"/>
          <w:bCs/>
          <w:sz w:val="24"/>
          <w:szCs w:val="24"/>
        </w:rPr>
        <w:t>4</w:t>
      </w:r>
      <w:r w:rsidR="00665523" w:rsidRPr="00D560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60AD">
        <w:rPr>
          <w:rFonts w:ascii="Times New Roman" w:hAnsi="Times New Roman" w:cs="Times New Roman"/>
          <w:bCs/>
          <w:sz w:val="24"/>
          <w:szCs w:val="24"/>
        </w:rPr>
        <w:t>години (</w:t>
      </w:r>
      <w:r w:rsidR="00665523">
        <w:rPr>
          <w:rFonts w:ascii="Times New Roman" w:hAnsi="Times New Roman" w:cs="Times New Roman"/>
          <w:bCs/>
          <w:sz w:val="24"/>
          <w:szCs w:val="24"/>
        </w:rPr>
        <w:t xml:space="preserve">2015 - </w:t>
      </w:r>
      <w:r w:rsidR="006703C7">
        <w:rPr>
          <w:rFonts w:ascii="Times New Roman" w:hAnsi="Times New Roman" w:cs="Times New Roman"/>
          <w:bCs/>
          <w:sz w:val="24"/>
          <w:szCs w:val="24"/>
        </w:rPr>
        <w:t>2018 г.</w:t>
      </w:r>
      <w:r w:rsidRPr="00D560AD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BFC8938" w14:textId="77777777" w:rsidR="001D7C61" w:rsidRDefault="00112EA2" w:rsidP="009A0C3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0283C">
        <w:rPr>
          <w:rFonts w:ascii="Times New Roman" w:hAnsi="Times New Roman" w:cs="Times New Roman"/>
          <w:bCs/>
          <w:sz w:val="24"/>
          <w:szCs w:val="24"/>
        </w:rPr>
        <w:t xml:space="preserve">Изпълнителят следва да идентифицира и предложи и допълнителни източници на информация за състоянието на </w:t>
      </w:r>
      <w:r w:rsidR="00560228">
        <w:rPr>
          <w:rFonts w:ascii="Times New Roman" w:hAnsi="Times New Roman" w:cs="Times New Roman"/>
          <w:bCs/>
          <w:sz w:val="24"/>
          <w:szCs w:val="24"/>
        </w:rPr>
        <w:t xml:space="preserve">системите за </w:t>
      </w:r>
      <w:r w:rsidRPr="0040283C">
        <w:rPr>
          <w:rFonts w:ascii="Times New Roman" w:hAnsi="Times New Roman" w:cs="Times New Roman"/>
          <w:bCs/>
          <w:sz w:val="24"/>
          <w:szCs w:val="24"/>
        </w:rPr>
        <w:t>финансово управление и контрол в публичния сектор, които да бъдат анализирани</w:t>
      </w:r>
      <w:r w:rsidR="00560228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4028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0228" w:rsidRPr="0040283C">
        <w:rPr>
          <w:rFonts w:ascii="Times New Roman" w:hAnsi="Times New Roman" w:cs="Times New Roman"/>
          <w:bCs/>
          <w:sz w:val="24"/>
          <w:szCs w:val="24"/>
        </w:rPr>
        <w:t>представ</w:t>
      </w:r>
      <w:r w:rsidR="00560228">
        <w:rPr>
          <w:rFonts w:ascii="Times New Roman" w:hAnsi="Times New Roman" w:cs="Times New Roman"/>
          <w:bCs/>
          <w:sz w:val="24"/>
          <w:szCs w:val="24"/>
        </w:rPr>
        <w:t>ени</w:t>
      </w:r>
      <w:r w:rsidR="00560228" w:rsidRPr="004028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283C">
        <w:rPr>
          <w:rFonts w:ascii="Times New Roman" w:hAnsi="Times New Roman" w:cs="Times New Roman"/>
          <w:bCs/>
          <w:sz w:val="24"/>
          <w:szCs w:val="24"/>
        </w:rPr>
        <w:t xml:space="preserve">на Възложителя. </w:t>
      </w:r>
    </w:p>
    <w:p w14:paraId="4EA9AA15" w14:textId="02290596" w:rsidR="00112EA2" w:rsidRDefault="00112EA2" w:rsidP="009A0C3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52C">
        <w:rPr>
          <w:rFonts w:ascii="Times New Roman" w:hAnsi="Times New Roman" w:cs="Times New Roman"/>
          <w:bCs/>
          <w:sz w:val="24"/>
          <w:szCs w:val="24"/>
        </w:rPr>
        <w:t xml:space="preserve">Идентифицираните чрез анализа проблеми и области, нуждаещи се от подобрение </w:t>
      </w:r>
      <w:r w:rsidR="005C2D27">
        <w:rPr>
          <w:rFonts w:ascii="Times New Roman" w:hAnsi="Times New Roman" w:cs="Times New Roman"/>
          <w:bCs/>
          <w:sz w:val="24"/>
          <w:szCs w:val="24"/>
        </w:rPr>
        <w:t>следва да</w:t>
      </w:r>
      <w:r w:rsidR="005C2D27" w:rsidRPr="001D3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52C">
        <w:rPr>
          <w:rFonts w:ascii="Times New Roman" w:hAnsi="Times New Roman" w:cs="Times New Roman"/>
          <w:bCs/>
          <w:sz w:val="24"/>
          <w:szCs w:val="24"/>
        </w:rPr>
        <w:t xml:space="preserve">бъдат сравнени с резултатите от проучването на състоянието в други държави от ЕС (Дейност 1) и на тази база, </w:t>
      </w:r>
      <w:r w:rsidR="005C2D27">
        <w:rPr>
          <w:rFonts w:ascii="Times New Roman" w:hAnsi="Times New Roman" w:cs="Times New Roman"/>
          <w:bCs/>
          <w:sz w:val="24"/>
          <w:szCs w:val="24"/>
        </w:rPr>
        <w:t>да</w:t>
      </w:r>
      <w:r w:rsidR="005C2D27" w:rsidRPr="001D3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52C">
        <w:rPr>
          <w:rFonts w:ascii="Times New Roman" w:hAnsi="Times New Roman" w:cs="Times New Roman"/>
          <w:bCs/>
          <w:sz w:val="24"/>
          <w:szCs w:val="24"/>
        </w:rPr>
        <w:t xml:space="preserve">се направи оценка на ефективността и ефикасността на финансовото управление и контрол в публичния сектор в България, в т.ч. и вътрешния одит и </w:t>
      </w:r>
      <w:r w:rsidR="005C2D27">
        <w:rPr>
          <w:rFonts w:ascii="Times New Roman" w:hAnsi="Times New Roman" w:cs="Times New Roman"/>
          <w:bCs/>
          <w:sz w:val="24"/>
          <w:szCs w:val="24"/>
        </w:rPr>
        <w:t>да</w:t>
      </w:r>
      <w:r w:rsidR="005C2D27" w:rsidRPr="001D3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52C">
        <w:rPr>
          <w:rFonts w:ascii="Times New Roman" w:hAnsi="Times New Roman" w:cs="Times New Roman"/>
          <w:bCs/>
          <w:sz w:val="24"/>
          <w:szCs w:val="24"/>
        </w:rPr>
        <w:t>се идентифицират препоръки за актуализация и подобрения на нормативната рамка, методологията и дейностите по финансово управление, контрол и вътрешен одит.</w:t>
      </w:r>
    </w:p>
    <w:p w14:paraId="5DEEB507" w14:textId="332153F6" w:rsidR="00112EA2" w:rsidRPr="0040283C" w:rsidRDefault="00112EA2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83C">
        <w:rPr>
          <w:rFonts w:ascii="Times New Roman" w:hAnsi="Times New Roman" w:cs="Times New Roman"/>
          <w:sz w:val="24"/>
          <w:szCs w:val="24"/>
          <w:shd w:val="clear" w:color="auto" w:fill="FFFFFF"/>
        </w:rPr>
        <w:t>Препоръките за актуализация и подобрения на нормативната рамка, методологията и дейностите по финансово управление, контрол и вътрешен одит следва да бъдат конкретни, точни и мотивирани. Те следва да представляват концептуални описания, посочващи какво и как следва да се промени в съответния акт или методология</w:t>
      </w:r>
      <w:r w:rsidR="005C2D2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B809DE4" w14:textId="77AF4CB3" w:rsidR="00386F6C" w:rsidRPr="00040438" w:rsidRDefault="00386F6C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C1E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Срок</w:t>
      </w:r>
      <w:r w:rsidR="008C1E26" w:rsidRPr="000404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изпълнение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5C2D27">
        <w:rPr>
          <w:rFonts w:ascii="Times New Roman" w:eastAsia="Times New Roman" w:hAnsi="Times New Roman" w:cs="Times New Roman"/>
          <w:sz w:val="24"/>
          <w:szCs w:val="24"/>
        </w:rPr>
        <w:t>30.11.2019 г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889414" w14:textId="77777777" w:rsidR="00386F6C" w:rsidRPr="00040438" w:rsidRDefault="00386F6C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E1974" w14:textId="403D4A65" w:rsidR="00D23510" w:rsidRPr="00040438" w:rsidRDefault="00D23510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Дейност</w:t>
      </w:r>
      <w:r w:rsidR="0009625C"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: Изготвяне на предложения за промени в законодателството в областта на вътрешния контрол и актуализиране на методологията за вътрешен контрол, в т. ч. и за вътрешен одит</w:t>
      </w:r>
    </w:p>
    <w:p w14:paraId="4C836EBA" w14:textId="77777777" w:rsidR="00D23510" w:rsidRPr="00040438" w:rsidRDefault="00D23510" w:rsidP="009A0C3F">
      <w:pPr>
        <w:tabs>
          <w:tab w:val="num" w:pos="0"/>
        </w:tabs>
        <w:spacing w:before="120" w:after="120" w:line="240" w:lineRule="auto"/>
        <w:ind w:firstLine="3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B329C9" w14:textId="1EDAB016" w:rsidR="00DB3364" w:rsidRPr="00040438" w:rsidRDefault="00DB3364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>Въз</w:t>
      </w:r>
      <w:r w:rsidR="00263042" w:rsidRPr="0004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основа на резултатите от дейности 1 и дейност 2, изпълнителят следва да изготви конкретни предложения за промени в законодателството в областта на ФУКПС, в т.ч. и вътрешния одит в публичния сектор, чрез които да се създаде необходимата правна основа за прилагане на идентифицираните възможности за подобрения на дейностите по финансово управление, контрол и вътрешен одит. </w:t>
      </w:r>
    </w:p>
    <w:p w14:paraId="6D759C7A" w14:textId="7A6D36F6" w:rsidR="00DB3364" w:rsidRPr="00040438" w:rsidRDefault="00DB3364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За разлика от препоръките, дадени в резултат от дейност 2, които имат характера на концептуални предложения, конкретните предложения за промени в законодателството </w:t>
      </w:r>
      <w:r w:rsidR="000A3748">
        <w:rPr>
          <w:rFonts w:ascii="Times New Roman" w:eastAsia="Times New Roman" w:hAnsi="Times New Roman" w:cs="Times New Roman"/>
          <w:b/>
          <w:sz w:val="24"/>
          <w:szCs w:val="24"/>
        </w:rPr>
        <w:t>следва да</w:t>
      </w:r>
      <w:r w:rsidR="000A3748"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имат формата на проекти за изменения и/или допълнения на нормативни актове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, отговарящи на всички необходими за целта изисквания на Закона за нормативните актове. Предложенията за промени в законодателството </w:t>
      </w:r>
      <w:r w:rsidR="000A3748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="000A3748" w:rsidRPr="0004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бъдат представени на министъра на финансите, който след негова преценка може да ги внесе за разглеждане в МС по реда на УП на МС и неговата администрация. </w:t>
      </w:r>
    </w:p>
    <w:p w14:paraId="6B790C77" w14:textId="7C13FAD7" w:rsidR="00402089" w:rsidRPr="00EB4438" w:rsidRDefault="00402089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4438">
        <w:rPr>
          <w:rFonts w:ascii="Times New Roman" w:hAnsi="Times New Roman" w:cs="Times New Roman"/>
          <w:bCs/>
          <w:sz w:val="24"/>
          <w:szCs w:val="24"/>
        </w:rPr>
        <w:t>В рамките на дейността</w:t>
      </w:r>
      <w:r>
        <w:rPr>
          <w:rFonts w:ascii="Times New Roman" w:hAnsi="Times New Roman" w:cs="Times New Roman"/>
          <w:bCs/>
          <w:sz w:val="24"/>
          <w:szCs w:val="24"/>
        </w:rPr>
        <w:t>, Изпълнителят следва да изготви</w:t>
      </w:r>
      <w:r w:rsidRPr="00EB4438">
        <w:rPr>
          <w:rFonts w:ascii="Times New Roman" w:hAnsi="Times New Roman" w:cs="Times New Roman"/>
          <w:bCs/>
          <w:sz w:val="24"/>
          <w:szCs w:val="24"/>
        </w:rPr>
        <w:t>:</w:t>
      </w:r>
    </w:p>
    <w:p w14:paraId="1DE02AC4" w14:textId="726B3B29" w:rsidR="00402089" w:rsidRPr="00EB4438" w:rsidRDefault="00402089" w:rsidP="009A0C3F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B4438">
        <w:rPr>
          <w:rFonts w:ascii="Times New Roman" w:hAnsi="Times New Roman" w:cs="Times New Roman"/>
          <w:bCs/>
          <w:sz w:val="24"/>
          <w:szCs w:val="24"/>
        </w:rPr>
        <w:t xml:space="preserve">Актуализиран наръчник за вътрешен одит в съответствие с </w:t>
      </w:r>
      <w:r w:rsidR="00422ADE">
        <w:rPr>
          <w:rFonts w:ascii="Times New Roman" w:hAnsi="Times New Roman" w:cs="Times New Roman"/>
          <w:bCs/>
          <w:sz w:val="24"/>
          <w:szCs w:val="24"/>
        </w:rPr>
        <w:t>М</w:t>
      </w:r>
      <w:r w:rsidRPr="00EB4438">
        <w:rPr>
          <w:rFonts w:ascii="Times New Roman" w:hAnsi="Times New Roman" w:cs="Times New Roman"/>
          <w:bCs/>
          <w:sz w:val="24"/>
          <w:szCs w:val="24"/>
        </w:rPr>
        <w:t>еждународните стандарти</w:t>
      </w:r>
      <w:r w:rsidR="00422ADE">
        <w:rPr>
          <w:rFonts w:ascii="Times New Roman" w:hAnsi="Times New Roman" w:cs="Times New Roman"/>
          <w:bCs/>
          <w:sz w:val="24"/>
          <w:szCs w:val="24"/>
        </w:rPr>
        <w:t xml:space="preserve"> за професионална практика по вътрешен одит.</w:t>
      </w:r>
      <w:r w:rsidRPr="00EB443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BD56C82" w14:textId="0F1CFFCE" w:rsidR="00402089" w:rsidRDefault="00402089" w:rsidP="009A0C3F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B4438">
        <w:rPr>
          <w:rFonts w:ascii="Times New Roman" w:hAnsi="Times New Roman" w:cs="Times New Roman"/>
          <w:bCs/>
          <w:sz w:val="24"/>
          <w:szCs w:val="24"/>
        </w:rPr>
        <w:t>Актуализирани указания в областта на финансовото управление и контрол в публичния сектор.</w:t>
      </w:r>
      <w:r w:rsidR="00996E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97D8325" w14:textId="7B2BF948" w:rsidR="00996E45" w:rsidRPr="006703C7" w:rsidRDefault="00996E45" w:rsidP="009A0C3F">
      <w:pPr>
        <w:overflowPunct w:val="0"/>
        <w:autoSpaceDE w:val="0"/>
        <w:autoSpaceDN w:val="0"/>
        <w:adjustRightInd w:val="0"/>
        <w:spacing w:before="120" w:after="120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Въз основа на резултатите от дейност 1 и 2 и на база анализ, следва да бъде установена </w:t>
      </w:r>
      <w:r w:rsidR="009B6612">
        <w:rPr>
          <w:rFonts w:ascii="Times New Roman" w:hAnsi="Times New Roman" w:cs="Times New Roman"/>
          <w:bCs/>
          <w:sz w:val="24"/>
          <w:szCs w:val="24"/>
        </w:rPr>
        <w:t>необходимостта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актуализиране на всички или част от сега действащите указания и насоки в областта на финансовото управление и контрол.</w:t>
      </w:r>
    </w:p>
    <w:p w14:paraId="37B5737B" w14:textId="781AFB21" w:rsidR="00402089" w:rsidRDefault="00402089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443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Предложенията за промени в законодателството в областта на ФУКПС и вътрешния одит в публичния сектор и методология за вътрешен контрол, в т.ч. и за вътрешен одит </w:t>
      </w:r>
      <w:r w:rsidR="000A3748">
        <w:rPr>
          <w:rFonts w:ascii="Times New Roman" w:hAnsi="Times New Roman" w:cs="Times New Roman"/>
          <w:bCs/>
          <w:sz w:val="24"/>
          <w:szCs w:val="24"/>
        </w:rPr>
        <w:t>следва да</w:t>
      </w:r>
      <w:r w:rsidR="000A3748" w:rsidRPr="00EB44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B4438">
        <w:rPr>
          <w:rFonts w:ascii="Times New Roman" w:hAnsi="Times New Roman" w:cs="Times New Roman"/>
          <w:bCs/>
          <w:sz w:val="24"/>
          <w:szCs w:val="24"/>
        </w:rPr>
        <w:t>бъдат представени и съгласувани с представителите на вътрешни</w:t>
      </w:r>
      <w:r>
        <w:rPr>
          <w:rFonts w:ascii="Times New Roman" w:hAnsi="Times New Roman" w:cs="Times New Roman"/>
          <w:bCs/>
          <w:sz w:val="24"/>
          <w:szCs w:val="24"/>
        </w:rPr>
        <w:t>те</w:t>
      </w:r>
      <w:r w:rsidRPr="00EB44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B4438">
        <w:rPr>
          <w:rFonts w:ascii="Times New Roman" w:hAnsi="Times New Roman" w:cs="Times New Roman"/>
          <w:bCs/>
          <w:sz w:val="24"/>
          <w:szCs w:val="24"/>
        </w:rPr>
        <w:t>одитори</w:t>
      </w:r>
      <w:proofErr w:type="spellEnd"/>
      <w:r w:rsidRPr="00EB4438">
        <w:rPr>
          <w:rFonts w:ascii="Times New Roman" w:hAnsi="Times New Roman" w:cs="Times New Roman"/>
          <w:bCs/>
          <w:sz w:val="24"/>
          <w:szCs w:val="24"/>
        </w:rPr>
        <w:t xml:space="preserve"> в организациите от публичния сектор, финансови контрольори, лица на ръководни длъжности в публичния сектор, дирекция „Методология на контрола и вътрешен одит“ в Министерството на финансите, в рамките на регионалните срещи, проведени по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EB4438">
        <w:rPr>
          <w:rFonts w:ascii="Times New Roman" w:hAnsi="Times New Roman" w:cs="Times New Roman"/>
          <w:bCs/>
          <w:sz w:val="24"/>
          <w:szCs w:val="24"/>
        </w:rPr>
        <w:t>ейност 4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проекта</w:t>
      </w:r>
      <w:r w:rsidRPr="00EB443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71BFA18" w14:textId="7F8C16CA" w:rsidR="00402089" w:rsidRDefault="00402089" w:rsidP="009A0C3F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4438">
        <w:rPr>
          <w:rFonts w:ascii="Times New Roman" w:hAnsi="Times New Roman" w:cs="Times New Roman"/>
          <w:bCs/>
          <w:sz w:val="24"/>
          <w:szCs w:val="24"/>
        </w:rPr>
        <w:t xml:space="preserve">Мненията и предложенията, събрани чрез проведените на регионалните срещи дискусии </w:t>
      </w:r>
      <w:r w:rsidR="002C20B3">
        <w:rPr>
          <w:rFonts w:ascii="Times New Roman" w:hAnsi="Times New Roman" w:cs="Times New Roman"/>
          <w:bCs/>
          <w:sz w:val="24"/>
          <w:szCs w:val="24"/>
        </w:rPr>
        <w:t>следва да</w:t>
      </w:r>
      <w:r w:rsidRPr="00EB4438">
        <w:rPr>
          <w:rFonts w:ascii="Times New Roman" w:hAnsi="Times New Roman" w:cs="Times New Roman"/>
          <w:bCs/>
          <w:sz w:val="24"/>
          <w:szCs w:val="24"/>
        </w:rPr>
        <w:t xml:space="preserve"> бъдат отразени и използвани за финализиране на предложенията за промяна в законодателството и методология</w:t>
      </w:r>
      <w:r w:rsidR="00263A94">
        <w:rPr>
          <w:rFonts w:ascii="Times New Roman" w:hAnsi="Times New Roman" w:cs="Times New Roman"/>
          <w:bCs/>
          <w:sz w:val="24"/>
          <w:szCs w:val="24"/>
        </w:rPr>
        <w:t>та</w:t>
      </w:r>
      <w:r w:rsidRPr="00EB4438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4580D0" w14:textId="1B1E69D6" w:rsidR="00386F6C" w:rsidRPr="00040438" w:rsidRDefault="00386F6C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C1E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Срок 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изпълнение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263A94">
        <w:rPr>
          <w:rFonts w:ascii="Times New Roman" w:eastAsia="Times New Roman" w:hAnsi="Times New Roman" w:cs="Times New Roman"/>
          <w:sz w:val="24"/>
          <w:szCs w:val="24"/>
        </w:rPr>
        <w:t>29.02.2020 г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8C08D4" w14:textId="77777777" w:rsidR="00876C55" w:rsidRDefault="00876C55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7D8428" w14:textId="77777777" w:rsidR="00876C55" w:rsidRPr="00876C55" w:rsidRDefault="00876C55" w:rsidP="009A0C3F">
      <w:pPr>
        <w:spacing w:before="120" w:after="12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r w:rsidRPr="00876C55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*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ab/>
      </w:r>
      <w:r w:rsidRPr="00876C55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*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ab/>
      </w:r>
      <w:r w:rsidRPr="00876C55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*</w:t>
      </w:r>
    </w:p>
    <w:p w14:paraId="60AEF2C5" w14:textId="7D353A4E" w:rsidR="004663D3" w:rsidRPr="00040438" w:rsidRDefault="00DC7CA4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Изпълнителят следва да осигури</w:t>
      </w:r>
      <w:r w:rsidR="004663D3" w:rsidRPr="00040438">
        <w:rPr>
          <w:rFonts w:ascii="Times New Roman" w:eastAsia="Times New Roman" w:hAnsi="Times New Roman" w:cs="Times New Roman"/>
          <w:sz w:val="24"/>
          <w:szCs w:val="24"/>
        </w:rPr>
        <w:t xml:space="preserve"> лектори за провеждането на</w:t>
      </w:r>
      <w:r w:rsidR="00516DB3">
        <w:rPr>
          <w:rFonts w:ascii="Times New Roman" w:eastAsia="Times New Roman" w:hAnsi="Times New Roman" w:cs="Times New Roman"/>
          <w:sz w:val="24"/>
          <w:szCs w:val="24"/>
        </w:rPr>
        <w:t xml:space="preserve"> обучения и представители на регионални срещи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цел представяне на резултатите от дейностите на заинтересованите страни</w:t>
      </w:r>
      <w:r w:rsidR="004663D3" w:rsidRPr="0004043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BA42CFE" w14:textId="638674FB" w:rsidR="00247E12" w:rsidRPr="00040438" w:rsidRDefault="00247E12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C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Срещи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D224CE" w14:textId="7E0ACFF2" w:rsidR="004663D3" w:rsidRPr="00040438" w:rsidRDefault="004663D3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- 1 двудневна среща в София с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50D5" w:rsidRPr="00040438">
        <w:rPr>
          <w:rFonts w:ascii="Times New Roman" w:eastAsia="Times New Roman" w:hAnsi="Times New Roman" w:cs="Times New Roman"/>
          <w:sz w:val="24"/>
          <w:szCs w:val="24"/>
        </w:rPr>
        <w:t>финансови контрольори и лица на ръководни длъжности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от централната администрация;</w:t>
      </w:r>
    </w:p>
    <w:p w14:paraId="01254643" w14:textId="7FD882CD" w:rsidR="004663D3" w:rsidRPr="00040438" w:rsidRDefault="004663D3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- 2 двудневни срещи в страната с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50D5" w:rsidRPr="00040438">
        <w:rPr>
          <w:rFonts w:ascii="Times New Roman" w:eastAsia="Times New Roman" w:hAnsi="Times New Roman" w:cs="Times New Roman"/>
          <w:sz w:val="24"/>
          <w:szCs w:val="24"/>
        </w:rPr>
        <w:t>финансови контрольори и лица на ръководни длъжности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от общините. </w:t>
      </w:r>
    </w:p>
    <w:p w14:paraId="0D2403CF" w14:textId="7C10B1A5" w:rsidR="00AB6EDD" w:rsidRPr="00040438" w:rsidRDefault="00247E12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Във всяка среща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е предвидено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участват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, финансови контрольори и лица на ръководни длъжности от публичния сектор - общо 70 и 5 представители на дирекция „Методология на контрола и вътрешен одит”, Министерство на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 xml:space="preserve">финансите. По време на срещите трябва да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бъде представена Стратегията за развитие на вътрешния контрол в публичния сектор 2018-2020, в съответствие с Пътната карта за изпълнение на Стратегията за развитие на държавната администрация 2015-2020 г., както и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да бъдат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представени и обсъдени резултатите от Дейности 1 и 2 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проекто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предложенията за промени, разработени в хода на дейност 3, преди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финализирането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им.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 xml:space="preserve">Трябва да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се проведат дискусии и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бъдат събрани мнения и коментари по предложенията за промяна в законодателството и методологията в областта на вътрешния контрол и вътрешния одит. </w:t>
      </w:r>
      <w:r w:rsidR="00DC7CA4">
        <w:rPr>
          <w:rFonts w:ascii="Times New Roman" w:eastAsia="Times New Roman" w:hAnsi="Times New Roman" w:cs="Times New Roman"/>
          <w:sz w:val="24"/>
          <w:szCs w:val="24"/>
        </w:rPr>
        <w:t xml:space="preserve">На срещите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="00DC7CA4">
        <w:rPr>
          <w:rFonts w:ascii="Times New Roman" w:eastAsia="Times New Roman" w:hAnsi="Times New Roman" w:cs="Times New Roman"/>
          <w:sz w:val="24"/>
          <w:szCs w:val="24"/>
        </w:rPr>
        <w:t xml:space="preserve"> бъде постигната една от целите на услугата -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съгласуване на резултатите от предходните дейности с представителите на целевите групи и съответно за разработването на качествени и непротиворечиви предложения за промени в нормативната уредба и методологията за ФУКПС и вътрешен одит в публичния сектор, по време на изпълнението на дейност 3. Освен това, предвид факта, че резултатите от дейности 1, 2 и 3 допринасят пряко за изпълнение на различни дейности от Стратегията за развитие на вътрешния контрол в публичния сектор и за постигане на целите и, регионалните срещи допринасят и за налагането на самата Стратегия. Изпълнителят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осигури свой представител/и на трите регионални срещи, от които една среща в София и две в страната, които да представят резултатите от дейности 1 и 2 и осъществят събиране на обратна връзка. Мненията и предложенията, събрани чрез проведените на регионални срещи дискусии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трябва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бъдат отразени и използвани за финализиране на предложенията за промяна в законодателството и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методологията. Разходите за участие на представителите на изпълнителя на срещите, в т.ч. за транспорт, настаняване и храна са за сметка на Изпълнителя.</w:t>
      </w:r>
      <w:r w:rsidR="00AB6EDD">
        <w:rPr>
          <w:rFonts w:ascii="Times New Roman" w:eastAsia="Times New Roman" w:hAnsi="Times New Roman" w:cs="Times New Roman"/>
          <w:sz w:val="24"/>
          <w:szCs w:val="24"/>
        </w:rPr>
        <w:t xml:space="preserve"> Регионалните срещи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трябва да</w:t>
      </w:r>
      <w:r w:rsidR="00AB6EDD">
        <w:rPr>
          <w:rFonts w:ascii="Times New Roman" w:eastAsia="Times New Roman" w:hAnsi="Times New Roman" w:cs="Times New Roman"/>
          <w:sz w:val="24"/>
          <w:szCs w:val="24"/>
        </w:rPr>
        <w:t xml:space="preserve"> се проведат до 29 февруари 2020 г.</w:t>
      </w:r>
    </w:p>
    <w:p w14:paraId="67B143C0" w14:textId="16C86E9D" w:rsidR="00247E12" w:rsidRPr="00040438" w:rsidRDefault="00247E12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83310" w14:textId="223B05A4" w:rsidR="00247E12" w:rsidRPr="004D637D" w:rsidRDefault="00247E12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637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Обучения</w:t>
      </w:r>
      <w:r w:rsidRPr="004D637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CACF702" w14:textId="77777777" w:rsidR="004663D3" w:rsidRPr="00040438" w:rsidRDefault="004663D3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- 4 еднодневни обучения в София за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и лица на ръководни длъжности в публичния сектор;</w:t>
      </w:r>
    </w:p>
    <w:p w14:paraId="3305747B" w14:textId="77777777" w:rsidR="004663D3" w:rsidRPr="00040438" w:rsidRDefault="004663D3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- 4 обучения в страната по ден и половина за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и лица на ръководни длъжности. </w:t>
      </w:r>
    </w:p>
    <w:p w14:paraId="1E52585C" w14:textId="77777777" w:rsidR="004663D3" w:rsidRPr="00040438" w:rsidRDefault="004663D3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>- 2 еднодневни обучения в София за финансови контрольори и лица на ръководни длъжности;</w:t>
      </w:r>
    </w:p>
    <w:p w14:paraId="337E55EC" w14:textId="77777777" w:rsidR="004663D3" w:rsidRPr="00040438" w:rsidRDefault="004663D3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- 4 обучения в страната по ден и половина за финансови контрольори и лица на ръководни длъжности. </w:t>
      </w:r>
    </w:p>
    <w:p w14:paraId="55E0CC9D" w14:textId="7AF0081E" w:rsidR="00247E12" w:rsidRPr="00040438" w:rsidRDefault="00247E12" w:rsidP="009A0C3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>Обученията са залегнали в целите и дейностите на Стратегията за развитие на вътрешния контрол в публичния сектор. Те са също така и част от Пътната карта за изпълнение на Стратегията за развитие на държавната администрация 2015-20</w:t>
      </w:r>
      <w:r w:rsidR="00DC7CA4">
        <w:rPr>
          <w:rFonts w:ascii="Times New Roman" w:eastAsia="Times New Roman" w:hAnsi="Times New Roman" w:cs="Times New Roman"/>
          <w:sz w:val="24"/>
          <w:szCs w:val="24"/>
        </w:rPr>
        <w:t>20 г. За тази цел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трябва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бъдат проведени обучения на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, финансови контрольори и лица на ръководни длъжности в публичния сектор - общо 820. Целта на обученията е да бъдат представени на участниците актуализирания наръчник за вътрешен одит, актуализираните указания в областта на финансовото управление и контрол в публичния сектор, и по преценка други актуални теми в областта на финансовото управление и контрол, в т.ч. и вътрешния одит в публичния сектор, избрани на база извършените проучванията на добри практики и анализ на текущото състояние на ФУКПС в България, и предварително одобрени от бенефициента.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бъдат проведени 4 еднодневни обучения в София за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и лица на ръководни длъжности в публичния сектор и 4 обучения в страната по ден и половина за вътрешни </w:t>
      </w:r>
      <w:proofErr w:type="spellStart"/>
      <w:r w:rsidRPr="00040438">
        <w:rPr>
          <w:rFonts w:ascii="Times New Roman" w:eastAsia="Times New Roman" w:hAnsi="Times New Roman" w:cs="Times New Roman"/>
          <w:sz w:val="24"/>
          <w:szCs w:val="24"/>
        </w:rPr>
        <w:t>одитори</w:t>
      </w:r>
      <w:proofErr w:type="spellEnd"/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и лица на ръководни длъжности. Всяко едно от обученията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трябва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обхване 70 обучаеми и 2 представители на дирекция „Методология на контрола и вътрешен одит”, Министерство на финансите.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Трябва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бъдат проведени 2 еднодневни обучения в София за финансови контрольори и лица на ръководни длъжности и 4 обучения в страната по ден и половина за финансови контрольори и лица на ръководни длъжности. Всяко едно от обученията в София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обхване 40 обучаеми и 2 представители на дирекция „Методология на контрола и вътрешен одит”, Министерство на финансите. Всяко едно от обученията в страната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обхване 45 обучаеми и 2 представители на дирекция „Методология на контрола и вътрешен одит”, Министерство на финансите. За участниците в обученията се предвижда да бъдат издадени сертификати. Представителите на дирекция „Методология на контрола и вътрешен одит”, Министерство на финансите, които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присъстват на обученията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трябва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извършват мониторинг върху работата на изпълнителя и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следят за навременното и точно провеждане на обученията. За горепосочените обучения, изпълнителят </w:t>
      </w:r>
      <w:r w:rsidR="002C20B3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осигури лектор/и за всяко от обученията. Разходите за участие на лекторите на обученията, в т.ч. за възнаграждения, транспорт, настаняване и храна са за сметка на Изпълнителя.</w:t>
      </w:r>
      <w:r w:rsidR="00AB6EDD">
        <w:rPr>
          <w:rFonts w:ascii="Times New Roman" w:eastAsia="Times New Roman" w:hAnsi="Times New Roman" w:cs="Times New Roman"/>
          <w:sz w:val="24"/>
          <w:szCs w:val="24"/>
        </w:rPr>
        <w:t xml:space="preserve"> Обученията </w:t>
      </w:r>
      <w:r w:rsidR="0007684D">
        <w:rPr>
          <w:rFonts w:ascii="Times New Roman" w:eastAsia="Times New Roman" w:hAnsi="Times New Roman" w:cs="Times New Roman"/>
          <w:sz w:val="24"/>
          <w:szCs w:val="24"/>
        </w:rPr>
        <w:t>следва да</w:t>
      </w:r>
      <w:r w:rsidR="00AB6EDD">
        <w:rPr>
          <w:rFonts w:ascii="Times New Roman" w:eastAsia="Times New Roman" w:hAnsi="Times New Roman" w:cs="Times New Roman"/>
          <w:sz w:val="24"/>
          <w:szCs w:val="24"/>
        </w:rPr>
        <w:t xml:space="preserve"> се проведат до 31 декември 2020 г.</w:t>
      </w:r>
    </w:p>
    <w:p w14:paraId="5726A915" w14:textId="77777777" w:rsidR="00CA2CE3" w:rsidRPr="00040438" w:rsidRDefault="00CA2CE3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FD8AEF" w14:textId="39109C7F" w:rsidR="00402089" w:rsidRPr="006703C7" w:rsidRDefault="006703C7" w:rsidP="009A0C3F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3C7">
        <w:rPr>
          <w:rFonts w:ascii="Times New Roman" w:hAnsi="Times New Roman" w:cs="Times New Roman"/>
          <w:b/>
          <w:bCs/>
          <w:sz w:val="24"/>
          <w:szCs w:val="24"/>
        </w:rPr>
        <w:t>РЕЗУЛТАТИ ОТ ИЗПЪЛНЕНИЕТО НА ДЕЙНОСТИТЕ</w:t>
      </w:r>
    </w:p>
    <w:p w14:paraId="3ADBABC5" w14:textId="77777777" w:rsidR="00402089" w:rsidRPr="00EA0F44" w:rsidRDefault="00402089" w:rsidP="009A0C3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F44">
        <w:rPr>
          <w:rFonts w:ascii="Times New Roman" w:hAnsi="Times New Roman" w:cs="Times New Roman"/>
          <w:bCs/>
          <w:sz w:val="24"/>
          <w:szCs w:val="24"/>
        </w:rPr>
        <w:lastRenderedPageBreak/>
        <w:t>В изпълнение на обществената поръчка, следва да бъдат постигнати следните резултати:</w:t>
      </w:r>
    </w:p>
    <w:p w14:paraId="3D5301F2" w14:textId="51345259" w:rsidR="00402089" w:rsidRPr="00D560AD" w:rsidRDefault="00402089" w:rsidP="009A0C3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Изготвен</w:t>
      </w:r>
      <w:r w:rsidR="00B64B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3E51">
        <w:rPr>
          <w:rFonts w:ascii="Times New Roman" w:hAnsi="Times New Roman" w:cs="Times New Roman"/>
          <w:bCs/>
          <w:sz w:val="24"/>
          <w:szCs w:val="24"/>
        </w:rPr>
        <w:t>Анализ</w:t>
      </w:r>
      <w:r w:rsidRPr="00D560AD">
        <w:rPr>
          <w:rFonts w:ascii="Times New Roman" w:hAnsi="Times New Roman" w:cs="Times New Roman"/>
          <w:bCs/>
          <w:sz w:val="24"/>
          <w:szCs w:val="24"/>
        </w:rPr>
        <w:t>, съдържащ резултатите от проведените проучвания и анализи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държави от ЕС</w:t>
      </w:r>
      <w:r w:rsidRPr="00D560AD">
        <w:rPr>
          <w:rFonts w:ascii="Times New Roman" w:hAnsi="Times New Roman" w:cs="Times New Roman"/>
          <w:bCs/>
          <w:sz w:val="24"/>
          <w:szCs w:val="24"/>
        </w:rPr>
        <w:t xml:space="preserve"> и изведените добри практики, в който са обособени следните части:</w:t>
      </w:r>
    </w:p>
    <w:p w14:paraId="347E64CD" w14:textId="6B629D4F" w:rsidR="00402089" w:rsidRPr="00D560AD" w:rsidRDefault="00402089" w:rsidP="009A0C3F">
      <w:pPr>
        <w:pStyle w:val="ListParagraph"/>
        <w:numPr>
          <w:ilvl w:val="1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Отделна част описваща резултатите от проучването и анализа в областта на финансовото управление и контрол в публичния сектор и в областта на вътрешния одит в публичния сектор за всяка една от проучените държави членки</w:t>
      </w:r>
      <w:r w:rsidR="00443E51">
        <w:rPr>
          <w:rFonts w:ascii="Times New Roman" w:hAnsi="Times New Roman" w:cs="Times New Roman"/>
          <w:bCs/>
          <w:sz w:val="24"/>
          <w:szCs w:val="24"/>
        </w:rPr>
        <w:t>;</w:t>
      </w:r>
    </w:p>
    <w:p w14:paraId="6FEDD5AD" w14:textId="77777777" w:rsidR="00402089" w:rsidRPr="00D560AD" w:rsidRDefault="00402089" w:rsidP="009A0C3F">
      <w:pPr>
        <w:pStyle w:val="ListParagraph"/>
        <w:numPr>
          <w:ilvl w:val="1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Част, съдържаща изведените и мотивирани препоръки за добри практики, в областта на финансовото управление и контрол, в т.ч. и вътрешния одит, приложими в публичния сектор на България;</w:t>
      </w:r>
    </w:p>
    <w:p w14:paraId="1F479DF6" w14:textId="53EE7EC7" w:rsidR="00402089" w:rsidRPr="00B64B4F" w:rsidRDefault="00443E51" w:rsidP="009A0C3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Изготвен</w:t>
      </w:r>
      <w:r w:rsidR="00402089" w:rsidRPr="00D560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4B4F" w:rsidRPr="00D560AD">
        <w:rPr>
          <w:rFonts w:ascii="Times New Roman" w:hAnsi="Times New Roman" w:cs="Times New Roman"/>
          <w:bCs/>
          <w:sz w:val="24"/>
          <w:szCs w:val="24"/>
        </w:rPr>
        <w:t xml:space="preserve">Анализ </w:t>
      </w:r>
      <w:r w:rsidR="00402089" w:rsidRPr="00D560AD">
        <w:rPr>
          <w:rFonts w:ascii="Times New Roman" w:hAnsi="Times New Roman" w:cs="Times New Roman"/>
          <w:bCs/>
          <w:sz w:val="24"/>
          <w:szCs w:val="24"/>
        </w:rPr>
        <w:t>на текущото състояние и направена оценка на ефективността и ефикасността на финансовото управление и контрол в публичния сектор, в т</w:t>
      </w:r>
      <w:r w:rsidR="00B64B4F">
        <w:rPr>
          <w:rFonts w:ascii="Times New Roman" w:hAnsi="Times New Roman" w:cs="Times New Roman"/>
          <w:bCs/>
          <w:sz w:val="24"/>
          <w:szCs w:val="24"/>
        </w:rPr>
        <w:t xml:space="preserve">.ч. и вътрешния одит в България. </w:t>
      </w:r>
      <w:r w:rsidRPr="00B64B4F">
        <w:rPr>
          <w:rFonts w:ascii="Times New Roman" w:hAnsi="Times New Roman" w:cs="Times New Roman"/>
          <w:bCs/>
          <w:sz w:val="24"/>
          <w:szCs w:val="24"/>
        </w:rPr>
        <w:t>И</w:t>
      </w:r>
      <w:r w:rsidR="00402089" w:rsidRPr="00B64B4F">
        <w:rPr>
          <w:rFonts w:ascii="Times New Roman" w:hAnsi="Times New Roman" w:cs="Times New Roman"/>
          <w:bCs/>
          <w:sz w:val="24"/>
          <w:szCs w:val="24"/>
        </w:rPr>
        <w:t xml:space="preserve">зведени препоръки </w:t>
      </w:r>
      <w:r w:rsidRPr="00B64B4F">
        <w:rPr>
          <w:rFonts w:ascii="Times New Roman" w:hAnsi="Times New Roman" w:cs="Times New Roman"/>
          <w:bCs/>
          <w:sz w:val="24"/>
          <w:szCs w:val="24"/>
        </w:rPr>
        <w:t xml:space="preserve">в анализа </w:t>
      </w:r>
      <w:r w:rsidR="00402089" w:rsidRPr="00B64B4F">
        <w:rPr>
          <w:rFonts w:ascii="Times New Roman" w:hAnsi="Times New Roman" w:cs="Times New Roman"/>
          <w:bCs/>
          <w:sz w:val="24"/>
          <w:szCs w:val="24"/>
        </w:rPr>
        <w:t>за актуализация и подобрения на нормативната рамка, методологията и дейностите по финансово управление, контрол и вътрешен одит в публичния сектор в България.</w:t>
      </w:r>
    </w:p>
    <w:p w14:paraId="1983AE27" w14:textId="3EF60F1B" w:rsidR="00402089" w:rsidRPr="00D560AD" w:rsidRDefault="00402089" w:rsidP="009A0C3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Предложения за промени в законодателството в областта на ФУКПС и вътрешния одит в публичния сектор, придружени с изготвена оценка на въздействието и подготвени като проекти за изменения на съответните нормативни актове</w:t>
      </w:r>
    </w:p>
    <w:p w14:paraId="6BBCC217" w14:textId="00AE549B" w:rsidR="00402089" w:rsidRPr="00D560AD" w:rsidRDefault="00402089" w:rsidP="009A0C3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Актуализиран наръчник за вътрешен одит в съответствие с международните стандарти</w:t>
      </w:r>
      <w:r w:rsidR="00443E51">
        <w:rPr>
          <w:rFonts w:ascii="Times New Roman" w:hAnsi="Times New Roman" w:cs="Times New Roman"/>
          <w:bCs/>
          <w:sz w:val="24"/>
          <w:szCs w:val="24"/>
        </w:rPr>
        <w:t xml:space="preserve"> за професионална практика по вътрешен одит.</w:t>
      </w:r>
    </w:p>
    <w:p w14:paraId="436EE7D6" w14:textId="331DCD24" w:rsidR="00402089" w:rsidRDefault="00402089" w:rsidP="009A0C3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D560AD">
        <w:rPr>
          <w:rFonts w:ascii="Times New Roman" w:hAnsi="Times New Roman" w:cs="Times New Roman"/>
          <w:bCs/>
          <w:sz w:val="24"/>
          <w:szCs w:val="24"/>
        </w:rPr>
        <w:t>Актуализирани указания в областта на финансовото управление и контрол в публичния сектор</w:t>
      </w:r>
      <w:r w:rsidR="00443E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9418FE" w14:textId="77777777" w:rsidR="00D23510" w:rsidRPr="00040438" w:rsidRDefault="00D23510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1A12B4" w14:textId="77777777" w:rsidR="00F13A14" w:rsidRPr="00F13A14" w:rsidRDefault="00F13A14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3A1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ДРУГИ ИЗИСКВАНИЯ КЪМ ИЗПЪЛНЕНИЕТО:</w:t>
      </w:r>
    </w:p>
    <w:p w14:paraId="4B5C9781" w14:textId="301EF779" w:rsidR="00983275" w:rsidRPr="00040438" w:rsidRDefault="00983275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1. Изпълнителят осигурява за своя сметка общата координация на изпълнение на дейностите по договора. </w:t>
      </w:r>
      <w:r w:rsidR="00E276A0" w:rsidRPr="00040438">
        <w:rPr>
          <w:rFonts w:ascii="Times New Roman" w:eastAsia="Times New Roman" w:hAnsi="Times New Roman" w:cs="Times New Roman"/>
          <w:sz w:val="24"/>
          <w:szCs w:val="24"/>
        </w:rPr>
        <w:t xml:space="preserve">Изпълнителят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следва да посочи лице за контакт, с което възложителят да координира изпълнението на дейностите. От </w:t>
      </w:r>
      <w:r w:rsidR="00E276A0" w:rsidRPr="00040438">
        <w:rPr>
          <w:rFonts w:ascii="Times New Roman" w:eastAsia="Times New Roman" w:hAnsi="Times New Roman" w:cs="Times New Roman"/>
          <w:sz w:val="24"/>
          <w:szCs w:val="24"/>
        </w:rPr>
        <w:t xml:space="preserve">Изпълнителя 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се изисква да представи 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минимум 1 координиращо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0438">
        <w:rPr>
          <w:rFonts w:ascii="Times New Roman" w:eastAsia="Times New Roman" w:hAnsi="Times New Roman" w:cs="Times New Roman"/>
          <w:b/>
          <w:sz w:val="24"/>
          <w:szCs w:val="24"/>
        </w:rPr>
        <w:t>лице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 xml:space="preserve">, което да се грижи за правилното провеждане на дейностите. Координиращото лице трябва да оказва пълно съдействие на лицата, участващи </w:t>
      </w:r>
      <w:r w:rsidR="006703C7">
        <w:rPr>
          <w:rFonts w:ascii="Times New Roman" w:eastAsia="Times New Roman" w:hAnsi="Times New Roman" w:cs="Times New Roman"/>
          <w:sz w:val="24"/>
          <w:szCs w:val="24"/>
        </w:rPr>
        <w:t>изпълнението</w:t>
      </w:r>
      <w:r w:rsidRPr="00040438">
        <w:rPr>
          <w:rFonts w:ascii="Times New Roman" w:eastAsia="Times New Roman" w:hAnsi="Times New Roman" w:cs="Times New Roman"/>
          <w:sz w:val="24"/>
          <w:szCs w:val="24"/>
        </w:rPr>
        <w:t>. Разходите за екипа за изпълнение на поръчката са изцяло за сметка на изпълнителя.</w:t>
      </w:r>
    </w:p>
    <w:p w14:paraId="205F8E0F" w14:textId="6FC301D2" w:rsidR="00983275" w:rsidRPr="00040438" w:rsidRDefault="00E276A0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83275" w:rsidRPr="00040438">
        <w:rPr>
          <w:rFonts w:ascii="Times New Roman" w:eastAsia="Times New Roman" w:hAnsi="Times New Roman" w:cs="Times New Roman"/>
          <w:sz w:val="24"/>
          <w:szCs w:val="24"/>
        </w:rPr>
        <w:t xml:space="preserve">. Възложителят има право по всяко време да получава информация за хода на подготовката и организацията по реализиране </w:t>
      </w:r>
      <w:r w:rsidR="006703C7">
        <w:rPr>
          <w:rFonts w:ascii="Times New Roman" w:eastAsia="Times New Roman" w:hAnsi="Times New Roman" w:cs="Times New Roman"/>
          <w:sz w:val="24"/>
          <w:szCs w:val="24"/>
        </w:rPr>
        <w:t>дейностите от услугата</w:t>
      </w:r>
      <w:r w:rsidR="00983275" w:rsidRPr="000404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CD30E4A" w14:textId="085252BB" w:rsidR="00AE58C0" w:rsidRPr="00AE58C0" w:rsidRDefault="00E276A0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6066C" w:rsidRPr="000404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>По време на изпълнението на всички дейности, за които е приложимо, Изпълнителят следва да осигурява публичност и информираност относно финансирането съгласно Единния наръчник на бенефициента за прилагане на правилата за информация и комуникация 2014-2020 г. (</w:t>
      </w:r>
      <w:proofErr w:type="spellStart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>eufunds</w:t>
      </w:r>
      <w:proofErr w:type="spellEnd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>bg</w:t>
      </w:r>
      <w:proofErr w:type="spellEnd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 xml:space="preserve">). Това включва указваща информация, че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AE5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 xml:space="preserve">се финансира по Оперативна програма „Добро управление“ (ОПДУ) и се </w:t>
      </w:r>
      <w:proofErr w:type="spellStart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lastRenderedPageBreak/>
        <w:t>съфинансира</w:t>
      </w:r>
      <w:proofErr w:type="spellEnd"/>
      <w:r w:rsidR="00AE58C0" w:rsidRPr="00AE58C0">
        <w:rPr>
          <w:rFonts w:ascii="Times New Roman" w:eastAsia="Times New Roman" w:hAnsi="Times New Roman" w:cs="Times New Roman"/>
          <w:sz w:val="24"/>
          <w:szCs w:val="24"/>
        </w:rPr>
        <w:t xml:space="preserve"> от ЕС чрез Европейския социален фонд, като всички дейности се осъществяват съгласно изискванията на ОПДУ. Всяка публикация, в каквато и да било форма и среда, в това число и в Интернет, трябва да съдържа следното заявление: </w:t>
      </w:r>
    </w:p>
    <w:p w14:paraId="59DBF78E" w14:textId="28A9C942" w:rsidR="00484B61" w:rsidRDefault="00AE58C0" w:rsidP="009A0C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E58C0">
        <w:rPr>
          <w:rFonts w:ascii="Times New Roman" w:eastAsia="Times New Roman" w:hAnsi="Times New Roman" w:cs="Times New Roman"/>
          <w:sz w:val="24"/>
          <w:szCs w:val="24"/>
        </w:rPr>
        <w:t xml:space="preserve">“Това събитие се изпълнява с финансовата подкрепа на Оперативна програма „Добро управление“ (ОПДУ) и се </w:t>
      </w:r>
      <w:proofErr w:type="spellStart"/>
      <w:r w:rsidRPr="00AE58C0">
        <w:rPr>
          <w:rFonts w:ascii="Times New Roman" w:eastAsia="Times New Roman" w:hAnsi="Times New Roman" w:cs="Times New Roman"/>
          <w:sz w:val="24"/>
          <w:szCs w:val="24"/>
        </w:rPr>
        <w:t>съфинансира</w:t>
      </w:r>
      <w:proofErr w:type="spellEnd"/>
      <w:r w:rsidRPr="00AE58C0">
        <w:rPr>
          <w:rFonts w:ascii="Times New Roman" w:eastAsia="Times New Roman" w:hAnsi="Times New Roman" w:cs="Times New Roman"/>
          <w:sz w:val="24"/>
          <w:szCs w:val="24"/>
        </w:rPr>
        <w:t xml:space="preserve"> от ЕС, чрез Европейския социален фонд“. Всяка информация, предоставена от Изпълнителя на работна среща, семинар или обучение трябва да конкретизира, че проектът е получил финансиране от Оперативна програма „Добро управление“ (ОПДУ) 2014-2020.</w:t>
      </w:r>
    </w:p>
    <w:p w14:paraId="5019FC04" w14:textId="77777777" w:rsidR="00AE58C0" w:rsidRDefault="00AE58C0" w:rsidP="009A0C3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A2E5B51" w14:textId="62091EC3" w:rsidR="006F579D" w:rsidRPr="006F579D" w:rsidRDefault="006F579D" w:rsidP="00734E4E">
      <w:pPr>
        <w:spacing w:before="120" w:after="12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РАЗДЕЛ </w:t>
      </w: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  <w:r w:rsidR="004167C1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  <w:r w:rsidR="006F41A3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</w:p>
    <w:p w14:paraId="1D13AEF6" w14:textId="77777777" w:rsidR="006F579D" w:rsidRDefault="006F579D" w:rsidP="009A0C3F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</w:p>
    <w:p w14:paraId="4E40894B" w14:textId="172BC51F" w:rsidR="00F13A14" w:rsidRDefault="00F13A14" w:rsidP="009A0C3F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F13A14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МИНИМАЛНИ ИЗИСКВАНИЯ КЪМ ПРЕДЛОЖЕНИЕТО ЗА ИЗПЪЛНЕНИЕ НА УЧАСТНИЦИТЕ:</w:t>
      </w:r>
    </w:p>
    <w:p w14:paraId="0536011E" w14:textId="77777777" w:rsidR="006F579D" w:rsidRPr="00F13A14" w:rsidRDefault="006F579D" w:rsidP="009A0C3F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</w:p>
    <w:p w14:paraId="29480291" w14:textId="77777777" w:rsidR="003C7585" w:rsidRPr="003C7585" w:rsidRDefault="003C7585" w:rsidP="009A0C3F">
      <w:pPr>
        <w:autoSpaceDE w:val="0"/>
        <w:autoSpaceDN w:val="0"/>
        <w:adjustRightInd w:val="0"/>
        <w:spacing w:before="120" w:after="120"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FDB160C" w14:textId="5F39E7D8" w:rsidR="003C7585" w:rsidRPr="003C7585" w:rsidRDefault="00665651" w:rsidP="00D03E53">
      <w:pPr>
        <w:tabs>
          <w:tab w:val="left" w:pos="51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="003C7585" w:rsidRPr="003C758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офертата си, участникът представя Предложение за изпълнение, изготвено по </w:t>
      </w:r>
      <w:r w:rsidR="004B4A7C" w:rsidRPr="00734E4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Образец</w:t>
      </w:r>
      <w:r w:rsidR="003C7585" w:rsidRPr="00734E4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в което</w:t>
      </w:r>
      <w:r w:rsidR="003C7585" w:rsidRPr="003C758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участникът следва да предложи и </w:t>
      </w:r>
      <w:r w:rsidR="003C7585" w:rsidRPr="003C75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опише </w:t>
      </w:r>
      <w:r w:rsidR="009D3172">
        <w:rPr>
          <w:rFonts w:ascii="Times New Roman" w:eastAsia="Times New Roman" w:hAnsi="Times New Roman" w:cs="Times New Roman"/>
          <w:sz w:val="24"/>
          <w:szCs w:val="24"/>
          <w:lang w:val="ru-RU"/>
        </w:rPr>
        <w:t>начин и организация</w:t>
      </w:r>
      <w:r w:rsidR="008D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</w:t>
      </w:r>
      <w:r w:rsidR="009D317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C7585" w:rsidRPr="003C75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изпълнение на </w:t>
      </w:r>
      <w:r w:rsidR="00734E4E" w:rsidRPr="003C7585">
        <w:rPr>
          <w:rFonts w:ascii="Times New Roman" w:eastAsia="Times New Roman" w:hAnsi="Times New Roman" w:cs="Times New Roman"/>
          <w:sz w:val="24"/>
          <w:szCs w:val="24"/>
          <w:lang w:val="ru-RU"/>
        </w:rPr>
        <w:t>конкретн</w:t>
      </w:r>
      <w:r w:rsidR="00734E4E">
        <w:rPr>
          <w:rFonts w:ascii="Times New Roman" w:eastAsia="Times New Roman" w:hAnsi="Times New Roman" w:cs="Times New Roman"/>
          <w:sz w:val="24"/>
          <w:szCs w:val="24"/>
          <w:lang w:val="ru-RU"/>
        </w:rPr>
        <w:t>ите</w:t>
      </w:r>
      <w:r w:rsidR="00734E4E" w:rsidRPr="003C75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дейност</w:t>
      </w:r>
      <w:r w:rsidR="00734E4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34E4E" w:rsidRPr="003C758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2FA9FEE" w14:textId="5CDE9FBB" w:rsidR="003C7585" w:rsidRPr="003C7585" w:rsidRDefault="003C7585" w:rsidP="009A0C3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3C758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ab/>
        <w:t xml:space="preserve">Участник, представил оферта, която не съответства на изискванията на Възложителя за нейното представяне или съдържание, ще бъде отстранен </w:t>
      </w:r>
      <w:r w:rsidR="00737D29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от участие</w:t>
      </w:r>
      <w:bookmarkStart w:id="0" w:name="_GoBack"/>
      <w:bookmarkEnd w:id="0"/>
      <w:r w:rsidRPr="003C758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.</w:t>
      </w:r>
    </w:p>
    <w:p w14:paraId="03936F39" w14:textId="13F5B3FB" w:rsidR="006F579D" w:rsidRPr="00956D60" w:rsidRDefault="006F579D" w:rsidP="009A0C3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6F579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РАЗДЕЛ </w:t>
      </w:r>
      <w:r w:rsidR="00734E4E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</w:t>
      </w:r>
      <w:r w:rsidR="00956D60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V</w:t>
      </w:r>
    </w:p>
    <w:p w14:paraId="3C3FCD85" w14:textId="77777777" w:rsidR="006F579D" w:rsidRDefault="006F579D" w:rsidP="009A0C3F">
      <w:pPr>
        <w:shd w:val="clear" w:color="auto" w:fill="C6D9F1" w:themeFill="text2" w:themeFillTint="33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0DC62EAB" w14:textId="76BC2FFE" w:rsidR="00150AE2" w:rsidRDefault="00E35028" w:rsidP="009A0C3F">
      <w:pPr>
        <w:shd w:val="clear" w:color="auto" w:fill="C6D9F1" w:themeFill="text2" w:themeFillTint="33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566AC1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КРИТЕРИЙ ЗА ВЪЗЛАГАНЕ:</w:t>
      </w:r>
    </w:p>
    <w:p w14:paraId="2C8A2AD2" w14:textId="77777777" w:rsidR="006F579D" w:rsidRPr="00566AC1" w:rsidRDefault="006F579D" w:rsidP="009A0C3F">
      <w:pPr>
        <w:shd w:val="clear" w:color="auto" w:fill="C6D9F1" w:themeFill="text2" w:themeFillTint="33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12023CB5" w14:textId="77777777" w:rsidR="00AD5924" w:rsidRDefault="00AD5924" w:rsidP="009A0C3F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06C2D7" w14:textId="77C94267" w:rsidR="007650C6" w:rsidRPr="00040438" w:rsidRDefault="007650C6" w:rsidP="009A0C3F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0438">
        <w:rPr>
          <w:rFonts w:ascii="Times New Roman" w:eastAsia="Calibri" w:hAnsi="Times New Roman" w:cs="Times New Roman"/>
          <w:color w:val="000000"/>
          <w:sz w:val="24"/>
          <w:szCs w:val="24"/>
        </w:rPr>
        <w:t>Оценяването на офертите се извършва по критерия „оптимално съотношение качество/цена</w:t>
      </w:r>
      <w:r w:rsidR="00562658" w:rsidRPr="00562658">
        <w:rPr>
          <w:rFonts w:ascii="Times New Roman" w:eastAsia="Calibri" w:hAnsi="Times New Roman" w:cs="Times New Roman"/>
          <w:color w:val="000000"/>
          <w:sz w:val="24"/>
          <w:szCs w:val="24"/>
        </w:rPr>
        <w:t>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обществената поръчка</w:t>
      </w:r>
      <w:r w:rsidR="00421C7D">
        <w:rPr>
          <w:rFonts w:ascii="Times New Roman" w:eastAsia="Calibri" w:hAnsi="Times New Roman" w:cs="Times New Roman"/>
          <w:color w:val="000000"/>
          <w:sz w:val="24"/>
          <w:szCs w:val="24"/>
        </w:rPr>
        <w:t>“</w:t>
      </w:r>
      <w:r w:rsidR="00562658" w:rsidRPr="005626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CFD2CB8" w14:textId="4B80348A" w:rsidR="00150AE2" w:rsidRPr="00040438" w:rsidRDefault="006F579D" w:rsidP="00D03E53">
      <w:pPr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579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Възложителят ще оценява предложенията на участниците съобразно Методика за оценка на офертите, приложена към настоящата документация.</w:t>
      </w:r>
    </w:p>
    <w:sectPr w:rsidR="00150AE2" w:rsidRPr="00040438" w:rsidSect="00EC7507">
      <w:headerReference w:type="default" r:id="rId9"/>
      <w:footerReference w:type="default" r:id="rId10"/>
      <w:pgSz w:w="11906" w:h="16838"/>
      <w:pgMar w:top="1417" w:right="1133" w:bottom="1417" w:left="1417" w:header="708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AEA58" w14:textId="77777777" w:rsidR="00ED2F77" w:rsidRDefault="00ED2F77" w:rsidP="00F171FB">
      <w:pPr>
        <w:spacing w:after="0" w:line="240" w:lineRule="auto"/>
      </w:pPr>
      <w:r>
        <w:separator/>
      </w:r>
    </w:p>
  </w:endnote>
  <w:endnote w:type="continuationSeparator" w:id="0">
    <w:p w14:paraId="7EF0A62A" w14:textId="77777777" w:rsidR="00ED2F77" w:rsidRDefault="00ED2F77" w:rsidP="00F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4634B" w14:textId="77777777" w:rsidR="00EB7714" w:rsidRPr="00493117" w:rsidRDefault="00EB7714" w:rsidP="00367B48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 xml:space="preserve">Този документ е създаден в рамките на Проект № BG05SFOP001-2.010-0001, с наименование „Усъвършенстване на системите за финансово управление и контрол и функцията по вътрешен одит в публичния сектор“, финансиран по Административен договор </w:t>
    </w:r>
  </w:p>
  <w:p w14:paraId="7061FE0C" w14:textId="77777777" w:rsidR="00EB7714" w:rsidRPr="00493117" w:rsidRDefault="00EB7714" w:rsidP="008D5EBB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>№ BG05SFOP001-2.010-0001-С01/02.11.2018 г. за предоставяне на безвъзмездна финансова помощ по Оперативна програма „Добро управление”, съфинансирана от Европейския съюз чрез Европейския социален фонд.</w:t>
    </w:r>
  </w:p>
  <w:p w14:paraId="7A5C0F56" w14:textId="77777777" w:rsidR="00EB7714" w:rsidRPr="00493117" w:rsidRDefault="00EB7714" w:rsidP="008D5EBB">
    <w:pPr>
      <w:pStyle w:val="Footer"/>
      <w:jc w:val="center"/>
      <w:rPr>
        <w:b/>
        <w:i/>
        <w:sz w:val="14"/>
        <w:szCs w:val="14"/>
      </w:rPr>
    </w:pPr>
    <w:r w:rsidRPr="00493117">
      <w:rPr>
        <w:b/>
        <w:i/>
        <w:sz w:val="14"/>
        <w:szCs w:val="14"/>
      </w:rPr>
      <w:t>www.eufunds.bg</w:t>
    </w:r>
  </w:p>
  <w:p w14:paraId="38C5558C" w14:textId="77777777" w:rsidR="00EB7714" w:rsidRPr="008D5EBB" w:rsidRDefault="00EB7714" w:rsidP="008D5EBB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FE170" w14:textId="77777777" w:rsidR="00ED2F77" w:rsidRDefault="00ED2F77" w:rsidP="00F171FB">
      <w:pPr>
        <w:spacing w:after="0" w:line="240" w:lineRule="auto"/>
      </w:pPr>
      <w:r>
        <w:separator/>
      </w:r>
    </w:p>
  </w:footnote>
  <w:footnote w:type="continuationSeparator" w:id="0">
    <w:p w14:paraId="1063D41D" w14:textId="77777777" w:rsidR="00ED2F77" w:rsidRDefault="00ED2F77" w:rsidP="00F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FF5BE" w14:textId="77777777" w:rsidR="00EB7714" w:rsidRPr="008D5EBB" w:rsidRDefault="00EB7714" w:rsidP="00F7168C">
    <w:pPr>
      <w:pStyle w:val="Header"/>
      <w:rPr>
        <w:b/>
        <w:sz w:val="26"/>
        <w:szCs w:val="26"/>
      </w:rPr>
    </w:pPr>
    <w:r w:rsidRPr="008D5EBB">
      <w:rPr>
        <w:b/>
        <w:noProof/>
        <w:sz w:val="26"/>
        <w:szCs w:val="26"/>
        <w:lang w:eastAsia="bg-BG"/>
      </w:rPr>
      <w:drawing>
        <wp:inline distT="0" distB="0" distL="0" distR="0" wp14:anchorId="7C39A348" wp14:editId="4A39F78B">
          <wp:extent cx="2353586" cy="663597"/>
          <wp:effectExtent l="0" t="0" r="889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SEF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3091" cy="663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6"/>
        <w:szCs w:val="26"/>
      </w:rPr>
      <w:t xml:space="preserve">                              </w:t>
    </w:r>
    <w:r w:rsidRPr="00F7168C">
      <w:rPr>
        <w:b/>
        <w:noProof/>
        <w:sz w:val="26"/>
        <w:szCs w:val="26"/>
        <w:lang w:eastAsia="bg-BG"/>
      </w:rPr>
      <w:t xml:space="preserve"> </w:t>
    </w:r>
    <w:r w:rsidRPr="008D5EBB">
      <w:rPr>
        <w:b/>
        <w:noProof/>
        <w:sz w:val="26"/>
        <w:szCs w:val="26"/>
        <w:lang w:eastAsia="bg-BG"/>
      </w:rPr>
      <w:drawing>
        <wp:inline distT="0" distB="0" distL="0" distR="0" wp14:anchorId="2CDA6909" wp14:editId="51FC5A6E">
          <wp:extent cx="1820848" cy="700480"/>
          <wp:effectExtent l="0" t="0" r="8255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bg-r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426" cy="700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336252" w14:textId="4D43DB68" w:rsidR="00EB7714" w:rsidRPr="00044CF5" w:rsidRDefault="00044CF5">
    <w:pPr>
      <w:pStyle w:val="Header"/>
      <w:rPr>
        <w:rFonts w:ascii="Times New Roman" w:hAnsi="Times New Roman" w:cs="Times New Roman"/>
        <w:b/>
        <w:i/>
      </w:rPr>
    </w:pPr>
    <w:r>
      <w:tab/>
    </w:r>
    <w:r>
      <w:tab/>
    </w:r>
    <w:r w:rsidRPr="00044CF5">
      <w:rPr>
        <w:rFonts w:ascii="Times New Roman" w:hAnsi="Times New Roman" w:cs="Times New Roman"/>
        <w:b/>
        <w:i/>
      </w:rPr>
      <w:t>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9A6"/>
    <w:multiLevelType w:val="hybridMultilevel"/>
    <w:tmpl w:val="9DD8E10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1A6520"/>
    <w:multiLevelType w:val="hybridMultilevel"/>
    <w:tmpl w:val="AAC4A0F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661997"/>
    <w:multiLevelType w:val="multilevel"/>
    <w:tmpl w:val="D48CA6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6937C3"/>
    <w:multiLevelType w:val="hybridMultilevel"/>
    <w:tmpl w:val="BFF8FF6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D47D50"/>
    <w:multiLevelType w:val="hybridMultilevel"/>
    <w:tmpl w:val="56A2EAB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6303244"/>
    <w:multiLevelType w:val="hybridMultilevel"/>
    <w:tmpl w:val="1AA0D59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6FD013B"/>
    <w:multiLevelType w:val="hybridMultilevel"/>
    <w:tmpl w:val="CB088E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A17AC"/>
    <w:multiLevelType w:val="hybridMultilevel"/>
    <w:tmpl w:val="31E8EBBA"/>
    <w:lvl w:ilvl="0" w:tplc="973EBFDE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FC5053D"/>
    <w:multiLevelType w:val="hybridMultilevel"/>
    <w:tmpl w:val="44A269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E6A32"/>
    <w:multiLevelType w:val="multilevel"/>
    <w:tmpl w:val="AAAAD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58DC2C84"/>
    <w:multiLevelType w:val="multilevel"/>
    <w:tmpl w:val="DD685A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3"/>
        </w:tabs>
        <w:ind w:left="48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13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7F16C9"/>
    <w:multiLevelType w:val="multilevel"/>
    <w:tmpl w:val="90A471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5251A05"/>
    <w:multiLevelType w:val="hybridMultilevel"/>
    <w:tmpl w:val="21309ABE"/>
    <w:lvl w:ilvl="0" w:tplc="5290E33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0D571C5"/>
    <w:multiLevelType w:val="hybridMultilevel"/>
    <w:tmpl w:val="66EA96EA"/>
    <w:lvl w:ilvl="0" w:tplc="59E2A1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80E"/>
    <w:multiLevelType w:val="hybridMultilevel"/>
    <w:tmpl w:val="594E5C1C"/>
    <w:lvl w:ilvl="0" w:tplc="45D8BD28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19">
    <w:nsid w:val="7F7D2C1B"/>
    <w:multiLevelType w:val="hybridMultilevel"/>
    <w:tmpl w:val="FCACF386"/>
    <w:lvl w:ilvl="0" w:tplc="6CD6E1A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966AD9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6"/>
  </w:num>
  <w:num w:numId="5">
    <w:abstractNumId w:val="19"/>
  </w:num>
  <w:num w:numId="6">
    <w:abstractNumId w:val="14"/>
  </w:num>
  <w:num w:numId="7">
    <w:abstractNumId w:val="12"/>
  </w:num>
  <w:num w:numId="8">
    <w:abstractNumId w:val="2"/>
  </w:num>
  <w:num w:numId="9">
    <w:abstractNumId w:val="9"/>
  </w:num>
  <w:num w:numId="10">
    <w:abstractNumId w:val="10"/>
  </w:num>
  <w:num w:numId="11">
    <w:abstractNumId w:val="18"/>
  </w:num>
  <w:num w:numId="12">
    <w:abstractNumId w:val="17"/>
  </w:num>
  <w:num w:numId="13">
    <w:abstractNumId w:val="15"/>
  </w:num>
  <w:num w:numId="14">
    <w:abstractNumId w:val="8"/>
  </w:num>
  <w:num w:numId="15">
    <w:abstractNumId w:val="1"/>
  </w:num>
  <w:num w:numId="16">
    <w:abstractNumId w:val="4"/>
  </w:num>
  <w:num w:numId="17">
    <w:abstractNumId w:val="3"/>
  </w:num>
  <w:num w:numId="18">
    <w:abstractNumId w:val="6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05730"/>
    <w:rsid w:val="00016302"/>
    <w:rsid w:val="00040438"/>
    <w:rsid w:val="0004091F"/>
    <w:rsid w:val="0004396C"/>
    <w:rsid w:val="00044CF5"/>
    <w:rsid w:val="00056C19"/>
    <w:rsid w:val="000674BF"/>
    <w:rsid w:val="00071984"/>
    <w:rsid w:val="00071E74"/>
    <w:rsid w:val="00075377"/>
    <w:rsid w:val="0007684D"/>
    <w:rsid w:val="0008379C"/>
    <w:rsid w:val="00092709"/>
    <w:rsid w:val="00095037"/>
    <w:rsid w:val="00095B3D"/>
    <w:rsid w:val="0009625C"/>
    <w:rsid w:val="000A0AA8"/>
    <w:rsid w:val="000A2BCA"/>
    <w:rsid w:val="000A3748"/>
    <w:rsid w:val="000A41A4"/>
    <w:rsid w:val="000A4946"/>
    <w:rsid w:val="000B7BD2"/>
    <w:rsid w:val="000C3479"/>
    <w:rsid w:val="000C420C"/>
    <w:rsid w:val="000C708C"/>
    <w:rsid w:val="000D0EE8"/>
    <w:rsid w:val="000D65CB"/>
    <w:rsid w:val="000D68F0"/>
    <w:rsid w:val="000D7F40"/>
    <w:rsid w:val="000F091F"/>
    <w:rsid w:val="000F0C40"/>
    <w:rsid w:val="000F243B"/>
    <w:rsid w:val="000F58C2"/>
    <w:rsid w:val="000F5F01"/>
    <w:rsid w:val="00101ED5"/>
    <w:rsid w:val="00104020"/>
    <w:rsid w:val="001040BE"/>
    <w:rsid w:val="0010573A"/>
    <w:rsid w:val="00105930"/>
    <w:rsid w:val="00112EA2"/>
    <w:rsid w:val="001132D4"/>
    <w:rsid w:val="0013465C"/>
    <w:rsid w:val="00135D6B"/>
    <w:rsid w:val="0013606F"/>
    <w:rsid w:val="00140B73"/>
    <w:rsid w:val="00150AE2"/>
    <w:rsid w:val="00157CF2"/>
    <w:rsid w:val="00164FB4"/>
    <w:rsid w:val="00171C25"/>
    <w:rsid w:val="001759A7"/>
    <w:rsid w:val="00183CEB"/>
    <w:rsid w:val="001854A1"/>
    <w:rsid w:val="00187EED"/>
    <w:rsid w:val="0019300D"/>
    <w:rsid w:val="0019662D"/>
    <w:rsid w:val="001D11E3"/>
    <w:rsid w:val="001D32F6"/>
    <w:rsid w:val="001D7C61"/>
    <w:rsid w:val="001F690B"/>
    <w:rsid w:val="00200A32"/>
    <w:rsid w:val="002039CB"/>
    <w:rsid w:val="002151B3"/>
    <w:rsid w:val="0022672A"/>
    <w:rsid w:val="00247E12"/>
    <w:rsid w:val="00254575"/>
    <w:rsid w:val="00263042"/>
    <w:rsid w:val="00263A94"/>
    <w:rsid w:val="0026709F"/>
    <w:rsid w:val="00272913"/>
    <w:rsid w:val="00273C75"/>
    <w:rsid w:val="002828A9"/>
    <w:rsid w:val="00284C8B"/>
    <w:rsid w:val="002862BB"/>
    <w:rsid w:val="0029130B"/>
    <w:rsid w:val="002A4F1F"/>
    <w:rsid w:val="002B449F"/>
    <w:rsid w:val="002C20B3"/>
    <w:rsid w:val="002C2812"/>
    <w:rsid w:val="002D0084"/>
    <w:rsid w:val="002D7D90"/>
    <w:rsid w:val="002E2437"/>
    <w:rsid w:val="002F1E17"/>
    <w:rsid w:val="003120D9"/>
    <w:rsid w:val="0031344B"/>
    <w:rsid w:val="00325ACE"/>
    <w:rsid w:val="00325BA6"/>
    <w:rsid w:val="0034383D"/>
    <w:rsid w:val="00367B48"/>
    <w:rsid w:val="00370B23"/>
    <w:rsid w:val="003715FB"/>
    <w:rsid w:val="003728C6"/>
    <w:rsid w:val="00372C33"/>
    <w:rsid w:val="0037633E"/>
    <w:rsid w:val="00376885"/>
    <w:rsid w:val="00382E4F"/>
    <w:rsid w:val="00384980"/>
    <w:rsid w:val="00385916"/>
    <w:rsid w:val="00386F6C"/>
    <w:rsid w:val="00386FE4"/>
    <w:rsid w:val="00392157"/>
    <w:rsid w:val="00394DCC"/>
    <w:rsid w:val="00395287"/>
    <w:rsid w:val="003B0205"/>
    <w:rsid w:val="003B11A4"/>
    <w:rsid w:val="003B65B2"/>
    <w:rsid w:val="003C244E"/>
    <w:rsid w:val="003C7585"/>
    <w:rsid w:val="003D3E3E"/>
    <w:rsid w:val="003D428B"/>
    <w:rsid w:val="003E4211"/>
    <w:rsid w:val="003F7BF3"/>
    <w:rsid w:val="00402089"/>
    <w:rsid w:val="0040696D"/>
    <w:rsid w:val="00410B57"/>
    <w:rsid w:val="00414EAB"/>
    <w:rsid w:val="004161E7"/>
    <w:rsid w:val="004167C1"/>
    <w:rsid w:val="00416822"/>
    <w:rsid w:val="00421C7D"/>
    <w:rsid w:val="00422ADE"/>
    <w:rsid w:val="0042472C"/>
    <w:rsid w:val="00427D5A"/>
    <w:rsid w:val="0043246E"/>
    <w:rsid w:val="00436E77"/>
    <w:rsid w:val="00437FDD"/>
    <w:rsid w:val="00443E51"/>
    <w:rsid w:val="00447C7D"/>
    <w:rsid w:val="0045527C"/>
    <w:rsid w:val="004663D3"/>
    <w:rsid w:val="00484B61"/>
    <w:rsid w:val="00492034"/>
    <w:rsid w:val="00493117"/>
    <w:rsid w:val="004B4A7C"/>
    <w:rsid w:val="004C1531"/>
    <w:rsid w:val="004C28CA"/>
    <w:rsid w:val="004C7660"/>
    <w:rsid w:val="004C7BB7"/>
    <w:rsid w:val="004D1238"/>
    <w:rsid w:val="004D637D"/>
    <w:rsid w:val="004F0551"/>
    <w:rsid w:val="00503103"/>
    <w:rsid w:val="005131DD"/>
    <w:rsid w:val="00514ECC"/>
    <w:rsid w:val="00516DB3"/>
    <w:rsid w:val="00516F7E"/>
    <w:rsid w:val="0051743F"/>
    <w:rsid w:val="00525A7B"/>
    <w:rsid w:val="00527C4E"/>
    <w:rsid w:val="00536AA3"/>
    <w:rsid w:val="005372E4"/>
    <w:rsid w:val="005451A1"/>
    <w:rsid w:val="00552EBC"/>
    <w:rsid w:val="005533C0"/>
    <w:rsid w:val="00553504"/>
    <w:rsid w:val="00560228"/>
    <w:rsid w:val="0056066C"/>
    <w:rsid w:val="00560E89"/>
    <w:rsid w:val="00562658"/>
    <w:rsid w:val="005638DF"/>
    <w:rsid w:val="00566AC1"/>
    <w:rsid w:val="005676B6"/>
    <w:rsid w:val="00570CE0"/>
    <w:rsid w:val="005821C9"/>
    <w:rsid w:val="00596A74"/>
    <w:rsid w:val="005A2466"/>
    <w:rsid w:val="005A64FC"/>
    <w:rsid w:val="005C2D27"/>
    <w:rsid w:val="005C2E2B"/>
    <w:rsid w:val="005F365D"/>
    <w:rsid w:val="00605B0B"/>
    <w:rsid w:val="00605EED"/>
    <w:rsid w:val="00606702"/>
    <w:rsid w:val="0061132B"/>
    <w:rsid w:val="00626345"/>
    <w:rsid w:val="0063143E"/>
    <w:rsid w:val="00632ADA"/>
    <w:rsid w:val="00632F9C"/>
    <w:rsid w:val="0063767D"/>
    <w:rsid w:val="006476F0"/>
    <w:rsid w:val="00655E95"/>
    <w:rsid w:val="00661167"/>
    <w:rsid w:val="00661BEC"/>
    <w:rsid w:val="00665523"/>
    <w:rsid w:val="00665651"/>
    <w:rsid w:val="006703C7"/>
    <w:rsid w:val="00673FDF"/>
    <w:rsid w:val="0067559E"/>
    <w:rsid w:val="0067572D"/>
    <w:rsid w:val="00676BCC"/>
    <w:rsid w:val="006841D5"/>
    <w:rsid w:val="00687363"/>
    <w:rsid w:val="006879A0"/>
    <w:rsid w:val="00693E43"/>
    <w:rsid w:val="006A500A"/>
    <w:rsid w:val="006A70AE"/>
    <w:rsid w:val="006B2227"/>
    <w:rsid w:val="006B4651"/>
    <w:rsid w:val="006C693E"/>
    <w:rsid w:val="006D2093"/>
    <w:rsid w:val="006D36DE"/>
    <w:rsid w:val="006D6859"/>
    <w:rsid w:val="006D6D6B"/>
    <w:rsid w:val="006F18DB"/>
    <w:rsid w:val="006F41A3"/>
    <w:rsid w:val="006F579D"/>
    <w:rsid w:val="00700D5A"/>
    <w:rsid w:val="00715229"/>
    <w:rsid w:val="00717F58"/>
    <w:rsid w:val="00720045"/>
    <w:rsid w:val="00721720"/>
    <w:rsid w:val="0072209A"/>
    <w:rsid w:val="007226CF"/>
    <w:rsid w:val="00722B02"/>
    <w:rsid w:val="00732538"/>
    <w:rsid w:val="0073329A"/>
    <w:rsid w:val="00734E4E"/>
    <w:rsid w:val="00737D29"/>
    <w:rsid w:val="007433B4"/>
    <w:rsid w:val="007470A4"/>
    <w:rsid w:val="00757669"/>
    <w:rsid w:val="00761330"/>
    <w:rsid w:val="007646ED"/>
    <w:rsid w:val="007650C6"/>
    <w:rsid w:val="0078338A"/>
    <w:rsid w:val="0078705B"/>
    <w:rsid w:val="00790AEE"/>
    <w:rsid w:val="007A4B82"/>
    <w:rsid w:val="007A5D82"/>
    <w:rsid w:val="007B3AD0"/>
    <w:rsid w:val="007C0175"/>
    <w:rsid w:val="007C393F"/>
    <w:rsid w:val="007C5108"/>
    <w:rsid w:val="007C5786"/>
    <w:rsid w:val="007C74D2"/>
    <w:rsid w:val="007D0FD0"/>
    <w:rsid w:val="007D50E6"/>
    <w:rsid w:val="007E36B8"/>
    <w:rsid w:val="00800983"/>
    <w:rsid w:val="00805DC5"/>
    <w:rsid w:val="00806746"/>
    <w:rsid w:val="00811509"/>
    <w:rsid w:val="00817226"/>
    <w:rsid w:val="008216D4"/>
    <w:rsid w:val="008217BF"/>
    <w:rsid w:val="00824695"/>
    <w:rsid w:val="008321C2"/>
    <w:rsid w:val="00832F71"/>
    <w:rsid w:val="00843EB0"/>
    <w:rsid w:val="008445E9"/>
    <w:rsid w:val="008445EF"/>
    <w:rsid w:val="00850589"/>
    <w:rsid w:val="00853F60"/>
    <w:rsid w:val="008626B0"/>
    <w:rsid w:val="00876C55"/>
    <w:rsid w:val="008777A3"/>
    <w:rsid w:val="00894F08"/>
    <w:rsid w:val="008951CD"/>
    <w:rsid w:val="00897A3E"/>
    <w:rsid w:val="008A1AFD"/>
    <w:rsid w:val="008A332A"/>
    <w:rsid w:val="008A4470"/>
    <w:rsid w:val="008A454B"/>
    <w:rsid w:val="008B3677"/>
    <w:rsid w:val="008C0DA6"/>
    <w:rsid w:val="008C1E26"/>
    <w:rsid w:val="008D0C70"/>
    <w:rsid w:val="008D1FAE"/>
    <w:rsid w:val="008D5EBB"/>
    <w:rsid w:val="008F0F5E"/>
    <w:rsid w:val="008F24DC"/>
    <w:rsid w:val="00900A42"/>
    <w:rsid w:val="00906C75"/>
    <w:rsid w:val="00917AB2"/>
    <w:rsid w:val="00924535"/>
    <w:rsid w:val="009347BE"/>
    <w:rsid w:val="00937DC1"/>
    <w:rsid w:val="00956D60"/>
    <w:rsid w:val="00957F62"/>
    <w:rsid w:val="009617DA"/>
    <w:rsid w:val="00963530"/>
    <w:rsid w:val="0097480A"/>
    <w:rsid w:val="0097572B"/>
    <w:rsid w:val="00981369"/>
    <w:rsid w:val="00982408"/>
    <w:rsid w:val="00983275"/>
    <w:rsid w:val="00987FAB"/>
    <w:rsid w:val="00996E45"/>
    <w:rsid w:val="009A0C3F"/>
    <w:rsid w:val="009A1722"/>
    <w:rsid w:val="009A360A"/>
    <w:rsid w:val="009A5EDC"/>
    <w:rsid w:val="009B6612"/>
    <w:rsid w:val="009B7EB3"/>
    <w:rsid w:val="009C05C3"/>
    <w:rsid w:val="009C3951"/>
    <w:rsid w:val="009C3C7B"/>
    <w:rsid w:val="009C7F85"/>
    <w:rsid w:val="009D0369"/>
    <w:rsid w:val="009D3172"/>
    <w:rsid w:val="009D44D4"/>
    <w:rsid w:val="009E057A"/>
    <w:rsid w:val="009E2235"/>
    <w:rsid w:val="009E614D"/>
    <w:rsid w:val="009F1E91"/>
    <w:rsid w:val="009F5734"/>
    <w:rsid w:val="00A13E37"/>
    <w:rsid w:val="00A147B3"/>
    <w:rsid w:val="00A162D6"/>
    <w:rsid w:val="00A26233"/>
    <w:rsid w:val="00A30880"/>
    <w:rsid w:val="00A33C67"/>
    <w:rsid w:val="00A34368"/>
    <w:rsid w:val="00A3679E"/>
    <w:rsid w:val="00A44A71"/>
    <w:rsid w:val="00A51C69"/>
    <w:rsid w:val="00A55D2F"/>
    <w:rsid w:val="00A643DC"/>
    <w:rsid w:val="00A6603E"/>
    <w:rsid w:val="00A66108"/>
    <w:rsid w:val="00A67420"/>
    <w:rsid w:val="00A70FEE"/>
    <w:rsid w:val="00A71C23"/>
    <w:rsid w:val="00A754EB"/>
    <w:rsid w:val="00A80D6F"/>
    <w:rsid w:val="00A81A9D"/>
    <w:rsid w:val="00A8320A"/>
    <w:rsid w:val="00A8333D"/>
    <w:rsid w:val="00A836DE"/>
    <w:rsid w:val="00A85EF9"/>
    <w:rsid w:val="00A92C55"/>
    <w:rsid w:val="00A93188"/>
    <w:rsid w:val="00AA5C1F"/>
    <w:rsid w:val="00AB41C1"/>
    <w:rsid w:val="00AB6EDD"/>
    <w:rsid w:val="00AB7814"/>
    <w:rsid w:val="00AD3187"/>
    <w:rsid w:val="00AD5924"/>
    <w:rsid w:val="00AE4A3F"/>
    <w:rsid w:val="00AE58C0"/>
    <w:rsid w:val="00AF1D57"/>
    <w:rsid w:val="00B012C2"/>
    <w:rsid w:val="00B10661"/>
    <w:rsid w:val="00B16B84"/>
    <w:rsid w:val="00B24779"/>
    <w:rsid w:val="00B31A30"/>
    <w:rsid w:val="00B36206"/>
    <w:rsid w:val="00B432DC"/>
    <w:rsid w:val="00B443CB"/>
    <w:rsid w:val="00B51D8F"/>
    <w:rsid w:val="00B54764"/>
    <w:rsid w:val="00B5776D"/>
    <w:rsid w:val="00B6426C"/>
    <w:rsid w:val="00B64B4F"/>
    <w:rsid w:val="00B732F4"/>
    <w:rsid w:val="00B75AE6"/>
    <w:rsid w:val="00BA29FE"/>
    <w:rsid w:val="00BA5007"/>
    <w:rsid w:val="00BB0E0E"/>
    <w:rsid w:val="00BD1BBC"/>
    <w:rsid w:val="00BD619C"/>
    <w:rsid w:val="00BE1E00"/>
    <w:rsid w:val="00BE7692"/>
    <w:rsid w:val="00BF12E2"/>
    <w:rsid w:val="00BF49B1"/>
    <w:rsid w:val="00C02DF6"/>
    <w:rsid w:val="00C06822"/>
    <w:rsid w:val="00C12B55"/>
    <w:rsid w:val="00C13BCB"/>
    <w:rsid w:val="00C151C8"/>
    <w:rsid w:val="00C21753"/>
    <w:rsid w:val="00C22B77"/>
    <w:rsid w:val="00C250D5"/>
    <w:rsid w:val="00C3619C"/>
    <w:rsid w:val="00C45602"/>
    <w:rsid w:val="00C51034"/>
    <w:rsid w:val="00C525E0"/>
    <w:rsid w:val="00C5603A"/>
    <w:rsid w:val="00C57064"/>
    <w:rsid w:val="00C62159"/>
    <w:rsid w:val="00C66B39"/>
    <w:rsid w:val="00C7540A"/>
    <w:rsid w:val="00C77F6D"/>
    <w:rsid w:val="00C8001D"/>
    <w:rsid w:val="00C85060"/>
    <w:rsid w:val="00CA2CE3"/>
    <w:rsid w:val="00CC02BD"/>
    <w:rsid w:val="00CC3BFC"/>
    <w:rsid w:val="00CC5B6F"/>
    <w:rsid w:val="00CE159F"/>
    <w:rsid w:val="00CE2146"/>
    <w:rsid w:val="00CE7085"/>
    <w:rsid w:val="00CF2DB6"/>
    <w:rsid w:val="00CF2DE6"/>
    <w:rsid w:val="00CF622D"/>
    <w:rsid w:val="00D03E53"/>
    <w:rsid w:val="00D12ED9"/>
    <w:rsid w:val="00D14873"/>
    <w:rsid w:val="00D2330D"/>
    <w:rsid w:val="00D23510"/>
    <w:rsid w:val="00D265FB"/>
    <w:rsid w:val="00D27C2A"/>
    <w:rsid w:val="00D32CBF"/>
    <w:rsid w:val="00D3701A"/>
    <w:rsid w:val="00D40762"/>
    <w:rsid w:val="00D40B1C"/>
    <w:rsid w:val="00D40C89"/>
    <w:rsid w:val="00D52C82"/>
    <w:rsid w:val="00D52EA0"/>
    <w:rsid w:val="00D54A91"/>
    <w:rsid w:val="00D576A7"/>
    <w:rsid w:val="00D61B9E"/>
    <w:rsid w:val="00D67767"/>
    <w:rsid w:val="00D8691C"/>
    <w:rsid w:val="00D902F3"/>
    <w:rsid w:val="00D9108D"/>
    <w:rsid w:val="00DB0B10"/>
    <w:rsid w:val="00DB3364"/>
    <w:rsid w:val="00DB6158"/>
    <w:rsid w:val="00DC5355"/>
    <w:rsid w:val="00DC7CA4"/>
    <w:rsid w:val="00DD29AF"/>
    <w:rsid w:val="00DD4210"/>
    <w:rsid w:val="00DE3270"/>
    <w:rsid w:val="00DE4B8F"/>
    <w:rsid w:val="00DE5E5F"/>
    <w:rsid w:val="00E048B8"/>
    <w:rsid w:val="00E11ED8"/>
    <w:rsid w:val="00E134FF"/>
    <w:rsid w:val="00E1654E"/>
    <w:rsid w:val="00E20592"/>
    <w:rsid w:val="00E23639"/>
    <w:rsid w:val="00E257E1"/>
    <w:rsid w:val="00E26571"/>
    <w:rsid w:val="00E276A0"/>
    <w:rsid w:val="00E30516"/>
    <w:rsid w:val="00E34C55"/>
    <w:rsid w:val="00E35028"/>
    <w:rsid w:val="00E363AA"/>
    <w:rsid w:val="00E36440"/>
    <w:rsid w:val="00E47BA7"/>
    <w:rsid w:val="00E52747"/>
    <w:rsid w:val="00E61968"/>
    <w:rsid w:val="00E822C9"/>
    <w:rsid w:val="00E828FA"/>
    <w:rsid w:val="00E83F3F"/>
    <w:rsid w:val="00E84D76"/>
    <w:rsid w:val="00E90E8C"/>
    <w:rsid w:val="00EA0F44"/>
    <w:rsid w:val="00EA46FE"/>
    <w:rsid w:val="00EB380A"/>
    <w:rsid w:val="00EB7714"/>
    <w:rsid w:val="00EC0DCA"/>
    <w:rsid w:val="00EC7507"/>
    <w:rsid w:val="00ED2629"/>
    <w:rsid w:val="00ED2F77"/>
    <w:rsid w:val="00ED5890"/>
    <w:rsid w:val="00ED71C5"/>
    <w:rsid w:val="00EE3F7D"/>
    <w:rsid w:val="00EE5B90"/>
    <w:rsid w:val="00EF3885"/>
    <w:rsid w:val="00F0500E"/>
    <w:rsid w:val="00F13A14"/>
    <w:rsid w:val="00F171FB"/>
    <w:rsid w:val="00F205A8"/>
    <w:rsid w:val="00F33AF7"/>
    <w:rsid w:val="00F33B70"/>
    <w:rsid w:val="00F42167"/>
    <w:rsid w:val="00F44A13"/>
    <w:rsid w:val="00F7168C"/>
    <w:rsid w:val="00F75049"/>
    <w:rsid w:val="00F764EC"/>
    <w:rsid w:val="00F773C5"/>
    <w:rsid w:val="00F8210A"/>
    <w:rsid w:val="00F952A4"/>
    <w:rsid w:val="00FA6A55"/>
    <w:rsid w:val="00FC062A"/>
    <w:rsid w:val="00FD278B"/>
    <w:rsid w:val="00FD7BAF"/>
    <w:rsid w:val="00FE164F"/>
    <w:rsid w:val="00FE2D8A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6D3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table" w:styleId="TableGrid">
    <w:name w:val="Table Grid"/>
    <w:basedOn w:val="TableNormal"/>
    <w:uiPriority w:val="59"/>
    <w:rsid w:val="00FA6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402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table" w:styleId="TableGrid">
    <w:name w:val="Table Grid"/>
    <w:basedOn w:val="TableNormal"/>
    <w:uiPriority w:val="59"/>
    <w:rsid w:val="00FA6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402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03FBA-0055-4CB7-ADCF-9CE4CBC9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3568</Words>
  <Characters>20339</Characters>
  <Application>Microsoft Office Word</Application>
  <DocSecurity>0</DocSecurity>
  <Lines>169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Елеонора Христова</cp:lastModifiedBy>
  <cp:revision>9</cp:revision>
  <cp:lastPrinted>2019-01-24T10:51:00Z</cp:lastPrinted>
  <dcterms:created xsi:type="dcterms:W3CDTF">2019-01-25T06:15:00Z</dcterms:created>
  <dcterms:modified xsi:type="dcterms:W3CDTF">2019-03-14T13:59:00Z</dcterms:modified>
</cp:coreProperties>
</file>