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F7" w:rsidRDefault="00B079F7" w:rsidP="00674204">
      <w:pPr>
        <w:pStyle w:val="Title"/>
        <w:ind w:hanging="709"/>
        <w:rPr>
          <w:rFonts w:ascii="Times New Roman" w:hAnsi="Times New Roman" w:cs="Times New Roman"/>
          <w:sz w:val="24"/>
        </w:rPr>
      </w:pPr>
    </w:p>
    <w:p w:rsidR="00B079F7" w:rsidRPr="00BA566C" w:rsidRDefault="00B079F7" w:rsidP="00B079F7">
      <w:pPr>
        <w:pStyle w:val="Title"/>
        <w:jc w:val="left"/>
        <w:rPr>
          <w:rFonts w:ascii="Times New Roman" w:hAnsi="Times New Roman" w:cs="Times New Roman"/>
          <w:sz w:val="24"/>
          <w:lang w:val="en-US"/>
        </w:rPr>
      </w:pPr>
    </w:p>
    <w:p w:rsidR="00B079F7" w:rsidRDefault="00B079F7" w:rsidP="00674204">
      <w:pPr>
        <w:pStyle w:val="Title"/>
        <w:ind w:hanging="709"/>
        <w:rPr>
          <w:rFonts w:ascii="Times New Roman" w:hAnsi="Times New Roman" w:cs="Times New Roman"/>
          <w:sz w:val="24"/>
        </w:rPr>
      </w:pPr>
    </w:p>
    <w:p w:rsidR="002E0F89" w:rsidRPr="002A3F9D" w:rsidRDefault="00EC0EE3" w:rsidP="00674204">
      <w:pPr>
        <w:pStyle w:val="Title"/>
        <w:ind w:hanging="709"/>
        <w:rPr>
          <w:rFonts w:ascii="Times New Roman" w:hAnsi="Times New Roman" w:cs="Times New Roman"/>
          <w:sz w:val="24"/>
        </w:rPr>
      </w:pPr>
      <w:r w:rsidRPr="002A3F9D">
        <w:rPr>
          <w:rFonts w:ascii="Times New Roman" w:hAnsi="Times New Roman" w:cs="Times New Roman"/>
          <w:sz w:val="24"/>
        </w:rPr>
        <w:t>СЪДЪРЖАНИЕ</w:t>
      </w:r>
    </w:p>
    <w:p w:rsidR="002E0F89" w:rsidRPr="002A3F9D" w:rsidRDefault="002E0F89" w:rsidP="00674204">
      <w:pPr>
        <w:jc w:val="center"/>
        <w:rPr>
          <w:b/>
          <w:bCs/>
          <w:lang w:val="bg-BG"/>
        </w:rPr>
      </w:pPr>
    </w:p>
    <w:p w:rsidR="006B540E" w:rsidRPr="002A3F9D" w:rsidRDefault="006B540E" w:rsidP="00674204">
      <w:pPr>
        <w:jc w:val="center"/>
        <w:rPr>
          <w:lang w:val="bg-BG" w:eastAsia="bg-BG"/>
        </w:rPr>
      </w:pPr>
      <w:r w:rsidRPr="002A3F9D">
        <w:rPr>
          <w:lang w:val="bg-BG" w:eastAsia="bg-BG"/>
        </w:rPr>
        <w:t>на документация за участие в открита електронна процедура за сключване на рамково споразумение за възлагане на централизир</w:t>
      </w:r>
      <w:r w:rsidR="002221F8">
        <w:rPr>
          <w:lang w:val="bg-BG" w:eastAsia="bg-BG"/>
        </w:rPr>
        <w:t>ана обществена поръчка</w:t>
      </w:r>
      <w:r w:rsidRPr="002A3F9D">
        <w:rPr>
          <w:lang w:val="bg-BG" w:eastAsia="bg-BG"/>
        </w:rPr>
        <w:t xml:space="preserve"> с предмет:</w:t>
      </w:r>
    </w:p>
    <w:p w:rsidR="006B540E" w:rsidRPr="00674204" w:rsidRDefault="006B540E" w:rsidP="00674204">
      <w:pPr>
        <w:jc w:val="center"/>
        <w:rPr>
          <w:lang w:val="ru-RU" w:eastAsia="bg-BG"/>
        </w:rPr>
      </w:pPr>
    </w:p>
    <w:p w:rsidR="002221F8" w:rsidRPr="002221F8" w:rsidRDefault="002221F8" w:rsidP="002221F8">
      <w:pPr>
        <w:spacing w:after="200"/>
        <w:jc w:val="center"/>
        <w:rPr>
          <w:rFonts w:eastAsia="Calibri"/>
          <w:b/>
          <w:i/>
          <w:lang w:val="en-US"/>
        </w:rPr>
      </w:pPr>
      <w:r w:rsidRPr="002221F8">
        <w:rPr>
          <w:rFonts w:eastAsia="Calibri"/>
          <w:b/>
          <w:i/>
          <w:lang w:val="bg-BG"/>
        </w:rPr>
        <w:t>„</w:t>
      </w:r>
      <w:proofErr w:type="spellStart"/>
      <w:r w:rsidRPr="002221F8">
        <w:rPr>
          <w:b/>
          <w:i/>
          <w:lang w:eastAsia="bg-BG"/>
        </w:rPr>
        <w:t>Доставка</w:t>
      </w:r>
      <w:proofErr w:type="spellEnd"/>
      <w:r w:rsidRPr="002221F8">
        <w:rPr>
          <w:b/>
          <w:i/>
          <w:lang w:eastAsia="bg-BG"/>
        </w:rPr>
        <w:t xml:space="preserve"> </w:t>
      </w:r>
      <w:proofErr w:type="spellStart"/>
      <w:r w:rsidRPr="002221F8">
        <w:rPr>
          <w:b/>
          <w:i/>
          <w:lang w:eastAsia="bg-BG"/>
        </w:rPr>
        <w:t>на</w:t>
      </w:r>
      <w:proofErr w:type="spellEnd"/>
      <w:r w:rsidRPr="002221F8">
        <w:rPr>
          <w:b/>
          <w:i/>
          <w:lang w:eastAsia="bg-BG"/>
        </w:rPr>
        <w:t xml:space="preserve"> </w:t>
      </w:r>
      <w:proofErr w:type="spellStart"/>
      <w:r w:rsidRPr="002221F8">
        <w:rPr>
          <w:b/>
          <w:i/>
          <w:lang w:eastAsia="bg-BG"/>
        </w:rPr>
        <w:t>тонери</w:t>
      </w:r>
      <w:proofErr w:type="spellEnd"/>
      <w:r w:rsidRPr="002221F8">
        <w:rPr>
          <w:b/>
          <w:i/>
          <w:lang w:eastAsia="bg-BG"/>
        </w:rPr>
        <w:t xml:space="preserve"> и </w:t>
      </w:r>
      <w:proofErr w:type="spellStart"/>
      <w:r w:rsidRPr="002221F8">
        <w:rPr>
          <w:b/>
          <w:i/>
          <w:lang w:eastAsia="bg-BG"/>
        </w:rPr>
        <w:t>други</w:t>
      </w:r>
      <w:proofErr w:type="spellEnd"/>
      <w:r w:rsidRPr="002221F8">
        <w:rPr>
          <w:b/>
          <w:i/>
          <w:lang w:eastAsia="bg-BG"/>
        </w:rPr>
        <w:t xml:space="preserve"> </w:t>
      </w:r>
      <w:proofErr w:type="spellStart"/>
      <w:r w:rsidRPr="002221F8">
        <w:rPr>
          <w:b/>
          <w:i/>
          <w:lang w:eastAsia="bg-BG"/>
        </w:rPr>
        <w:t>консумативи</w:t>
      </w:r>
      <w:proofErr w:type="spellEnd"/>
      <w:r w:rsidRPr="002221F8">
        <w:rPr>
          <w:b/>
          <w:i/>
          <w:lang w:eastAsia="bg-BG"/>
        </w:rPr>
        <w:t xml:space="preserve"> </w:t>
      </w:r>
      <w:proofErr w:type="spellStart"/>
      <w:r w:rsidRPr="002221F8">
        <w:rPr>
          <w:b/>
          <w:i/>
          <w:lang w:eastAsia="bg-BG"/>
        </w:rPr>
        <w:t>за</w:t>
      </w:r>
      <w:proofErr w:type="spellEnd"/>
      <w:r w:rsidRPr="002221F8">
        <w:rPr>
          <w:b/>
          <w:i/>
          <w:lang w:eastAsia="bg-BG"/>
        </w:rPr>
        <w:t xml:space="preserve"> </w:t>
      </w:r>
      <w:r w:rsidRPr="002221F8">
        <w:rPr>
          <w:b/>
          <w:i/>
          <w:lang w:val="bg-BG" w:eastAsia="bg-BG"/>
        </w:rPr>
        <w:t xml:space="preserve">печат за </w:t>
      </w:r>
      <w:proofErr w:type="spellStart"/>
      <w:r w:rsidRPr="002221F8">
        <w:rPr>
          <w:b/>
          <w:i/>
          <w:lang w:eastAsia="bg-BG"/>
        </w:rPr>
        <w:t>копирни</w:t>
      </w:r>
      <w:proofErr w:type="spellEnd"/>
      <w:r w:rsidRPr="002221F8">
        <w:rPr>
          <w:b/>
          <w:i/>
          <w:lang w:eastAsia="bg-BG"/>
        </w:rPr>
        <w:t xml:space="preserve"> и </w:t>
      </w:r>
      <w:proofErr w:type="spellStart"/>
      <w:r w:rsidRPr="002221F8">
        <w:rPr>
          <w:b/>
          <w:i/>
          <w:lang w:eastAsia="bg-BG"/>
        </w:rPr>
        <w:t>печатащи</w:t>
      </w:r>
      <w:proofErr w:type="spellEnd"/>
      <w:r w:rsidRPr="002221F8">
        <w:rPr>
          <w:b/>
          <w:i/>
          <w:lang w:eastAsia="bg-BG"/>
        </w:rPr>
        <w:t xml:space="preserve"> </w:t>
      </w:r>
      <w:proofErr w:type="spellStart"/>
      <w:r w:rsidRPr="002221F8">
        <w:rPr>
          <w:b/>
          <w:i/>
          <w:lang w:eastAsia="bg-BG"/>
        </w:rPr>
        <w:t>устройства</w:t>
      </w:r>
      <w:proofErr w:type="spellEnd"/>
      <w:r w:rsidRPr="002221F8">
        <w:rPr>
          <w:rFonts w:eastAsia="Calibri"/>
          <w:b/>
          <w:i/>
          <w:lang w:val="en-US"/>
        </w:rPr>
        <w:t xml:space="preserve"> </w:t>
      </w:r>
      <w:r w:rsidRPr="002221F8">
        <w:rPr>
          <w:rFonts w:eastAsia="Calibri"/>
          <w:b/>
          <w:i/>
          <w:lang w:val="bg-BG"/>
        </w:rPr>
        <w:t xml:space="preserve">” </w:t>
      </w:r>
      <w:r w:rsidR="003B0AB5">
        <w:rPr>
          <w:rFonts w:eastAsia="Calibri"/>
          <w:b/>
          <w:i/>
          <w:lang w:val="bg-BG"/>
        </w:rPr>
        <w:t>с 6</w:t>
      </w:r>
      <w:r>
        <w:rPr>
          <w:rFonts w:eastAsia="Calibri"/>
          <w:b/>
          <w:i/>
          <w:lang w:val="bg-BG"/>
        </w:rPr>
        <w:t xml:space="preserve"> обособени позиции:</w:t>
      </w: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  <w:r w:rsidRPr="003B0AB5">
        <w:rPr>
          <w:rFonts w:eastAsia="Calibri"/>
          <w:b/>
          <w:i/>
          <w:u w:val="single"/>
          <w:lang w:val="bg-BG"/>
        </w:rPr>
        <w:t>Позиция 1</w:t>
      </w:r>
      <w:r w:rsidRPr="003B0AB5">
        <w:rPr>
          <w:rFonts w:eastAsia="Calibri"/>
          <w:b/>
          <w:i/>
          <w:lang w:val="bg-BG"/>
        </w:rPr>
        <w:t>: „</w:t>
      </w:r>
      <w:r w:rsidRPr="003B0AB5">
        <w:rPr>
          <w:b/>
          <w:i/>
          <w:lang w:val="bg-BG" w:eastAsia="bg-BG"/>
        </w:rPr>
        <w:t xml:space="preserve">Доставка на оригинални тонери и други консумативи за печат за копирни и печатащи устройства с марка HP (Ейч </w:t>
      </w:r>
      <w:proofErr w:type="spellStart"/>
      <w:r w:rsidRPr="003B0AB5">
        <w:rPr>
          <w:b/>
          <w:i/>
          <w:lang w:val="bg-BG" w:eastAsia="bg-BG"/>
        </w:rPr>
        <w:t>Пи</w:t>
      </w:r>
      <w:proofErr w:type="spellEnd"/>
      <w:r w:rsidRPr="003B0AB5">
        <w:rPr>
          <w:b/>
          <w:i/>
          <w:lang w:val="bg-BG" w:eastAsia="bg-BG"/>
        </w:rPr>
        <w:t xml:space="preserve">) и бивши </w:t>
      </w:r>
      <w:proofErr w:type="spellStart"/>
      <w:r w:rsidRPr="003B0AB5">
        <w:rPr>
          <w:b/>
          <w:i/>
          <w:lang w:val="bg-BG" w:eastAsia="bg-BG"/>
        </w:rPr>
        <w:t>Самсунг</w:t>
      </w:r>
      <w:proofErr w:type="spellEnd"/>
      <w:r w:rsidRPr="003B0AB5">
        <w:rPr>
          <w:rFonts w:eastAsia="Calibri"/>
          <w:b/>
          <w:i/>
          <w:lang w:val="bg-BG"/>
        </w:rPr>
        <w:t>”</w:t>
      </w: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  <w:r w:rsidRPr="003B0AB5">
        <w:rPr>
          <w:rFonts w:eastAsia="Calibri"/>
          <w:b/>
          <w:i/>
          <w:u w:val="single"/>
          <w:lang w:val="bg-BG"/>
        </w:rPr>
        <w:t>Позиция 2</w:t>
      </w:r>
      <w:r w:rsidRPr="003B0AB5">
        <w:rPr>
          <w:rFonts w:eastAsia="Calibri"/>
          <w:b/>
          <w:i/>
          <w:lang w:val="bg-BG"/>
        </w:rPr>
        <w:t>: „</w:t>
      </w:r>
      <w:r w:rsidRPr="003B0AB5">
        <w:rPr>
          <w:b/>
          <w:i/>
          <w:lang w:val="bg-BG" w:eastAsia="bg-BG"/>
        </w:rPr>
        <w:t xml:space="preserve">Доставка на оригинални тонери и други консумативи за печат за копирни и печатащи устройства с марки </w:t>
      </w:r>
      <w:r w:rsidRPr="003B0AB5">
        <w:rPr>
          <w:b/>
          <w:i/>
          <w:lang w:val="en-US" w:eastAsia="bg-BG"/>
        </w:rPr>
        <w:t>Brother</w:t>
      </w:r>
      <w:r w:rsidRPr="003B0AB5">
        <w:rPr>
          <w:b/>
          <w:i/>
          <w:lang w:val="bg-BG" w:eastAsia="bg-BG"/>
        </w:rPr>
        <w:t xml:space="preserve"> (</w:t>
      </w:r>
      <w:proofErr w:type="spellStart"/>
      <w:r w:rsidRPr="003B0AB5">
        <w:rPr>
          <w:b/>
          <w:i/>
          <w:lang w:val="bg-BG" w:eastAsia="bg-BG"/>
        </w:rPr>
        <w:t>Брадър</w:t>
      </w:r>
      <w:proofErr w:type="spellEnd"/>
      <w:r w:rsidRPr="003B0AB5">
        <w:rPr>
          <w:b/>
          <w:i/>
          <w:lang w:val="bg-BG" w:eastAsia="bg-BG"/>
        </w:rPr>
        <w:t xml:space="preserve">) и </w:t>
      </w:r>
      <w:r w:rsidRPr="003B0AB5">
        <w:rPr>
          <w:b/>
          <w:i/>
          <w:lang w:val="en-US" w:eastAsia="bg-BG"/>
        </w:rPr>
        <w:t>Canon</w:t>
      </w:r>
      <w:r w:rsidRPr="003B0AB5">
        <w:rPr>
          <w:b/>
          <w:i/>
          <w:lang w:val="bg-BG" w:eastAsia="bg-BG"/>
        </w:rPr>
        <w:t xml:space="preserve"> (Канон)</w:t>
      </w:r>
      <w:r w:rsidRPr="003B0AB5">
        <w:rPr>
          <w:rFonts w:eastAsia="Calibri"/>
          <w:b/>
          <w:i/>
          <w:lang w:val="bg-BG"/>
        </w:rPr>
        <w:t>”</w:t>
      </w:r>
    </w:p>
    <w:p w:rsidR="003B0AB5" w:rsidRPr="003B0AB5" w:rsidRDefault="003B0AB5" w:rsidP="003B0AB5">
      <w:pPr>
        <w:spacing w:line="319" w:lineRule="atLeast"/>
        <w:jc w:val="both"/>
        <w:rPr>
          <w:rFonts w:eastAsia="Calibri"/>
          <w:b/>
          <w:i/>
          <w:lang w:val="bg-BG"/>
        </w:rPr>
      </w:pP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  <w:r w:rsidRPr="003B0AB5">
        <w:rPr>
          <w:rFonts w:eastAsia="Calibri"/>
          <w:b/>
          <w:i/>
          <w:u w:val="single"/>
          <w:lang w:val="bg-BG"/>
        </w:rPr>
        <w:t>Позиция 3</w:t>
      </w:r>
      <w:r w:rsidRPr="003B0AB5">
        <w:rPr>
          <w:rFonts w:eastAsia="Calibri"/>
          <w:b/>
          <w:i/>
          <w:lang w:val="bg-BG"/>
        </w:rPr>
        <w:t>: „</w:t>
      </w:r>
      <w:r w:rsidRPr="003B0AB5">
        <w:rPr>
          <w:b/>
          <w:i/>
          <w:lang w:val="bg-BG" w:eastAsia="bg-BG"/>
        </w:rPr>
        <w:t>Доставка на оригинални тонери и други консумативи за печат за копирни и печатащи устройства с марка</w:t>
      </w:r>
      <w:r w:rsidRPr="003B0AB5">
        <w:rPr>
          <w:b/>
          <w:i/>
          <w:lang w:val="en-US" w:eastAsia="bg-BG"/>
        </w:rPr>
        <w:t xml:space="preserve"> Lexmark</w:t>
      </w:r>
      <w:r w:rsidRPr="003B0AB5">
        <w:rPr>
          <w:b/>
          <w:i/>
          <w:lang w:val="bg-BG" w:eastAsia="bg-BG"/>
        </w:rPr>
        <w:t xml:space="preserve"> (</w:t>
      </w:r>
      <w:proofErr w:type="spellStart"/>
      <w:r w:rsidRPr="003B0AB5">
        <w:rPr>
          <w:b/>
          <w:i/>
          <w:lang w:val="bg-BG" w:eastAsia="bg-BG"/>
        </w:rPr>
        <w:t>Лексмарк</w:t>
      </w:r>
      <w:proofErr w:type="spellEnd"/>
      <w:r w:rsidRPr="003B0AB5">
        <w:rPr>
          <w:b/>
          <w:i/>
          <w:lang w:val="bg-BG" w:eastAsia="bg-BG"/>
        </w:rPr>
        <w:t>)</w:t>
      </w:r>
      <w:r w:rsidRPr="003B0AB5">
        <w:rPr>
          <w:rFonts w:eastAsia="Calibri"/>
          <w:b/>
          <w:i/>
          <w:lang w:val="bg-BG"/>
        </w:rPr>
        <w:t>”</w:t>
      </w: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  <w:r w:rsidRPr="003B0AB5">
        <w:rPr>
          <w:b/>
          <w:i/>
          <w:u w:val="single"/>
          <w:lang w:val="bg-BG" w:eastAsia="bg-BG"/>
        </w:rPr>
        <w:t>Позиция 4:</w:t>
      </w:r>
      <w:r w:rsidRPr="003B0AB5">
        <w:rPr>
          <w:b/>
          <w:i/>
          <w:lang w:val="bg-BG" w:eastAsia="bg-BG"/>
        </w:rPr>
        <w:t xml:space="preserve"> </w:t>
      </w:r>
      <w:r w:rsidRPr="003B0AB5">
        <w:rPr>
          <w:rFonts w:eastAsia="Calibri"/>
          <w:b/>
          <w:i/>
          <w:lang w:val="bg-BG"/>
        </w:rPr>
        <w:t>„</w:t>
      </w:r>
      <w:r w:rsidRPr="003B0AB5">
        <w:rPr>
          <w:b/>
          <w:i/>
          <w:lang w:val="bg-BG" w:eastAsia="bg-BG"/>
        </w:rPr>
        <w:t xml:space="preserve">Доставка на оригинални тонери и други консумативи за печат за копирни и печатащи устройства с марка </w:t>
      </w:r>
      <w:r w:rsidRPr="003B0AB5">
        <w:rPr>
          <w:b/>
          <w:i/>
          <w:lang w:val="en-US" w:eastAsia="bg-BG"/>
        </w:rPr>
        <w:t>Xerox</w:t>
      </w:r>
      <w:r w:rsidRPr="003B0AB5">
        <w:rPr>
          <w:b/>
          <w:i/>
          <w:lang w:val="bg-BG" w:eastAsia="bg-BG"/>
        </w:rPr>
        <w:t xml:space="preserve"> (Ксерокс)</w:t>
      </w:r>
      <w:r w:rsidRPr="003B0AB5">
        <w:rPr>
          <w:rFonts w:eastAsia="Calibri"/>
          <w:b/>
          <w:i/>
          <w:lang w:val="bg-BG"/>
        </w:rPr>
        <w:t>””</w:t>
      </w: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  <w:r w:rsidRPr="003B0AB5">
        <w:rPr>
          <w:b/>
          <w:i/>
          <w:u w:val="single"/>
          <w:lang w:val="bg-BG" w:eastAsia="bg-BG"/>
        </w:rPr>
        <w:t>Позиция 5:</w:t>
      </w:r>
      <w:r w:rsidRPr="003B0AB5">
        <w:rPr>
          <w:b/>
          <w:i/>
          <w:lang w:val="bg-BG" w:eastAsia="bg-BG"/>
        </w:rPr>
        <w:t xml:space="preserve"> </w:t>
      </w:r>
      <w:r w:rsidRPr="003B0AB5">
        <w:rPr>
          <w:rFonts w:eastAsia="Calibri"/>
          <w:b/>
          <w:i/>
          <w:lang w:val="bg-BG"/>
        </w:rPr>
        <w:t>„</w:t>
      </w:r>
      <w:r w:rsidRPr="003B0AB5">
        <w:rPr>
          <w:b/>
          <w:i/>
          <w:lang w:val="bg-BG" w:eastAsia="bg-BG"/>
        </w:rPr>
        <w:t xml:space="preserve">Доставка на оригинални тонери и други консумативи за печат за копирни и печатащи устройства с различни марка“ </w:t>
      </w: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</w:p>
    <w:p w:rsidR="003B0AB5" w:rsidRPr="003B0AB5" w:rsidRDefault="003B0AB5" w:rsidP="003B0AB5">
      <w:pPr>
        <w:spacing w:line="319" w:lineRule="atLeast"/>
        <w:jc w:val="both"/>
        <w:rPr>
          <w:b/>
          <w:i/>
          <w:lang w:val="bg-BG" w:eastAsia="bg-BG"/>
        </w:rPr>
      </w:pPr>
      <w:r w:rsidRPr="003B0AB5">
        <w:rPr>
          <w:b/>
          <w:i/>
          <w:u w:val="single"/>
          <w:lang w:val="bg-BG" w:eastAsia="bg-BG"/>
        </w:rPr>
        <w:t>Позиция 6:</w:t>
      </w:r>
      <w:r w:rsidRPr="003B0AB5">
        <w:rPr>
          <w:rFonts w:eastAsia="Calibri"/>
          <w:b/>
          <w:i/>
          <w:lang w:val="bg-BG"/>
        </w:rPr>
        <w:t xml:space="preserve"> „</w:t>
      </w:r>
      <w:r w:rsidRPr="003B0AB5">
        <w:rPr>
          <w:b/>
          <w:i/>
          <w:lang w:val="bg-BG" w:eastAsia="bg-BG"/>
        </w:rPr>
        <w:t xml:space="preserve">Доставка на съвместими тонери и други консумативи за печат за копирни и печатащи устройства“ </w:t>
      </w:r>
    </w:p>
    <w:p w:rsidR="006B540E" w:rsidRPr="00674204" w:rsidRDefault="006B540E" w:rsidP="00674204">
      <w:pPr>
        <w:tabs>
          <w:tab w:val="left" w:pos="0"/>
        </w:tabs>
        <w:spacing w:before="120"/>
        <w:jc w:val="both"/>
        <w:rPr>
          <w:b/>
          <w:lang w:val="en-US" w:eastAsia="pl-PL"/>
        </w:rPr>
      </w:pPr>
    </w:p>
    <w:p w:rsidR="00CD1CF4" w:rsidRPr="00674204" w:rsidRDefault="00CD1CF4" w:rsidP="00781FB5">
      <w:pPr>
        <w:jc w:val="both"/>
        <w:rPr>
          <w:lang w:val="en-US"/>
        </w:rPr>
      </w:pPr>
    </w:p>
    <w:p w:rsidR="002824DB" w:rsidRPr="002824DB" w:rsidRDefault="002824DB" w:rsidP="00781FB5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Решение и Обявле</w:t>
      </w:r>
      <w:r w:rsidR="00265E9F">
        <w:rPr>
          <w:lang w:val="bg-BG"/>
        </w:rPr>
        <w:t>ние за откриване на процедурата</w:t>
      </w:r>
    </w:p>
    <w:p w:rsidR="002E0F89" w:rsidRPr="00674204" w:rsidRDefault="00EC0EE3" w:rsidP="00781FB5">
      <w:pPr>
        <w:numPr>
          <w:ilvl w:val="0"/>
          <w:numId w:val="4"/>
        </w:numPr>
        <w:jc w:val="both"/>
        <w:rPr>
          <w:lang w:val="bg-BG"/>
        </w:rPr>
      </w:pPr>
      <w:r w:rsidRPr="00674204">
        <w:rPr>
          <w:lang w:val="bg-BG"/>
        </w:rPr>
        <w:t>Указания към участ</w:t>
      </w:r>
      <w:r w:rsidR="00F16BDF" w:rsidRPr="00674204">
        <w:rPr>
          <w:lang w:val="bg-BG"/>
        </w:rPr>
        <w:t>ниците за реда и условията за провеждане на процедурата</w:t>
      </w:r>
    </w:p>
    <w:p w:rsidR="0053492D" w:rsidRPr="00674204" w:rsidRDefault="0053492D" w:rsidP="00781FB5">
      <w:pPr>
        <w:numPr>
          <w:ilvl w:val="0"/>
          <w:numId w:val="4"/>
        </w:numPr>
        <w:jc w:val="both"/>
        <w:rPr>
          <w:lang w:val="bg-BG"/>
        </w:rPr>
      </w:pPr>
      <w:r w:rsidRPr="00674204">
        <w:rPr>
          <w:lang w:val="bg-BG"/>
        </w:rPr>
        <w:t>Техническа спецификация</w:t>
      </w:r>
      <w:r w:rsidR="00265E9F">
        <w:rPr>
          <w:lang w:val="bg-BG"/>
        </w:rPr>
        <w:t xml:space="preserve"> на Възложителя, съдържаща се в образеца на ценова оферта в СЕВОП – за всяка обособена позиция</w:t>
      </w:r>
    </w:p>
    <w:p w:rsidR="00B6458F" w:rsidRPr="00674204" w:rsidRDefault="002F5D65" w:rsidP="00781FB5">
      <w:pPr>
        <w:numPr>
          <w:ilvl w:val="0"/>
          <w:numId w:val="4"/>
        </w:numPr>
        <w:jc w:val="both"/>
        <w:rPr>
          <w:lang w:val="bg-BG"/>
        </w:rPr>
      </w:pPr>
      <w:r w:rsidRPr="00674204">
        <w:rPr>
          <w:lang w:val="bg-BG"/>
        </w:rPr>
        <w:t xml:space="preserve">Образец </w:t>
      </w:r>
      <w:r w:rsidR="00BA566C">
        <w:rPr>
          <w:bCs/>
          <w:lang w:val="bg-BG"/>
        </w:rPr>
        <w:t>№</w:t>
      </w:r>
      <w:r w:rsidR="00BA566C">
        <w:rPr>
          <w:bCs/>
          <w:lang w:val="en-US"/>
        </w:rPr>
        <w:t xml:space="preserve"> </w:t>
      </w:r>
      <w:r w:rsidR="00143CF3" w:rsidRPr="00674204">
        <w:rPr>
          <w:bCs/>
          <w:lang w:val="bg-BG"/>
        </w:rPr>
        <w:t>1</w:t>
      </w:r>
      <w:r w:rsidR="0078773D" w:rsidRPr="00674204">
        <w:rPr>
          <w:bCs/>
          <w:lang w:val="en-US"/>
        </w:rPr>
        <w:t>a</w:t>
      </w:r>
      <w:r w:rsidR="006B61B5" w:rsidRPr="00674204">
        <w:rPr>
          <w:lang w:val="bg-BG"/>
        </w:rPr>
        <w:t>:</w:t>
      </w:r>
      <w:r w:rsidR="007326D4" w:rsidRPr="00674204">
        <w:rPr>
          <w:lang w:val="bg-BG"/>
        </w:rPr>
        <w:t xml:space="preserve"> </w:t>
      </w:r>
      <w:r w:rsidR="00E86B5B" w:rsidRPr="00674204">
        <w:rPr>
          <w:bCs/>
          <w:lang w:val="bg-BG"/>
        </w:rPr>
        <w:t>Единен европейски документ за обществени поръчки /ЕЕДОП/</w:t>
      </w:r>
      <w:r w:rsidR="00674204" w:rsidRPr="00674204">
        <w:rPr>
          <w:bCs/>
          <w:lang w:val="bg-BG"/>
        </w:rPr>
        <w:t xml:space="preserve"> по П</w:t>
      </w:r>
      <w:r w:rsidR="00A24D54" w:rsidRPr="00674204">
        <w:rPr>
          <w:bCs/>
          <w:lang w:val="bg-BG"/>
        </w:rPr>
        <w:t>озици</w:t>
      </w:r>
      <w:r w:rsidR="0078773D" w:rsidRPr="00674204">
        <w:rPr>
          <w:bCs/>
          <w:lang w:val="bg-BG"/>
        </w:rPr>
        <w:t>я</w:t>
      </w:r>
      <w:r w:rsidR="00A24D54" w:rsidRPr="00674204">
        <w:rPr>
          <w:bCs/>
          <w:lang w:val="bg-BG"/>
        </w:rPr>
        <w:t xml:space="preserve"> 1</w:t>
      </w:r>
      <w:r w:rsidR="00E86B5B" w:rsidRPr="00674204">
        <w:rPr>
          <w:bCs/>
          <w:lang w:val="bg-BG"/>
        </w:rPr>
        <w:t xml:space="preserve"> </w:t>
      </w:r>
    </w:p>
    <w:p w:rsidR="00674204" w:rsidRPr="00265E9F" w:rsidRDefault="0078773D" w:rsidP="00781FB5">
      <w:pPr>
        <w:numPr>
          <w:ilvl w:val="0"/>
          <w:numId w:val="4"/>
        </w:numPr>
        <w:jc w:val="both"/>
        <w:rPr>
          <w:lang w:val="bg-BG"/>
        </w:rPr>
      </w:pPr>
      <w:bookmarkStart w:id="0" w:name="OLE_LINK329"/>
      <w:bookmarkStart w:id="1" w:name="OLE_LINK330"/>
      <w:r w:rsidRPr="00674204">
        <w:rPr>
          <w:lang w:val="bg-BG"/>
        </w:rPr>
        <w:t xml:space="preserve">Образец </w:t>
      </w:r>
      <w:r w:rsidR="000875D3">
        <w:rPr>
          <w:bCs/>
          <w:lang w:val="bg-BG"/>
        </w:rPr>
        <w:t xml:space="preserve">№ </w:t>
      </w:r>
      <w:r w:rsidRPr="00674204">
        <w:rPr>
          <w:bCs/>
          <w:lang w:val="bg-BG"/>
        </w:rPr>
        <w:t>1б</w:t>
      </w:r>
      <w:r w:rsidRPr="00674204">
        <w:rPr>
          <w:lang w:val="bg-BG"/>
        </w:rPr>
        <w:t xml:space="preserve">: </w:t>
      </w:r>
      <w:r w:rsidRPr="00674204">
        <w:rPr>
          <w:bCs/>
          <w:lang w:val="bg-BG"/>
        </w:rPr>
        <w:t>Единен европейски документ за общест</w:t>
      </w:r>
      <w:r w:rsidR="00674204" w:rsidRPr="00674204">
        <w:rPr>
          <w:bCs/>
          <w:lang w:val="bg-BG"/>
        </w:rPr>
        <w:t>вени поръчки /ЕЕДОП/ по П</w:t>
      </w:r>
      <w:r w:rsidR="00265E9F">
        <w:rPr>
          <w:bCs/>
          <w:lang w:val="bg-BG"/>
        </w:rPr>
        <w:t>озиция 2</w:t>
      </w:r>
      <w:r w:rsidRPr="00674204">
        <w:rPr>
          <w:bCs/>
          <w:lang w:val="bg-BG"/>
        </w:rPr>
        <w:t xml:space="preserve"> </w:t>
      </w:r>
      <w:bookmarkEnd w:id="0"/>
      <w:bookmarkEnd w:id="1"/>
    </w:p>
    <w:p w:rsidR="007404A8" w:rsidRDefault="00265E9F" w:rsidP="00781FB5">
      <w:pPr>
        <w:numPr>
          <w:ilvl w:val="0"/>
          <w:numId w:val="4"/>
        </w:numPr>
        <w:jc w:val="both"/>
        <w:rPr>
          <w:lang w:val="bg-BG"/>
        </w:rPr>
      </w:pPr>
      <w:r w:rsidRPr="00674204">
        <w:rPr>
          <w:lang w:val="bg-BG"/>
        </w:rPr>
        <w:t xml:space="preserve">Образец </w:t>
      </w:r>
      <w:r>
        <w:rPr>
          <w:bCs/>
          <w:lang w:val="bg-BG"/>
        </w:rPr>
        <w:t>№ 1в</w:t>
      </w:r>
      <w:r w:rsidRPr="00674204">
        <w:rPr>
          <w:lang w:val="bg-BG"/>
        </w:rPr>
        <w:t xml:space="preserve">: </w:t>
      </w:r>
      <w:r w:rsidRPr="00674204">
        <w:rPr>
          <w:bCs/>
          <w:lang w:val="bg-BG"/>
        </w:rPr>
        <w:t>Единен европейски документ за обществени поръчки /ЕЕДОП/ по П</w:t>
      </w:r>
      <w:r>
        <w:rPr>
          <w:bCs/>
          <w:lang w:val="bg-BG"/>
        </w:rPr>
        <w:t>озиция 3</w:t>
      </w:r>
      <w:r w:rsidRPr="00674204">
        <w:rPr>
          <w:bCs/>
          <w:lang w:val="bg-BG"/>
        </w:rPr>
        <w:t xml:space="preserve"> </w:t>
      </w:r>
    </w:p>
    <w:p w:rsidR="007404A8" w:rsidRPr="007404A8" w:rsidRDefault="007404A8" w:rsidP="00781FB5">
      <w:pPr>
        <w:pStyle w:val="ListParagraph"/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Образец № 1г</w:t>
      </w:r>
      <w:r w:rsidRPr="007404A8">
        <w:rPr>
          <w:lang w:val="bg-BG"/>
        </w:rPr>
        <w:t>: Единен европейски документ за обществ</w:t>
      </w:r>
      <w:r>
        <w:rPr>
          <w:lang w:val="bg-BG"/>
        </w:rPr>
        <w:t>ени поръчки /ЕЕДОП/ по Позиция 4</w:t>
      </w:r>
      <w:r w:rsidRPr="007404A8">
        <w:rPr>
          <w:lang w:val="bg-BG"/>
        </w:rPr>
        <w:t xml:space="preserve"> </w:t>
      </w:r>
    </w:p>
    <w:p w:rsidR="007404A8" w:rsidRPr="007404A8" w:rsidRDefault="007404A8" w:rsidP="00781FB5">
      <w:pPr>
        <w:pStyle w:val="ListParagraph"/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Образец № 1д</w:t>
      </w:r>
      <w:r w:rsidRPr="007404A8">
        <w:rPr>
          <w:lang w:val="bg-BG"/>
        </w:rPr>
        <w:t>: Единен европейски документ за обществ</w:t>
      </w:r>
      <w:r>
        <w:rPr>
          <w:lang w:val="bg-BG"/>
        </w:rPr>
        <w:t>ени поръчки /ЕЕДОП/ по Позиция 5</w:t>
      </w:r>
      <w:r w:rsidRPr="007404A8">
        <w:rPr>
          <w:lang w:val="bg-BG"/>
        </w:rPr>
        <w:t xml:space="preserve"> </w:t>
      </w:r>
    </w:p>
    <w:p w:rsidR="007404A8" w:rsidRPr="007404A8" w:rsidRDefault="007404A8" w:rsidP="00590180">
      <w:pPr>
        <w:pStyle w:val="ListParagraph"/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Образец № 1е</w:t>
      </w:r>
      <w:r w:rsidRPr="007404A8">
        <w:rPr>
          <w:lang w:val="bg-BG"/>
        </w:rPr>
        <w:t>: Единен европейски документ за обществ</w:t>
      </w:r>
      <w:r>
        <w:rPr>
          <w:lang w:val="bg-BG"/>
        </w:rPr>
        <w:t>ени поръчки /ЕЕДОП/ по Позиция 6</w:t>
      </w:r>
      <w:r w:rsidRPr="007404A8">
        <w:rPr>
          <w:lang w:val="bg-BG"/>
        </w:rPr>
        <w:t xml:space="preserve"> </w:t>
      </w:r>
    </w:p>
    <w:p w:rsidR="00674204" w:rsidRDefault="0089111A" w:rsidP="00B33EAD">
      <w:pPr>
        <w:numPr>
          <w:ilvl w:val="0"/>
          <w:numId w:val="4"/>
        </w:numPr>
        <w:jc w:val="both"/>
        <w:rPr>
          <w:lang w:val="bg-BG"/>
        </w:rPr>
      </w:pPr>
      <w:r w:rsidRPr="00674204">
        <w:rPr>
          <w:bCs/>
          <w:color w:val="000000"/>
          <w:spacing w:val="2"/>
          <w:lang w:val="bg-BG"/>
        </w:rPr>
        <w:t>Об</w:t>
      </w:r>
      <w:r w:rsidR="00866697" w:rsidRPr="00674204">
        <w:rPr>
          <w:bCs/>
          <w:color w:val="000000"/>
          <w:spacing w:val="2"/>
          <w:lang w:val="bg-BG"/>
        </w:rPr>
        <w:t xml:space="preserve">разец </w:t>
      </w:r>
      <w:r w:rsidR="00BA566C">
        <w:rPr>
          <w:bCs/>
          <w:color w:val="000000"/>
          <w:spacing w:val="2"/>
          <w:lang w:val="bg-BG"/>
        </w:rPr>
        <w:t xml:space="preserve">№ 2а: </w:t>
      </w:r>
      <w:r w:rsidR="00866697" w:rsidRPr="00674204">
        <w:rPr>
          <w:bCs/>
          <w:color w:val="000000"/>
          <w:spacing w:val="2"/>
          <w:lang w:val="bg-BG"/>
        </w:rPr>
        <w:t>Техническо предложение</w:t>
      </w:r>
      <w:r w:rsidRPr="00674204">
        <w:rPr>
          <w:bCs/>
          <w:color w:val="000000"/>
          <w:spacing w:val="2"/>
          <w:lang w:val="bg-BG"/>
        </w:rPr>
        <w:t xml:space="preserve">, съдържащ се </w:t>
      </w:r>
      <w:r w:rsidR="00674204" w:rsidRPr="00674204">
        <w:rPr>
          <w:bCs/>
          <w:color w:val="000000"/>
          <w:spacing w:val="2"/>
          <w:lang w:val="bg-BG"/>
        </w:rPr>
        <w:t xml:space="preserve">и </w:t>
      </w:r>
      <w:r w:rsidRPr="00674204">
        <w:rPr>
          <w:bCs/>
          <w:color w:val="000000"/>
          <w:spacing w:val="2"/>
          <w:lang w:val="bg-BG"/>
        </w:rPr>
        <w:t xml:space="preserve">в СЕВОП за </w:t>
      </w:r>
      <w:r w:rsidR="00674204" w:rsidRPr="00674204">
        <w:rPr>
          <w:bCs/>
          <w:color w:val="000000"/>
          <w:spacing w:val="2"/>
          <w:lang w:val="bg-BG"/>
        </w:rPr>
        <w:t>П</w:t>
      </w:r>
      <w:r w:rsidRPr="00674204">
        <w:rPr>
          <w:bCs/>
          <w:color w:val="000000"/>
          <w:spacing w:val="2"/>
          <w:lang w:val="bg-BG"/>
        </w:rPr>
        <w:t>озиция</w:t>
      </w:r>
      <w:r w:rsidR="00674204" w:rsidRPr="00674204">
        <w:rPr>
          <w:bCs/>
          <w:color w:val="000000"/>
          <w:spacing w:val="2"/>
          <w:lang w:val="bg-BG"/>
        </w:rPr>
        <w:t xml:space="preserve"> 1</w:t>
      </w:r>
    </w:p>
    <w:p w:rsidR="00674204" w:rsidRPr="00161D38" w:rsidRDefault="00BA566C" w:rsidP="00B33EAD">
      <w:pPr>
        <w:numPr>
          <w:ilvl w:val="0"/>
          <w:numId w:val="4"/>
        </w:numPr>
        <w:jc w:val="both"/>
        <w:rPr>
          <w:lang w:val="bg-BG"/>
        </w:rPr>
      </w:pPr>
      <w:r>
        <w:rPr>
          <w:bCs/>
          <w:color w:val="000000"/>
          <w:spacing w:val="2"/>
          <w:lang w:val="bg-BG"/>
        </w:rPr>
        <w:t xml:space="preserve">Образец № 2б: </w:t>
      </w:r>
      <w:r w:rsidR="00674204" w:rsidRPr="00674204">
        <w:rPr>
          <w:bCs/>
          <w:color w:val="000000"/>
          <w:spacing w:val="2"/>
          <w:lang w:val="bg-BG"/>
        </w:rPr>
        <w:t>Техническо предложение, съдържащ се и в СЕВОП за Позиция 2</w:t>
      </w:r>
    </w:p>
    <w:p w:rsidR="00161D38" w:rsidRPr="00781FB5" w:rsidRDefault="00161D38" w:rsidP="00B33EAD">
      <w:pPr>
        <w:numPr>
          <w:ilvl w:val="0"/>
          <w:numId w:val="4"/>
        </w:numPr>
        <w:jc w:val="both"/>
        <w:rPr>
          <w:lang w:val="bg-BG"/>
        </w:rPr>
      </w:pPr>
      <w:r>
        <w:rPr>
          <w:bCs/>
          <w:color w:val="000000"/>
          <w:spacing w:val="2"/>
          <w:lang w:val="bg-BG"/>
        </w:rPr>
        <w:t>Образец № 2в: Техническо предложение, съдържащ се в СЕВОП за Позиция 3</w:t>
      </w:r>
    </w:p>
    <w:p w:rsidR="00781FB5" w:rsidRPr="00781FB5" w:rsidRDefault="00781FB5" w:rsidP="00B33EAD">
      <w:pPr>
        <w:pStyle w:val="ListParagraph"/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Образец № 2г</w:t>
      </w:r>
      <w:r w:rsidRPr="00781FB5">
        <w:rPr>
          <w:lang w:val="bg-BG"/>
        </w:rPr>
        <w:t xml:space="preserve">: Техническо предложение, </w:t>
      </w:r>
      <w:r>
        <w:rPr>
          <w:lang w:val="bg-BG"/>
        </w:rPr>
        <w:t>съдържащ се в СЕВОП за Позиция 4</w:t>
      </w:r>
    </w:p>
    <w:p w:rsidR="00781FB5" w:rsidRPr="00781FB5" w:rsidRDefault="00781FB5" w:rsidP="00B33EAD">
      <w:pPr>
        <w:pStyle w:val="ListParagraph"/>
        <w:numPr>
          <w:ilvl w:val="0"/>
          <w:numId w:val="4"/>
        </w:numPr>
        <w:jc w:val="both"/>
        <w:rPr>
          <w:lang w:val="bg-BG"/>
        </w:rPr>
      </w:pPr>
      <w:r w:rsidRPr="00781FB5">
        <w:rPr>
          <w:lang w:val="bg-BG"/>
        </w:rPr>
        <w:t xml:space="preserve">Образец № </w:t>
      </w:r>
      <w:r>
        <w:rPr>
          <w:lang w:val="bg-BG"/>
        </w:rPr>
        <w:t>2д</w:t>
      </w:r>
      <w:r w:rsidRPr="00781FB5">
        <w:rPr>
          <w:lang w:val="bg-BG"/>
        </w:rPr>
        <w:t xml:space="preserve">: Техническо предложение, </w:t>
      </w:r>
      <w:r>
        <w:rPr>
          <w:lang w:val="bg-BG"/>
        </w:rPr>
        <w:t>съдържащ се в СЕВОП за Позиция 5</w:t>
      </w:r>
    </w:p>
    <w:p w:rsidR="00781FB5" w:rsidRPr="003B0AB5" w:rsidRDefault="00590180" w:rsidP="003B0AB5">
      <w:pPr>
        <w:pStyle w:val="ListParagraph"/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lastRenderedPageBreak/>
        <w:t>Образец № 2е</w:t>
      </w:r>
      <w:r w:rsidRPr="00590180">
        <w:rPr>
          <w:lang w:val="bg-BG"/>
        </w:rPr>
        <w:t xml:space="preserve">: Техническо предложение, </w:t>
      </w:r>
      <w:r>
        <w:rPr>
          <w:lang w:val="bg-BG"/>
        </w:rPr>
        <w:t>съдържащ се в СЕВОП за Позиция 6</w:t>
      </w:r>
    </w:p>
    <w:p w:rsidR="00674204" w:rsidRPr="00674204" w:rsidRDefault="0089111A" w:rsidP="00590180">
      <w:pPr>
        <w:numPr>
          <w:ilvl w:val="0"/>
          <w:numId w:val="4"/>
        </w:numPr>
        <w:jc w:val="both"/>
        <w:rPr>
          <w:lang w:val="bg-BG"/>
        </w:rPr>
      </w:pPr>
      <w:r w:rsidRPr="00674204">
        <w:rPr>
          <w:bCs/>
          <w:color w:val="000000"/>
          <w:spacing w:val="2"/>
          <w:lang w:val="bg-BG"/>
        </w:rPr>
        <w:t>Образц</w:t>
      </w:r>
      <w:r w:rsidR="00674204" w:rsidRPr="00674204">
        <w:rPr>
          <w:bCs/>
          <w:color w:val="000000"/>
          <w:spacing w:val="2"/>
          <w:lang w:val="bg-BG"/>
        </w:rPr>
        <w:t>и</w:t>
      </w:r>
      <w:r w:rsidRPr="00674204">
        <w:rPr>
          <w:bCs/>
          <w:color w:val="000000"/>
          <w:spacing w:val="2"/>
          <w:lang w:val="bg-BG"/>
        </w:rPr>
        <w:t xml:space="preserve"> на Ценов</w:t>
      </w:r>
      <w:r w:rsidR="00866697" w:rsidRPr="00674204">
        <w:rPr>
          <w:bCs/>
          <w:color w:val="000000"/>
          <w:spacing w:val="2"/>
          <w:lang w:val="bg-BG"/>
        </w:rPr>
        <w:t>о предложение, съдържащ</w:t>
      </w:r>
      <w:r w:rsidR="00674204" w:rsidRPr="00674204">
        <w:rPr>
          <w:bCs/>
          <w:color w:val="000000"/>
          <w:spacing w:val="2"/>
          <w:lang w:val="bg-BG"/>
        </w:rPr>
        <w:t>и</w:t>
      </w:r>
      <w:r w:rsidRPr="00674204">
        <w:rPr>
          <w:bCs/>
          <w:color w:val="000000"/>
          <w:spacing w:val="2"/>
          <w:lang w:val="bg-BG"/>
        </w:rPr>
        <w:t xml:space="preserve"> </w:t>
      </w:r>
      <w:r w:rsidR="00265E9F">
        <w:rPr>
          <w:bCs/>
          <w:color w:val="000000"/>
          <w:spacing w:val="2"/>
          <w:lang w:val="bg-BG"/>
        </w:rPr>
        <w:t>се в СЕВОП – за всяка обособена позиция</w:t>
      </w:r>
    </w:p>
    <w:p w:rsidR="00674204" w:rsidRPr="00674204" w:rsidRDefault="00674204" w:rsidP="00590180">
      <w:pPr>
        <w:numPr>
          <w:ilvl w:val="0"/>
          <w:numId w:val="4"/>
        </w:numPr>
        <w:jc w:val="both"/>
        <w:rPr>
          <w:lang w:val="bg-BG"/>
        </w:rPr>
      </w:pPr>
      <w:r w:rsidRPr="00674204">
        <w:rPr>
          <w:bCs/>
          <w:color w:val="000000"/>
          <w:spacing w:val="2"/>
          <w:lang w:val="bg-BG"/>
        </w:rPr>
        <w:t xml:space="preserve">Образец № </w:t>
      </w:r>
      <w:r w:rsidR="00BA566C">
        <w:rPr>
          <w:bCs/>
          <w:color w:val="000000"/>
          <w:spacing w:val="2"/>
          <w:lang w:val="bg-BG"/>
        </w:rPr>
        <w:t>3</w:t>
      </w:r>
      <w:r w:rsidRPr="00674204">
        <w:rPr>
          <w:bCs/>
          <w:color w:val="000000"/>
          <w:spacing w:val="2"/>
          <w:lang w:val="bg-BG"/>
        </w:rPr>
        <w:t>: Образец на рамково споразумение</w:t>
      </w:r>
      <w:r w:rsidR="009E597E">
        <w:rPr>
          <w:lang w:val="en-US"/>
        </w:rPr>
        <w:t xml:space="preserve"> – </w:t>
      </w:r>
      <w:r w:rsidR="009E597E">
        <w:rPr>
          <w:lang w:val="bg-BG"/>
        </w:rPr>
        <w:t>за всички обособени позиции</w:t>
      </w:r>
    </w:p>
    <w:p w:rsidR="00674204" w:rsidRPr="008A1C1D" w:rsidRDefault="000875D3" w:rsidP="00590180">
      <w:pPr>
        <w:numPr>
          <w:ilvl w:val="0"/>
          <w:numId w:val="4"/>
        </w:numPr>
        <w:jc w:val="both"/>
        <w:rPr>
          <w:lang w:val="bg-BG"/>
        </w:rPr>
      </w:pPr>
      <w:r w:rsidRPr="000875D3">
        <w:rPr>
          <w:lang w:val="bg-BG"/>
        </w:rPr>
        <w:t>Образец</w:t>
      </w:r>
      <w:r w:rsidR="00161D38">
        <w:rPr>
          <w:lang w:val="bg-BG"/>
        </w:rPr>
        <w:t xml:space="preserve"> № 4</w:t>
      </w:r>
      <w:r w:rsidR="00BA566C">
        <w:rPr>
          <w:lang w:val="bg-BG"/>
        </w:rPr>
        <w:t>: Покана по чл.82, ал.</w:t>
      </w:r>
      <w:r w:rsidRPr="000875D3">
        <w:rPr>
          <w:lang w:val="bg-BG"/>
        </w:rPr>
        <w:t>4 от ЗОП</w:t>
      </w:r>
    </w:p>
    <w:p w:rsidR="008A1C1D" w:rsidRDefault="008A1C1D" w:rsidP="00590180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Образец № 5: Проект на договор</w:t>
      </w:r>
    </w:p>
    <w:p w:rsidR="00CB010B" w:rsidRDefault="00CB010B" w:rsidP="00590180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Образец декларация ЗМИП</w:t>
      </w:r>
    </w:p>
    <w:p w:rsidR="00CB010B" w:rsidRPr="00674204" w:rsidRDefault="00CB010B" w:rsidP="00590180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Образец декларация ЗПКОНПИ</w:t>
      </w:r>
    </w:p>
    <w:p w:rsidR="00B079F7" w:rsidRPr="00893614" w:rsidRDefault="00B079F7" w:rsidP="00B079F7">
      <w:pPr>
        <w:spacing w:line="360" w:lineRule="auto"/>
        <w:jc w:val="both"/>
        <w:rPr>
          <w:bCs/>
          <w:color w:val="000000"/>
          <w:spacing w:val="2"/>
          <w:lang w:val="en-US"/>
        </w:rPr>
      </w:pPr>
      <w:bookmarkStart w:id="2" w:name="_GoBack"/>
      <w:bookmarkEnd w:id="2"/>
    </w:p>
    <w:p w:rsidR="00B079F7" w:rsidRDefault="00B079F7" w:rsidP="00B079F7">
      <w:pPr>
        <w:spacing w:line="360" w:lineRule="auto"/>
        <w:jc w:val="both"/>
        <w:rPr>
          <w:bCs/>
          <w:color w:val="000000"/>
          <w:spacing w:val="2"/>
          <w:lang w:val="bg-BG"/>
        </w:rPr>
      </w:pPr>
    </w:p>
    <w:sectPr w:rsidR="00B079F7" w:rsidSect="00B079F7">
      <w:pgSz w:w="11906" w:h="16838"/>
      <w:pgMar w:top="709" w:right="1133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3063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81D2C69"/>
    <w:multiLevelType w:val="hybridMultilevel"/>
    <w:tmpl w:val="4C34E4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CD2F39"/>
    <w:multiLevelType w:val="hybridMultilevel"/>
    <w:tmpl w:val="4A7003D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B2A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E2400F5"/>
    <w:multiLevelType w:val="hybridMultilevel"/>
    <w:tmpl w:val="AA8655F0"/>
    <w:lvl w:ilvl="0" w:tplc="33FE1C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FA"/>
    <w:rsid w:val="000036E1"/>
    <w:rsid w:val="00067781"/>
    <w:rsid w:val="00070515"/>
    <w:rsid w:val="0008452D"/>
    <w:rsid w:val="00085F9E"/>
    <w:rsid w:val="000875D3"/>
    <w:rsid w:val="00093920"/>
    <w:rsid w:val="0009444C"/>
    <w:rsid w:val="000A0477"/>
    <w:rsid w:val="000A1F72"/>
    <w:rsid w:val="000B2880"/>
    <w:rsid w:val="000B31BA"/>
    <w:rsid w:val="000C2689"/>
    <w:rsid w:val="000C49E4"/>
    <w:rsid w:val="000D3941"/>
    <w:rsid w:val="000D7A68"/>
    <w:rsid w:val="000E07C4"/>
    <w:rsid w:val="000E3D51"/>
    <w:rsid w:val="000E607B"/>
    <w:rsid w:val="00110B90"/>
    <w:rsid w:val="00113077"/>
    <w:rsid w:val="00121737"/>
    <w:rsid w:val="00143CF3"/>
    <w:rsid w:val="00161D38"/>
    <w:rsid w:val="0016243A"/>
    <w:rsid w:val="001757F2"/>
    <w:rsid w:val="00181CE8"/>
    <w:rsid w:val="001B1D4F"/>
    <w:rsid w:val="001C1E9B"/>
    <w:rsid w:val="001C6229"/>
    <w:rsid w:val="001F53AE"/>
    <w:rsid w:val="001F5DF0"/>
    <w:rsid w:val="00212AD8"/>
    <w:rsid w:val="002204F0"/>
    <w:rsid w:val="002221F8"/>
    <w:rsid w:val="0025509E"/>
    <w:rsid w:val="00265E9F"/>
    <w:rsid w:val="00271ED8"/>
    <w:rsid w:val="002749C9"/>
    <w:rsid w:val="002813B1"/>
    <w:rsid w:val="002824DB"/>
    <w:rsid w:val="002926D3"/>
    <w:rsid w:val="00297B2D"/>
    <w:rsid w:val="002A3F9D"/>
    <w:rsid w:val="002E0F89"/>
    <w:rsid w:val="002E68FD"/>
    <w:rsid w:val="002F5D65"/>
    <w:rsid w:val="002F68E1"/>
    <w:rsid w:val="00324488"/>
    <w:rsid w:val="0034552B"/>
    <w:rsid w:val="00357B79"/>
    <w:rsid w:val="00383340"/>
    <w:rsid w:val="00394B97"/>
    <w:rsid w:val="00397F81"/>
    <w:rsid w:val="003A0BEB"/>
    <w:rsid w:val="003B0AB5"/>
    <w:rsid w:val="003B0F15"/>
    <w:rsid w:val="003B4A3F"/>
    <w:rsid w:val="00410C55"/>
    <w:rsid w:val="00420D8C"/>
    <w:rsid w:val="004322D9"/>
    <w:rsid w:val="004532A9"/>
    <w:rsid w:val="004547A0"/>
    <w:rsid w:val="004600EA"/>
    <w:rsid w:val="004956DE"/>
    <w:rsid w:val="004D6AAB"/>
    <w:rsid w:val="004E260F"/>
    <w:rsid w:val="004F4624"/>
    <w:rsid w:val="005022A5"/>
    <w:rsid w:val="00516FB5"/>
    <w:rsid w:val="0053492D"/>
    <w:rsid w:val="00537005"/>
    <w:rsid w:val="00555A35"/>
    <w:rsid w:val="0056021B"/>
    <w:rsid w:val="00560AED"/>
    <w:rsid w:val="00565DF0"/>
    <w:rsid w:val="00566FF3"/>
    <w:rsid w:val="005834BF"/>
    <w:rsid w:val="00590180"/>
    <w:rsid w:val="005B7091"/>
    <w:rsid w:val="005D314F"/>
    <w:rsid w:val="005E276E"/>
    <w:rsid w:val="005F137D"/>
    <w:rsid w:val="00605BB8"/>
    <w:rsid w:val="00624587"/>
    <w:rsid w:val="00631393"/>
    <w:rsid w:val="00655279"/>
    <w:rsid w:val="00674204"/>
    <w:rsid w:val="00695952"/>
    <w:rsid w:val="006B540E"/>
    <w:rsid w:val="006B61B5"/>
    <w:rsid w:val="006C45F3"/>
    <w:rsid w:val="00701C7B"/>
    <w:rsid w:val="00702321"/>
    <w:rsid w:val="007052A4"/>
    <w:rsid w:val="00706F51"/>
    <w:rsid w:val="007217A0"/>
    <w:rsid w:val="007274BF"/>
    <w:rsid w:val="007326D4"/>
    <w:rsid w:val="00732D68"/>
    <w:rsid w:val="007404A8"/>
    <w:rsid w:val="00757B4B"/>
    <w:rsid w:val="00762570"/>
    <w:rsid w:val="007729D7"/>
    <w:rsid w:val="00781FB5"/>
    <w:rsid w:val="00783020"/>
    <w:rsid w:val="0078773D"/>
    <w:rsid w:val="00797B12"/>
    <w:rsid w:val="007A1590"/>
    <w:rsid w:val="007B3A73"/>
    <w:rsid w:val="007B4D0C"/>
    <w:rsid w:val="007B7156"/>
    <w:rsid w:val="007C3AB2"/>
    <w:rsid w:val="007D3113"/>
    <w:rsid w:val="007F43D0"/>
    <w:rsid w:val="008137D8"/>
    <w:rsid w:val="00860AAA"/>
    <w:rsid w:val="00866697"/>
    <w:rsid w:val="00886BA5"/>
    <w:rsid w:val="0089111A"/>
    <w:rsid w:val="008920CA"/>
    <w:rsid w:val="00893614"/>
    <w:rsid w:val="008A1C1D"/>
    <w:rsid w:val="008A468E"/>
    <w:rsid w:val="008A66BE"/>
    <w:rsid w:val="008C48A9"/>
    <w:rsid w:val="008C582F"/>
    <w:rsid w:val="008E4627"/>
    <w:rsid w:val="008E6830"/>
    <w:rsid w:val="008E7E47"/>
    <w:rsid w:val="009007A5"/>
    <w:rsid w:val="0091473F"/>
    <w:rsid w:val="0091763F"/>
    <w:rsid w:val="009235E8"/>
    <w:rsid w:val="00924754"/>
    <w:rsid w:val="0092676E"/>
    <w:rsid w:val="00930697"/>
    <w:rsid w:val="009357F8"/>
    <w:rsid w:val="00937962"/>
    <w:rsid w:val="00963A00"/>
    <w:rsid w:val="00964FDE"/>
    <w:rsid w:val="00990252"/>
    <w:rsid w:val="009A29FA"/>
    <w:rsid w:val="009A2AEB"/>
    <w:rsid w:val="009A3B1A"/>
    <w:rsid w:val="009A5B65"/>
    <w:rsid w:val="009C4F75"/>
    <w:rsid w:val="009D3DC1"/>
    <w:rsid w:val="009E432E"/>
    <w:rsid w:val="009E597E"/>
    <w:rsid w:val="00A0536F"/>
    <w:rsid w:val="00A1310C"/>
    <w:rsid w:val="00A2252E"/>
    <w:rsid w:val="00A2379B"/>
    <w:rsid w:val="00A24D54"/>
    <w:rsid w:val="00A30E5D"/>
    <w:rsid w:val="00A3163C"/>
    <w:rsid w:val="00A36E60"/>
    <w:rsid w:val="00A439B8"/>
    <w:rsid w:val="00A506F9"/>
    <w:rsid w:val="00A62492"/>
    <w:rsid w:val="00A72523"/>
    <w:rsid w:val="00AB1E18"/>
    <w:rsid w:val="00AC4062"/>
    <w:rsid w:val="00AE0463"/>
    <w:rsid w:val="00AF22FB"/>
    <w:rsid w:val="00B079F7"/>
    <w:rsid w:val="00B12CD8"/>
    <w:rsid w:val="00B14CD0"/>
    <w:rsid w:val="00B15E96"/>
    <w:rsid w:val="00B164A6"/>
    <w:rsid w:val="00B33EAD"/>
    <w:rsid w:val="00B63434"/>
    <w:rsid w:val="00B6458F"/>
    <w:rsid w:val="00B8694A"/>
    <w:rsid w:val="00B97F29"/>
    <w:rsid w:val="00BA566C"/>
    <w:rsid w:val="00C0021D"/>
    <w:rsid w:val="00C149AC"/>
    <w:rsid w:val="00C14DC7"/>
    <w:rsid w:val="00C209EF"/>
    <w:rsid w:val="00C50ECD"/>
    <w:rsid w:val="00C523FA"/>
    <w:rsid w:val="00C70392"/>
    <w:rsid w:val="00C807BA"/>
    <w:rsid w:val="00C8124E"/>
    <w:rsid w:val="00C93FF6"/>
    <w:rsid w:val="00C97999"/>
    <w:rsid w:val="00CB010B"/>
    <w:rsid w:val="00CC4204"/>
    <w:rsid w:val="00CD0DC5"/>
    <w:rsid w:val="00CD1CF4"/>
    <w:rsid w:val="00CD68BC"/>
    <w:rsid w:val="00CD7892"/>
    <w:rsid w:val="00CE3072"/>
    <w:rsid w:val="00CF2719"/>
    <w:rsid w:val="00D0234B"/>
    <w:rsid w:val="00D07650"/>
    <w:rsid w:val="00D11D53"/>
    <w:rsid w:val="00D230BF"/>
    <w:rsid w:val="00D517FF"/>
    <w:rsid w:val="00D64AE9"/>
    <w:rsid w:val="00D7760E"/>
    <w:rsid w:val="00D86838"/>
    <w:rsid w:val="00D87B3A"/>
    <w:rsid w:val="00DD1E1A"/>
    <w:rsid w:val="00E07894"/>
    <w:rsid w:val="00E13383"/>
    <w:rsid w:val="00E1671D"/>
    <w:rsid w:val="00E22683"/>
    <w:rsid w:val="00E373BC"/>
    <w:rsid w:val="00E62ED2"/>
    <w:rsid w:val="00E7622F"/>
    <w:rsid w:val="00E86B5B"/>
    <w:rsid w:val="00E905D0"/>
    <w:rsid w:val="00EA2528"/>
    <w:rsid w:val="00EB07FF"/>
    <w:rsid w:val="00EC0EE3"/>
    <w:rsid w:val="00ED0AC5"/>
    <w:rsid w:val="00EE231C"/>
    <w:rsid w:val="00EE5669"/>
    <w:rsid w:val="00EE60AB"/>
    <w:rsid w:val="00F05F0E"/>
    <w:rsid w:val="00F16BDF"/>
    <w:rsid w:val="00F52996"/>
    <w:rsid w:val="00F75972"/>
    <w:rsid w:val="00FC464D"/>
    <w:rsid w:val="00FD672C"/>
    <w:rsid w:val="00FE46A1"/>
    <w:rsid w:val="00FF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024E21-71D6-46C9-96FD-33E61F24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ookman Old Style" w:hAnsi="Bookman Old Style" w:cs="Tahoma"/>
      <w:b/>
      <w:bCs/>
      <w:sz w:val="36"/>
      <w:lang w:val="bg-BG"/>
    </w:rPr>
  </w:style>
  <w:style w:type="paragraph" w:styleId="BodyText2">
    <w:name w:val="Body Text 2"/>
    <w:basedOn w:val="Normal"/>
    <w:rsid w:val="00A506F9"/>
    <w:pPr>
      <w:spacing w:after="120" w:line="480" w:lineRule="auto"/>
    </w:pPr>
  </w:style>
  <w:style w:type="paragraph" w:styleId="Footer">
    <w:name w:val="footer"/>
    <w:basedOn w:val="Normal"/>
    <w:rsid w:val="00732D68"/>
    <w:pPr>
      <w:tabs>
        <w:tab w:val="center" w:pos="4153"/>
        <w:tab w:val="right" w:pos="8306"/>
      </w:tabs>
    </w:pPr>
    <w:rPr>
      <w:rFonts w:ascii="Tahoma" w:hAnsi="Tahoma"/>
      <w:szCs w:val="20"/>
      <w:lang w:val="en-AU"/>
    </w:rPr>
  </w:style>
  <w:style w:type="paragraph" w:customStyle="1" w:styleId="CharCharCharChar">
    <w:name w:val="Char Char Char Char"/>
    <w:basedOn w:val="Normal"/>
    <w:rsid w:val="00410C5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3">
    <w:name w:val="Body Text Indent 3"/>
    <w:basedOn w:val="Normal"/>
    <w:rsid w:val="009A2AEB"/>
    <w:pPr>
      <w:spacing w:after="120"/>
      <w:ind w:left="283"/>
    </w:pPr>
    <w:rPr>
      <w:sz w:val="16"/>
      <w:szCs w:val="16"/>
    </w:rPr>
  </w:style>
  <w:style w:type="paragraph" w:styleId="Header">
    <w:name w:val="header"/>
    <w:basedOn w:val="Normal"/>
    <w:rsid w:val="00655279"/>
    <w:pPr>
      <w:tabs>
        <w:tab w:val="center" w:pos="4153"/>
        <w:tab w:val="right" w:pos="8306"/>
      </w:tabs>
    </w:pPr>
    <w:rPr>
      <w:rFonts w:ascii="Tahoma" w:hAnsi="Tahoma"/>
      <w:szCs w:val="20"/>
      <w:lang w:val="en-AU"/>
    </w:rPr>
  </w:style>
  <w:style w:type="paragraph" w:customStyle="1" w:styleId="CharCharCharCharCharChar">
    <w:name w:val="Char Char Char Char Char Char"/>
    <w:basedOn w:val="Normal"/>
    <w:rsid w:val="00F759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rsid w:val="00C523F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0C2689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4D6AAB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3">
    <w:name w:val="Body Text 3"/>
    <w:basedOn w:val="Normal"/>
    <w:link w:val="BodyText3Char"/>
    <w:rsid w:val="00B079F7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B079F7"/>
    <w:rPr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40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СЪДЪРЖАНИЕ</vt:lpstr>
    </vt:vector>
  </TitlesOfParts>
  <Company>MoF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СЪДЪРЖАНИЕ</dc:title>
  <dc:creator>EGiurova</dc:creator>
  <cp:lastModifiedBy>Евгения Такева</cp:lastModifiedBy>
  <cp:revision>9</cp:revision>
  <cp:lastPrinted>2013-02-04T09:30:00Z</cp:lastPrinted>
  <dcterms:created xsi:type="dcterms:W3CDTF">2016-11-16T09:24:00Z</dcterms:created>
  <dcterms:modified xsi:type="dcterms:W3CDTF">2018-08-31T08:30:00Z</dcterms:modified>
</cp:coreProperties>
</file>