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31" w:rsidRPr="0020088D" w:rsidRDefault="003D0231" w:rsidP="00161F04">
      <w:pPr>
        <w:rPr>
          <w:lang w:val="bg-BG"/>
        </w:rPr>
      </w:pPr>
    </w:p>
    <w:p w:rsidR="003D0231" w:rsidRPr="0020088D" w:rsidRDefault="003D0231" w:rsidP="00161F04">
      <w:pPr>
        <w:rPr>
          <w:lang w:val="bg-BG"/>
        </w:rPr>
      </w:pPr>
    </w:p>
    <w:p w:rsidR="00161F04" w:rsidRPr="0020088D" w:rsidRDefault="00161F04" w:rsidP="00161F04">
      <w:pPr>
        <w:rPr>
          <w:lang w:val="bg-BG"/>
        </w:rPr>
      </w:pPr>
    </w:p>
    <w:p w:rsidR="00161F04" w:rsidRPr="0020088D" w:rsidRDefault="00161F04" w:rsidP="00161F04">
      <w:pPr>
        <w:rPr>
          <w:lang w:val="bg-BG"/>
        </w:rPr>
      </w:pPr>
    </w:p>
    <w:p w:rsidR="00161F04" w:rsidRPr="0020088D" w:rsidRDefault="00161F04" w:rsidP="00161F04">
      <w:pPr>
        <w:rPr>
          <w:lang w:val="bg-BG"/>
        </w:rPr>
      </w:pPr>
    </w:p>
    <w:p w:rsidR="00161F04" w:rsidRPr="0020088D" w:rsidRDefault="00161F04" w:rsidP="00161F04">
      <w:pPr>
        <w:rPr>
          <w:lang w:val="bg-BG"/>
        </w:rPr>
      </w:pPr>
    </w:p>
    <w:p w:rsidR="00161F04" w:rsidRPr="0020088D" w:rsidRDefault="00161F04" w:rsidP="00161F04">
      <w:pPr>
        <w:rPr>
          <w:lang w:val="bg-BG"/>
        </w:rPr>
      </w:pPr>
    </w:p>
    <w:p w:rsidR="00161F04" w:rsidRPr="0020088D" w:rsidRDefault="00161F04" w:rsidP="00161F04">
      <w:pPr>
        <w:rPr>
          <w:lang w:val="bg-BG"/>
        </w:rPr>
      </w:pPr>
    </w:p>
    <w:p w:rsidR="00161F04" w:rsidRPr="0020088D" w:rsidRDefault="00161F04" w:rsidP="00161F04">
      <w:pPr>
        <w:rPr>
          <w:lang w:val="bg-BG"/>
        </w:rPr>
      </w:pPr>
    </w:p>
    <w:p w:rsidR="00161F04" w:rsidRPr="0020088D" w:rsidRDefault="00161F04" w:rsidP="00161F04">
      <w:pPr>
        <w:rPr>
          <w:lang w:val="bg-BG"/>
        </w:rPr>
      </w:pPr>
    </w:p>
    <w:p w:rsidR="00161F04" w:rsidRPr="0020088D" w:rsidRDefault="00161F04" w:rsidP="00161F04">
      <w:pPr>
        <w:rPr>
          <w:lang w:val="bg-BG"/>
        </w:rPr>
      </w:pPr>
    </w:p>
    <w:p w:rsidR="00161F04" w:rsidRPr="0020088D" w:rsidRDefault="00161F04" w:rsidP="00161F04">
      <w:pPr>
        <w:rPr>
          <w:lang w:val="bg-BG"/>
        </w:rPr>
      </w:pPr>
    </w:p>
    <w:p w:rsidR="00161F04" w:rsidRPr="0020088D" w:rsidRDefault="00161F04" w:rsidP="00161F04">
      <w:pPr>
        <w:rPr>
          <w:lang w:val="bg-BG"/>
        </w:rPr>
      </w:pPr>
    </w:p>
    <w:p w:rsidR="00161F04" w:rsidRPr="0020088D" w:rsidRDefault="00161F04" w:rsidP="00161F04">
      <w:pPr>
        <w:rPr>
          <w:lang w:val="bg-BG"/>
        </w:rPr>
      </w:pPr>
    </w:p>
    <w:p w:rsidR="00161F04" w:rsidRPr="0020088D" w:rsidRDefault="00161F04" w:rsidP="00161F04">
      <w:pPr>
        <w:rPr>
          <w:lang w:val="bg-BG"/>
        </w:rPr>
      </w:pPr>
    </w:p>
    <w:p w:rsidR="00161F04" w:rsidRPr="0020088D" w:rsidRDefault="00161F04" w:rsidP="00161F04">
      <w:pPr>
        <w:rPr>
          <w:lang w:val="bg-BG"/>
        </w:rPr>
      </w:pPr>
    </w:p>
    <w:p w:rsidR="008137D0" w:rsidRPr="0020088D" w:rsidRDefault="00320E18" w:rsidP="008137D0">
      <w:pPr>
        <w:jc w:val="center"/>
        <w:rPr>
          <w:rFonts w:ascii="Times New Roman Bold" w:hAnsi="Times New Roman Bold"/>
          <w:b/>
          <w:caps/>
          <w:lang w:val="bg-BG"/>
        </w:rPr>
      </w:pPr>
      <w:r w:rsidRPr="0020088D">
        <w:rPr>
          <w:b/>
          <w:caps/>
          <w:lang w:val="bg-BG"/>
        </w:rPr>
        <w:t xml:space="preserve">АНКЕТНО ПРОУЧВАНЕ НА ОИСР </w:t>
      </w:r>
      <w:r w:rsidR="00DB4E8D" w:rsidRPr="0020088D">
        <w:rPr>
          <w:b/>
          <w:caps/>
          <w:lang w:val="bg-BG"/>
        </w:rPr>
        <w:t xml:space="preserve">ОТНОСНО </w:t>
      </w:r>
      <w:r w:rsidRPr="0020088D">
        <w:rPr>
          <w:b/>
          <w:caps/>
          <w:lang w:val="bg-BG"/>
        </w:rPr>
        <w:t>корпоративното управление на държавни</w:t>
      </w:r>
      <w:r w:rsidR="00110169" w:rsidRPr="0020088D">
        <w:rPr>
          <w:b/>
          <w:caps/>
          <w:lang w:val="bg-BG"/>
        </w:rPr>
        <w:t>ТЕ</w:t>
      </w:r>
      <w:r w:rsidRPr="0020088D">
        <w:rPr>
          <w:b/>
          <w:caps/>
          <w:lang w:val="bg-BG"/>
        </w:rPr>
        <w:t xml:space="preserve"> предприятия </w:t>
      </w:r>
    </w:p>
    <w:p w:rsidR="003D0231" w:rsidRPr="0020088D" w:rsidRDefault="00110169" w:rsidP="008137D0">
      <w:pPr>
        <w:jc w:val="center"/>
        <w:rPr>
          <w:b/>
          <w:caps/>
          <w:lang w:val="bg-BG"/>
        </w:rPr>
      </w:pPr>
      <w:r w:rsidRPr="0020088D">
        <w:rPr>
          <w:b/>
          <w:caps/>
          <w:lang w:val="bg-BG"/>
        </w:rPr>
        <w:t xml:space="preserve">въпросник  част 1 от </w:t>
      </w:r>
      <w:r w:rsidR="003D0231" w:rsidRPr="0020088D">
        <w:rPr>
          <w:b/>
          <w:caps/>
          <w:lang w:val="bg-BG"/>
        </w:rPr>
        <w:t xml:space="preserve">2: </w:t>
      </w:r>
      <w:r w:rsidRPr="0020088D">
        <w:rPr>
          <w:b/>
          <w:caps/>
          <w:lang w:val="bg-BG"/>
        </w:rPr>
        <w:t>данни, описващи сектора на държавните предприятия</w:t>
      </w:r>
    </w:p>
    <w:p w:rsidR="008137D0" w:rsidRPr="0020088D" w:rsidRDefault="008137D0" w:rsidP="008137D0">
      <w:pPr>
        <w:rPr>
          <w:lang w:val="bg-BG"/>
        </w:rPr>
      </w:pPr>
    </w:p>
    <w:p w:rsidR="00B438EE" w:rsidRPr="0020088D" w:rsidRDefault="00B438EE" w:rsidP="008137D0">
      <w:pPr>
        <w:rPr>
          <w:lang w:val="bg-BG"/>
        </w:rPr>
      </w:pPr>
    </w:p>
    <w:tbl>
      <w:tblPr>
        <w:tblStyle w:val="TableGrid"/>
        <w:tblW w:w="0" w:type="auto"/>
        <w:tblLook w:val="04A0" w:firstRow="1" w:lastRow="0" w:firstColumn="1" w:lastColumn="0" w:noHBand="0" w:noVBand="1"/>
      </w:tblPr>
      <w:tblGrid>
        <w:gridCol w:w="9684"/>
      </w:tblGrid>
      <w:tr w:rsidR="003D0231" w:rsidRPr="0020088D" w:rsidTr="00C34EE7">
        <w:tc>
          <w:tcPr>
            <w:tcW w:w="9684" w:type="dxa"/>
          </w:tcPr>
          <w:p w:rsidR="003D0231" w:rsidRPr="0020088D" w:rsidRDefault="00192657" w:rsidP="00FF388B">
            <w:pPr>
              <w:pStyle w:val="Heading2"/>
              <w:outlineLvl w:val="1"/>
              <w:rPr>
                <w:b w:val="0"/>
                <w:sz w:val="22"/>
                <w:szCs w:val="22"/>
                <w:lang w:val="bg-BG"/>
              </w:rPr>
            </w:pPr>
            <w:r w:rsidRPr="0020088D">
              <w:rPr>
                <w:b w:val="0"/>
                <w:sz w:val="22"/>
                <w:szCs w:val="22"/>
                <w:lang w:val="bg-BG"/>
              </w:rPr>
              <w:t xml:space="preserve">Въпросникът е предназначен за </w:t>
            </w:r>
            <w:r w:rsidR="00FF388B" w:rsidRPr="0020088D">
              <w:rPr>
                <w:b w:val="0"/>
                <w:sz w:val="22"/>
                <w:szCs w:val="22"/>
                <w:lang w:val="bg-BG"/>
              </w:rPr>
              <w:t>из</w:t>
            </w:r>
            <w:r w:rsidRPr="0020088D">
              <w:rPr>
                <w:b w:val="0"/>
                <w:sz w:val="22"/>
                <w:szCs w:val="22"/>
                <w:lang w:val="bg-BG"/>
              </w:rPr>
              <w:t xml:space="preserve">ползване от Секретариата на ОИСР при провеждането на национални анкетни проучвания на управлението на сектора на държавните предприятия (ДП) във връзка с </w:t>
            </w:r>
            <w:r w:rsidRPr="0020088D">
              <w:rPr>
                <w:b w:val="0"/>
                <w:i/>
                <w:sz w:val="22"/>
                <w:szCs w:val="22"/>
                <w:lang w:val="bg-BG"/>
              </w:rPr>
              <w:t>Насоките на ОИСР за корпоративното управление на държавните предприятия („Насоки за ДП”</w:t>
            </w:r>
            <w:r w:rsidRPr="0020088D">
              <w:rPr>
                <w:b w:val="0"/>
                <w:sz w:val="22"/>
                <w:szCs w:val="22"/>
                <w:lang w:val="bg-BG"/>
              </w:rPr>
              <w:t xml:space="preserve">). </w:t>
            </w:r>
            <w:r w:rsidR="00DB4E8D" w:rsidRPr="0020088D">
              <w:rPr>
                <w:b w:val="0"/>
                <w:sz w:val="22"/>
                <w:szCs w:val="22"/>
                <w:lang w:val="bg-BG"/>
              </w:rPr>
              <w:t xml:space="preserve">Настоящата Част 1 </w:t>
            </w:r>
            <w:r w:rsidR="00FF388B" w:rsidRPr="0020088D">
              <w:rPr>
                <w:b w:val="0"/>
                <w:sz w:val="22"/>
                <w:szCs w:val="22"/>
                <w:lang w:val="bg-BG"/>
              </w:rPr>
              <w:t>от</w:t>
            </w:r>
            <w:r w:rsidR="00DB4E8D" w:rsidRPr="0020088D">
              <w:rPr>
                <w:b w:val="0"/>
                <w:sz w:val="22"/>
                <w:szCs w:val="22"/>
                <w:lang w:val="bg-BG"/>
              </w:rPr>
              <w:t xml:space="preserve"> въпросника има за цел да направи преглед на основните характеристики на сектор ДП, включително на размера на ДП</w:t>
            </w:r>
            <w:r w:rsidR="003D0231" w:rsidRPr="0020088D">
              <w:rPr>
                <w:b w:val="0"/>
                <w:sz w:val="22"/>
                <w:szCs w:val="22"/>
                <w:lang w:val="bg-BG"/>
              </w:rPr>
              <w:t xml:space="preserve"> (</w:t>
            </w:r>
            <w:r w:rsidR="00DB4E8D" w:rsidRPr="0020088D">
              <w:rPr>
                <w:b w:val="0"/>
                <w:sz w:val="22"/>
                <w:szCs w:val="22"/>
                <w:lang w:val="bg-BG"/>
              </w:rPr>
              <w:t>по стойност и брой заети</w:t>
            </w:r>
            <w:r w:rsidR="003D0231" w:rsidRPr="0020088D">
              <w:rPr>
                <w:b w:val="0"/>
                <w:sz w:val="22"/>
                <w:szCs w:val="22"/>
                <w:lang w:val="bg-BG"/>
              </w:rPr>
              <w:t xml:space="preserve">), </w:t>
            </w:r>
            <w:r w:rsidR="00DB4E8D" w:rsidRPr="0020088D">
              <w:rPr>
                <w:b w:val="0"/>
                <w:sz w:val="22"/>
                <w:szCs w:val="22"/>
                <w:lang w:val="bg-BG"/>
              </w:rPr>
              <w:t xml:space="preserve">техните сектори на дейност и корпоративни форми. При попълване на таблиците с данни от респондентите се изисква да използват не само наличните ресурси в частта за публичния сектор, който представляват, но да споделят въпросника с по-широк кръг експерти в рамките на своята администрация, включително, </w:t>
            </w:r>
            <w:r w:rsidR="008F0D0B" w:rsidRPr="0020088D">
              <w:rPr>
                <w:b w:val="0"/>
                <w:sz w:val="22"/>
                <w:szCs w:val="22"/>
                <w:lang w:val="bg-BG"/>
              </w:rPr>
              <w:t xml:space="preserve">в зависимост от </w:t>
            </w:r>
            <w:r w:rsidR="00DB4E8D" w:rsidRPr="0020088D">
              <w:rPr>
                <w:b w:val="0"/>
                <w:sz w:val="22"/>
                <w:szCs w:val="22"/>
                <w:lang w:val="bg-BG"/>
              </w:rPr>
              <w:t>приложимостта, със статистически агенции. Ако респондентите</w:t>
            </w:r>
            <w:r w:rsidR="00352423" w:rsidRPr="0020088D">
              <w:rPr>
                <w:b w:val="0"/>
                <w:sz w:val="22"/>
                <w:szCs w:val="22"/>
                <w:lang w:val="bg-BG"/>
              </w:rPr>
              <w:t xml:space="preserve"> </w:t>
            </w:r>
            <w:r w:rsidR="00DB4E8D" w:rsidRPr="0020088D">
              <w:rPr>
                <w:b w:val="0"/>
                <w:sz w:val="22"/>
                <w:szCs w:val="22"/>
                <w:lang w:val="bg-BG"/>
              </w:rPr>
              <w:t>не могат да осигурят пълно отразяване на ДП, тогава от тях се очаква да информират Секретариата</w:t>
            </w:r>
            <w:r w:rsidR="00BD24A9" w:rsidRPr="0020088D">
              <w:rPr>
                <w:b w:val="0"/>
                <w:sz w:val="22"/>
                <w:szCs w:val="22"/>
                <w:lang w:val="bg-BG"/>
              </w:rPr>
              <w:t xml:space="preserve"> за конкретните ограничения в отчетността</w:t>
            </w:r>
            <w:r w:rsidR="00352423" w:rsidRPr="0020088D">
              <w:rPr>
                <w:b w:val="0"/>
                <w:sz w:val="22"/>
                <w:szCs w:val="22"/>
                <w:lang w:val="bg-BG"/>
              </w:rPr>
              <w:t>.</w:t>
            </w:r>
          </w:p>
        </w:tc>
      </w:tr>
    </w:tbl>
    <w:p w:rsidR="008137D0" w:rsidRPr="0020088D" w:rsidRDefault="008137D0" w:rsidP="00161F04">
      <w:pPr>
        <w:pStyle w:val="TOC1"/>
        <w:rPr>
          <w:lang w:val="bg-BG"/>
        </w:rPr>
      </w:pPr>
    </w:p>
    <w:p w:rsidR="00B438EE" w:rsidRPr="0020088D" w:rsidRDefault="00B438EE">
      <w:pPr>
        <w:tabs>
          <w:tab w:val="clear" w:pos="850"/>
          <w:tab w:val="clear" w:pos="1191"/>
          <w:tab w:val="clear" w:pos="1531"/>
        </w:tabs>
        <w:spacing w:after="200" w:line="276" w:lineRule="auto"/>
        <w:jc w:val="left"/>
        <w:rPr>
          <w:lang w:val="bg-BG"/>
        </w:rPr>
      </w:pPr>
      <w:r w:rsidRPr="0020088D">
        <w:rPr>
          <w:lang w:val="bg-BG"/>
        </w:rPr>
        <w:br w:type="page"/>
      </w:r>
    </w:p>
    <w:p w:rsidR="00B438EE" w:rsidRPr="0020088D" w:rsidRDefault="00B438EE" w:rsidP="00161F04">
      <w:pPr>
        <w:rPr>
          <w:lang w:val="bg-BG"/>
        </w:rPr>
      </w:pPr>
    </w:p>
    <w:p w:rsidR="00F2306D" w:rsidRPr="0020088D" w:rsidRDefault="00F2306D" w:rsidP="00161F04">
      <w:pPr>
        <w:rPr>
          <w:lang w:val="bg-BG"/>
        </w:rPr>
      </w:pPr>
    </w:p>
    <w:p w:rsidR="00F2306D" w:rsidRPr="0020088D" w:rsidRDefault="00F2306D" w:rsidP="00161F04">
      <w:pPr>
        <w:rPr>
          <w:lang w:val="bg-BG"/>
        </w:rPr>
      </w:pPr>
    </w:p>
    <w:p w:rsidR="00F2306D" w:rsidRPr="0020088D" w:rsidRDefault="00F2306D" w:rsidP="00161F04">
      <w:pPr>
        <w:rPr>
          <w:lang w:val="bg-BG"/>
        </w:rPr>
      </w:pPr>
    </w:p>
    <w:p w:rsidR="00F2306D" w:rsidRPr="0020088D" w:rsidRDefault="00F2306D" w:rsidP="00161F04">
      <w:pPr>
        <w:rPr>
          <w:lang w:val="bg-BG"/>
        </w:rPr>
      </w:pPr>
    </w:p>
    <w:p w:rsidR="00F2306D" w:rsidRPr="0020088D" w:rsidRDefault="00F2306D" w:rsidP="00161F04">
      <w:pPr>
        <w:rPr>
          <w:lang w:val="bg-BG"/>
        </w:rPr>
      </w:pPr>
    </w:p>
    <w:p w:rsidR="00F2306D" w:rsidRPr="0020088D" w:rsidRDefault="00F2306D" w:rsidP="00161F04">
      <w:pPr>
        <w:rPr>
          <w:lang w:val="bg-BG"/>
        </w:rPr>
      </w:pPr>
    </w:p>
    <w:p w:rsidR="00F2306D" w:rsidRPr="0020088D" w:rsidRDefault="00F2306D" w:rsidP="00161F04">
      <w:pPr>
        <w:rPr>
          <w:lang w:val="bg-BG"/>
        </w:rPr>
      </w:pPr>
    </w:p>
    <w:p w:rsidR="00F2306D" w:rsidRPr="0020088D" w:rsidRDefault="00F2306D" w:rsidP="00161F04">
      <w:pPr>
        <w:rPr>
          <w:lang w:val="bg-BG"/>
        </w:rPr>
      </w:pPr>
    </w:p>
    <w:p w:rsidR="00F2306D" w:rsidRPr="0020088D" w:rsidRDefault="00F2306D" w:rsidP="00161F04">
      <w:pPr>
        <w:rPr>
          <w:lang w:val="bg-BG"/>
        </w:rPr>
      </w:pPr>
    </w:p>
    <w:p w:rsidR="00161F04" w:rsidRPr="0020088D" w:rsidRDefault="00161F04" w:rsidP="00161F04">
      <w:pPr>
        <w:pStyle w:val="TOC1"/>
        <w:rPr>
          <w:lang w:val="bg-BG"/>
        </w:rPr>
      </w:pPr>
    </w:p>
    <w:p w:rsidR="00161F04" w:rsidRPr="0020088D" w:rsidRDefault="00161F04" w:rsidP="00161F04">
      <w:pPr>
        <w:pStyle w:val="TOC1"/>
        <w:rPr>
          <w:lang w:val="bg-BG"/>
        </w:rPr>
      </w:pPr>
    </w:p>
    <w:p w:rsidR="00161F04" w:rsidRPr="0020088D" w:rsidRDefault="00161F04" w:rsidP="00161F04">
      <w:pPr>
        <w:pStyle w:val="TOC1"/>
        <w:rPr>
          <w:lang w:val="bg-BG"/>
        </w:rPr>
      </w:pPr>
    </w:p>
    <w:p w:rsidR="00161F04" w:rsidRPr="0020088D" w:rsidRDefault="00161F04" w:rsidP="00161F04">
      <w:pPr>
        <w:pStyle w:val="TOC1"/>
        <w:rPr>
          <w:lang w:val="bg-BG"/>
        </w:rPr>
      </w:pPr>
    </w:p>
    <w:p w:rsidR="00161F04" w:rsidRPr="0020088D" w:rsidRDefault="00161F04" w:rsidP="00161F04">
      <w:pPr>
        <w:pStyle w:val="TOC1"/>
        <w:rPr>
          <w:lang w:val="bg-BG"/>
        </w:rPr>
      </w:pPr>
    </w:p>
    <w:p w:rsidR="00B438EE" w:rsidRPr="0020088D" w:rsidRDefault="00250173" w:rsidP="00161F04">
      <w:pPr>
        <w:pStyle w:val="TOC1"/>
        <w:rPr>
          <w:lang w:val="bg-BG"/>
        </w:rPr>
      </w:pPr>
      <w:r w:rsidRPr="0020088D">
        <w:rPr>
          <w:lang w:val="bg-BG"/>
        </w:rPr>
        <w:t>СЪДЪРЖАНИЕ</w:t>
      </w:r>
    </w:p>
    <w:p w:rsidR="00F31AF7" w:rsidRPr="0020088D" w:rsidRDefault="00F31AF7" w:rsidP="00F31AF7">
      <w:pPr>
        <w:rPr>
          <w:lang w:val="bg-BG"/>
        </w:rPr>
      </w:pPr>
    </w:p>
    <w:p w:rsidR="00FF388B" w:rsidRPr="0020088D" w:rsidRDefault="00A67D2D">
      <w:pPr>
        <w:pStyle w:val="TOC1"/>
        <w:rPr>
          <w:rFonts w:asciiTheme="minorHAnsi" w:eastAsiaTheme="minorEastAsia" w:hAnsiTheme="minorHAnsi" w:cstheme="minorBidi"/>
          <w:b w:val="0"/>
          <w:noProof/>
          <w:lang w:val="bg-BG" w:eastAsia="bg-BG"/>
        </w:rPr>
      </w:pPr>
      <w:r w:rsidRPr="0020088D">
        <w:rPr>
          <w:lang w:val="bg-BG"/>
        </w:rPr>
        <w:fldChar w:fldCharType="begin"/>
      </w:r>
      <w:r w:rsidR="008137D0" w:rsidRPr="0020088D">
        <w:rPr>
          <w:lang w:val="bg-BG"/>
        </w:rPr>
        <w:instrText xml:space="preserve"> TOC \o "1-1" \h \z \u </w:instrText>
      </w:r>
      <w:r w:rsidRPr="0020088D">
        <w:rPr>
          <w:lang w:val="bg-BG"/>
        </w:rPr>
        <w:fldChar w:fldCharType="separate"/>
      </w:r>
      <w:hyperlink w:anchor="_Toc521484057" w:history="1">
        <w:r w:rsidR="00FF388B" w:rsidRPr="0020088D">
          <w:rPr>
            <w:rStyle w:val="Hyperlink"/>
            <w:noProof/>
            <w:lang w:val="bg-BG"/>
          </w:rPr>
          <w:t>Обхват и дефиниции</w:t>
        </w:r>
        <w:r w:rsidR="00FF388B" w:rsidRPr="0020088D">
          <w:rPr>
            <w:noProof/>
            <w:webHidden/>
            <w:lang w:val="bg-BG"/>
          </w:rPr>
          <w:tab/>
        </w:r>
        <w:r w:rsidR="00FF388B" w:rsidRPr="0020088D">
          <w:rPr>
            <w:noProof/>
            <w:webHidden/>
            <w:lang w:val="bg-BG"/>
          </w:rPr>
          <w:fldChar w:fldCharType="begin"/>
        </w:r>
        <w:r w:rsidR="00FF388B" w:rsidRPr="0020088D">
          <w:rPr>
            <w:noProof/>
            <w:webHidden/>
            <w:lang w:val="bg-BG"/>
          </w:rPr>
          <w:instrText xml:space="preserve"> PAGEREF _Toc521484057 \h </w:instrText>
        </w:r>
        <w:r w:rsidR="00FF388B" w:rsidRPr="0020088D">
          <w:rPr>
            <w:noProof/>
            <w:webHidden/>
            <w:lang w:val="bg-BG"/>
          </w:rPr>
        </w:r>
        <w:r w:rsidR="00FF388B" w:rsidRPr="0020088D">
          <w:rPr>
            <w:noProof/>
            <w:webHidden/>
            <w:lang w:val="bg-BG"/>
          </w:rPr>
          <w:fldChar w:fldCharType="separate"/>
        </w:r>
        <w:r w:rsidR="00FF388B" w:rsidRPr="0020088D">
          <w:rPr>
            <w:noProof/>
            <w:webHidden/>
            <w:lang w:val="bg-BG"/>
          </w:rPr>
          <w:t>3</w:t>
        </w:r>
        <w:r w:rsidR="00FF388B" w:rsidRPr="0020088D">
          <w:rPr>
            <w:noProof/>
            <w:webHidden/>
            <w:lang w:val="bg-BG"/>
          </w:rPr>
          <w:fldChar w:fldCharType="end"/>
        </w:r>
      </w:hyperlink>
    </w:p>
    <w:p w:rsidR="00FF388B" w:rsidRPr="0020088D" w:rsidRDefault="004C6282">
      <w:pPr>
        <w:pStyle w:val="TOC1"/>
        <w:rPr>
          <w:rFonts w:asciiTheme="minorHAnsi" w:eastAsiaTheme="minorEastAsia" w:hAnsiTheme="minorHAnsi" w:cstheme="minorBidi"/>
          <w:b w:val="0"/>
          <w:noProof/>
          <w:lang w:val="bg-BG" w:eastAsia="bg-BG"/>
        </w:rPr>
      </w:pPr>
      <w:hyperlink w:anchor="_Toc521484058" w:history="1">
        <w:r w:rsidR="00FF388B" w:rsidRPr="0020088D">
          <w:rPr>
            <w:rStyle w:val="Hyperlink"/>
            <w:noProof/>
            <w:lang w:val="bg-BG"/>
          </w:rPr>
          <w:fldChar w:fldCharType="begin"/>
        </w:r>
        <w:r w:rsidR="00FF388B" w:rsidRPr="0020088D">
          <w:rPr>
            <w:rStyle w:val="Hyperlink"/>
            <w:noProof/>
            <w:lang w:val="bg-BG"/>
          </w:rPr>
          <w:instrText xml:space="preserve"> MACROBUTTON NUMBERING </w:instrText>
        </w:r>
        <w:r w:rsidR="00FF388B" w:rsidRPr="0020088D">
          <w:rPr>
            <w:rStyle w:val="Hyperlink"/>
            <w:noProof/>
            <w:lang w:val="bg-BG"/>
          </w:rPr>
          <w:fldChar w:fldCharType="begin"/>
        </w:r>
        <w:r w:rsidR="00FF388B" w:rsidRPr="0020088D">
          <w:rPr>
            <w:rStyle w:val="Hyperlink"/>
            <w:noProof/>
            <w:lang w:val="bg-BG"/>
          </w:rPr>
          <w:instrText xml:space="preserve"> SEQ  cpara \h \r 0</w:instrText>
        </w:r>
        <w:r w:rsidR="00FF388B" w:rsidRPr="0020088D">
          <w:rPr>
            <w:rStyle w:val="Hyperlink"/>
            <w:noProof/>
            <w:lang w:val="bg-BG"/>
          </w:rPr>
          <w:fldChar w:fldCharType="end"/>
        </w:r>
        <w:r w:rsidR="00FF388B" w:rsidRPr="0020088D">
          <w:rPr>
            <w:rStyle w:val="Hyperlink"/>
            <w:noProof/>
            <w:lang w:val="bg-BG"/>
          </w:rPr>
          <w:fldChar w:fldCharType="begin"/>
        </w:r>
        <w:r w:rsidR="00FF388B" w:rsidRPr="0020088D">
          <w:rPr>
            <w:rStyle w:val="Hyperlink"/>
            <w:noProof/>
            <w:lang w:val="bg-BG"/>
          </w:rPr>
          <w:instrText xml:space="preserve"> SEQ  ccount \h</w:instrText>
        </w:r>
        <w:r w:rsidR="00FF388B" w:rsidRPr="0020088D">
          <w:rPr>
            <w:rStyle w:val="Hyperlink"/>
            <w:noProof/>
            <w:lang w:val="bg-BG"/>
          </w:rPr>
          <w:fldChar w:fldCharType="end"/>
        </w:r>
        <w:r w:rsidR="00FF388B" w:rsidRPr="0020088D">
          <w:rPr>
            <w:rStyle w:val="Hyperlink"/>
            <w:noProof/>
            <w:lang w:val="bg-BG"/>
          </w:rPr>
          <w:fldChar w:fldCharType="end"/>
        </w:r>
        <w:r w:rsidR="00FF388B" w:rsidRPr="0020088D">
          <w:rPr>
            <w:rStyle w:val="Hyperlink"/>
            <w:noProof/>
            <w:lang w:val="bg-BG"/>
          </w:rPr>
          <w:t>Таблица 1: Съвкупни данни за държавни предприятия, притежавани на централно равнище на управление</w:t>
        </w:r>
        <w:r w:rsidR="00FF388B" w:rsidRPr="0020088D">
          <w:rPr>
            <w:noProof/>
            <w:webHidden/>
            <w:lang w:val="bg-BG"/>
          </w:rPr>
          <w:tab/>
        </w:r>
        <w:r w:rsidR="00FF388B" w:rsidRPr="0020088D">
          <w:rPr>
            <w:noProof/>
            <w:webHidden/>
            <w:lang w:val="bg-BG"/>
          </w:rPr>
          <w:fldChar w:fldCharType="begin"/>
        </w:r>
        <w:r w:rsidR="00FF388B" w:rsidRPr="0020088D">
          <w:rPr>
            <w:noProof/>
            <w:webHidden/>
            <w:lang w:val="bg-BG"/>
          </w:rPr>
          <w:instrText xml:space="preserve"> PAGEREF _Toc521484058 \h </w:instrText>
        </w:r>
        <w:r w:rsidR="00FF388B" w:rsidRPr="0020088D">
          <w:rPr>
            <w:noProof/>
            <w:webHidden/>
            <w:lang w:val="bg-BG"/>
          </w:rPr>
        </w:r>
        <w:r w:rsidR="00FF388B" w:rsidRPr="0020088D">
          <w:rPr>
            <w:noProof/>
            <w:webHidden/>
            <w:lang w:val="bg-BG"/>
          </w:rPr>
          <w:fldChar w:fldCharType="separate"/>
        </w:r>
        <w:r w:rsidR="00FF388B" w:rsidRPr="0020088D">
          <w:rPr>
            <w:noProof/>
            <w:webHidden/>
            <w:lang w:val="bg-BG"/>
          </w:rPr>
          <w:t>7</w:t>
        </w:r>
        <w:r w:rsidR="00FF388B" w:rsidRPr="0020088D">
          <w:rPr>
            <w:noProof/>
            <w:webHidden/>
            <w:lang w:val="bg-BG"/>
          </w:rPr>
          <w:fldChar w:fldCharType="end"/>
        </w:r>
      </w:hyperlink>
    </w:p>
    <w:p w:rsidR="00FF388B" w:rsidRPr="0020088D" w:rsidRDefault="004C6282">
      <w:pPr>
        <w:pStyle w:val="TOC1"/>
        <w:rPr>
          <w:rFonts w:asciiTheme="minorHAnsi" w:eastAsiaTheme="minorEastAsia" w:hAnsiTheme="minorHAnsi" w:cstheme="minorBidi"/>
          <w:b w:val="0"/>
          <w:noProof/>
          <w:lang w:val="bg-BG" w:eastAsia="bg-BG"/>
        </w:rPr>
      </w:pPr>
      <w:hyperlink w:anchor="_Toc521484059" w:history="1">
        <w:r w:rsidR="00FF388B" w:rsidRPr="0020088D">
          <w:rPr>
            <w:rStyle w:val="Hyperlink"/>
            <w:noProof/>
            <w:lang w:val="bg-BG"/>
          </w:rPr>
          <w:t>Таблица 2: Съвкупни данни за предприятия, притежавани на поднационално  равнище на управление</w:t>
        </w:r>
        <w:r w:rsidR="00FF388B" w:rsidRPr="0020088D">
          <w:rPr>
            <w:noProof/>
            <w:webHidden/>
            <w:lang w:val="bg-BG"/>
          </w:rPr>
          <w:tab/>
        </w:r>
        <w:r w:rsidR="00FF388B" w:rsidRPr="0020088D">
          <w:rPr>
            <w:noProof/>
            <w:webHidden/>
            <w:lang w:val="bg-BG"/>
          </w:rPr>
          <w:fldChar w:fldCharType="begin"/>
        </w:r>
        <w:r w:rsidR="00FF388B" w:rsidRPr="0020088D">
          <w:rPr>
            <w:noProof/>
            <w:webHidden/>
            <w:lang w:val="bg-BG"/>
          </w:rPr>
          <w:instrText xml:space="preserve"> PAGEREF _Toc521484059 \h </w:instrText>
        </w:r>
        <w:r w:rsidR="00FF388B" w:rsidRPr="0020088D">
          <w:rPr>
            <w:noProof/>
            <w:webHidden/>
            <w:lang w:val="bg-BG"/>
          </w:rPr>
        </w:r>
        <w:r w:rsidR="00FF388B" w:rsidRPr="0020088D">
          <w:rPr>
            <w:noProof/>
            <w:webHidden/>
            <w:lang w:val="bg-BG"/>
          </w:rPr>
          <w:fldChar w:fldCharType="separate"/>
        </w:r>
        <w:r w:rsidR="00FF388B" w:rsidRPr="0020088D">
          <w:rPr>
            <w:noProof/>
            <w:webHidden/>
            <w:lang w:val="bg-BG"/>
          </w:rPr>
          <w:t>9</w:t>
        </w:r>
        <w:r w:rsidR="00FF388B" w:rsidRPr="0020088D">
          <w:rPr>
            <w:noProof/>
            <w:webHidden/>
            <w:lang w:val="bg-BG"/>
          </w:rPr>
          <w:fldChar w:fldCharType="end"/>
        </w:r>
      </w:hyperlink>
    </w:p>
    <w:p w:rsidR="00FF388B" w:rsidRPr="0020088D" w:rsidRDefault="004C6282">
      <w:pPr>
        <w:pStyle w:val="TOC1"/>
        <w:rPr>
          <w:rFonts w:asciiTheme="minorHAnsi" w:eastAsiaTheme="minorEastAsia" w:hAnsiTheme="minorHAnsi" w:cstheme="minorBidi"/>
          <w:b w:val="0"/>
          <w:noProof/>
          <w:lang w:val="bg-BG" w:eastAsia="bg-BG"/>
        </w:rPr>
      </w:pPr>
      <w:hyperlink w:anchor="_Toc521484060" w:history="1">
        <w:r w:rsidR="00FF388B" w:rsidRPr="0020088D">
          <w:rPr>
            <w:rStyle w:val="Hyperlink"/>
            <w:noProof/>
            <w:lang w:val="bg-BG"/>
          </w:rPr>
          <w:fldChar w:fldCharType="begin"/>
        </w:r>
        <w:r w:rsidR="00FF388B" w:rsidRPr="0020088D">
          <w:rPr>
            <w:rStyle w:val="Hyperlink"/>
            <w:noProof/>
            <w:lang w:val="bg-BG"/>
          </w:rPr>
          <w:instrText xml:space="preserve"> MACROBUTTON NUMBERING </w:instrText>
        </w:r>
        <w:r w:rsidR="00FF388B" w:rsidRPr="0020088D">
          <w:rPr>
            <w:rStyle w:val="Hyperlink"/>
            <w:noProof/>
            <w:lang w:val="bg-BG"/>
          </w:rPr>
          <w:fldChar w:fldCharType="begin"/>
        </w:r>
        <w:r w:rsidR="00FF388B" w:rsidRPr="0020088D">
          <w:rPr>
            <w:rStyle w:val="Hyperlink"/>
            <w:noProof/>
            <w:lang w:val="bg-BG"/>
          </w:rPr>
          <w:instrText xml:space="preserve"> SEQ  cpara \h \r 0</w:instrText>
        </w:r>
        <w:r w:rsidR="00FF388B" w:rsidRPr="0020088D">
          <w:rPr>
            <w:rStyle w:val="Hyperlink"/>
            <w:noProof/>
            <w:lang w:val="bg-BG"/>
          </w:rPr>
          <w:fldChar w:fldCharType="end"/>
        </w:r>
        <w:r w:rsidR="00FF388B" w:rsidRPr="0020088D">
          <w:rPr>
            <w:rStyle w:val="Hyperlink"/>
            <w:noProof/>
            <w:lang w:val="bg-BG"/>
          </w:rPr>
          <w:fldChar w:fldCharType="begin"/>
        </w:r>
        <w:r w:rsidR="00FF388B" w:rsidRPr="0020088D">
          <w:rPr>
            <w:rStyle w:val="Hyperlink"/>
            <w:noProof/>
            <w:lang w:val="bg-BG"/>
          </w:rPr>
          <w:instrText xml:space="preserve"> SEQ  ccount \h</w:instrText>
        </w:r>
        <w:r w:rsidR="00FF388B" w:rsidRPr="0020088D">
          <w:rPr>
            <w:rStyle w:val="Hyperlink"/>
            <w:noProof/>
            <w:lang w:val="bg-BG"/>
          </w:rPr>
          <w:fldChar w:fldCharType="end"/>
        </w:r>
        <w:r w:rsidR="00FF388B" w:rsidRPr="0020088D">
          <w:rPr>
            <w:rStyle w:val="Hyperlink"/>
            <w:noProof/>
            <w:lang w:val="bg-BG"/>
          </w:rPr>
          <w:fldChar w:fldCharType="end"/>
        </w:r>
        <w:r w:rsidR="00FF388B" w:rsidRPr="0020088D">
          <w:rPr>
            <w:rStyle w:val="Hyperlink"/>
            <w:noProof/>
            <w:lang w:val="bg-BG"/>
          </w:rPr>
          <w:t>Таблица 3: Листвани на борсата дружества с консолидирана собственост в публичния сектор в размер на не по-малко от 10%</w:t>
        </w:r>
        <w:r w:rsidR="00FF388B" w:rsidRPr="0020088D">
          <w:rPr>
            <w:noProof/>
            <w:webHidden/>
            <w:lang w:val="bg-BG"/>
          </w:rPr>
          <w:tab/>
        </w:r>
        <w:r w:rsidR="00FF388B" w:rsidRPr="0020088D">
          <w:rPr>
            <w:noProof/>
            <w:webHidden/>
            <w:lang w:val="bg-BG"/>
          </w:rPr>
          <w:fldChar w:fldCharType="begin"/>
        </w:r>
        <w:r w:rsidR="00FF388B" w:rsidRPr="0020088D">
          <w:rPr>
            <w:noProof/>
            <w:webHidden/>
            <w:lang w:val="bg-BG"/>
          </w:rPr>
          <w:instrText xml:space="preserve"> PAGEREF _Toc521484060 \h </w:instrText>
        </w:r>
        <w:r w:rsidR="00FF388B" w:rsidRPr="0020088D">
          <w:rPr>
            <w:noProof/>
            <w:webHidden/>
            <w:lang w:val="bg-BG"/>
          </w:rPr>
        </w:r>
        <w:r w:rsidR="00FF388B" w:rsidRPr="0020088D">
          <w:rPr>
            <w:noProof/>
            <w:webHidden/>
            <w:lang w:val="bg-BG"/>
          </w:rPr>
          <w:fldChar w:fldCharType="separate"/>
        </w:r>
        <w:r w:rsidR="00FF388B" w:rsidRPr="0020088D">
          <w:rPr>
            <w:noProof/>
            <w:webHidden/>
            <w:lang w:val="bg-BG"/>
          </w:rPr>
          <w:t>11</w:t>
        </w:r>
        <w:r w:rsidR="00FF388B" w:rsidRPr="0020088D">
          <w:rPr>
            <w:noProof/>
            <w:webHidden/>
            <w:lang w:val="bg-BG"/>
          </w:rPr>
          <w:fldChar w:fldCharType="end"/>
        </w:r>
      </w:hyperlink>
    </w:p>
    <w:p w:rsidR="00FF388B" w:rsidRPr="0020088D" w:rsidRDefault="004C6282">
      <w:pPr>
        <w:pStyle w:val="TOC1"/>
        <w:rPr>
          <w:rFonts w:asciiTheme="minorHAnsi" w:eastAsiaTheme="minorEastAsia" w:hAnsiTheme="minorHAnsi" w:cstheme="minorBidi"/>
          <w:b w:val="0"/>
          <w:noProof/>
          <w:lang w:val="bg-BG" w:eastAsia="bg-BG"/>
        </w:rPr>
      </w:pPr>
      <w:hyperlink w:anchor="_Toc521484061" w:history="1">
        <w:r w:rsidR="00FF388B" w:rsidRPr="0020088D">
          <w:rPr>
            <w:rStyle w:val="Hyperlink"/>
            <w:noProof/>
            <w:lang w:val="bg-BG"/>
          </w:rPr>
          <w:t>Таблица 4: Индивидуални големи  държавни предприятия</w:t>
        </w:r>
        <w:r w:rsidR="00FF388B" w:rsidRPr="0020088D">
          <w:rPr>
            <w:noProof/>
            <w:webHidden/>
            <w:lang w:val="bg-BG"/>
          </w:rPr>
          <w:tab/>
        </w:r>
        <w:r w:rsidR="00FF388B" w:rsidRPr="0020088D">
          <w:rPr>
            <w:noProof/>
            <w:webHidden/>
            <w:lang w:val="bg-BG"/>
          </w:rPr>
          <w:fldChar w:fldCharType="begin"/>
        </w:r>
        <w:r w:rsidR="00FF388B" w:rsidRPr="0020088D">
          <w:rPr>
            <w:noProof/>
            <w:webHidden/>
            <w:lang w:val="bg-BG"/>
          </w:rPr>
          <w:instrText xml:space="preserve"> PAGEREF _Toc521484061 \h </w:instrText>
        </w:r>
        <w:r w:rsidR="00FF388B" w:rsidRPr="0020088D">
          <w:rPr>
            <w:noProof/>
            <w:webHidden/>
            <w:lang w:val="bg-BG"/>
          </w:rPr>
        </w:r>
        <w:r w:rsidR="00FF388B" w:rsidRPr="0020088D">
          <w:rPr>
            <w:noProof/>
            <w:webHidden/>
            <w:lang w:val="bg-BG"/>
          </w:rPr>
          <w:fldChar w:fldCharType="separate"/>
        </w:r>
        <w:r w:rsidR="00FF388B" w:rsidRPr="0020088D">
          <w:rPr>
            <w:noProof/>
            <w:webHidden/>
            <w:lang w:val="bg-BG"/>
          </w:rPr>
          <w:t>13</w:t>
        </w:r>
        <w:r w:rsidR="00FF388B" w:rsidRPr="0020088D">
          <w:rPr>
            <w:noProof/>
            <w:webHidden/>
            <w:lang w:val="bg-BG"/>
          </w:rPr>
          <w:fldChar w:fldCharType="end"/>
        </w:r>
      </w:hyperlink>
    </w:p>
    <w:p w:rsidR="00FF388B" w:rsidRPr="0020088D" w:rsidRDefault="004C6282">
      <w:pPr>
        <w:pStyle w:val="TOC1"/>
        <w:rPr>
          <w:rFonts w:asciiTheme="minorHAnsi" w:eastAsiaTheme="minorEastAsia" w:hAnsiTheme="minorHAnsi" w:cstheme="minorBidi"/>
          <w:b w:val="0"/>
          <w:noProof/>
          <w:lang w:val="bg-BG" w:eastAsia="bg-BG"/>
        </w:rPr>
      </w:pPr>
      <w:hyperlink w:anchor="_Toc521484062" w:history="1">
        <w:r w:rsidR="00FF388B" w:rsidRPr="0020088D">
          <w:rPr>
            <w:rStyle w:val="Hyperlink"/>
            <w:noProof/>
            <w:lang w:val="bg-BG"/>
          </w:rPr>
          <w:t>Методологическа бележка</w:t>
        </w:r>
        <w:r w:rsidR="00FF388B" w:rsidRPr="0020088D">
          <w:rPr>
            <w:noProof/>
            <w:webHidden/>
            <w:lang w:val="bg-BG"/>
          </w:rPr>
          <w:tab/>
        </w:r>
        <w:r w:rsidR="00FF388B" w:rsidRPr="0020088D">
          <w:rPr>
            <w:noProof/>
            <w:webHidden/>
            <w:lang w:val="bg-BG"/>
          </w:rPr>
          <w:fldChar w:fldCharType="begin"/>
        </w:r>
        <w:r w:rsidR="00FF388B" w:rsidRPr="0020088D">
          <w:rPr>
            <w:noProof/>
            <w:webHidden/>
            <w:lang w:val="bg-BG"/>
          </w:rPr>
          <w:instrText xml:space="preserve"> PAGEREF _Toc521484062 \h </w:instrText>
        </w:r>
        <w:r w:rsidR="00FF388B" w:rsidRPr="0020088D">
          <w:rPr>
            <w:noProof/>
            <w:webHidden/>
            <w:lang w:val="bg-BG"/>
          </w:rPr>
        </w:r>
        <w:r w:rsidR="00FF388B" w:rsidRPr="0020088D">
          <w:rPr>
            <w:noProof/>
            <w:webHidden/>
            <w:lang w:val="bg-BG"/>
          </w:rPr>
          <w:fldChar w:fldCharType="separate"/>
        </w:r>
        <w:r w:rsidR="00FF388B" w:rsidRPr="0020088D">
          <w:rPr>
            <w:noProof/>
            <w:webHidden/>
            <w:lang w:val="bg-BG"/>
          </w:rPr>
          <w:t>16</w:t>
        </w:r>
        <w:r w:rsidR="00FF388B" w:rsidRPr="0020088D">
          <w:rPr>
            <w:noProof/>
            <w:webHidden/>
            <w:lang w:val="bg-BG"/>
          </w:rPr>
          <w:fldChar w:fldCharType="end"/>
        </w:r>
      </w:hyperlink>
    </w:p>
    <w:p w:rsidR="00FF388B" w:rsidRPr="0020088D" w:rsidRDefault="004C6282">
      <w:pPr>
        <w:pStyle w:val="TOC1"/>
        <w:rPr>
          <w:rFonts w:asciiTheme="minorHAnsi" w:eastAsiaTheme="minorEastAsia" w:hAnsiTheme="minorHAnsi" w:cstheme="minorBidi"/>
          <w:b w:val="0"/>
          <w:noProof/>
          <w:lang w:val="bg-BG" w:eastAsia="bg-BG"/>
        </w:rPr>
      </w:pPr>
      <w:hyperlink w:anchor="_Toc521484063" w:history="1">
        <w:r w:rsidR="00FF388B" w:rsidRPr="0020088D">
          <w:rPr>
            <w:rStyle w:val="Hyperlink"/>
            <w:noProof/>
            <w:lang w:val="bg-BG" w:eastAsia="en-US"/>
          </w:rPr>
          <w:t xml:space="preserve">Приложение 1: Дефиниция за квазипредприятия съгласно </w:t>
        </w:r>
        <w:r w:rsidR="0071145A" w:rsidRPr="0020088D">
          <w:rPr>
            <w:rStyle w:val="Hyperlink"/>
            <w:noProof/>
            <w:lang w:val="bg-BG" w:eastAsia="en-US"/>
          </w:rPr>
          <w:t>С</w:t>
        </w:r>
        <w:r w:rsidR="00FF388B" w:rsidRPr="0020088D">
          <w:rPr>
            <w:rStyle w:val="Hyperlink"/>
            <w:noProof/>
            <w:lang w:val="bg-BG" w:eastAsia="en-US"/>
          </w:rPr>
          <w:t>истемата на национални сметки</w:t>
        </w:r>
        <w:r w:rsidR="00FF388B" w:rsidRPr="0020088D">
          <w:rPr>
            <w:noProof/>
            <w:webHidden/>
            <w:lang w:val="bg-BG"/>
          </w:rPr>
          <w:tab/>
        </w:r>
        <w:r w:rsidR="00FF388B" w:rsidRPr="0020088D">
          <w:rPr>
            <w:noProof/>
            <w:webHidden/>
            <w:lang w:val="bg-BG"/>
          </w:rPr>
          <w:fldChar w:fldCharType="begin"/>
        </w:r>
        <w:r w:rsidR="00FF388B" w:rsidRPr="0020088D">
          <w:rPr>
            <w:noProof/>
            <w:webHidden/>
            <w:lang w:val="bg-BG"/>
          </w:rPr>
          <w:instrText xml:space="preserve"> PAGEREF _Toc521484063 \h </w:instrText>
        </w:r>
        <w:r w:rsidR="00FF388B" w:rsidRPr="0020088D">
          <w:rPr>
            <w:noProof/>
            <w:webHidden/>
            <w:lang w:val="bg-BG"/>
          </w:rPr>
        </w:r>
        <w:r w:rsidR="00FF388B" w:rsidRPr="0020088D">
          <w:rPr>
            <w:noProof/>
            <w:webHidden/>
            <w:lang w:val="bg-BG"/>
          </w:rPr>
          <w:fldChar w:fldCharType="separate"/>
        </w:r>
        <w:r w:rsidR="00FF388B" w:rsidRPr="0020088D">
          <w:rPr>
            <w:noProof/>
            <w:webHidden/>
            <w:lang w:val="bg-BG"/>
          </w:rPr>
          <w:t>17</w:t>
        </w:r>
        <w:r w:rsidR="00FF388B" w:rsidRPr="0020088D">
          <w:rPr>
            <w:noProof/>
            <w:webHidden/>
            <w:lang w:val="bg-BG"/>
          </w:rPr>
          <w:fldChar w:fldCharType="end"/>
        </w:r>
      </w:hyperlink>
    </w:p>
    <w:p w:rsidR="003D0231" w:rsidRPr="0020088D" w:rsidRDefault="00A67D2D" w:rsidP="00B438EE">
      <w:pPr>
        <w:pStyle w:val="Heading2"/>
        <w:rPr>
          <w:lang w:val="bg-BG"/>
        </w:rPr>
      </w:pPr>
      <w:r w:rsidRPr="0020088D">
        <w:rPr>
          <w:lang w:val="bg-BG"/>
        </w:rPr>
        <w:fldChar w:fldCharType="end"/>
      </w:r>
    </w:p>
    <w:p w:rsidR="003D0231" w:rsidRPr="0020088D" w:rsidRDefault="003D0231" w:rsidP="003D0231">
      <w:pPr>
        <w:pStyle w:val="Num-DocParagraph"/>
        <w:rPr>
          <w:lang w:val="bg-BG"/>
        </w:rPr>
      </w:pPr>
      <w:r w:rsidRPr="0020088D">
        <w:rPr>
          <w:lang w:val="bg-BG"/>
        </w:rPr>
        <w:br w:type="page"/>
      </w:r>
    </w:p>
    <w:p w:rsidR="003D0231" w:rsidRPr="0020088D" w:rsidRDefault="00250173" w:rsidP="008137D0">
      <w:pPr>
        <w:pStyle w:val="Heading1"/>
        <w:rPr>
          <w:lang w:val="bg-BG"/>
        </w:rPr>
      </w:pPr>
      <w:bookmarkStart w:id="0" w:name="_Toc521484057"/>
      <w:r w:rsidRPr="0020088D">
        <w:rPr>
          <w:lang w:val="bg-BG"/>
        </w:rPr>
        <w:lastRenderedPageBreak/>
        <w:t>ОБХВАТ И ДЕФИНИЦИИ</w:t>
      </w:r>
      <w:bookmarkEnd w:id="0"/>
      <w:r w:rsidR="008137D0" w:rsidRPr="0020088D">
        <w:rPr>
          <w:lang w:val="bg-BG"/>
        </w:rPr>
        <w:t xml:space="preserve"> </w:t>
      </w:r>
    </w:p>
    <w:p w:rsidR="008137D0" w:rsidRPr="0020088D" w:rsidRDefault="00250173" w:rsidP="008137D0">
      <w:pPr>
        <w:pStyle w:val="Heading2"/>
        <w:rPr>
          <w:lang w:val="bg-BG"/>
        </w:rPr>
      </w:pPr>
      <w:r w:rsidRPr="0020088D">
        <w:rPr>
          <w:lang w:val="bg-BG"/>
        </w:rPr>
        <w:t>Обхват на въпросника</w:t>
      </w:r>
    </w:p>
    <w:p w:rsidR="003D0231" w:rsidRPr="0020088D" w:rsidRDefault="00CD187C" w:rsidP="00D32BC9">
      <w:pPr>
        <w:pStyle w:val="ListParagraph"/>
        <w:numPr>
          <w:ilvl w:val="0"/>
          <w:numId w:val="2"/>
        </w:numPr>
        <w:rPr>
          <w:lang w:val="bg-BG"/>
        </w:rPr>
      </w:pPr>
      <w:r w:rsidRPr="0020088D">
        <w:rPr>
          <w:lang w:val="bg-BG"/>
        </w:rPr>
        <w:t>В</w:t>
      </w:r>
      <w:r w:rsidRPr="0020088D">
        <w:rPr>
          <w:b/>
          <w:lang w:val="bg-BG"/>
        </w:rPr>
        <w:t xml:space="preserve"> </w:t>
      </w:r>
      <w:r w:rsidR="000C4806" w:rsidRPr="0020088D">
        <w:rPr>
          <w:b/>
          <w:lang w:val="bg-BG"/>
        </w:rPr>
        <w:t>Таблица</w:t>
      </w:r>
      <w:r w:rsidR="003D0231" w:rsidRPr="0020088D">
        <w:rPr>
          <w:b/>
          <w:lang w:val="bg-BG"/>
        </w:rPr>
        <w:t xml:space="preserve"> 1</w:t>
      </w:r>
      <w:r w:rsidR="000C4806" w:rsidRPr="0020088D">
        <w:rPr>
          <w:lang w:val="bg-BG"/>
        </w:rPr>
        <w:t xml:space="preserve"> </w:t>
      </w:r>
      <w:r w:rsidRPr="0020088D">
        <w:rPr>
          <w:lang w:val="bg-BG"/>
        </w:rPr>
        <w:t xml:space="preserve">се </w:t>
      </w:r>
      <w:r w:rsidR="000C4806" w:rsidRPr="0020088D">
        <w:rPr>
          <w:lang w:val="bg-BG"/>
        </w:rPr>
        <w:t xml:space="preserve">изисква да се попълнят съвкупните данни за предприятия, които са собственост на </w:t>
      </w:r>
      <w:r w:rsidR="000C4806" w:rsidRPr="0020088D">
        <w:rPr>
          <w:color w:val="222222"/>
          <w:lang w:val="bg-BG" w:eastAsia="bg-BG"/>
        </w:rPr>
        <w:t>равнище централно управление</w:t>
      </w:r>
      <w:r w:rsidR="000C4806" w:rsidRPr="0020088D">
        <w:rPr>
          <w:lang w:val="bg-BG"/>
        </w:rPr>
        <w:t xml:space="preserve"> (за целите на това из</w:t>
      </w:r>
      <w:r w:rsidRPr="0020088D">
        <w:rPr>
          <w:lang w:val="bg-BG"/>
        </w:rPr>
        <w:t xml:space="preserve">следване </w:t>
      </w:r>
      <w:r w:rsidR="00DA25B6" w:rsidRPr="0020088D">
        <w:rPr>
          <w:lang w:val="bg-BG"/>
        </w:rPr>
        <w:t xml:space="preserve">- </w:t>
      </w:r>
      <w:r w:rsidRPr="0020088D">
        <w:rPr>
          <w:lang w:val="bg-BG"/>
        </w:rPr>
        <w:t>„ДП”, разпределение по</w:t>
      </w:r>
      <w:r w:rsidR="000C4806" w:rsidRPr="0020088D">
        <w:rPr>
          <w:lang w:val="bg-BG"/>
        </w:rPr>
        <w:t xml:space="preserve"> корпоративна форма, степен на държавна собственост и сектори на дейност</w:t>
      </w:r>
      <w:r w:rsidR="003D0231" w:rsidRPr="0020088D">
        <w:rPr>
          <w:lang w:val="bg-BG"/>
        </w:rPr>
        <w:t xml:space="preserve">. </w:t>
      </w:r>
    </w:p>
    <w:p w:rsidR="0095787F" w:rsidRPr="0020088D" w:rsidRDefault="0095787F" w:rsidP="0095787F">
      <w:pPr>
        <w:rPr>
          <w:lang w:val="bg-BG"/>
        </w:rPr>
      </w:pPr>
    </w:p>
    <w:p w:rsidR="003D0231" w:rsidRPr="0020088D" w:rsidRDefault="00946BFE" w:rsidP="00D32BC9">
      <w:pPr>
        <w:pStyle w:val="ListParagraph"/>
        <w:numPr>
          <w:ilvl w:val="0"/>
          <w:numId w:val="2"/>
        </w:numPr>
        <w:rPr>
          <w:lang w:val="bg-BG"/>
        </w:rPr>
      </w:pPr>
      <w:r w:rsidRPr="0020088D">
        <w:rPr>
          <w:lang w:val="bg-BG"/>
        </w:rPr>
        <w:t>В</w:t>
      </w:r>
      <w:r w:rsidRPr="0020088D">
        <w:rPr>
          <w:b/>
          <w:lang w:val="bg-BG"/>
        </w:rPr>
        <w:t xml:space="preserve"> </w:t>
      </w:r>
      <w:r w:rsidR="000C4806" w:rsidRPr="0020088D">
        <w:rPr>
          <w:b/>
          <w:lang w:val="bg-BG"/>
        </w:rPr>
        <w:t>Таблица</w:t>
      </w:r>
      <w:r w:rsidR="003D0231" w:rsidRPr="0020088D">
        <w:rPr>
          <w:b/>
          <w:lang w:val="bg-BG"/>
        </w:rPr>
        <w:t xml:space="preserve"> 2</w:t>
      </w:r>
      <w:r w:rsidR="000C4806" w:rsidRPr="0020088D">
        <w:rPr>
          <w:lang w:val="bg-BG"/>
        </w:rPr>
        <w:t xml:space="preserve"> </w:t>
      </w:r>
      <w:r w:rsidRPr="0020088D">
        <w:rPr>
          <w:lang w:val="bg-BG"/>
        </w:rPr>
        <w:t>се</w:t>
      </w:r>
      <w:r w:rsidR="000C4806" w:rsidRPr="0020088D">
        <w:rPr>
          <w:lang w:val="bg-BG"/>
        </w:rPr>
        <w:t xml:space="preserve"> изисква да се попълнят съвкупните данни за предприятия, които са собственост на поднационално </w:t>
      </w:r>
      <w:r w:rsidR="000C4806" w:rsidRPr="0020088D">
        <w:rPr>
          <w:color w:val="222222"/>
          <w:lang w:val="bg-BG" w:eastAsia="bg-BG"/>
        </w:rPr>
        <w:t xml:space="preserve">равнище(а) на управление </w:t>
      </w:r>
      <w:r w:rsidR="009F5967" w:rsidRPr="0020088D">
        <w:rPr>
          <w:lang w:val="bg-BG"/>
        </w:rPr>
        <w:t>(</w:t>
      </w:r>
      <w:r w:rsidR="000C4806" w:rsidRPr="0020088D">
        <w:rPr>
          <w:lang w:val="bg-BG"/>
        </w:rPr>
        <w:t xml:space="preserve">напр. областно и общинско), ако е приложимо. Насоките за ДП се концентрират основно върху предприятия в обхвата на компетентност на </w:t>
      </w:r>
      <w:r w:rsidR="000C4806" w:rsidRPr="0020088D">
        <w:rPr>
          <w:color w:val="222222"/>
          <w:lang w:val="bg-BG" w:eastAsia="bg-BG"/>
        </w:rPr>
        <w:t>равнището на централно управление</w:t>
      </w:r>
      <w:r w:rsidR="003D0231" w:rsidRPr="0020088D">
        <w:rPr>
          <w:lang w:val="bg-BG"/>
        </w:rPr>
        <w:t xml:space="preserve">, </w:t>
      </w:r>
      <w:r w:rsidR="000C4806" w:rsidRPr="0020088D">
        <w:rPr>
          <w:lang w:val="bg-BG"/>
        </w:rPr>
        <w:t xml:space="preserve">като пълната картина на </w:t>
      </w:r>
      <w:r w:rsidR="00B72F51" w:rsidRPr="0020088D">
        <w:rPr>
          <w:lang w:val="bg-BG"/>
        </w:rPr>
        <w:t>държавния бизнес сектор изисква</w:t>
      </w:r>
      <w:r w:rsidR="000C4806" w:rsidRPr="0020088D">
        <w:rPr>
          <w:lang w:val="bg-BG"/>
        </w:rPr>
        <w:t xml:space="preserve"> най-м</w:t>
      </w:r>
      <w:r w:rsidRPr="0020088D">
        <w:rPr>
          <w:lang w:val="bg-BG"/>
        </w:rPr>
        <w:t xml:space="preserve">алкото оценка на дейностите на </w:t>
      </w:r>
      <w:r w:rsidR="000C4806" w:rsidRPr="0020088D">
        <w:rPr>
          <w:lang w:val="bg-BG"/>
        </w:rPr>
        <w:t>поднационално равнище.</w:t>
      </w:r>
      <w:r w:rsidR="009F5967" w:rsidRPr="0020088D">
        <w:rPr>
          <w:lang w:val="bg-BG"/>
        </w:rPr>
        <w:t xml:space="preserve"> </w:t>
      </w:r>
    </w:p>
    <w:p w:rsidR="0095787F" w:rsidRPr="0020088D" w:rsidRDefault="0095787F" w:rsidP="0095787F">
      <w:pPr>
        <w:rPr>
          <w:lang w:val="bg-BG"/>
        </w:rPr>
      </w:pPr>
    </w:p>
    <w:p w:rsidR="003D0231" w:rsidRPr="0020088D" w:rsidRDefault="00946BFE" w:rsidP="00D32BC9">
      <w:pPr>
        <w:pStyle w:val="ListParagraph"/>
        <w:numPr>
          <w:ilvl w:val="0"/>
          <w:numId w:val="2"/>
        </w:numPr>
        <w:rPr>
          <w:lang w:val="bg-BG"/>
        </w:rPr>
      </w:pPr>
      <w:r w:rsidRPr="0020088D">
        <w:rPr>
          <w:lang w:val="bg-BG"/>
        </w:rPr>
        <w:t>В</w:t>
      </w:r>
      <w:r w:rsidRPr="0020088D">
        <w:rPr>
          <w:b/>
          <w:lang w:val="bg-BG"/>
        </w:rPr>
        <w:t xml:space="preserve"> </w:t>
      </w:r>
      <w:r w:rsidR="000C4806" w:rsidRPr="0020088D">
        <w:rPr>
          <w:b/>
          <w:lang w:val="bg-BG"/>
        </w:rPr>
        <w:t>Таблица</w:t>
      </w:r>
      <w:r w:rsidR="003D0231" w:rsidRPr="0020088D">
        <w:rPr>
          <w:b/>
          <w:lang w:val="bg-BG"/>
        </w:rPr>
        <w:t xml:space="preserve"> 3</w:t>
      </w:r>
      <w:r w:rsidR="00272636" w:rsidRPr="0020088D">
        <w:rPr>
          <w:lang w:val="bg-BG"/>
        </w:rPr>
        <w:t xml:space="preserve"> </w:t>
      </w:r>
      <w:r w:rsidRPr="0020088D">
        <w:rPr>
          <w:lang w:val="bg-BG"/>
        </w:rPr>
        <w:t xml:space="preserve">се </w:t>
      </w:r>
      <w:r w:rsidR="00272636" w:rsidRPr="0020088D">
        <w:rPr>
          <w:lang w:val="bg-BG"/>
        </w:rPr>
        <w:t>изисква изброяване на дружества с мажоритарно или миноритарно държавно участие</w:t>
      </w:r>
      <w:r w:rsidR="00E15E72" w:rsidRPr="0020088D">
        <w:rPr>
          <w:lang w:val="bg-BG"/>
        </w:rPr>
        <w:t>, чиито акции</w:t>
      </w:r>
      <w:r w:rsidR="00272636" w:rsidRPr="0020088D">
        <w:rPr>
          <w:lang w:val="bg-BG"/>
        </w:rPr>
        <w:t xml:space="preserve"> са листвани на борсовия пазар. </w:t>
      </w:r>
      <w:r w:rsidR="00E15E72" w:rsidRPr="0020088D">
        <w:rPr>
          <w:lang w:val="bg-BG"/>
        </w:rPr>
        <w:t>От р</w:t>
      </w:r>
      <w:r w:rsidR="00DB4E8D" w:rsidRPr="0020088D">
        <w:rPr>
          <w:lang w:val="bg-BG"/>
        </w:rPr>
        <w:t>еспондентите</w:t>
      </w:r>
      <w:r w:rsidR="003D0231" w:rsidRPr="0020088D">
        <w:rPr>
          <w:lang w:val="bg-BG"/>
        </w:rPr>
        <w:t xml:space="preserve"> </w:t>
      </w:r>
      <w:r w:rsidR="00E15E72" w:rsidRPr="0020088D">
        <w:rPr>
          <w:lang w:val="bg-BG"/>
        </w:rPr>
        <w:t xml:space="preserve">се изисква да използват всички налични фондови данни за попълване на тази част от въпросника. </w:t>
      </w:r>
    </w:p>
    <w:p w:rsidR="0095787F" w:rsidRPr="0020088D" w:rsidRDefault="0095787F" w:rsidP="0095787F">
      <w:pPr>
        <w:rPr>
          <w:lang w:val="bg-BG"/>
        </w:rPr>
      </w:pPr>
    </w:p>
    <w:p w:rsidR="003D0231" w:rsidRPr="0020088D" w:rsidRDefault="00946BFE" w:rsidP="00231A95">
      <w:pPr>
        <w:pStyle w:val="ListParagraph"/>
        <w:numPr>
          <w:ilvl w:val="0"/>
          <w:numId w:val="2"/>
        </w:numPr>
        <w:rPr>
          <w:lang w:val="bg-BG"/>
        </w:rPr>
      </w:pPr>
      <w:r w:rsidRPr="0020088D">
        <w:rPr>
          <w:lang w:val="bg-BG"/>
        </w:rPr>
        <w:t xml:space="preserve">В </w:t>
      </w:r>
      <w:r w:rsidR="000C4806" w:rsidRPr="0020088D">
        <w:rPr>
          <w:b/>
          <w:lang w:val="bg-BG"/>
        </w:rPr>
        <w:t>Таблица</w:t>
      </w:r>
      <w:r w:rsidR="003D0231" w:rsidRPr="0020088D">
        <w:rPr>
          <w:b/>
          <w:lang w:val="bg-BG"/>
        </w:rPr>
        <w:t xml:space="preserve"> 4</w:t>
      </w:r>
      <w:r w:rsidR="00E15E72" w:rsidRPr="0020088D">
        <w:rPr>
          <w:lang w:val="bg-BG"/>
        </w:rPr>
        <w:t xml:space="preserve"> </w:t>
      </w:r>
      <w:r w:rsidRPr="0020088D">
        <w:rPr>
          <w:lang w:val="bg-BG"/>
        </w:rPr>
        <w:t xml:space="preserve">се </w:t>
      </w:r>
      <w:r w:rsidR="00E15E72" w:rsidRPr="0020088D">
        <w:rPr>
          <w:lang w:val="bg-BG"/>
        </w:rPr>
        <w:t xml:space="preserve">изисква да се направи </w:t>
      </w:r>
      <w:r w:rsidR="00D4472F" w:rsidRPr="0020088D">
        <w:rPr>
          <w:lang w:val="bg-BG"/>
        </w:rPr>
        <w:t>преглед н</w:t>
      </w:r>
      <w:r w:rsidR="00E15E72" w:rsidRPr="0020088D">
        <w:rPr>
          <w:lang w:val="bg-BG"/>
        </w:rPr>
        <w:t xml:space="preserve">а най-големите ДП в страната, включително размер, основна дейност, дъщерни дружества и </w:t>
      </w:r>
      <w:r w:rsidR="00DA25B6" w:rsidRPr="0020088D">
        <w:rPr>
          <w:lang w:val="bg-BG"/>
        </w:rPr>
        <w:t xml:space="preserve">данни </w:t>
      </w:r>
      <w:r w:rsidR="00E15E72" w:rsidRPr="0020088D">
        <w:rPr>
          <w:lang w:val="bg-BG"/>
        </w:rPr>
        <w:t>за последни съществени промени в техните структури на собственост и контрол. Критерии</w:t>
      </w:r>
      <w:r w:rsidR="00DA25B6" w:rsidRPr="0020088D">
        <w:rPr>
          <w:lang w:val="bg-BG"/>
        </w:rPr>
        <w:t>те</w:t>
      </w:r>
      <w:r w:rsidR="00E15E72" w:rsidRPr="0020088D">
        <w:rPr>
          <w:lang w:val="bg-BG"/>
        </w:rPr>
        <w:t xml:space="preserve"> за включване се съдържат в съответния раздел. </w:t>
      </w:r>
      <w:r w:rsidR="007E3190" w:rsidRPr="0020088D">
        <w:rPr>
          <w:lang w:val="bg-BG"/>
        </w:rPr>
        <w:t xml:space="preserve"> </w:t>
      </w:r>
      <w:r w:rsidR="00231A95" w:rsidRPr="0020088D">
        <w:rPr>
          <w:lang w:val="bg-BG"/>
        </w:rPr>
        <w:t xml:space="preserve"> </w:t>
      </w:r>
    </w:p>
    <w:p w:rsidR="0095787F" w:rsidRPr="0020088D" w:rsidRDefault="0095787F" w:rsidP="0095787F">
      <w:pPr>
        <w:rPr>
          <w:lang w:val="bg-BG"/>
        </w:rPr>
      </w:pPr>
    </w:p>
    <w:p w:rsidR="003C640F" w:rsidRPr="0020088D" w:rsidRDefault="00D4472F" w:rsidP="00D32BC9">
      <w:pPr>
        <w:pStyle w:val="ListParagraph"/>
        <w:numPr>
          <w:ilvl w:val="0"/>
          <w:numId w:val="2"/>
        </w:numPr>
        <w:rPr>
          <w:lang w:val="bg-BG"/>
        </w:rPr>
      </w:pPr>
      <w:r w:rsidRPr="0020088D">
        <w:rPr>
          <w:lang w:val="bg-BG"/>
        </w:rPr>
        <w:t xml:space="preserve">В </w:t>
      </w:r>
      <w:r w:rsidRPr="0020088D">
        <w:rPr>
          <w:b/>
          <w:lang w:val="bg-BG"/>
        </w:rPr>
        <w:t>методологическ</w:t>
      </w:r>
      <w:r w:rsidR="00946BFE" w:rsidRPr="0020088D">
        <w:rPr>
          <w:b/>
          <w:lang w:val="bg-BG"/>
        </w:rPr>
        <w:t>ата</w:t>
      </w:r>
      <w:r w:rsidRPr="0020088D">
        <w:rPr>
          <w:b/>
          <w:lang w:val="bg-BG"/>
        </w:rPr>
        <w:t xml:space="preserve"> бележка</w:t>
      </w:r>
      <w:r w:rsidRPr="0020088D">
        <w:rPr>
          <w:lang w:val="bg-BG"/>
        </w:rPr>
        <w:t xml:space="preserve"> се изисква информация за използваната методология и дефиниции при попълването на </w:t>
      </w:r>
      <w:r w:rsidR="000C4806" w:rsidRPr="0020088D">
        <w:rPr>
          <w:lang w:val="bg-BG"/>
        </w:rPr>
        <w:t>Таблиц</w:t>
      </w:r>
      <w:r w:rsidRPr="0020088D">
        <w:rPr>
          <w:lang w:val="bg-BG"/>
        </w:rPr>
        <w:t>ите</w:t>
      </w:r>
      <w:r w:rsidR="003D0231" w:rsidRPr="0020088D">
        <w:rPr>
          <w:lang w:val="bg-BG"/>
        </w:rPr>
        <w:t xml:space="preserve">. </w:t>
      </w:r>
      <w:r w:rsidRPr="0020088D">
        <w:rPr>
          <w:lang w:val="bg-BG"/>
        </w:rPr>
        <w:t>От р</w:t>
      </w:r>
      <w:r w:rsidR="00DB4E8D" w:rsidRPr="0020088D">
        <w:rPr>
          <w:lang w:val="bg-BG"/>
        </w:rPr>
        <w:t>еспондентите</w:t>
      </w:r>
      <w:r w:rsidR="003D0231" w:rsidRPr="0020088D">
        <w:rPr>
          <w:lang w:val="bg-BG"/>
        </w:rPr>
        <w:t xml:space="preserve"> </w:t>
      </w:r>
      <w:r w:rsidRPr="0020088D">
        <w:rPr>
          <w:lang w:val="bg-BG"/>
        </w:rPr>
        <w:t xml:space="preserve">се </w:t>
      </w:r>
      <w:r w:rsidR="00F03CEB" w:rsidRPr="0020088D">
        <w:rPr>
          <w:lang w:val="bg-BG"/>
        </w:rPr>
        <w:t>очаква</w:t>
      </w:r>
      <w:r w:rsidRPr="0020088D">
        <w:rPr>
          <w:lang w:val="bg-BG"/>
        </w:rPr>
        <w:t xml:space="preserve"> да отбележат национални специфики или ограничения за наличие на данни, които може да са повлияли отговорите им. </w:t>
      </w:r>
      <w:r w:rsidR="003D0231" w:rsidRPr="0020088D">
        <w:rPr>
          <w:lang w:val="bg-BG"/>
        </w:rPr>
        <w:t xml:space="preserve"> </w:t>
      </w:r>
    </w:p>
    <w:p w:rsidR="003C640F" w:rsidRPr="0020088D" w:rsidRDefault="003C640F" w:rsidP="003C640F">
      <w:pPr>
        <w:pStyle w:val="ListParagraph"/>
        <w:rPr>
          <w:lang w:val="bg-BG"/>
        </w:rPr>
      </w:pPr>
    </w:p>
    <w:p w:rsidR="003D0231" w:rsidRPr="0020088D" w:rsidRDefault="00F03CEB" w:rsidP="00D32BC9">
      <w:pPr>
        <w:pStyle w:val="ListParagraph"/>
        <w:numPr>
          <w:ilvl w:val="0"/>
          <w:numId w:val="2"/>
        </w:numPr>
        <w:rPr>
          <w:lang w:val="bg-BG"/>
        </w:rPr>
      </w:pPr>
      <w:r w:rsidRPr="0020088D">
        <w:rPr>
          <w:lang w:val="bg-BG"/>
        </w:rPr>
        <w:t>В</w:t>
      </w:r>
      <w:r w:rsidRPr="0020088D">
        <w:rPr>
          <w:b/>
          <w:lang w:val="bg-BG"/>
        </w:rPr>
        <w:t xml:space="preserve"> Приложение </w:t>
      </w:r>
      <w:r w:rsidR="003C640F" w:rsidRPr="0020088D">
        <w:rPr>
          <w:b/>
          <w:lang w:val="bg-BG"/>
        </w:rPr>
        <w:t>1</w:t>
      </w:r>
      <w:r w:rsidRPr="0020088D">
        <w:rPr>
          <w:lang w:val="bg-BG"/>
        </w:rPr>
        <w:t xml:space="preserve"> се дава дефиниция</w:t>
      </w:r>
      <w:r w:rsidR="003C640F" w:rsidRPr="0020088D">
        <w:rPr>
          <w:lang w:val="bg-BG"/>
        </w:rPr>
        <w:t xml:space="preserve"> </w:t>
      </w:r>
      <w:r w:rsidR="00192657" w:rsidRPr="0020088D">
        <w:rPr>
          <w:lang w:val="bg-BG"/>
        </w:rPr>
        <w:t>на квазипредприятията</w:t>
      </w:r>
      <w:r w:rsidRPr="0020088D">
        <w:rPr>
          <w:lang w:val="bg-BG"/>
        </w:rPr>
        <w:t xml:space="preserve"> съгласно Системата на  националните сметки </w:t>
      </w:r>
      <w:r w:rsidR="003C640F" w:rsidRPr="0020088D">
        <w:rPr>
          <w:lang w:val="bg-BG"/>
        </w:rPr>
        <w:t>(</w:t>
      </w:r>
      <w:r w:rsidRPr="0020088D">
        <w:rPr>
          <w:lang w:val="bg-BG"/>
        </w:rPr>
        <w:t>СНС</w:t>
      </w:r>
      <w:r w:rsidR="003C640F" w:rsidRPr="0020088D">
        <w:rPr>
          <w:lang w:val="bg-BG"/>
        </w:rPr>
        <w:t>)</w:t>
      </w:r>
      <w:r w:rsidRPr="0020088D">
        <w:rPr>
          <w:lang w:val="bg-BG"/>
        </w:rPr>
        <w:t xml:space="preserve">, с която </w:t>
      </w:r>
      <w:r w:rsidR="00DB4E8D" w:rsidRPr="0020088D">
        <w:rPr>
          <w:lang w:val="bg-BG"/>
        </w:rPr>
        <w:t>респондентите</w:t>
      </w:r>
      <w:r w:rsidR="003C640F" w:rsidRPr="0020088D">
        <w:rPr>
          <w:lang w:val="bg-BG"/>
        </w:rPr>
        <w:t xml:space="preserve"> </w:t>
      </w:r>
      <w:r w:rsidRPr="0020088D">
        <w:rPr>
          <w:lang w:val="bg-BG"/>
        </w:rPr>
        <w:t xml:space="preserve">следва да се запознаят, когато </w:t>
      </w:r>
      <w:r w:rsidR="00946BFE" w:rsidRPr="0020088D">
        <w:rPr>
          <w:lang w:val="bg-BG"/>
        </w:rPr>
        <w:t xml:space="preserve">определят </w:t>
      </w:r>
      <w:r w:rsidRPr="0020088D">
        <w:rPr>
          <w:lang w:val="bg-BG"/>
        </w:rPr>
        <w:t xml:space="preserve">кои субекти да включат в съответната </w:t>
      </w:r>
      <w:r w:rsidR="00946BFE" w:rsidRPr="0020088D">
        <w:rPr>
          <w:lang w:val="bg-BG"/>
        </w:rPr>
        <w:t>справка</w:t>
      </w:r>
      <w:r w:rsidRPr="0020088D">
        <w:rPr>
          <w:lang w:val="bg-BG"/>
        </w:rPr>
        <w:t xml:space="preserve">. </w:t>
      </w:r>
      <w:r w:rsidR="003C640F" w:rsidRPr="0020088D">
        <w:rPr>
          <w:lang w:val="bg-BG"/>
        </w:rPr>
        <w:t xml:space="preserve"> </w:t>
      </w:r>
    </w:p>
    <w:p w:rsidR="003D0231" w:rsidRPr="0020088D" w:rsidRDefault="006420A2" w:rsidP="008137D0">
      <w:pPr>
        <w:pStyle w:val="Heading2"/>
        <w:rPr>
          <w:lang w:val="bg-BG"/>
        </w:rPr>
      </w:pPr>
      <w:r w:rsidRPr="0020088D">
        <w:rPr>
          <w:lang w:val="bg-BG"/>
        </w:rPr>
        <w:t>Период, за който се отнасят данните</w:t>
      </w:r>
    </w:p>
    <w:p w:rsidR="003D0231" w:rsidRPr="0020088D" w:rsidRDefault="006420A2" w:rsidP="009C7F84">
      <w:pPr>
        <w:pStyle w:val="BodyText"/>
        <w:rPr>
          <w:lang w:val="bg-BG"/>
        </w:rPr>
      </w:pPr>
      <w:r w:rsidRPr="0020088D">
        <w:rPr>
          <w:lang w:val="bg-BG"/>
        </w:rPr>
        <w:t>Предоставената информация</w:t>
      </w:r>
      <w:r w:rsidR="003D0231" w:rsidRPr="0020088D">
        <w:rPr>
          <w:lang w:val="bg-BG"/>
        </w:rPr>
        <w:t xml:space="preserve"> </w:t>
      </w:r>
      <w:r w:rsidRPr="0020088D">
        <w:rPr>
          <w:lang w:val="bg-BG"/>
        </w:rPr>
        <w:t xml:space="preserve">трябва да отразява периода към края на последната пълна година </w:t>
      </w:r>
      <w:r w:rsidR="00487EE9" w:rsidRPr="0020088D">
        <w:rPr>
          <w:lang w:val="bg-BG"/>
        </w:rPr>
        <w:t xml:space="preserve"> (</w:t>
      </w:r>
      <w:r w:rsidRPr="0020088D">
        <w:rPr>
          <w:lang w:val="bg-BG"/>
        </w:rPr>
        <w:t xml:space="preserve">напр. ако въпросникът  се попълва  в средата на </w:t>
      </w:r>
      <w:r w:rsidR="00487EE9" w:rsidRPr="0020088D">
        <w:rPr>
          <w:lang w:val="bg-BG"/>
        </w:rPr>
        <w:t>201</w:t>
      </w:r>
      <w:r w:rsidR="00B90E75" w:rsidRPr="0020088D">
        <w:rPr>
          <w:lang w:val="bg-BG"/>
        </w:rPr>
        <w:t>8</w:t>
      </w:r>
      <w:r w:rsidRPr="0020088D">
        <w:rPr>
          <w:lang w:val="bg-BG"/>
        </w:rPr>
        <w:t xml:space="preserve"> година, данните трябва да се отнасят за края на </w:t>
      </w:r>
      <w:r w:rsidR="00487EE9" w:rsidRPr="0020088D">
        <w:rPr>
          <w:lang w:val="bg-BG"/>
        </w:rPr>
        <w:t>201</w:t>
      </w:r>
      <w:r w:rsidR="00B90E75" w:rsidRPr="0020088D">
        <w:rPr>
          <w:lang w:val="bg-BG"/>
        </w:rPr>
        <w:t>7</w:t>
      </w:r>
      <w:r w:rsidRPr="0020088D">
        <w:rPr>
          <w:lang w:val="bg-BG"/>
        </w:rPr>
        <w:t xml:space="preserve"> година</w:t>
      </w:r>
      <w:r w:rsidR="00487EE9" w:rsidRPr="0020088D">
        <w:rPr>
          <w:lang w:val="bg-BG"/>
        </w:rPr>
        <w:t>)</w:t>
      </w:r>
      <w:r w:rsidR="00F02225" w:rsidRPr="0020088D">
        <w:rPr>
          <w:lang w:val="bg-BG"/>
        </w:rPr>
        <w:t>. Ако това обаче не е възможно</w:t>
      </w:r>
      <w:r w:rsidR="003D0231" w:rsidRPr="0020088D">
        <w:rPr>
          <w:lang w:val="bg-BG"/>
        </w:rPr>
        <w:t xml:space="preserve"> </w:t>
      </w:r>
      <w:r w:rsidR="008E5962" w:rsidRPr="0020088D">
        <w:rPr>
          <w:lang w:val="bg-BG"/>
        </w:rPr>
        <w:t xml:space="preserve">– </w:t>
      </w:r>
      <w:r w:rsidR="00F02225" w:rsidRPr="0020088D">
        <w:rPr>
          <w:lang w:val="bg-BG"/>
        </w:rPr>
        <w:t xml:space="preserve">например някои </w:t>
      </w:r>
      <w:r w:rsidR="00DB4E8D" w:rsidRPr="0020088D">
        <w:rPr>
          <w:lang w:val="bg-BG"/>
        </w:rPr>
        <w:t>респонденти</w:t>
      </w:r>
      <w:r w:rsidR="00F02225" w:rsidRPr="0020088D">
        <w:rPr>
          <w:lang w:val="bg-BG"/>
        </w:rPr>
        <w:t xml:space="preserve"> може да са ограничени от отче</w:t>
      </w:r>
      <w:r w:rsidR="00671183" w:rsidRPr="0020088D">
        <w:rPr>
          <w:lang w:val="bg-BG"/>
        </w:rPr>
        <w:t>тността</w:t>
      </w:r>
      <w:r w:rsidR="00F02225" w:rsidRPr="0020088D">
        <w:rPr>
          <w:lang w:val="bg-BG"/>
        </w:rPr>
        <w:t xml:space="preserve"> по финансови години</w:t>
      </w:r>
      <w:r w:rsidR="003D0231" w:rsidRPr="0020088D">
        <w:rPr>
          <w:lang w:val="bg-BG"/>
        </w:rPr>
        <w:t xml:space="preserve"> </w:t>
      </w:r>
      <w:r w:rsidR="008E5962" w:rsidRPr="0020088D">
        <w:rPr>
          <w:lang w:val="bg-BG"/>
        </w:rPr>
        <w:t xml:space="preserve">– </w:t>
      </w:r>
      <w:r w:rsidR="00F02225" w:rsidRPr="0020088D">
        <w:rPr>
          <w:lang w:val="bg-BG"/>
        </w:rPr>
        <w:t xml:space="preserve">тогава от </w:t>
      </w:r>
      <w:r w:rsidR="00DB4E8D" w:rsidRPr="0020088D">
        <w:rPr>
          <w:lang w:val="bg-BG"/>
        </w:rPr>
        <w:t>респондентите</w:t>
      </w:r>
      <w:r w:rsidR="00F02225" w:rsidRPr="0020088D">
        <w:rPr>
          <w:lang w:val="bg-BG"/>
        </w:rPr>
        <w:t xml:space="preserve"> се очаква да се приближат максима</w:t>
      </w:r>
      <w:r w:rsidR="00671183" w:rsidRPr="0020088D">
        <w:rPr>
          <w:lang w:val="bg-BG"/>
        </w:rPr>
        <w:t>лно към желаните дати</w:t>
      </w:r>
      <w:r w:rsidR="00F02225" w:rsidRPr="0020088D">
        <w:rPr>
          <w:lang w:val="bg-BG"/>
        </w:rPr>
        <w:t xml:space="preserve"> и да посочат ясно </w:t>
      </w:r>
      <w:r w:rsidR="00671183" w:rsidRPr="0020088D">
        <w:rPr>
          <w:lang w:val="bg-BG"/>
        </w:rPr>
        <w:t>кои крайни дати</w:t>
      </w:r>
      <w:r w:rsidR="003D0231" w:rsidRPr="0020088D">
        <w:rPr>
          <w:lang w:val="bg-BG"/>
        </w:rPr>
        <w:t xml:space="preserve"> </w:t>
      </w:r>
      <w:r w:rsidR="00F02225" w:rsidRPr="0020088D">
        <w:rPr>
          <w:lang w:val="bg-BG"/>
        </w:rPr>
        <w:t xml:space="preserve">са използвали. За информация относно листваните на борсата ДП </w:t>
      </w:r>
      <w:r w:rsidR="00DB4E8D" w:rsidRPr="0020088D">
        <w:rPr>
          <w:lang w:val="bg-BG"/>
        </w:rPr>
        <w:t>респондентите</w:t>
      </w:r>
      <w:r w:rsidR="003D0231" w:rsidRPr="0020088D">
        <w:rPr>
          <w:lang w:val="bg-BG"/>
        </w:rPr>
        <w:t xml:space="preserve"> </w:t>
      </w:r>
      <w:r w:rsidR="00ED6523" w:rsidRPr="0020088D">
        <w:rPr>
          <w:lang w:val="bg-BG"/>
        </w:rPr>
        <w:t xml:space="preserve">следва да се въздържат от предоставяне на </w:t>
      </w:r>
      <w:r w:rsidR="00671183" w:rsidRPr="0020088D">
        <w:rPr>
          <w:lang w:val="bg-BG"/>
        </w:rPr>
        <w:t xml:space="preserve">„максимално пресни” </w:t>
      </w:r>
      <w:r w:rsidR="00ED6523" w:rsidRPr="0020088D">
        <w:rPr>
          <w:lang w:val="bg-BG"/>
        </w:rPr>
        <w:t xml:space="preserve">данни от фондовия пазар, тъй като това ще затрудни съпоставимостта с останалите данни. </w:t>
      </w:r>
    </w:p>
    <w:p w:rsidR="003D0231" w:rsidRPr="0020088D" w:rsidRDefault="00750A5B" w:rsidP="008137D0">
      <w:pPr>
        <w:pStyle w:val="Heading2"/>
        <w:rPr>
          <w:lang w:val="bg-BG"/>
        </w:rPr>
      </w:pPr>
      <w:r w:rsidRPr="0020088D">
        <w:rPr>
          <w:lang w:val="bg-BG"/>
        </w:rPr>
        <w:lastRenderedPageBreak/>
        <w:t>Дефиниции на термини</w:t>
      </w:r>
    </w:p>
    <w:p w:rsidR="003D0231" w:rsidRPr="0020088D" w:rsidRDefault="00750A5B" w:rsidP="003D0231">
      <w:pPr>
        <w:pStyle w:val="Heading3"/>
        <w:rPr>
          <w:lang w:val="bg-BG"/>
        </w:rPr>
      </w:pPr>
      <w:r w:rsidRPr="0020088D">
        <w:rPr>
          <w:lang w:val="bg-BG"/>
        </w:rPr>
        <w:t>Държавни п</w:t>
      </w:r>
      <w:r w:rsidR="00617453" w:rsidRPr="0020088D">
        <w:rPr>
          <w:lang w:val="bg-BG"/>
        </w:rPr>
        <w:t>ре</w:t>
      </w:r>
      <w:r w:rsidRPr="0020088D">
        <w:rPr>
          <w:lang w:val="bg-BG"/>
        </w:rPr>
        <w:t>дприятия</w:t>
      </w:r>
    </w:p>
    <w:p w:rsidR="003D0231" w:rsidRPr="0020088D" w:rsidRDefault="00750A5B" w:rsidP="009C7F84">
      <w:pPr>
        <w:pStyle w:val="BodyText"/>
        <w:rPr>
          <w:lang w:val="bg-BG"/>
        </w:rPr>
      </w:pPr>
      <w:r w:rsidRPr="0020088D">
        <w:rPr>
          <w:b/>
          <w:lang w:val="bg-BG"/>
        </w:rPr>
        <w:t>Държавни предприятия (ДП</w:t>
      </w:r>
      <w:r w:rsidR="003D0231" w:rsidRPr="0020088D">
        <w:rPr>
          <w:b/>
          <w:lang w:val="bg-BG"/>
        </w:rPr>
        <w:t xml:space="preserve">), </w:t>
      </w:r>
      <w:r w:rsidRPr="0020088D">
        <w:rPr>
          <w:lang w:val="bg-BG"/>
        </w:rPr>
        <w:t>както са отразени в този въпросник, се разбира, че означава</w:t>
      </w:r>
      <w:r w:rsidR="00EF1647" w:rsidRPr="0020088D">
        <w:rPr>
          <w:lang w:val="bg-BG"/>
        </w:rPr>
        <w:t>т</w:t>
      </w:r>
      <w:r w:rsidRPr="0020088D">
        <w:rPr>
          <w:lang w:val="bg-BG"/>
        </w:rPr>
        <w:t xml:space="preserve"> публични дружества </w:t>
      </w:r>
      <w:r w:rsidR="003D0231" w:rsidRPr="0020088D">
        <w:rPr>
          <w:lang w:val="bg-BG"/>
        </w:rPr>
        <w:t>(</w:t>
      </w:r>
      <w:r w:rsidRPr="0020088D">
        <w:rPr>
          <w:lang w:val="bg-BG"/>
        </w:rPr>
        <w:t>както са дефинирани в Системата на националните сметки – СНС</w:t>
      </w:r>
      <w:r w:rsidR="003D0231" w:rsidRPr="0020088D">
        <w:rPr>
          <w:lang w:val="bg-BG"/>
        </w:rPr>
        <w:t>)</w:t>
      </w:r>
      <w:r w:rsidRPr="0020088D">
        <w:rPr>
          <w:lang w:val="bg-BG"/>
        </w:rPr>
        <w:t>, които са  контролирани пряко или чрез други контролирани от правителс</w:t>
      </w:r>
      <w:r w:rsidR="00EF1647" w:rsidRPr="0020088D">
        <w:rPr>
          <w:lang w:val="bg-BG"/>
        </w:rPr>
        <w:t>твото институционални единици, на</w:t>
      </w:r>
      <w:r w:rsidRPr="0020088D">
        <w:rPr>
          <w:lang w:val="bg-BG"/>
        </w:rPr>
        <w:t xml:space="preserve"> централно или федерално равнище на управление</w:t>
      </w:r>
      <w:r w:rsidR="003D0231" w:rsidRPr="0020088D">
        <w:rPr>
          <w:lang w:val="bg-BG"/>
        </w:rPr>
        <w:t xml:space="preserve">. </w:t>
      </w:r>
      <w:r w:rsidRPr="0020088D">
        <w:rPr>
          <w:lang w:val="bg-BG"/>
        </w:rPr>
        <w:t>„Публично</w:t>
      </w:r>
      <w:r w:rsidR="003D0231" w:rsidRPr="0020088D">
        <w:rPr>
          <w:lang w:val="bg-BG"/>
        </w:rPr>
        <w:t xml:space="preserve"> </w:t>
      </w:r>
      <w:r w:rsidRPr="0020088D">
        <w:rPr>
          <w:lang w:val="bg-BG"/>
        </w:rPr>
        <w:t>дружество” се разбира, че означава автономен публичен субект</w:t>
      </w:r>
      <w:r w:rsidR="004D0770" w:rsidRPr="0020088D">
        <w:rPr>
          <w:lang w:val="bg-BG"/>
        </w:rPr>
        <w:t>,</w:t>
      </w:r>
      <w:r w:rsidRPr="0020088D">
        <w:rPr>
          <w:lang w:val="bg-BG"/>
        </w:rPr>
        <w:t xml:space="preserve"> участващ в търговски дейности </w:t>
      </w:r>
      <w:r w:rsidR="003D0231" w:rsidRPr="0020088D">
        <w:rPr>
          <w:lang w:val="bg-BG"/>
        </w:rPr>
        <w:t>(</w:t>
      </w:r>
      <w:r w:rsidR="00F47485" w:rsidRPr="0020088D">
        <w:rPr>
          <w:lang w:val="bg-BG"/>
        </w:rPr>
        <w:t>да не се бърка с публично търгувани предприятия</w:t>
      </w:r>
      <w:r w:rsidR="003D0231" w:rsidRPr="0020088D">
        <w:rPr>
          <w:lang w:val="bg-BG"/>
        </w:rPr>
        <w:t xml:space="preserve">). </w:t>
      </w:r>
      <w:r w:rsidR="00F47485" w:rsidRPr="0020088D">
        <w:rPr>
          <w:lang w:val="bg-BG"/>
        </w:rPr>
        <w:t>От р</w:t>
      </w:r>
      <w:r w:rsidR="00DB4E8D" w:rsidRPr="0020088D">
        <w:rPr>
          <w:lang w:val="bg-BG"/>
        </w:rPr>
        <w:t>еспондентите</w:t>
      </w:r>
      <w:r w:rsidR="003D0231" w:rsidRPr="0020088D">
        <w:rPr>
          <w:lang w:val="bg-BG"/>
        </w:rPr>
        <w:t xml:space="preserve"> </w:t>
      </w:r>
      <w:r w:rsidR="00F47485" w:rsidRPr="0020088D">
        <w:rPr>
          <w:lang w:val="bg-BG"/>
        </w:rPr>
        <w:t>се очаква да се съобразят напълно със следната дефиниция на „публично дружество”, съгласно СНС</w:t>
      </w:r>
      <w:r w:rsidR="004D0770" w:rsidRPr="0020088D">
        <w:rPr>
          <w:lang w:val="bg-BG"/>
        </w:rPr>
        <w:t xml:space="preserve">: „За да се класифицира като публично дружество, </w:t>
      </w:r>
      <w:r w:rsidR="004F331B" w:rsidRPr="0020088D">
        <w:rPr>
          <w:lang w:val="bg-BG"/>
        </w:rPr>
        <w:t>едно дружество</w:t>
      </w:r>
      <w:r w:rsidR="004D0770" w:rsidRPr="0020088D">
        <w:rPr>
          <w:lang w:val="bg-BG"/>
        </w:rPr>
        <w:t xml:space="preserve"> трябва </w:t>
      </w:r>
      <w:r w:rsidR="003D0231" w:rsidRPr="0020088D">
        <w:rPr>
          <w:lang w:val="bg-BG"/>
        </w:rPr>
        <w:t xml:space="preserve">(1) </w:t>
      </w:r>
      <w:r w:rsidR="004D0770" w:rsidRPr="0020088D">
        <w:rPr>
          <w:lang w:val="bg-BG"/>
        </w:rPr>
        <w:t xml:space="preserve">да </w:t>
      </w:r>
      <w:r w:rsidR="00EF1647" w:rsidRPr="0020088D">
        <w:rPr>
          <w:lang w:val="bg-BG"/>
        </w:rPr>
        <w:t>бъде</w:t>
      </w:r>
      <w:r w:rsidR="004D0770" w:rsidRPr="0020088D">
        <w:rPr>
          <w:lang w:val="bg-BG"/>
        </w:rPr>
        <w:t xml:space="preserve"> контролира</w:t>
      </w:r>
      <w:r w:rsidR="00EF1647" w:rsidRPr="0020088D">
        <w:rPr>
          <w:lang w:val="bg-BG"/>
        </w:rPr>
        <w:t>но</w:t>
      </w:r>
      <w:r w:rsidR="004D0770" w:rsidRPr="0020088D">
        <w:rPr>
          <w:lang w:val="bg-BG"/>
        </w:rPr>
        <w:t xml:space="preserve"> от друга публична единица; и </w:t>
      </w:r>
      <w:r w:rsidR="003D0231" w:rsidRPr="0020088D">
        <w:rPr>
          <w:lang w:val="bg-BG"/>
        </w:rPr>
        <w:t xml:space="preserve">(2) </w:t>
      </w:r>
      <w:r w:rsidR="004D0770" w:rsidRPr="0020088D">
        <w:rPr>
          <w:lang w:val="bg-BG"/>
        </w:rPr>
        <w:t>трябва да бъде пазарен производител. Контролът се дефинира като спос</w:t>
      </w:r>
      <w:r w:rsidR="00EF1647" w:rsidRPr="0020088D">
        <w:rPr>
          <w:lang w:val="bg-BG"/>
        </w:rPr>
        <w:t xml:space="preserve">обност за определяне на общата </w:t>
      </w:r>
      <w:r w:rsidR="004D0770" w:rsidRPr="0020088D">
        <w:rPr>
          <w:lang w:val="bg-BG"/>
        </w:rPr>
        <w:t xml:space="preserve">политика или програма на институционалната единица. Дефиницията за „пазарен производител” </w:t>
      </w:r>
      <w:r w:rsidR="004F331B" w:rsidRPr="0020088D">
        <w:rPr>
          <w:lang w:val="bg-BG"/>
        </w:rPr>
        <w:t>зависи от</w:t>
      </w:r>
      <w:r w:rsidR="005A740F" w:rsidRPr="0020088D">
        <w:rPr>
          <w:lang w:val="bg-BG"/>
        </w:rPr>
        <w:t xml:space="preserve"> отделна оценка </w:t>
      </w:r>
      <w:r w:rsidR="004F331B" w:rsidRPr="0020088D">
        <w:rPr>
          <w:lang w:val="bg-BG"/>
        </w:rPr>
        <w:t>за това дали</w:t>
      </w:r>
      <w:r w:rsidR="005A740F" w:rsidRPr="0020088D">
        <w:rPr>
          <w:lang w:val="bg-BG"/>
        </w:rPr>
        <w:t xml:space="preserve"> институционалната единица начислява или не начислява „икономически значими цени”.</w:t>
      </w:r>
      <w:r w:rsidR="003D0231" w:rsidRPr="0020088D">
        <w:rPr>
          <w:lang w:val="bg-BG"/>
        </w:rPr>
        <w:t xml:space="preserve">” </w:t>
      </w:r>
    </w:p>
    <w:p w:rsidR="003D0231" w:rsidRPr="0020088D" w:rsidRDefault="004F331B" w:rsidP="003D0231">
      <w:pPr>
        <w:pStyle w:val="Heading3"/>
        <w:rPr>
          <w:lang w:val="bg-BG"/>
        </w:rPr>
      </w:pPr>
      <w:r w:rsidRPr="0020088D">
        <w:rPr>
          <w:lang w:val="bg-BG"/>
        </w:rPr>
        <w:t>Степен на собственост</w:t>
      </w:r>
      <w:r w:rsidR="003D0231" w:rsidRPr="0020088D">
        <w:rPr>
          <w:lang w:val="bg-BG"/>
        </w:rPr>
        <w:t xml:space="preserve"> </w:t>
      </w:r>
    </w:p>
    <w:p w:rsidR="003D0231" w:rsidRPr="0020088D" w:rsidRDefault="00C00D52" w:rsidP="0012216D">
      <w:pPr>
        <w:pStyle w:val="BodyText"/>
        <w:rPr>
          <w:lang w:val="bg-BG"/>
        </w:rPr>
      </w:pPr>
      <w:r w:rsidRPr="0020088D">
        <w:rPr>
          <w:b/>
          <w:lang w:val="bg-BG" w:eastAsia="bg-BG"/>
        </w:rPr>
        <w:t>Предприятия с мажоритарно държавно участие</w:t>
      </w:r>
      <w:r w:rsidRPr="0020088D">
        <w:rPr>
          <w:lang w:val="bg-BG"/>
        </w:rPr>
        <w:t xml:space="preserve"> включват всички предприятия, в които държавата притежава над </w:t>
      </w:r>
      <w:r w:rsidR="003D0231" w:rsidRPr="0020088D">
        <w:rPr>
          <w:lang w:val="bg-BG"/>
        </w:rPr>
        <w:t xml:space="preserve">50 </w:t>
      </w:r>
      <w:r w:rsidRPr="0020088D">
        <w:rPr>
          <w:lang w:val="bg-BG"/>
        </w:rPr>
        <w:t xml:space="preserve">процента от </w:t>
      </w:r>
      <w:r w:rsidR="00E44E44" w:rsidRPr="0020088D">
        <w:rPr>
          <w:lang w:val="bg-BG"/>
        </w:rPr>
        <w:t>акциите или по друг начин</w:t>
      </w:r>
      <w:r w:rsidRPr="0020088D">
        <w:rPr>
          <w:lang w:val="bg-BG"/>
        </w:rPr>
        <w:t xml:space="preserve"> упражнява действителен  контрол.</w:t>
      </w:r>
      <w:r w:rsidR="003D0231" w:rsidRPr="0020088D">
        <w:rPr>
          <w:lang w:val="bg-BG"/>
        </w:rPr>
        <w:t xml:space="preserve"> </w:t>
      </w:r>
      <w:r w:rsidR="00E44E44" w:rsidRPr="0020088D">
        <w:rPr>
          <w:lang w:val="bg-BG"/>
        </w:rPr>
        <w:t>От р</w:t>
      </w:r>
      <w:r w:rsidR="00DB4E8D" w:rsidRPr="0020088D">
        <w:rPr>
          <w:lang w:val="bg-BG"/>
        </w:rPr>
        <w:t>еспондентите</w:t>
      </w:r>
      <w:r w:rsidR="003D0231" w:rsidRPr="0020088D">
        <w:rPr>
          <w:lang w:val="bg-BG"/>
        </w:rPr>
        <w:t xml:space="preserve"> </w:t>
      </w:r>
      <w:r w:rsidR="00E44E44" w:rsidRPr="0020088D">
        <w:rPr>
          <w:lang w:val="bg-BG"/>
        </w:rPr>
        <w:t>се очаква да следват  дефиницията на ЕС,  която в действителност  включва случаи, в които правителството</w:t>
      </w:r>
      <w:r w:rsidR="003D0231" w:rsidRPr="0020088D">
        <w:rPr>
          <w:lang w:val="bg-BG"/>
        </w:rPr>
        <w:t xml:space="preserve">: (i) </w:t>
      </w:r>
      <w:r w:rsidR="00E44E44" w:rsidRPr="0020088D">
        <w:rPr>
          <w:lang w:val="bg-BG"/>
        </w:rPr>
        <w:t>държи по-голямата част от записания капитал на предприятието</w:t>
      </w:r>
      <w:r w:rsidR="003D0231" w:rsidRPr="0020088D">
        <w:rPr>
          <w:lang w:val="bg-BG"/>
        </w:rPr>
        <w:t xml:space="preserve">; </w:t>
      </w:r>
      <w:r w:rsidR="00E44E44" w:rsidRPr="0020088D">
        <w:rPr>
          <w:lang w:val="bg-BG"/>
        </w:rPr>
        <w:t>или</w:t>
      </w:r>
      <w:r w:rsidR="003D0231" w:rsidRPr="0020088D">
        <w:rPr>
          <w:lang w:val="bg-BG"/>
        </w:rPr>
        <w:t xml:space="preserve"> (ii)</w:t>
      </w:r>
      <w:r w:rsidR="00E44E44" w:rsidRPr="0020088D">
        <w:rPr>
          <w:lang w:val="bg-BG"/>
        </w:rPr>
        <w:t xml:space="preserve"> контролира </w:t>
      </w:r>
      <w:r w:rsidR="003D0231" w:rsidRPr="0020088D">
        <w:rPr>
          <w:lang w:val="bg-BG"/>
        </w:rPr>
        <w:t xml:space="preserve"> </w:t>
      </w:r>
      <w:r w:rsidR="00E44E44" w:rsidRPr="0020088D">
        <w:rPr>
          <w:lang w:val="bg-BG"/>
        </w:rPr>
        <w:t xml:space="preserve">по-голямата част от гласовете, припадащи се на емитираните то предприятието акции; или </w:t>
      </w:r>
      <w:r w:rsidR="003D0231" w:rsidRPr="0020088D">
        <w:rPr>
          <w:lang w:val="bg-BG"/>
        </w:rPr>
        <w:t xml:space="preserve">(iii) </w:t>
      </w:r>
      <w:r w:rsidR="00E44E44" w:rsidRPr="0020088D">
        <w:rPr>
          <w:lang w:val="bg-BG"/>
        </w:rPr>
        <w:t>може да назначи повече от половината от членовете на административен,  ръководени или надзорен орган на предприятието.”</w:t>
      </w:r>
      <w:r w:rsidR="003D0231" w:rsidRPr="0020088D">
        <w:rPr>
          <w:lang w:val="bg-BG"/>
        </w:rPr>
        <w:t xml:space="preserve">  </w:t>
      </w:r>
    </w:p>
    <w:p w:rsidR="003D0231" w:rsidRPr="0020088D" w:rsidRDefault="00E44E44" w:rsidP="0012216D">
      <w:pPr>
        <w:pStyle w:val="BodyText"/>
        <w:rPr>
          <w:lang w:val="bg-BG"/>
        </w:rPr>
      </w:pPr>
      <w:r w:rsidRPr="0020088D">
        <w:rPr>
          <w:b/>
          <w:lang w:val="bg-BG" w:eastAsia="bg-BG"/>
        </w:rPr>
        <w:t>Предприятия с миноритарно държавно участие</w:t>
      </w:r>
      <w:r w:rsidRPr="0020088D">
        <w:rPr>
          <w:lang w:val="bg-BG"/>
        </w:rPr>
        <w:t xml:space="preserve"> ще включват всички </w:t>
      </w:r>
      <w:r w:rsidR="00C00D52" w:rsidRPr="0020088D">
        <w:rPr>
          <w:lang w:val="bg-BG"/>
        </w:rPr>
        <w:t>предприятия</w:t>
      </w:r>
      <w:r w:rsidRPr="0020088D">
        <w:rPr>
          <w:lang w:val="bg-BG"/>
        </w:rPr>
        <w:t xml:space="preserve">, в които държавата държи между </w:t>
      </w:r>
      <w:r w:rsidR="003D0231" w:rsidRPr="0020088D">
        <w:rPr>
          <w:lang w:val="bg-BG"/>
        </w:rPr>
        <w:t xml:space="preserve">10 </w:t>
      </w:r>
      <w:r w:rsidRPr="0020088D">
        <w:rPr>
          <w:lang w:val="bg-BG"/>
        </w:rPr>
        <w:t xml:space="preserve">и </w:t>
      </w:r>
      <w:r w:rsidR="003D0231" w:rsidRPr="0020088D">
        <w:rPr>
          <w:lang w:val="bg-BG"/>
        </w:rPr>
        <w:t xml:space="preserve">50 </w:t>
      </w:r>
      <w:r w:rsidRPr="0020088D">
        <w:rPr>
          <w:lang w:val="bg-BG"/>
        </w:rPr>
        <w:t>процента от обикновения акци</w:t>
      </w:r>
      <w:r w:rsidR="009D1C96" w:rsidRPr="0020088D">
        <w:rPr>
          <w:lang w:val="bg-BG"/>
        </w:rPr>
        <w:t>онерен капитал</w:t>
      </w:r>
      <w:r w:rsidRPr="0020088D">
        <w:rPr>
          <w:lang w:val="bg-BG"/>
        </w:rPr>
        <w:t xml:space="preserve"> или от правата на глас </w:t>
      </w:r>
      <w:r w:rsidR="003D0231" w:rsidRPr="0020088D">
        <w:rPr>
          <w:lang w:val="bg-BG"/>
        </w:rPr>
        <w:t>(</w:t>
      </w:r>
      <w:r w:rsidR="009D1C96" w:rsidRPr="0020088D">
        <w:rPr>
          <w:lang w:val="bg-BG"/>
        </w:rPr>
        <w:t>използвайки подобна дефиниция на горната</w:t>
      </w:r>
      <w:r w:rsidR="003D0231" w:rsidRPr="0020088D">
        <w:rPr>
          <w:lang w:val="bg-BG"/>
        </w:rPr>
        <w:t xml:space="preserve">). </w:t>
      </w:r>
      <w:r w:rsidR="009D1C96" w:rsidRPr="0020088D">
        <w:rPr>
          <w:lang w:val="bg-BG"/>
        </w:rPr>
        <w:t xml:space="preserve">Всички дружества, в които държавата притежава по-голямата част от акциите или гласовете, се смятат за „контролирани” или ДП. </w:t>
      </w:r>
      <w:r w:rsidR="003D0231" w:rsidRPr="0020088D">
        <w:rPr>
          <w:lang w:val="bg-BG"/>
        </w:rPr>
        <w:t xml:space="preserve"> </w:t>
      </w:r>
      <w:r w:rsidR="009D1C96" w:rsidRPr="0020088D">
        <w:rPr>
          <w:lang w:val="bg-BG"/>
        </w:rPr>
        <w:t xml:space="preserve">Дружества, в които държавата притежава между </w:t>
      </w:r>
      <w:r w:rsidR="003D0231" w:rsidRPr="0020088D">
        <w:rPr>
          <w:lang w:val="bg-BG"/>
        </w:rPr>
        <w:t xml:space="preserve">10 </w:t>
      </w:r>
      <w:r w:rsidR="009D1C96" w:rsidRPr="0020088D">
        <w:rPr>
          <w:lang w:val="bg-BG"/>
        </w:rPr>
        <w:t xml:space="preserve">и </w:t>
      </w:r>
      <w:r w:rsidR="003D0231" w:rsidRPr="0020088D">
        <w:rPr>
          <w:lang w:val="bg-BG"/>
        </w:rPr>
        <w:t xml:space="preserve">50 </w:t>
      </w:r>
      <w:r w:rsidR="009D1C96" w:rsidRPr="0020088D">
        <w:rPr>
          <w:lang w:val="bg-BG"/>
        </w:rPr>
        <w:t xml:space="preserve">процента от акциите или гласовете, се считат за частични държавни </w:t>
      </w:r>
      <w:r w:rsidR="00C00D52" w:rsidRPr="0020088D">
        <w:rPr>
          <w:lang w:val="bg-BG"/>
        </w:rPr>
        <w:t>предприятия</w:t>
      </w:r>
      <w:r w:rsidR="003D0231" w:rsidRPr="0020088D">
        <w:rPr>
          <w:lang w:val="bg-BG"/>
        </w:rPr>
        <w:t xml:space="preserve"> </w:t>
      </w:r>
      <w:r w:rsidR="009F5967" w:rsidRPr="0020088D">
        <w:rPr>
          <w:lang w:val="bg-BG"/>
        </w:rPr>
        <w:t>(</w:t>
      </w:r>
      <w:r w:rsidR="009D1C96" w:rsidRPr="0020088D">
        <w:rPr>
          <w:lang w:val="bg-BG"/>
        </w:rPr>
        <w:t>ЧДП</w:t>
      </w:r>
      <w:r w:rsidR="009F5967" w:rsidRPr="0020088D">
        <w:rPr>
          <w:lang w:val="bg-BG"/>
        </w:rPr>
        <w:t>)</w:t>
      </w:r>
      <w:r w:rsidR="003D0231" w:rsidRPr="0020088D">
        <w:rPr>
          <w:lang w:val="bg-BG"/>
        </w:rPr>
        <w:t xml:space="preserve">. </w:t>
      </w:r>
    </w:p>
    <w:p w:rsidR="003D0231" w:rsidRPr="0020088D" w:rsidRDefault="00A8284D" w:rsidP="0012216D">
      <w:pPr>
        <w:pStyle w:val="BodyText"/>
        <w:rPr>
          <w:lang w:val="bg-BG"/>
        </w:rPr>
      </w:pPr>
      <w:r w:rsidRPr="0020088D">
        <w:rPr>
          <w:lang w:val="bg-BG"/>
        </w:rPr>
        <w:t xml:space="preserve">Важно е да се </w:t>
      </w:r>
      <w:r w:rsidR="00866134" w:rsidRPr="0020088D">
        <w:rPr>
          <w:lang w:val="bg-BG"/>
        </w:rPr>
        <w:t>уточни</w:t>
      </w:r>
      <w:r w:rsidRPr="0020088D">
        <w:rPr>
          <w:lang w:val="bg-BG"/>
        </w:rPr>
        <w:t xml:space="preserve">, че </w:t>
      </w:r>
      <w:r w:rsidR="00866134" w:rsidRPr="0020088D">
        <w:rPr>
          <w:lang w:val="bg-BG"/>
        </w:rPr>
        <w:t>в горния текст</w:t>
      </w:r>
      <w:r w:rsidRPr="0020088D">
        <w:rPr>
          <w:lang w:val="bg-BG"/>
        </w:rPr>
        <w:t xml:space="preserve"> относно „друга публична единица” </w:t>
      </w:r>
      <w:r w:rsidR="00866134" w:rsidRPr="0020088D">
        <w:rPr>
          <w:lang w:val="bg-BG"/>
        </w:rPr>
        <w:t xml:space="preserve">се има предвид, че се прилагат праговете от </w:t>
      </w:r>
      <w:r w:rsidR="003D0231" w:rsidRPr="0020088D">
        <w:rPr>
          <w:lang w:val="bg-BG"/>
        </w:rPr>
        <w:t xml:space="preserve">50 </w:t>
      </w:r>
      <w:r w:rsidR="00866134" w:rsidRPr="0020088D">
        <w:rPr>
          <w:lang w:val="bg-BG"/>
        </w:rPr>
        <w:t xml:space="preserve">и </w:t>
      </w:r>
      <w:r w:rsidR="003D0231" w:rsidRPr="0020088D">
        <w:rPr>
          <w:lang w:val="bg-BG"/>
        </w:rPr>
        <w:t xml:space="preserve">10 </w:t>
      </w:r>
      <w:r w:rsidR="00866134" w:rsidRPr="0020088D">
        <w:rPr>
          <w:lang w:val="bg-BG"/>
        </w:rPr>
        <w:t xml:space="preserve">процента както към преките, така и към косвените участия. Например, дъщерни дружества на ДП </w:t>
      </w:r>
      <w:r w:rsidR="00866134" w:rsidRPr="0020088D">
        <w:rPr>
          <w:lang w:val="bg-BG" w:eastAsia="bg-BG"/>
        </w:rPr>
        <w:t>с мажоритарно държавно участие</w:t>
      </w:r>
      <w:r w:rsidR="00866134" w:rsidRPr="0020088D">
        <w:rPr>
          <w:lang w:val="bg-BG"/>
        </w:rPr>
        <w:t xml:space="preserve"> също се считат за ДП. Освен това, акциите за собственост следва да се консолидират за целия държавен сектор. Например,  ако п</w:t>
      </w:r>
      <w:r w:rsidR="00866134" w:rsidRPr="0020088D">
        <w:rPr>
          <w:lang w:val="bg-BG" w:eastAsia="bg-BG"/>
        </w:rPr>
        <w:t>редприятие с мажоритарно държавно участие</w:t>
      </w:r>
      <w:r w:rsidR="00866134" w:rsidRPr="0020088D">
        <w:rPr>
          <w:lang w:val="bg-BG"/>
        </w:rPr>
        <w:t xml:space="preserve"> притежава </w:t>
      </w:r>
      <w:r w:rsidR="003D0231" w:rsidRPr="0020088D">
        <w:rPr>
          <w:lang w:val="bg-BG"/>
        </w:rPr>
        <w:t xml:space="preserve">25 </w:t>
      </w:r>
      <w:r w:rsidR="00866134" w:rsidRPr="0020088D">
        <w:rPr>
          <w:lang w:val="bg-BG"/>
        </w:rPr>
        <w:t xml:space="preserve">процента от дружество </w:t>
      </w:r>
      <w:r w:rsidR="003D0231" w:rsidRPr="0020088D">
        <w:rPr>
          <w:lang w:val="bg-BG"/>
        </w:rPr>
        <w:t>X</w:t>
      </w:r>
      <w:r w:rsidR="00866134" w:rsidRPr="0020088D">
        <w:rPr>
          <w:lang w:val="bg-BG"/>
        </w:rPr>
        <w:t xml:space="preserve"> и държавата притежава </w:t>
      </w:r>
      <w:r w:rsidR="003D0231" w:rsidRPr="0020088D">
        <w:rPr>
          <w:lang w:val="bg-BG"/>
        </w:rPr>
        <w:t xml:space="preserve">30 </w:t>
      </w:r>
      <w:r w:rsidR="00866134" w:rsidRPr="0020088D">
        <w:rPr>
          <w:lang w:val="bg-BG"/>
        </w:rPr>
        <w:t xml:space="preserve">процента от дружество </w:t>
      </w:r>
      <w:r w:rsidR="003D0231" w:rsidRPr="0020088D">
        <w:rPr>
          <w:lang w:val="bg-BG"/>
        </w:rPr>
        <w:t>X</w:t>
      </w:r>
      <w:r w:rsidR="00866134" w:rsidRPr="0020088D">
        <w:rPr>
          <w:lang w:val="bg-BG"/>
        </w:rPr>
        <w:t xml:space="preserve">, тогава държавната собственост от това дружество се счита за </w:t>
      </w:r>
      <w:r w:rsidR="003D0231" w:rsidRPr="0020088D">
        <w:rPr>
          <w:lang w:val="bg-BG"/>
        </w:rPr>
        <w:t xml:space="preserve">55 </w:t>
      </w:r>
      <w:r w:rsidR="00866134" w:rsidRPr="0020088D">
        <w:rPr>
          <w:lang w:val="bg-BG"/>
        </w:rPr>
        <w:t xml:space="preserve">процента и то се счита за ДП. </w:t>
      </w:r>
      <w:r w:rsidR="003D0231" w:rsidRPr="0020088D">
        <w:rPr>
          <w:lang w:val="bg-BG"/>
        </w:rPr>
        <w:t xml:space="preserve"> </w:t>
      </w:r>
    </w:p>
    <w:p w:rsidR="003D0231" w:rsidRPr="0020088D" w:rsidRDefault="00C00D52" w:rsidP="00AD5E1B">
      <w:pPr>
        <w:pStyle w:val="BodyText"/>
        <w:rPr>
          <w:lang w:val="bg-BG"/>
        </w:rPr>
      </w:pPr>
      <w:r w:rsidRPr="0020088D">
        <w:rPr>
          <w:lang w:val="bg-BG"/>
        </w:rPr>
        <w:t>Предприятия</w:t>
      </w:r>
      <w:r w:rsidR="00AD5E1B" w:rsidRPr="0020088D">
        <w:rPr>
          <w:lang w:val="bg-BG"/>
        </w:rPr>
        <w:t xml:space="preserve">, в които държавата и поднационални равнища на управление съвместно притежават по-голямата част от акциите, също могат – по преценка на респондента в този въпросник </w:t>
      </w:r>
      <w:r w:rsidR="002B4DF4" w:rsidRPr="0020088D">
        <w:rPr>
          <w:lang w:val="bg-BG"/>
        </w:rPr>
        <w:t xml:space="preserve"> </w:t>
      </w:r>
      <w:r w:rsidR="003D0231" w:rsidRPr="0020088D">
        <w:rPr>
          <w:lang w:val="bg-BG"/>
        </w:rPr>
        <w:t xml:space="preserve">– </w:t>
      </w:r>
      <w:r w:rsidR="00AD5E1B" w:rsidRPr="0020088D">
        <w:rPr>
          <w:lang w:val="bg-BG"/>
        </w:rPr>
        <w:t xml:space="preserve"> да бъдат отчетени като ДП. </w:t>
      </w:r>
      <w:r w:rsidR="002B4DF4" w:rsidRPr="0020088D">
        <w:rPr>
          <w:lang w:val="bg-BG"/>
        </w:rPr>
        <w:t xml:space="preserve">Тест за това дали тези </w:t>
      </w:r>
      <w:r w:rsidRPr="0020088D">
        <w:rPr>
          <w:lang w:val="bg-BG"/>
        </w:rPr>
        <w:t>предприятия</w:t>
      </w:r>
      <w:r w:rsidR="003D0231" w:rsidRPr="0020088D">
        <w:rPr>
          <w:lang w:val="bg-BG"/>
        </w:rPr>
        <w:t xml:space="preserve"> </w:t>
      </w:r>
      <w:r w:rsidR="002B4DF4" w:rsidRPr="0020088D">
        <w:rPr>
          <w:lang w:val="bg-BG"/>
        </w:rPr>
        <w:t xml:space="preserve">да бъдат считани за ДП може да бъде проверката дали държавата действа като </w:t>
      </w:r>
      <w:r w:rsidR="006371A3" w:rsidRPr="0020088D">
        <w:rPr>
          <w:lang w:val="bg-BG"/>
        </w:rPr>
        <w:t xml:space="preserve">„скрит съдружник” или използва своя дял собственост за упражняване на реално влияние. </w:t>
      </w:r>
      <w:r w:rsidR="003D0231" w:rsidRPr="0020088D">
        <w:rPr>
          <w:lang w:val="bg-BG"/>
        </w:rPr>
        <w:t xml:space="preserve"> </w:t>
      </w:r>
    </w:p>
    <w:p w:rsidR="003D0231" w:rsidRPr="0020088D" w:rsidRDefault="006371A3" w:rsidP="003D0231">
      <w:pPr>
        <w:pStyle w:val="Heading3"/>
        <w:rPr>
          <w:lang w:val="bg-BG"/>
        </w:rPr>
      </w:pPr>
      <w:r w:rsidRPr="0020088D">
        <w:rPr>
          <w:lang w:val="bg-BG"/>
        </w:rPr>
        <w:t>Корпоративна форма</w:t>
      </w:r>
      <w:r w:rsidR="005A427A" w:rsidRPr="0020088D">
        <w:rPr>
          <w:lang w:val="bg-BG"/>
        </w:rPr>
        <w:t xml:space="preserve"> </w:t>
      </w:r>
    </w:p>
    <w:p w:rsidR="003D0231" w:rsidRPr="0020088D" w:rsidRDefault="006371A3" w:rsidP="006371A3">
      <w:pPr>
        <w:pStyle w:val="BodyText"/>
        <w:rPr>
          <w:lang w:val="bg-BG"/>
        </w:rPr>
      </w:pPr>
      <w:r w:rsidRPr="0020088D">
        <w:rPr>
          <w:lang w:val="bg-BG"/>
        </w:rPr>
        <w:t xml:space="preserve">Корпоративните форми на ДП се определят от национални рамки и при представяне на разбивка от </w:t>
      </w:r>
      <w:r w:rsidR="00DB4E8D" w:rsidRPr="0020088D">
        <w:rPr>
          <w:lang w:val="bg-BG"/>
        </w:rPr>
        <w:t>респондентите</w:t>
      </w:r>
      <w:r w:rsidR="003D0231" w:rsidRPr="0020088D">
        <w:rPr>
          <w:lang w:val="bg-BG"/>
        </w:rPr>
        <w:t xml:space="preserve"> </w:t>
      </w:r>
      <w:r w:rsidRPr="0020088D">
        <w:rPr>
          <w:lang w:val="bg-BG"/>
        </w:rPr>
        <w:t xml:space="preserve">се очаква да направят преценка. Във </w:t>
      </w:r>
      <w:r w:rsidR="00192657" w:rsidRPr="0020088D">
        <w:rPr>
          <w:lang w:val="bg-BG"/>
        </w:rPr>
        <w:t>въпросника</w:t>
      </w:r>
      <w:r w:rsidRPr="0020088D">
        <w:rPr>
          <w:lang w:val="bg-BG"/>
        </w:rPr>
        <w:t xml:space="preserve"> са използвани четири </w:t>
      </w:r>
      <w:r w:rsidRPr="0020088D">
        <w:rPr>
          <w:lang w:val="bg-BG"/>
        </w:rPr>
        <w:lastRenderedPageBreak/>
        <w:t xml:space="preserve">основни категории </w:t>
      </w:r>
      <w:r w:rsidR="00C00D52" w:rsidRPr="0020088D">
        <w:rPr>
          <w:lang w:val="bg-BG"/>
        </w:rPr>
        <w:t>предприятия</w:t>
      </w:r>
      <w:r w:rsidR="003D0231" w:rsidRPr="0020088D">
        <w:rPr>
          <w:lang w:val="bg-BG"/>
        </w:rPr>
        <w:t xml:space="preserve">: </w:t>
      </w:r>
      <w:r w:rsidRPr="0020088D">
        <w:rPr>
          <w:lang w:val="bg-BG"/>
        </w:rPr>
        <w:t xml:space="preserve">листвани на борсата </w:t>
      </w:r>
      <w:r w:rsidR="00C00D52" w:rsidRPr="0020088D">
        <w:rPr>
          <w:lang w:val="bg-BG"/>
        </w:rPr>
        <w:t>предприятия</w:t>
      </w:r>
      <w:r w:rsidR="003D0231" w:rsidRPr="0020088D">
        <w:rPr>
          <w:lang w:val="bg-BG"/>
        </w:rPr>
        <w:t xml:space="preserve">, </w:t>
      </w:r>
      <w:r w:rsidRPr="0020088D">
        <w:rPr>
          <w:lang w:val="bg-BG"/>
        </w:rPr>
        <w:t xml:space="preserve">нелиствани на борсата </w:t>
      </w:r>
      <w:r w:rsidR="00C00D52" w:rsidRPr="0020088D">
        <w:rPr>
          <w:lang w:val="bg-BG"/>
        </w:rPr>
        <w:t>предприятия</w:t>
      </w:r>
      <w:r w:rsidR="003D0231" w:rsidRPr="0020088D">
        <w:rPr>
          <w:lang w:val="bg-BG"/>
        </w:rPr>
        <w:t xml:space="preserve">, </w:t>
      </w:r>
      <w:r w:rsidRPr="0020088D">
        <w:rPr>
          <w:lang w:val="bg-BG" w:eastAsia="bg-BG"/>
        </w:rPr>
        <w:t>дружества, създадени със закон, и квазипредприятия</w:t>
      </w:r>
      <w:r w:rsidR="003D0231" w:rsidRPr="0020088D">
        <w:rPr>
          <w:lang w:val="bg-BG"/>
        </w:rPr>
        <w:t xml:space="preserve"> (</w:t>
      </w:r>
      <w:r w:rsidRPr="0020088D">
        <w:rPr>
          <w:lang w:val="bg-BG"/>
        </w:rPr>
        <w:t>последните две са обединени за целите на отчетността</w:t>
      </w:r>
      <w:r w:rsidR="003D0231" w:rsidRPr="0020088D">
        <w:rPr>
          <w:lang w:val="bg-BG"/>
        </w:rPr>
        <w:t xml:space="preserve">). </w:t>
      </w:r>
      <w:r w:rsidRPr="0020088D">
        <w:rPr>
          <w:lang w:val="bg-BG"/>
        </w:rPr>
        <w:t>В държави, които не предвиждат създаване на</w:t>
      </w:r>
      <w:r w:rsidR="009E4B1E" w:rsidRPr="0020088D">
        <w:rPr>
          <w:lang w:val="bg-BG"/>
        </w:rPr>
        <w:t xml:space="preserve"> публични дружества</w:t>
      </w:r>
      <w:r w:rsidRPr="0020088D">
        <w:rPr>
          <w:lang w:val="bg-BG"/>
        </w:rPr>
        <w:t xml:space="preserve"> по общото корпоративно право, но които всеобхватно, общоприложимо право, засягащо държавните </w:t>
      </w:r>
      <w:r w:rsidR="00C00D52" w:rsidRPr="0020088D">
        <w:rPr>
          <w:lang w:val="bg-BG"/>
        </w:rPr>
        <w:t>предприятия</w:t>
      </w:r>
      <w:r w:rsidR="005A427A" w:rsidRPr="0020088D">
        <w:rPr>
          <w:lang w:val="bg-BG"/>
        </w:rPr>
        <w:t xml:space="preserve">, </w:t>
      </w:r>
      <w:r w:rsidRPr="0020088D">
        <w:rPr>
          <w:lang w:val="bg-BG"/>
        </w:rPr>
        <w:t>дружествата, к</w:t>
      </w:r>
      <w:r w:rsidR="00682A27" w:rsidRPr="0020088D">
        <w:rPr>
          <w:lang w:val="bg-BG"/>
        </w:rPr>
        <w:t>оито са предмет на тези закони,</w:t>
      </w:r>
      <w:r w:rsidR="005A427A" w:rsidRPr="0020088D">
        <w:rPr>
          <w:lang w:val="bg-BG"/>
        </w:rPr>
        <w:t xml:space="preserve"> </w:t>
      </w:r>
      <w:r w:rsidRPr="0020088D">
        <w:rPr>
          <w:lang w:val="bg-BG"/>
        </w:rPr>
        <w:t>се отчитат като ДП.</w:t>
      </w:r>
    </w:p>
    <w:p w:rsidR="003D0231" w:rsidRPr="0020088D" w:rsidRDefault="009E4B1E" w:rsidP="0012216D">
      <w:pPr>
        <w:pStyle w:val="BodyText"/>
        <w:rPr>
          <w:lang w:val="bg-BG"/>
        </w:rPr>
      </w:pPr>
      <w:r w:rsidRPr="0020088D">
        <w:rPr>
          <w:b/>
          <w:lang w:val="bg-BG"/>
        </w:rPr>
        <w:t xml:space="preserve">Листвани на борсата предприятия </w:t>
      </w:r>
      <w:r w:rsidRPr="0020088D">
        <w:rPr>
          <w:lang w:val="bg-BG"/>
        </w:rPr>
        <w:t>са</w:t>
      </w:r>
      <w:r w:rsidR="003D0231" w:rsidRPr="0020088D">
        <w:rPr>
          <w:lang w:val="bg-BG"/>
        </w:rPr>
        <w:t xml:space="preserve"> </w:t>
      </w:r>
      <w:r w:rsidR="00C00D52" w:rsidRPr="0020088D">
        <w:rPr>
          <w:lang w:val="bg-BG"/>
        </w:rPr>
        <w:t>предприятия</w:t>
      </w:r>
      <w:r w:rsidRPr="0020088D">
        <w:rPr>
          <w:lang w:val="bg-BG"/>
        </w:rPr>
        <w:t xml:space="preserve">, чийто акции се котират на фондова борса или се предлагат </w:t>
      </w:r>
      <w:r w:rsidR="002E7D76" w:rsidRPr="0020088D">
        <w:rPr>
          <w:lang w:val="bg-BG"/>
        </w:rPr>
        <w:t xml:space="preserve">публично </w:t>
      </w:r>
      <w:r w:rsidRPr="0020088D">
        <w:rPr>
          <w:lang w:val="bg-BG"/>
        </w:rPr>
        <w:t xml:space="preserve">по друг начин. </w:t>
      </w:r>
    </w:p>
    <w:p w:rsidR="002860D0" w:rsidRPr="0020088D" w:rsidRDefault="002860D0" w:rsidP="0012216D">
      <w:pPr>
        <w:pStyle w:val="BodyText"/>
        <w:rPr>
          <w:lang w:val="bg-BG"/>
        </w:rPr>
      </w:pPr>
      <w:r w:rsidRPr="0020088D">
        <w:rPr>
          <w:b/>
          <w:lang w:val="bg-BG"/>
        </w:rPr>
        <w:t xml:space="preserve">Листвани на борсата ДП </w:t>
      </w:r>
      <w:r w:rsidRPr="0020088D">
        <w:rPr>
          <w:lang w:val="bg-BG"/>
        </w:rPr>
        <w:t>са ДП, чийто акции не се тър</w:t>
      </w:r>
      <w:r w:rsidR="00D37CC9" w:rsidRPr="0020088D">
        <w:rPr>
          <w:lang w:val="bg-BG"/>
        </w:rPr>
        <w:t xml:space="preserve">гуват публично, но които са създадени съгласно </w:t>
      </w:r>
      <w:r w:rsidRPr="0020088D">
        <w:rPr>
          <w:lang w:val="bg-BG"/>
        </w:rPr>
        <w:t xml:space="preserve">общото корпоративно право. </w:t>
      </w:r>
    </w:p>
    <w:p w:rsidR="003D0231" w:rsidRPr="0020088D" w:rsidRDefault="008D74BF" w:rsidP="0012216D">
      <w:pPr>
        <w:pStyle w:val="BodyText"/>
        <w:rPr>
          <w:lang w:val="bg-BG"/>
        </w:rPr>
      </w:pPr>
      <w:r w:rsidRPr="0020088D">
        <w:rPr>
          <w:b/>
          <w:lang w:val="bg-BG" w:eastAsia="bg-BG"/>
        </w:rPr>
        <w:t>Дружества, създаден</w:t>
      </w:r>
      <w:r w:rsidR="00D37CC9" w:rsidRPr="0020088D">
        <w:rPr>
          <w:b/>
          <w:lang w:val="bg-BG" w:eastAsia="bg-BG"/>
        </w:rPr>
        <w:t>и</w:t>
      </w:r>
      <w:r w:rsidRPr="0020088D">
        <w:rPr>
          <w:b/>
          <w:lang w:val="bg-BG" w:eastAsia="bg-BG"/>
        </w:rPr>
        <w:t xml:space="preserve"> със закон</w:t>
      </w:r>
      <w:r w:rsidR="00D37CC9" w:rsidRPr="0020088D">
        <w:rPr>
          <w:lang w:val="bg-BG" w:eastAsia="bg-BG"/>
        </w:rPr>
        <w:t>,</w:t>
      </w:r>
      <w:r w:rsidRPr="0020088D">
        <w:rPr>
          <w:b/>
          <w:lang w:val="bg-BG"/>
        </w:rPr>
        <w:t xml:space="preserve"> </w:t>
      </w:r>
      <w:r w:rsidR="00D37CC9" w:rsidRPr="0020088D">
        <w:rPr>
          <w:lang w:val="bg-BG"/>
        </w:rPr>
        <w:t>са</w:t>
      </w:r>
      <w:r w:rsidR="00D37CC9" w:rsidRPr="0020088D">
        <w:rPr>
          <w:b/>
          <w:lang w:val="bg-BG"/>
        </w:rPr>
        <w:t xml:space="preserve"> </w:t>
      </w:r>
      <w:r w:rsidR="00D37CC9" w:rsidRPr="0020088D">
        <w:rPr>
          <w:lang w:val="bg-BG"/>
        </w:rPr>
        <w:t>търговски субекти, които са предмет на своя собствена специфична правна рамка, извън общото корпоративно право</w:t>
      </w:r>
      <w:r w:rsidR="003D0231" w:rsidRPr="0020088D">
        <w:rPr>
          <w:lang w:val="bg-BG"/>
        </w:rPr>
        <w:t xml:space="preserve">. </w:t>
      </w:r>
    </w:p>
    <w:p w:rsidR="003D0231" w:rsidRPr="0020088D" w:rsidRDefault="00D37CC9" w:rsidP="004D403E">
      <w:pPr>
        <w:pStyle w:val="BodyText"/>
        <w:rPr>
          <w:lang w:val="bg-BG"/>
        </w:rPr>
      </w:pPr>
      <w:r w:rsidRPr="0020088D">
        <w:rPr>
          <w:b/>
          <w:lang w:val="bg-BG"/>
        </w:rPr>
        <w:t>Квазипредприятия</w:t>
      </w:r>
      <w:r w:rsidR="003D0231" w:rsidRPr="0020088D">
        <w:rPr>
          <w:lang w:val="bg-BG"/>
        </w:rPr>
        <w:t xml:space="preserve"> </w:t>
      </w:r>
      <w:r w:rsidRPr="0020088D">
        <w:rPr>
          <w:lang w:val="bg-BG"/>
        </w:rPr>
        <w:t>са автономни търговски дейности, извършвани в рамките на сектор”Държавно управление” без специална правна рамка. Те начисляват  икономически  значими цени  и са защитени от  други части на публичния сектор</w:t>
      </w:r>
      <w:r w:rsidR="003D0231" w:rsidRPr="0020088D">
        <w:rPr>
          <w:lang w:val="bg-BG"/>
        </w:rPr>
        <w:t xml:space="preserve"> </w:t>
      </w:r>
      <w:r w:rsidR="004D7026" w:rsidRPr="0020088D">
        <w:rPr>
          <w:lang w:val="bg-BG"/>
        </w:rPr>
        <w:t xml:space="preserve">наред с останалото и чрез </w:t>
      </w:r>
      <w:r w:rsidR="004D403E" w:rsidRPr="0020088D">
        <w:rPr>
          <w:lang w:val="bg-BG"/>
        </w:rPr>
        <w:t>разделени активи и пасиви. В Приложение 1 е дадена пълна дефиниция съгласно</w:t>
      </w:r>
      <w:r w:rsidR="003C640F" w:rsidRPr="0020088D">
        <w:rPr>
          <w:lang w:val="bg-BG"/>
        </w:rPr>
        <w:t xml:space="preserve"> </w:t>
      </w:r>
      <w:r w:rsidR="004D403E" w:rsidRPr="0020088D">
        <w:rPr>
          <w:lang w:val="bg-BG"/>
        </w:rPr>
        <w:t xml:space="preserve">Системата на националните сметки </w:t>
      </w:r>
      <w:r w:rsidR="003C640F" w:rsidRPr="0020088D">
        <w:rPr>
          <w:lang w:val="bg-BG"/>
        </w:rPr>
        <w:t>(</w:t>
      </w:r>
      <w:r w:rsidR="004D403E" w:rsidRPr="0020088D">
        <w:rPr>
          <w:lang w:val="bg-BG"/>
        </w:rPr>
        <w:t>СНС</w:t>
      </w:r>
      <w:r w:rsidR="003C640F" w:rsidRPr="0020088D">
        <w:rPr>
          <w:lang w:val="bg-BG"/>
        </w:rPr>
        <w:t xml:space="preserve">). </w:t>
      </w:r>
    </w:p>
    <w:p w:rsidR="003D0231" w:rsidRPr="0020088D" w:rsidRDefault="004D403E" w:rsidP="003D0231">
      <w:pPr>
        <w:pStyle w:val="Heading3"/>
        <w:rPr>
          <w:lang w:val="bg-BG"/>
        </w:rPr>
      </w:pPr>
      <w:r w:rsidRPr="0020088D">
        <w:rPr>
          <w:lang w:val="bg-BG"/>
        </w:rPr>
        <w:t xml:space="preserve">Брой </w:t>
      </w:r>
      <w:r w:rsidR="00C00D52" w:rsidRPr="0020088D">
        <w:rPr>
          <w:lang w:val="bg-BG"/>
        </w:rPr>
        <w:t>предприятия</w:t>
      </w:r>
      <w:r w:rsidR="003D0231" w:rsidRPr="0020088D">
        <w:rPr>
          <w:lang w:val="bg-BG"/>
        </w:rPr>
        <w:t xml:space="preserve"> </w:t>
      </w:r>
      <w:r w:rsidRPr="0020088D">
        <w:rPr>
          <w:lang w:val="bg-BG"/>
        </w:rPr>
        <w:t>и метод на оценка</w:t>
      </w:r>
    </w:p>
    <w:p w:rsidR="003D0231" w:rsidRPr="0020088D" w:rsidRDefault="004D403E" w:rsidP="004D403E">
      <w:pPr>
        <w:pStyle w:val="BodyText"/>
        <w:rPr>
          <w:lang w:val="bg-BG"/>
        </w:rPr>
      </w:pPr>
      <w:r w:rsidRPr="0020088D">
        <w:rPr>
          <w:lang w:val="bg-BG"/>
        </w:rPr>
        <w:t>Стойността на дружествата следва да се от</w:t>
      </w:r>
      <w:r w:rsidR="009543A3" w:rsidRPr="0020088D">
        <w:rPr>
          <w:lang w:val="bg-BG"/>
        </w:rPr>
        <w:t>ч</w:t>
      </w:r>
      <w:r w:rsidRPr="0020088D">
        <w:rPr>
          <w:lang w:val="bg-BG"/>
        </w:rPr>
        <w:t xml:space="preserve">ита на </w:t>
      </w:r>
      <w:r w:rsidRPr="0020088D">
        <w:rPr>
          <w:b/>
          <w:lang w:val="bg-BG"/>
        </w:rPr>
        <w:t xml:space="preserve">консолидирана </w:t>
      </w:r>
      <w:r w:rsidR="009543A3" w:rsidRPr="0020088D">
        <w:rPr>
          <w:lang w:val="bg-BG"/>
        </w:rPr>
        <w:t>основа</w:t>
      </w:r>
      <w:r w:rsidR="00A83E9B" w:rsidRPr="0020088D">
        <w:rPr>
          <w:lang w:val="bg-BG"/>
        </w:rPr>
        <w:t>:</w:t>
      </w:r>
      <w:r w:rsidRPr="0020088D">
        <w:rPr>
          <w:lang w:val="bg-BG"/>
        </w:rPr>
        <w:t xml:space="preserve"> в случай на </w:t>
      </w:r>
      <w:r w:rsidR="00A83E9B" w:rsidRPr="0020088D">
        <w:rPr>
          <w:lang w:val="bg-BG"/>
        </w:rPr>
        <w:t>каскадна собственост на дружества да не се допуска двойно броене</w:t>
      </w:r>
      <w:r w:rsidR="003D0231" w:rsidRPr="0020088D">
        <w:rPr>
          <w:lang w:val="bg-BG"/>
        </w:rPr>
        <w:t xml:space="preserve">; </w:t>
      </w:r>
      <w:r w:rsidR="00A83E9B" w:rsidRPr="0020088D">
        <w:rPr>
          <w:lang w:val="bg-BG"/>
        </w:rPr>
        <w:t>и ако няколко публични единици имат акции</w:t>
      </w:r>
      <w:r w:rsidR="003D0231" w:rsidRPr="0020088D">
        <w:rPr>
          <w:lang w:val="bg-BG"/>
        </w:rPr>
        <w:t xml:space="preserve"> (</w:t>
      </w:r>
      <w:r w:rsidR="00A83E9B" w:rsidRPr="0020088D">
        <w:rPr>
          <w:lang w:val="bg-BG"/>
        </w:rPr>
        <w:t>пряко или косвено</w:t>
      </w:r>
      <w:r w:rsidR="003D0231" w:rsidRPr="0020088D">
        <w:rPr>
          <w:lang w:val="bg-BG"/>
        </w:rPr>
        <w:t xml:space="preserve">) </w:t>
      </w:r>
      <w:r w:rsidR="00A83E9B" w:rsidRPr="0020088D">
        <w:rPr>
          <w:lang w:val="bg-BG"/>
        </w:rPr>
        <w:t>в едно и също дружество, тогава акции</w:t>
      </w:r>
      <w:r w:rsidR="009543A3" w:rsidRPr="0020088D">
        <w:rPr>
          <w:lang w:val="bg-BG"/>
        </w:rPr>
        <w:t>те</w:t>
      </w:r>
      <w:r w:rsidR="00A83E9B" w:rsidRPr="0020088D">
        <w:rPr>
          <w:lang w:val="bg-BG"/>
        </w:rPr>
        <w:t xml:space="preserve"> за собственост се сумират. </w:t>
      </w:r>
      <w:r w:rsidR="003D0231" w:rsidRPr="0020088D">
        <w:rPr>
          <w:lang w:val="bg-BG"/>
        </w:rPr>
        <w:t xml:space="preserve"> </w:t>
      </w:r>
    </w:p>
    <w:p w:rsidR="003D0231" w:rsidRPr="0020088D" w:rsidRDefault="00302E2F" w:rsidP="0012216D">
      <w:pPr>
        <w:pStyle w:val="BodyText"/>
        <w:rPr>
          <w:lang w:val="bg-BG"/>
        </w:rPr>
      </w:pPr>
      <w:r w:rsidRPr="0020088D">
        <w:rPr>
          <w:lang w:val="bg-BG"/>
        </w:rPr>
        <w:t xml:space="preserve">Оценката се отнася за </w:t>
      </w:r>
      <w:r w:rsidRPr="0020088D">
        <w:rPr>
          <w:b/>
          <w:lang w:val="bg-BG"/>
        </w:rPr>
        <w:t xml:space="preserve">общата стойност на дадено дружество </w:t>
      </w:r>
      <w:r w:rsidRPr="0020088D">
        <w:rPr>
          <w:lang w:val="bg-BG"/>
        </w:rPr>
        <w:t xml:space="preserve">– дори ако публичният сектор не може да притежава </w:t>
      </w:r>
      <w:r w:rsidR="003D0231" w:rsidRPr="0020088D">
        <w:rPr>
          <w:lang w:val="bg-BG"/>
        </w:rPr>
        <w:t xml:space="preserve">100% </w:t>
      </w:r>
      <w:r w:rsidRPr="0020088D">
        <w:rPr>
          <w:lang w:val="bg-BG"/>
        </w:rPr>
        <w:t>от с</w:t>
      </w:r>
      <w:r w:rsidR="009543A3" w:rsidRPr="0020088D">
        <w:rPr>
          <w:lang w:val="bg-BG"/>
        </w:rPr>
        <w:t>воите</w:t>
      </w:r>
      <w:r w:rsidRPr="0020088D">
        <w:rPr>
          <w:lang w:val="bg-BG"/>
        </w:rPr>
        <w:t xml:space="preserve"> акции. </w:t>
      </w:r>
      <w:r w:rsidR="00192657" w:rsidRPr="0020088D">
        <w:rPr>
          <w:lang w:val="bg-BG"/>
        </w:rPr>
        <w:t xml:space="preserve">Ако, например, държавата притежава 55 процента от дружество със стойност 5 милиарда щ.д., тогава това дружество ще се счита за ДП и неговата балансова стойност е 5 милиарда щ.д. Отчетната единица е в милиони в национална валута; в случай на отклонения респондентите трябва да посочат това ясно.     </w:t>
      </w:r>
    </w:p>
    <w:p w:rsidR="003D0231" w:rsidRPr="0020088D" w:rsidRDefault="005431D3" w:rsidP="00DC6560">
      <w:pPr>
        <w:pStyle w:val="BodyText"/>
        <w:rPr>
          <w:lang w:val="bg-BG"/>
        </w:rPr>
      </w:pPr>
      <w:r w:rsidRPr="0020088D">
        <w:rPr>
          <w:lang w:val="bg-BG"/>
        </w:rPr>
        <w:t>Корпоративната оценка в идеалния случай отразява пазарната стойност на</w:t>
      </w:r>
      <w:r w:rsidR="003D0231" w:rsidRPr="0020088D">
        <w:rPr>
          <w:lang w:val="bg-BG"/>
        </w:rPr>
        <w:t xml:space="preserve"> </w:t>
      </w:r>
      <w:r w:rsidR="00C00D52" w:rsidRPr="0020088D">
        <w:rPr>
          <w:lang w:val="bg-BG"/>
        </w:rPr>
        <w:t>предприятия</w:t>
      </w:r>
      <w:r w:rsidRPr="0020088D">
        <w:rPr>
          <w:lang w:val="bg-BG"/>
        </w:rPr>
        <w:t>та. Отчитайки обаче</w:t>
      </w:r>
      <w:r w:rsidR="009543A3" w:rsidRPr="0020088D">
        <w:rPr>
          <w:lang w:val="bg-BG"/>
        </w:rPr>
        <w:t xml:space="preserve"> факта</w:t>
      </w:r>
      <w:r w:rsidR="00DC6560" w:rsidRPr="0020088D">
        <w:rPr>
          <w:lang w:val="bg-BG"/>
        </w:rPr>
        <w:t>, че</w:t>
      </w:r>
      <w:r w:rsidRPr="0020088D">
        <w:rPr>
          <w:lang w:val="bg-BG"/>
        </w:rPr>
        <w:t xml:space="preserve"> много държави имат пазарни стойности само </w:t>
      </w:r>
      <w:r w:rsidR="009543A3" w:rsidRPr="0020088D">
        <w:rPr>
          <w:lang w:val="bg-BG"/>
        </w:rPr>
        <w:t xml:space="preserve">на </w:t>
      </w:r>
      <w:r w:rsidRPr="0020088D">
        <w:rPr>
          <w:lang w:val="bg-BG"/>
        </w:rPr>
        <w:t xml:space="preserve">листвани на борсата  дружества, е предложен следният метод. В случай на листвани на борсата дружества </w:t>
      </w:r>
      <w:r w:rsidR="00DC6560" w:rsidRPr="0020088D">
        <w:rPr>
          <w:lang w:val="bg-BG"/>
        </w:rPr>
        <w:t xml:space="preserve">следва да се отчита както пазарната капитализация, така и </w:t>
      </w:r>
      <w:r w:rsidR="00B9587E" w:rsidRPr="0020088D">
        <w:rPr>
          <w:lang w:val="bg-BG"/>
        </w:rPr>
        <w:t>балансовата</w:t>
      </w:r>
      <w:r w:rsidR="00DC6560" w:rsidRPr="0020088D">
        <w:rPr>
          <w:lang w:val="bg-BG"/>
        </w:rPr>
        <w:t xml:space="preserve"> стойност на собствения капитал. В случай на нелиствани на борсата дружества се отчита </w:t>
      </w:r>
      <w:r w:rsidR="009543A3" w:rsidRPr="0020088D">
        <w:rPr>
          <w:lang w:val="bg-BG"/>
        </w:rPr>
        <w:t xml:space="preserve">балансовата стойност </w:t>
      </w:r>
      <w:r w:rsidR="00DC6560" w:rsidRPr="0020088D">
        <w:rPr>
          <w:lang w:val="bg-BG"/>
        </w:rPr>
        <w:t>на собствения капитал</w:t>
      </w:r>
      <w:r w:rsidR="003D0231" w:rsidRPr="0020088D">
        <w:rPr>
          <w:lang w:val="bg-BG"/>
        </w:rPr>
        <w:t xml:space="preserve">. </w:t>
      </w:r>
      <w:r w:rsidR="00DC6560" w:rsidRPr="0020088D">
        <w:rPr>
          <w:lang w:val="bg-BG"/>
        </w:rPr>
        <w:t>На р</w:t>
      </w:r>
      <w:r w:rsidR="00DB4E8D" w:rsidRPr="0020088D">
        <w:rPr>
          <w:lang w:val="bg-BG"/>
        </w:rPr>
        <w:t>еспонденти</w:t>
      </w:r>
      <w:r w:rsidR="00DC6560" w:rsidRPr="0020088D">
        <w:rPr>
          <w:lang w:val="bg-BG"/>
        </w:rPr>
        <w:t xml:space="preserve">, които разполагат с приблизителни оценки на пазарната стойност на нелиствани на борсата ДП, се препоръчва настоятелно да посочат и тези стойности. </w:t>
      </w:r>
      <w:r w:rsidR="003D0231" w:rsidRPr="0020088D">
        <w:rPr>
          <w:lang w:val="bg-BG"/>
        </w:rPr>
        <w:t xml:space="preserve">  </w:t>
      </w:r>
    </w:p>
    <w:p w:rsidR="003D0231" w:rsidRPr="0020088D" w:rsidRDefault="001308CC" w:rsidP="00074519">
      <w:pPr>
        <w:pStyle w:val="BodyText"/>
        <w:rPr>
          <w:lang w:val="bg-BG"/>
        </w:rPr>
      </w:pPr>
      <w:r w:rsidRPr="0020088D">
        <w:rPr>
          <w:lang w:val="bg-BG"/>
        </w:rPr>
        <w:t xml:space="preserve">Броят на държавните </w:t>
      </w:r>
      <w:r w:rsidR="00C00D52" w:rsidRPr="0020088D">
        <w:rPr>
          <w:lang w:val="bg-BG"/>
        </w:rPr>
        <w:t>предприятия</w:t>
      </w:r>
      <w:r w:rsidR="003D0231" w:rsidRPr="0020088D">
        <w:rPr>
          <w:lang w:val="bg-BG"/>
        </w:rPr>
        <w:t xml:space="preserve"> </w:t>
      </w:r>
      <w:r w:rsidR="00074519" w:rsidRPr="0020088D">
        <w:rPr>
          <w:lang w:val="bg-BG"/>
        </w:rPr>
        <w:t>се определя по преценка на респондента. Дъщерни дружества на други дружества, които са чисто „оперативни” и нямат „самостоятелна корпоративна идентичност” обикновено не се отчитат като отделни п</w:t>
      </w:r>
      <w:r w:rsidR="00C00D52" w:rsidRPr="0020088D">
        <w:rPr>
          <w:lang w:val="bg-BG"/>
        </w:rPr>
        <w:t>редприятия</w:t>
      </w:r>
      <w:r w:rsidR="003D0231" w:rsidRPr="0020088D">
        <w:rPr>
          <w:lang w:val="bg-BG"/>
        </w:rPr>
        <w:t xml:space="preserve">. </w:t>
      </w:r>
      <w:r w:rsidR="00192657" w:rsidRPr="0020088D">
        <w:rPr>
          <w:lang w:val="bg-BG"/>
        </w:rPr>
        <w:t xml:space="preserve">На практика това може да включва оценка дали тези дружества извършват корпоративни дейности, които се различават  съществено от тези на техните дружества майки. </w:t>
      </w:r>
    </w:p>
    <w:p w:rsidR="003D0231" w:rsidRPr="0020088D" w:rsidRDefault="003D0231" w:rsidP="003D0231">
      <w:pPr>
        <w:pStyle w:val="BodyText"/>
        <w:rPr>
          <w:lang w:val="bg-BG"/>
        </w:rPr>
      </w:pPr>
      <w:r w:rsidRPr="0020088D">
        <w:rPr>
          <w:lang w:val="bg-BG"/>
        </w:rPr>
        <w:t xml:space="preserve"> </w:t>
      </w:r>
    </w:p>
    <w:p w:rsidR="003D0231" w:rsidRPr="0020088D" w:rsidRDefault="003D0231" w:rsidP="003D0231">
      <w:pPr>
        <w:pStyle w:val="BodyText"/>
        <w:rPr>
          <w:lang w:val="bg-BG"/>
        </w:rPr>
      </w:pPr>
      <w:r w:rsidRPr="0020088D">
        <w:rPr>
          <w:lang w:val="bg-BG"/>
        </w:rPr>
        <w:t xml:space="preserve"> </w:t>
      </w:r>
    </w:p>
    <w:p w:rsidR="003D0231" w:rsidRPr="0020088D" w:rsidRDefault="003D0231" w:rsidP="003D0231">
      <w:pPr>
        <w:pStyle w:val="TableTitle"/>
        <w:rPr>
          <w:lang w:val="bg-BG"/>
        </w:rPr>
        <w:sectPr w:rsidR="003D0231" w:rsidRPr="0020088D" w:rsidSect="00C34EE7">
          <w:footerReference w:type="even" r:id="rId9"/>
          <w:footerReference w:type="default" r:id="rId10"/>
          <w:endnotePr>
            <w:numFmt w:val="decimal"/>
          </w:endnotePr>
          <w:pgSz w:w="11906" w:h="16838"/>
          <w:pgMar w:top="1984" w:right="1247" w:bottom="1814" w:left="1191" w:header="1247" w:footer="1247" w:gutter="0"/>
          <w:cols w:space="720"/>
          <w:docGrid w:linePitch="299"/>
        </w:sectPr>
      </w:pPr>
    </w:p>
    <w:p w:rsidR="003D0231" w:rsidRPr="0020088D" w:rsidRDefault="00A67D2D" w:rsidP="0019106C">
      <w:pPr>
        <w:pStyle w:val="Heading1"/>
        <w:spacing w:before="360" w:after="360"/>
        <w:rPr>
          <w:lang w:val="bg-BG"/>
        </w:rPr>
      </w:pPr>
      <w:r w:rsidRPr="0020088D">
        <w:rPr>
          <w:lang w:val="bg-BG"/>
        </w:rPr>
        <w:lastRenderedPageBreak/>
        <w:fldChar w:fldCharType="begin"/>
      </w:r>
      <w:r w:rsidR="003D0231" w:rsidRPr="0020088D">
        <w:rPr>
          <w:lang w:val="bg-BG"/>
        </w:rPr>
        <w:instrText xml:space="preserve"> MACROBUTTON NUMBERING </w:instrText>
      </w:r>
      <w:r w:rsidRPr="0020088D">
        <w:rPr>
          <w:lang w:val="bg-BG"/>
        </w:rPr>
        <w:fldChar w:fldCharType="begin"/>
      </w:r>
      <w:r w:rsidR="003D0231" w:rsidRPr="0020088D">
        <w:rPr>
          <w:lang w:val="bg-BG"/>
        </w:rPr>
        <w:instrText xml:space="preserve"> SEQ  cpara \h \r 0</w:instrText>
      </w:r>
      <w:r w:rsidRPr="0020088D">
        <w:rPr>
          <w:lang w:val="bg-BG"/>
        </w:rPr>
        <w:fldChar w:fldCharType="end"/>
      </w:r>
      <w:r w:rsidRPr="0020088D">
        <w:rPr>
          <w:lang w:val="bg-BG"/>
        </w:rPr>
        <w:fldChar w:fldCharType="begin"/>
      </w:r>
      <w:r w:rsidR="003D0231" w:rsidRPr="0020088D">
        <w:rPr>
          <w:lang w:val="bg-BG"/>
        </w:rPr>
        <w:instrText xml:space="preserve"> SEQ  ccount \h</w:instrText>
      </w:r>
      <w:r w:rsidRPr="0020088D">
        <w:rPr>
          <w:lang w:val="bg-BG"/>
        </w:rPr>
        <w:fldChar w:fldCharType="end"/>
      </w:r>
      <w:bookmarkStart w:id="1" w:name="_Toc521484058"/>
      <w:r w:rsidRPr="0020088D">
        <w:rPr>
          <w:lang w:val="bg-BG"/>
        </w:rPr>
        <w:fldChar w:fldCharType="end"/>
      </w:r>
      <w:r w:rsidR="000C4806" w:rsidRPr="0020088D">
        <w:rPr>
          <w:lang w:val="bg-BG"/>
        </w:rPr>
        <w:t>Таблица</w:t>
      </w:r>
      <w:r w:rsidR="003D0231" w:rsidRPr="0020088D">
        <w:rPr>
          <w:lang w:val="bg-BG"/>
        </w:rPr>
        <w:t xml:space="preserve"> 1: </w:t>
      </w:r>
      <w:r w:rsidR="00525ED6" w:rsidRPr="0020088D">
        <w:rPr>
          <w:lang w:val="bg-BG"/>
        </w:rPr>
        <w:t xml:space="preserve">СЪВКУПНИ ДАННИ ЗА ДЪРЖАВНИ </w:t>
      </w:r>
      <w:r w:rsidR="00C00D52" w:rsidRPr="0020088D">
        <w:rPr>
          <w:lang w:val="bg-BG"/>
        </w:rPr>
        <w:t>предприятия</w:t>
      </w:r>
      <w:r w:rsidR="00525ED6" w:rsidRPr="0020088D">
        <w:rPr>
          <w:lang w:val="bg-BG"/>
        </w:rPr>
        <w:t>, ПРИТЕЖАВАНИ НА ЦЕНТРАЛНО РАВНИЩЕ НА УПРАВЛЕНИЕ</w:t>
      </w:r>
      <w:r w:rsidR="003D0231" w:rsidRPr="0020088D">
        <w:rPr>
          <w:rStyle w:val="FootnoteReference"/>
          <w:lang w:val="bg-BG"/>
        </w:rPr>
        <w:footnoteReference w:id="1"/>
      </w:r>
      <w:bookmarkEnd w:id="1"/>
      <w:r w:rsidR="003D0231" w:rsidRPr="0020088D">
        <w:rPr>
          <w:lang w:val="bg-BG"/>
        </w:rPr>
        <w:t xml:space="preserve">  </w:t>
      </w:r>
    </w:p>
    <w:tbl>
      <w:tblPr>
        <w:tblW w:w="1584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134"/>
        <w:gridCol w:w="1134"/>
        <w:gridCol w:w="851"/>
        <w:gridCol w:w="709"/>
        <w:gridCol w:w="1134"/>
        <w:gridCol w:w="1134"/>
        <w:gridCol w:w="850"/>
        <w:gridCol w:w="709"/>
        <w:gridCol w:w="1082"/>
        <w:gridCol w:w="1080"/>
        <w:gridCol w:w="1170"/>
        <w:gridCol w:w="1080"/>
        <w:gridCol w:w="1170"/>
        <w:gridCol w:w="1170"/>
      </w:tblGrid>
      <w:tr w:rsidR="003D0231" w:rsidRPr="0020088D" w:rsidTr="00A163C2">
        <w:tc>
          <w:tcPr>
            <w:tcW w:w="1440" w:type="dxa"/>
            <w:vAlign w:val="center"/>
          </w:tcPr>
          <w:p w:rsidR="003D0231" w:rsidRPr="0020088D" w:rsidRDefault="003D0231" w:rsidP="00C34EE7">
            <w:pPr>
              <w:jc w:val="center"/>
              <w:rPr>
                <w:b/>
                <w:sz w:val="16"/>
                <w:szCs w:val="16"/>
                <w:lang w:val="bg-BG"/>
              </w:rPr>
            </w:pPr>
          </w:p>
        </w:tc>
        <w:tc>
          <w:tcPr>
            <w:tcW w:w="3828" w:type="dxa"/>
            <w:gridSpan w:val="4"/>
            <w:vAlign w:val="center"/>
          </w:tcPr>
          <w:p w:rsidR="003D0231" w:rsidRPr="0020088D" w:rsidRDefault="00AC1CEA" w:rsidP="0032212D">
            <w:pPr>
              <w:pStyle w:val="ColumnsHeading"/>
              <w:rPr>
                <w:rFonts w:ascii="Times New Roman" w:hAnsi="Times New Roman" w:cs="Times New Roman"/>
                <w:b/>
                <w:bCs/>
                <w:sz w:val="16"/>
                <w:szCs w:val="16"/>
                <w:lang w:val="bg-BG"/>
              </w:rPr>
            </w:pPr>
            <w:r w:rsidRPr="0020088D">
              <w:rPr>
                <w:rFonts w:ascii="Times New Roman" w:hAnsi="Times New Roman" w:cs="Times New Roman"/>
                <w:b/>
                <w:sz w:val="16"/>
                <w:szCs w:val="16"/>
                <w:lang w:val="bg-BG" w:eastAsia="bg-BG"/>
              </w:rPr>
              <w:t>Предприяти</w:t>
            </w:r>
            <w:r w:rsidR="0032212D" w:rsidRPr="0020088D">
              <w:rPr>
                <w:rFonts w:ascii="Times New Roman" w:hAnsi="Times New Roman" w:cs="Times New Roman"/>
                <w:b/>
                <w:sz w:val="16"/>
                <w:szCs w:val="16"/>
                <w:lang w:val="bg-BG" w:eastAsia="bg-BG"/>
              </w:rPr>
              <w:t>я</w:t>
            </w:r>
            <w:r w:rsidRPr="0020088D">
              <w:rPr>
                <w:rFonts w:ascii="Times New Roman" w:hAnsi="Times New Roman" w:cs="Times New Roman"/>
                <w:b/>
                <w:sz w:val="16"/>
                <w:szCs w:val="16"/>
                <w:lang w:val="bg-BG" w:eastAsia="bg-BG"/>
              </w:rPr>
              <w:t xml:space="preserve"> с мажоритарно държавно участие</w:t>
            </w:r>
            <w:r w:rsidR="0032212D" w:rsidRPr="0020088D">
              <w:rPr>
                <w:rFonts w:ascii="Times New Roman" w:hAnsi="Times New Roman" w:cs="Times New Roman"/>
                <w:b/>
                <w:bCs/>
                <w:sz w:val="16"/>
                <w:szCs w:val="16"/>
                <w:lang w:val="bg-BG"/>
              </w:rPr>
              <w:t>, листвани на борсата</w:t>
            </w:r>
          </w:p>
        </w:tc>
        <w:tc>
          <w:tcPr>
            <w:tcW w:w="3827" w:type="dxa"/>
            <w:gridSpan w:val="4"/>
            <w:vAlign w:val="center"/>
          </w:tcPr>
          <w:p w:rsidR="003D0231" w:rsidRPr="0020088D" w:rsidRDefault="0032212D" w:rsidP="0032212D">
            <w:pPr>
              <w:pStyle w:val="ColumnsHeading"/>
              <w:rPr>
                <w:rFonts w:ascii="Times New Roman" w:hAnsi="Times New Roman" w:cs="Times New Roman"/>
                <w:b/>
                <w:bCs/>
                <w:sz w:val="16"/>
                <w:szCs w:val="16"/>
                <w:lang w:val="bg-BG"/>
              </w:rPr>
            </w:pPr>
            <w:r w:rsidRPr="0020088D">
              <w:rPr>
                <w:rFonts w:ascii="Times New Roman" w:hAnsi="Times New Roman" w:cs="Times New Roman"/>
                <w:b/>
                <w:sz w:val="16"/>
                <w:szCs w:val="16"/>
                <w:lang w:val="bg-BG" w:eastAsia="bg-BG"/>
              </w:rPr>
              <w:t>Предприятия с миноритарно държавно участие</w:t>
            </w:r>
            <w:r w:rsidRPr="0020088D">
              <w:rPr>
                <w:rFonts w:ascii="Times New Roman" w:hAnsi="Times New Roman" w:cs="Times New Roman"/>
                <w:b/>
                <w:bCs/>
                <w:sz w:val="16"/>
                <w:szCs w:val="16"/>
                <w:lang w:val="bg-BG"/>
              </w:rPr>
              <w:t xml:space="preserve">, листвани на борсата </w:t>
            </w:r>
            <w:r w:rsidR="009F5967" w:rsidRPr="0020088D">
              <w:rPr>
                <w:rFonts w:ascii="Times New Roman" w:hAnsi="Times New Roman" w:cs="Times New Roman"/>
                <w:b/>
                <w:bCs/>
                <w:sz w:val="16"/>
                <w:szCs w:val="16"/>
                <w:lang w:val="bg-BG"/>
              </w:rPr>
              <w:t>(</w:t>
            </w:r>
            <w:r w:rsidRPr="0020088D">
              <w:rPr>
                <w:rFonts w:ascii="Times New Roman" w:hAnsi="Times New Roman" w:cs="Times New Roman"/>
                <w:b/>
                <w:bCs/>
                <w:sz w:val="16"/>
                <w:szCs w:val="16"/>
                <w:lang w:val="bg-BG"/>
              </w:rPr>
              <w:t>ЧДП</w:t>
            </w:r>
            <w:r w:rsidR="009F5967" w:rsidRPr="0020088D">
              <w:rPr>
                <w:rFonts w:ascii="Times New Roman" w:hAnsi="Times New Roman" w:cs="Times New Roman"/>
                <w:b/>
                <w:bCs/>
                <w:sz w:val="16"/>
                <w:szCs w:val="16"/>
                <w:lang w:val="bg-BG"/>
              </w:rPr>
              <w:t>)</w:t>
            </w:r>
          </w:p>
        </w:tc>
        <w:tc>
          <w:tcPr>
            <w:tcW w:w="3332" w:type="dxa"/>
            <w:gridSpan w:val="3"/>
            <w:vAlign w:val="center"/>
          </w:tcPr>
          <w:p w:rsidR="003D0231" w:rsidRPr="0020088D" w:rsidRDefault="0032212D" w:rsidP="009F5967">
            <w:pPr>
              <w:pStyle w:val="ColumnsHeading"/>
              <w:rPr>
                <w:rFonts w:ascii="Times New Roman" w:hAnsi="Times New Roman" w:cs="Times New Roman"/>
                <w:b/>
                <w:bCs/>
                <w:sz w:val="16"/>
                <w:szCs w:val="16"/>
                <w:lang w:val="bg-BG"/>
              </w:rPr>
            </w:pPr>
            <w:r w:rsidRPr="0020088D">
              <w:rPr>
                <w:rFonts w:ascii="Times New Roman" w:hAnsi="Times New Roman" w:cs="Times New Roman"/>
                <w:b/>
                <w:sz w:val="16"/>
                <w:szCs w:val="16"/>
                <w:lang w:val="bg-BG" w:eastAsia="bg-BG"/>
              </w:rPr>
              <w:t>Предприятия с мажоритарно държавно участие</w:t>
            </w:r>
            <w:r w:rsidRPr="0020088D">
              <w:rPr>
                <w:rFonts w:ascii="Times New Roman" w:hAnsi="Times New Roman" w:cs="Times New Roman"/>
                <w:b/>
                <w:bCs/>
                <w:sz w:val="16"/>
                <w:szCs w:val="16"/>
                <w:lang w:val="bg-BG"/>
              </w:rPr>
              <w:t>, нелиствани на борсата</w:t>
            </w:r>
          </w:p>
        </w:tc>
        <w:tc>
          <w:tcPr>
            <w:tcW w:w="3420" w:type="dxa"/>
            <w:gridSpan w:val="3"/>
            <w:vAlign w:val="center"/>
          </w:tcPr>
          <w:p w:rsidR="003D0231" w:rsidRPr="0020088D" w:rsidRDefault="0032212D" w:rsidP="0032212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Дружества, създадени със закони, и  квазипредприятия</w:t>
            </w:r>
          </w:p>
        </w:tc>
      </w:tr>
      <w:tr w:rsidR="0032212D" w:rsidRPr="0020088D" w:rsidTr="00A163C2">
        <w:trPr>
          <w:trHeight w:val="698"/>
        </w:trPr>
        <w:tc>
          <w:tcPr>
            <w:tcW w:w="1440" w:type="dxa"/>
            <w:vMerge w:val="restart"/>
            <w:vAlign w:val="center"/>
          </w:tcPr>
          <w:p w:rsidR="0032212D" w:rsidRPr="0020088D" w:rsidRDefault="0032212D" w:rsidP="00C34EE7">
            <w:pPr>
              <w:pStyle w:val="ColumnsHeading"/>
              <w:rPr>
                <w:rFonts w:ascii="Times New Roman" w:hAnsi="Times New Roman" w:cs="Times New Roman"/>
                <w:sz w:val="16"/>
                <w:szCs w:val="16"/>
                <w:lang w:val="bg-BG"/>
              </w:rPr>
            </w:pPr>
            <w:r w:rsidRPr="0020088D">
              <w:rPr>
                <w:rFonts w:ascii="Times New Roman" w:hAnsi="Times New Roman" w:cs="Times New Roman"/>
                <w:sz w:val="16"/>
                <w:szCs w:val="16"/>
                <w:lang w:val="bg-BG"/>
              </w:rPr>
              <w:t xml:space="preserve"> </w:t>
            </w:r>
          </w:p>
        </w:tc>
        <w:tc>
          <w:tcPr>
            <w:tcW w:w="1134" w:type="dxa"/>
            <w:vMerge w:val="restart"/>
            <w:vAlign w:val="center"/>
          </w:tcPr>
          <w:p w:rsidR="0032212D" w:rsidRPr="0020088D" w:rsidRDefault="0032212D" w:rsidP="0032212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  предприятия</w:t>
            </w:r>
          </w:p>
        </w:tc>
        <w:tc>
          <w:tcPr>
            <w:tcW w:w="1134" w:type="dxa"/>
            <w:vMerge w:val="restart"/>
            <w:vAlign w:val="center"/>
          </w:tcPr>
          <w:p w:rsidR="0032212D" w:rsidRPr="0020088D" w:rsidRDefault="0032212D" w:rsidP="0032212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  служители</w:t>
            </w:r>
          </w:p>
        </w:tc>
        <w:tc>
          <w:tcPr>
            <w:tcW w:w="1560" w:type="dxa"/>
            <w:gridSpan w:val="2"/>
            <w:vAlign w:val="center"/>
          </w:tcPr>
          <w:p w:rsidR="0032212D" w:rsidRPr="0020088D" w:rsidRDefault="0032212D" w:rsidP="0032212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Стойност на предприятията (USD млн.</w:t>
            </w:r>
          </w:p>
        </w:tc>
        <w:tc>
          <w:tcPr>
            <w:tcW w:w="1134" w:type="dxa"/>
            <w:vMerge w:val="restart"/>
            <w:vAlign w:val="center"/>
          </w:tcPr>
          <w:p w:rsidR="0032212D" w:rsidRPr="0020088D" w:rsidRDefault="0032212D" w:rsidP="00E4513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  предприятия</w:t>
            </w:r>
          </w:p>
        </w:tc>
        <w:tc>
          <w:tcPr>
            <w:tcW w:w="1134" w:type="dxa"/>
            <w:vMerge w:val="restart"/>
            <w:vAlign w:val="center"/>
          </w:tcPr>
          <w:p w:rsidR="0032212D" w:rsidRPr="0020088D" w:rsidRDefault="0032212D" w:rsidP="00E4513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  служители</w:t>
            </w:r>
          </w:p>
        </w:tc>
        <w:tc>
          <w:tcPr>
            <w:tcW w:w="1559" w:type="dxa"/>
            <w:gridSpan w:val="2"/>
            <w:vAlign w:val="center"/>
          </w:tcPr>
          <w:p w:rsidR="0032212D" w:rsidRPr="0020088D" w:rsidRDefault="0032212D" w:rsidP="00C34EE7">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Стойност на предприятията (USD млн.)</w:t>
            </w:r>
          </w:p>
        </w:tc>
        <w:tc>
          <w:tcPr>
            <w:tcW w:w="1082" w:type="dxa"/>
            <w:vMerge w:val="restart"/>
            <w:vAlign w:val="center"/>
          </w:tcPr>
          <w:p w:rsidR="0032212D" w:rsidRPr="0020088D" w:rsidRDefault="0032212D" w:rsidP="00E4513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  предприятия</w:t>
            </w:r>
          </w:p>
        </w:tc>
        <w:tc>
          <w:tcPr>
            <w:tcW w:w="1080" w:type="dxa"/>
            <w:vMerge w:val="restart"/>
            <w:vAlign w:val="center"/>
          </w:tcPr>
          <w:p w:rsidR="0032212D" w:rsidRPr="0020088D" w:rsidRDefault="0032212D" w:rsidP="00E4513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  служители</w:t>
            </w:r>
          </w:p>
        </w:tc>
        <w:tc>
          <w:tcPr>
            <w:tcW w:w="1170" w:type="dxa"/>
            <w:vMerge w:val="restart"/>
            <w:vAlign w:val="center"/>
          </w:tcPr>
          <w:p w:rsidR="0032212D" w:rsidRPr="0020088D" w:rsidRDefault="0032212D" w:rsidP="0032212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Стойност на предприятията (USD млн.)</w:t>
            </w:r>
            <w:r w:rsidRPr="0020088D">
              <w:rPr>
                <w:rStyle w:val="FootnoteReference"/>
                <w:rFonts w:ascii="Times New Roman" w:hAnsi="Times New Roman" w:cs="Times New Roman"/>
                <w:b/>
                <w:bCs/>
                <w:sz w:val="16"/>
                <w:szCs w:val="16"/>
                <w:lang w:val="bg-BG"/>
              </w:rPr>
              <w:footnoteReference w:id="2"/>
            </w:r>
          </w:p>
        </w:tc>
        <w:tc>
          <w:tcPr>
            <w:tcW w:w="1080" w:type="dxa"/>
            <w:vMerge w:val="restart"/>
            <w:vAlign w:val="center"/>
          </w:tcPr>
          <w:p w:rsidR="0032212D" w:rsidRPr="0020088D" w:rsidRDefault="0032212D" w:rsidP="00E4513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  предприятия</w:t>
            </w:r>
          </w:p>
        </w:tc>
        <w:tc>
          <w:tcPr>
            <w:tcW w:w="1170" w:type="dxa"/>
            <w:vMerge w:val="restart"/>
            <w:vAlign w:val="center"/>
          </w:tcPr>
          <w:p w:rsidR="0032212D" w:rsidRPr="0020088D" w:rsidRDefault="0032212D" w:rsidP="00E4513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  служители</w:t>
            </w:r>
          </w:p>
        </w:tc>
        <w:tc>
          <w:tcPr>
            <w:tcW w:w="1170" w:type="dxa"/>
            <w:vMerge w:val="restart"/>
            <w:vAlign w:val="center"/>
          </w:tcPr>
          <w:p w:rsidR="0032212D" w:rsidRPr="0020088D" w:rsidRDefault="0032212D" w:rsidP="0032212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Стойност на предприятията (USD млн.)</w:t>
            </w:r>
            <w:r w:rsidRPr="0020088D">
              <w:rPr>
                <w:rFonts w:ascii="Times New Roman" w:hAnsi="Times New Roman" w:cs="Times New Roman"/>
                <w:b/>
                <w:bCs/>
                <w:sz w:val="16"/>
                <w:szCs w:val="16"/>
                <w:vertAlign w:val="superscript"/>
                <w:lang w:val="bg-BG"/>
              </w:rPr>
              <w:t>2</w:t>
            </w:r>
          </w:p>
        </w:tc>
      </w:tr>
      <w:tr w:rsidR="002020CE" w:rsidRPr="0020088D" w:rsidTr="00A163C2">
        <w:trPr>
          <w:trHeight w:val="307"/>
        </w:trPr>
        <w:tc>
          <w:tcPr>
            <w:tcW w:w="1440" w:type="dxa"/>
            <w:vMerge/>
            <w:vAlign w:val="center"/>
          </w:tcPr>
          <w:p w:rsidR="002020CE" w:rsidRPr="0020088D" w:rsidRDefault="002020CE" w:rsidP="00C34EE7">
            <w:pPr>
              <w:pStyle w:val="ColumnsHeading"/>
              <w:rPr>
                <w:rFonts w:ascii="Times New Roman" w:hAnsi="Times New Roman" w:cs="Times New Roman"/>
                <w:sz w:val="16"/>
                <w:szCs w:val="16"/>
                <w:lang w:val="bg-BG"/>
              </w:rPr>
            </w:pPr>
          </w:p>
        </w:tc>
        <w:tc>
          <w:tcPr>
            <w:tcW w:w="1134" w:type="dxa"/>
            <w:vMerge/>
            <w:vAlign w:val="center"/>
          </w:tcPr>
          <w:p w:rsidR="002020CE" w:rsidRPr="0020088D" w:rsidRDefault="002020CE" w:rsidP="00C34EE7">
            <w:pPr>
              <w:pStyle w:val="ColumnsHeading"/>
              <w:rPr>
                <w:rFonts w:ascii="Times New Roman" w:hAnsi="Times New Roman" w:cs="Times New Roman"/>
                <w:b/>
                <w:bCs/>
                <w:sz w:val="16"/>
                <w:szCs w:val="16"/>
                <w:lang w:val="bg-BG"/>
              </w:rPr>
            </w:pPr>
          </w:p>
        </w:tc>
        <w:tc>
          <w:tcPr>
            <w:tcW w:w="1134" w:type="dxa"/>
            <w:vMerge/>
            <w:vAlign w:val="center"/>
          </w:tcPr>
          <w:p w:rsidR="002020CE" w:rsidRPr="0020088D" w:rsidRDefault="002020CE" w:rsidP="00C34EE7">
            <w:pPr>
              <w:pStyle w:val="ColumnsHeading"/>
              <w:rPr>
                <w:rFonts w:ascii="Times New Roman" w:hAnsi="Times New Roman" w:cs="Times New Roman"/>
                <w:b/>
                <w:bCs/>
                <w:sz w:val="16"/>
                <w:szCs w:val="16"/>
                <w:lang w:val="bg-BG"/>
              </w:rPr>
            </w:pPr>
          </w:p>
        </w:tc>
        <w:tc>
          <w:tcPr>
            <w:tcW w:w="851" w:type="dxa"/>
            <w:vAlign w:val="center"/>
          </w:tcPr>
          <w:p w:rsidR="002020CE" w:rsidRPr="0020088D" w:rsidRDefault="002020CE" w:rsidP="0032212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Пазарна стойност</w:t>
            </w:r>
          </w:p>
        </w:tc>
        <w:tc>
          <w:tcPr>
            <w:tcW w:w="709" w:type="dxa"/>
            <w:vAlign w:val="center"/>
          </w:tcPr>
          <w:p w:rsidR="002020CE" w:rsidRPr="0020088D" w:rsidRDefault="002020CE" w:rsidP="0032212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Балансова стойност</w:t>
            </w:r>
          </w:p>
        </w:tc>
        <w:tc>
          <w:tcPr>
            <w:tcW w:w="1134" w:type="dxa"/>
            <w:vMerge/>
            <w:vAlign w:val="center"/>
          </w:tcPr>
          <w:p w:rsidR="002020CE" w:rsidRPr="0020088D" w:rsidRDefault="002020CE" w:rsidP="00C34EE7">
            <w:pPr>
              <w:pStyle w:val="ColumnsHeading"/>
              <w:rPr>
                <w:rFonts w:ascii="Times New Roman" w:hAnsi="Times New Roman" w:cs="Times New Roman"/>
                <w:b/>
                <w:bCs/>
                <w:sz w:val="16"/>
                <w:szCs w:val="16"/>
                <w:lang w:val="bg-BG"/>
              </w:rPr>
            </w:pPr>
          </w:p>
        </w:tc>
        <w:tc>
          <w:tcPr>
            <w:tcW w:w="1134" w:type="dxa"/>
            <w:vMerge/>
            <w:vAlign w:val="center"/>
          </w:tcPr>
          <w:p w:rsidR="002020CE" w:rsidRPr="0020088D" w:rsidRDefault="002020CE" w:rsidP="00C34EE7">
            <w:pPr>
              <w:pStyle w:val="ColumnsHeading"/>
              <w:rPr>
                <w:rFonts w:ascii="Times New Roman" w:hAnsi="Times New Roman" w:cs="Times New Roman"/>
                <w:b/>
                <w:bCs/>
                <w:sz w:val="16"/>
                <w:szCs w:val="16"/>
                <w:lang w:val="bg-BG"/>
              </w:rPr>
            </w:pPr>
          </w:p>
        </w:tc>
        <w:tc>
          <w:tcPr>
            <w:tcW w:w="850" w:type="dxa"/>
            <w:vAlign w:val="center"/>
          </w:tcPr>
          <w:p w:rsidR="002020CE" w:rsidRPr="0020088D" w:rsidRDefault="002020CE" w:rsidP="00A12901">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Пазарна стойност</w:t>
            </w:r>
          </w:p>
        </w:tc>
        <w:tc>
          <w:tcPr>
            <w:tcW w:w="709" w:type="dxa"/>
            <w:vAlign w:val="center"/>
          </w:tcPr>
          <w:p w:rsidR="002020CE" w:rsidRPr="0020088D" w:rsidRDefault="002020CE" w:rsidP="00A12901">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Балансова стойност</w:t>
            </w:r>
          </w:p>
        </w:tc>
        <w:tc>
          <w:tcPr>
            <w:tcW w:w="1082" w:type="dxa"/>
            <w:vMerge/>
            <w:vAlign w:val="center"/>
          </w:tcPr>
          <w:p w:rsidR="002020CE" w:rsidRPr="0020088D" w:rsidRDefault="002020CE" w:rsidP="00C34EE7">
            <w:pPr>
              <w:jc w:val="center"/>
              <w:rPr>
                <w:b/>
                <w:bCs/>
                <w:sz w:val="16"/>
                <w:szCs w:val="16"/>
                <w:lang w:val="bg-BG"/>
              </w:rPr>
            </w:pPr>
          </w:p>
        </w:tc>
        <w:tc>
          <w:tcPr>
            <w:tcW w:w="1080" w:type="dxa"/>
            <w:vMerge/>
            <w:vAlign w:val="center"/>
          </w:tcPr>
          <w:p w:rsidR="002020CE" w:rsidRPr="0020088D" w:rsidRDefault="002020CE" w:rsidP="00C34EE7">
            <w:pPr>
              <w:jc w:val="center"/>
              <w:rPr>
                <w:b/>
                <w:bCs/>
                <w:sz w:val="16"/>
                <w:szCs w:val="16"/>
                <w:lang w:val="bg-BG"/>
              </w:rPr>
            </w:pPr>
          </w:p>
        </w:tc>
        <w:tc>
          <w:tcPr>
            <w:tcW w:w="1170" w:type="dxa"/>
            <w:vMerge/>
            <w:vAlign w:val="center"/>
          </w:tcPr>
          <w:p w:rsidR="002020CE" w:rsidRPr="0020088D" w:rsidRDefault="002020CE" w:rsidP="00C34EE7">
            <w:pPr>
              <w:jc w:val="center"/>
              <w:rPr>
                <w:b/>
                <w:bCs/>
                <w:sz w:val="16"/>
                <w:szCs w:val="16"/>
                <w:lang w:val="bg-BG"/>
              </w:rPr>
            </w:pPr>
          </w:p>
        </w:tc>
        <w:tc>
          <w:tcPr>
            <w:tcW w:w="1080" w:type="dxa"/>
            <w:vMerge/>
            <w:vAlign w:val="center"/>
          </w:tcPr>
          <w:p w:rsidR="002020CE" w:rsidRPr="0020088D" w:rsidRDefault="002020CE" w:rsidP="00C34EE7">
            <w:pPr>
              <w:jc w:val="center"/>
              <w:rPr>
                <w:b/>
                <w:bCs/>
                <w:sz w:val="16"/>
                <w:szCs w:val="16"/>
                <w:lang w:val="bg-BG"/>
              </w:rPr>
            </w:pPr>
          </w:p>
        </w:tc>
        <w:tc>
          <w:tcPr>
            <w:tcW w:w="1170" w:type="dxa"/>
            <w:vMerge/>
            <w:vAlign w:val="center"/>
          </w:tcPr>
          <w:p w:rsidR="002020CE" w:rsidRPr="0020088D" w:rsidRDefault="002020CE" w:rsidP="00C34EE7">
            <w:pPr>
              <w:jc w:val="center"/>
              <w:rPr>
                <w:b/>
                <w:bCs/>
                <w:sz w:val="16"/>
                <w:szCs w:val="16"/>
                <w:lang w:val="bg-BG"/>
              </w:rPr>
            </w:pPr>
          </w:p>
        </w:tc>
        <w:tc>
          <w:tcPr>
            <w:tcW w:w="1170" w:type="dxa"/>
            <w:vMerge/>
            <w:vAlign w:val="center"/>
          </w:tcPr>
          <w:p w:rsidR="002020CE" w:rsidRPr="0020088D" w:rsidRDefault="002020CE" w:rsidP="00C34EE7">
            <w:pPr>
              <w:jc w:val="center"/>
              <w:rPr>
                <w:b/>
                <w:bCs/>
                <w:sz w:val="16"/>
                <w:szCs w:val="16"/>
                <w:lang w:val="bg-BG"/>
              </w:rPr>
            </w:pPr>
          </w:p>
        </w:tc>
      </w:tr>
      <w:tr w:rsidR="00231A95" w:rsidRPr="0020088D" w:rsidTr="00A163C2">
        <w:trPr>
          <w:trHeight w:val="343"/>
        </w:trPr>
        <w:tc>
          <w:tcPr>
            <w:tcW w:w="1440" w:type="dxa"/>
            <w:vAlign w:val="center"/>
          </w:tcPr>
          <w:p w:rsidR="00231A95" w:rsidRPr="0020088D" w:rsidRDefault="0032212D" w:rsidP="0032212D">
            <w:pPr>
              <w:pStyle w:val="RowsHeading"/>
              <w:rPr>
                <w:rFonts w:ascii="Times New Roman" w:hAnsi="Times New Roman" w:cs="Times New Roman"/>
                <w:sz w:val="16"/>
                <w:szCs w:val="16"/>
                <w:lang w:val="bg-BG"/>
              </w:rPr>
            </w:pPr>
            <w:r w:rsidRPr="0020088D">
              <w:rPr>
                <w:rFonts w:ascii="Times New Roman" w:hAnsi="Times New Roman" w:cs="Times New Roman"/>
                <w:sz w:val="16"/>
                <w:szCs w:val="16"/>
                <w:lang w:val="bg-BG"/>
              </w:rPr>
              <w:t>Основни сектори</w:t>
            </w:r>
            <w:r w:rsidR="00231A95" w:rsidRPr="0020088D">
              <w:rPr>
                <w:rStyle w:val="FootnoteReference"/>
                <w:rFonts w:ascii="Times New Roman" w:hAnsi="Times New Roman" w:cs="Times New Roman"/>
                <w:sz w:val="16"/>
                <w:szCs w:val="16"/>
                <w:lang w:val="bg-BG"/>
              </w:rPr>
              <w:footnoteReference w:id="3"/>
            </w:r>
            <w:r w:rsidR="00231A95" w:rsidRPr="0020088D">
              <w:rPr>
                <w:rFonts w:ascii="Times New Roman" w:hAnsi="Times New Roman" w:cs="Times New Roman"/>
                <w:sz w:val="16"/>
                <w:szCs w:val="16"/>
                <w:lang w:val="bg-BG"/>
              </w:rPr>
              <w:t xml:space="preserve">  </w:t>
            </w:r>
          </w:p>
        </w:tc>
        <w:tc>
          <w:tcPr>
            <w:tcW w:w="1134" w:type="dxa"/>
            <w:vAlign w:val="center"/>
          </w:tcPr>
          <w:p w:rsidR="00231A95" w:rsidRPr="0020088D" w:rsidRDefault="00231A95" w:rsidP="00C34EE7">
            <w:pPr>
              <w:spacing w:before="120" w:after="120"/>
              <w:rPr>
                <w:b/>
                <w:bCs/>
                <w:sz w:val="16"/>
                <w:szCs w:val="16"/>
                <w:lang w:val="bg-BG"/>
              </w:rPr>
            </w:pPr>
          </w:p>
        </w:tc>
        <w:tc>
          <w:tcPr>
            <w:tcW w:w="1134" w:type="dxa"/>
            <w:vAlign w:val="center"/>
          </w:tcPr>
          <w:p w:rsidR="00231A95" w:rsidRPr="0020088D" w:rsidRDefault="00231A95" w:rsidP="00C34EE7">
            <w:pPr>
              <w:spacing w:before="120" w:after="120"/>
              <w:rPr>
                <w:b/>
                <w:bCs/>
                <w:sz w:val="16"/>
                <w:szCs w:val="16"/>
                <w:lang w:val="bg-BG"/>
              </w:rPr>
            </w:pPr>
          </w:p>
        </w:tc>
        <w:tc>
          <w:tcPr>
            <w:tcW w:w="851" w:type="dxa"/>
            <w:vAlign w:val="center"/>
          </w:tcPr>
          <w:p w:rsidR="00231A95" w:rsidRPr="0020088D" w:rsidRDefault="00231A95" w:rsidP="00C34EE7">
            <w:pPr>
              <w:spacing w:before="120" w:after="120"/>
              <w:rPr>
                <w:b/>
                <w:bCs/>
                <w:sz w:val="16"/>
                <w:szCs w:val="16"/>
                <w:lang w:val="bg-BG"/>
              </w:rPr>
            </w:pPr>
          </w:p>
        </w:tc>
        <w:tc>
          <w:tcPr>
            <w:tcW w:w="709" w:type="dxa"/>
            <w:vAlign w:val="center"/>
          </w:tcPr>
          <w:p w:rsidR="00231A95" w:rsidRPr="0020088D" w:rsidRDefault="00231A95" w:rsidP="00C34EE7">
            <w:pPr>
              <w:spacing w:before="120" w:after="120"/>
              <w:rPr>
                <w:b/>
                <w:bCs/>
                <w:sz w:val="16"/>
                <w:szCs w:val="16"/>
                <w:lang w:val="bg-BG"/>
              </w:rPr>
            </w:pPr>
          </w:p>
        </w:tc>
        <w:tc>
          <w:tcPr>
            <w:tcW w:w="1134" w:type="dxa"/>
            <w:vAlign w:val="center"/>
          </w:tcPr>
          <w:p w:rsidR="00231A95" w:rsidRPr="0020088D" w:rsidRDefault="00231A95" w:rsidP="00C34EE7">
            <w:pPr>
              <w:spacing w:before="120" w:after="120"/>
              <w:rPr>
                <w:b/>
                <w:bCs/>
                <w:sz w:val="16"/>
                <w:szCs w:val="16"/>
                <w:lang w:val="bg-BG"/>
              </w:rPr>
            </w:pPr>
          </w:p>
        </w:tc>
        <w:tc>
          <w:tcPr>
            <w:tcW w:w="1134" w:type="dxa"/>
            <w:vAlign w:val="center"/>
          </w:tcPr>
          <w:p w:rsidR="00231A95" w:rsidRPr="0020088D" w:rsidRDefault="00231A95" w:rsidP="00C34EE7">
            <w:pPr>
              <w:spacing w:before="120" w:after="120"/>
              <w:rPr>
                <w:b/>
                <w:bCs/>
                <w:sz w:val="16"/>
                <w:szCs w:val="16"/>
                <w:lang w:val="bg-BG"/>
              </w:rPr>
            </w:pPr>
          </w:p>
        </w:tc>
        <w:tc>
          <w:tcPr>
            <w:tcW w:w="850" w:type="dxa"/>
            <w:vAlign w:val="center"/>
          </w:tcPr>
          <w:p w:rsidR="00231A95" w:rsidRPr="0020088D" w:rsidRDefault="00231A95" w:rsidP="00C34EE7">
            <w:pPr>
              <w:spacing w:before="120" w:after="120"/>
              <w:rPr>
                <w:b/>
                <w:bCs/>
                <w:sz w:val="16"/>
                <w:szCs w:val="16"/>
                <w:lang w:val="bg-BG"/>
              </w:rPr>
            </w:pPr>
          </w:p>
        </w:tc>
        <w:tc>
          <w:tcPr>
            <w:tcW w:w="709" w:type="dxa"/>
            <w:vAlign w:val="center"/>
          </w:tcPr>
          <w:p w:rsidR="00231A95" w:rsidRPr="0020088D" w:rsidRDefault="00231A95" w:rsidP="00C34EE7">
            <w:pPr>
              <w:spacing w:before="120" w:after="120"/>
              <w:rPr>
                <w:b/>
                <w:bCs/>
                <w:sz w:val="16"/>
                <w:szCs w:val="16"/>
                <w:lang w:val="bg-BG"/>
              </w:rPr>
            </w:pPr>
          </w:p>
        </w:tc>
        <w:tc>
          <w:tcPr>
            <w:tcW w:w="1082" w:type="dxa"/>
            <w:vAlign w:val="center"/>
          </w:tcPr>
          <w:p w:rsidR="00231A95" w:rsidRPr="0020088D" w:rsidRDefault="00231A95" w:rsidP="00C34EE7">
            <w:pPr>
              <w:spacing w:before="120" w:after="120"/>
              <w:rPr>
                <w:b/>
                <w:bCs/>
                <w:sz w:val="16"/>
                <w:szCs w:val="16"/>
                <w:lang w:val="bg-BG"/>
              </w:rPr>
            </w:pPr>
          </w:p>
        </w:tc>
        <w:tc>
          <w:tcPr>
            <w:tcW w:w="1080" w:type="dxa"/>
            <w:vAlign w:val="center"/>
          </w:tcPr>
          <w:p w:rsidR="00231A95" w:rsidRPr="0020088D" w:rsidRDefault="00231A95" w:rsidP="00C34EE7">
            <w:pPr>
              <w:spacing w:before="120" w:after="120"/>
              <w:rPr>
                <w:b/>
                <w:bCs/>
                <w:sz w:val="16"/>
                <w:szCs w:val="16"/>
                <w:lang w:val="bg-BG"/>
              </w:rPr>
            </w:pPr>
          </w:p>
        </w:tc>
        <w:tc>
          <w:tcPr>
            <w:tcW w:w="1170" w:type="dxa"/>
            <w:vAlign w:val="center"/>
          </w:tcPr>
          <w:p w:rsidR="00231A95" w:rsidRPr="0020088D" w:rsidRDefault="00231A95" w:rsidP="00C34EE7">
            <w:pPr>
              <w:spacing w:before="120" w:after="120"/>
              <w:rPr>
                <w:b/>
                <w:bCs/>
                <w:sz w:val="16"/>
                <w:szCs w:val="16"/>
                <w:lang w:val="bg-BG"/>
              </w:rPr>
            </w:pPr>
          </w:p>
        </w:tc>
        <w:tc>
          <w:tcPr>
            <w:tcW w:w="1080" w:type="dxa"/>
            <w:vAlign w:val="center"/>
          </w:tcPr>
          <w:p w:rsidR="00231A95" w:rsidRPr="0020088D" w:rsidRDefault="00231A95" w:rsidP="00C34EE7">
            <w:pPr>
              <w:spacing w:before="120" w:after="120"/>
              <w:rPr>
                <w:b/>
                <w:bCs/>
                <w:sz w:val="16"/>
                <w:szCs w:val="16"/>
                <w:lang w:val="bg-BG"/>
              </w:rPr>
            </w:pPr>
          </w:p>
        </w:tc>
        <w:tc>
          <w:tcPr>
            <w:tcW w:w="1170" w:type="dxa"/>
            <w:vAlign w:val="center"/>
          </w:tcPr>
          <w:p w:rsidR="00231A95" w:rsidRPr="0020088D" w:rsidRDefault="00231A95" w:rsidP="00C34EE7">
            <w:pPr>
              <w:spacing w:before="120" w:after="120"/>
              <w:rPr>
                <w:b/>
                <w:bCs/>
                <w:sz w:val="16"/>
                <w:szCs w:val="16"/>
                <w:lang w:val="bg-BG"/>
              </w:rPr>
            </w:pPr>
          </w:p>
        </w:tc>
        <w:tc>
          <w:tcPr>
            <w:tcW w:w="1170" w:type="dxa"/>
            <w:vAlign w:val="center"/>
          </w:tcPr>
          <w:p w:rsidR="00231A95" w:rsidRPr="0020088D" w:rsidRDefault="00231A95" w:rsidP="00C34EE7">
            <w:pPr>
              <w:spacing w:before="120" w:after="120"/>
              <w:rPr>
                <w:b/>
                <w:bCs/>
                <w:sz w:val="16"/>
                <w:szCs w:val="16"/>
                <w:lang w:val="bg-BG"/>
              </w:rPr>
            </w:pPr>
          </w:p>
        </w:tc>
      </w:tr>
      <w:tr w:rsidR="00231A95" w:rsidRPr="0020088D" w:rsidTr="00A163C2">
        <w:trPr>
          <w:trHeight w:val="316"/>
        </w:trPr>
        <w:tc>
          <w:tcPr>
            <w:tcW w:w="1440" w:type="dxa"/>
            <w:vAlign w:val="center"/>
          </w:tcPr>
          <w:p w:rsidR="00231A95" w:rsidRPr="0020088D" w:rsidRDefault="0032212D" w:rsidP="00496AEE">
            <w:pPr>
              <w:pStyle w:val="RowsHeading"/>
              <w:rPr>
                <w:rFonts w:ascii="Times New Roman" w:hAnsi="Times New Roman" w:cs="Times New Roman"/>
                <w:sz w:val="16"/>
                <w:szCs w:val="16"/>
                <w:lang w:val="bg-BG"/>
              </w:rPr>
            </w:pPr>
            <w:r w:rsidRPr="0020088D">
              <w:rPr>
                <w:rFonts w:ascii="Times New Roman" w:hAnsi="Times New Roman" w:cs="Times New Roman"/>
                <w:sz w:val="16"/>
                <w:szCs w:val="16"/>
                <w:lang w:val="bg-BG"/>
              </w:rPr>
              <w:t>Про</w:t>
            </w:r>
            <w:r w:rsidR="00496AEE" w:rsidRPr="0020088D">
              <w:rPr>
                <w:rFonts w:ascii="Times New Roman" w:hAnsi="Times New Roman" w:cs="Times New Roman"/>
                <w:sz w:val="16"/>
                <w:szCs w:val="16"/>
                <w:lang w:val="bg-BG"/>
              </w:rPr>
              <w:t>изводство</w:t>
            </w:r>
          </w:p>
        </w:tc>
        <w:tc>
          <w:tcPr>
            <w:tcW w:w="1134"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851" w:type="dxa"/>
            <w:vAlign w:val="center"/>
          </w:tcPr>
          <w:p w:rsidR="00231A95" w:rsidRPr="0020088D" w:rsidRDefault="00231A95" w:rsidP="00C34EE7">
            <w:pPr>
              <w:spacing w:before="120" w:after="120"/>
              <w:rPr>
                <w:sz w:val="16"/>
                <w:szCs w:val="16"/>
                <w:lang w:val="bg-BG"/>
              </w:rPr>
            </w:pPr>
          </w:p>
        </w:tc>
        <w:tc>
          <w:tcPr>
            <w:tcW w:w="709"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850" w:type="dxa"/>
            <w:vAlign w:val="center"/>
          </w:tcPr>
          <w:p w:rsidR="00231A95" w:rsidRPr="0020088D" w:rsidRDefault="00231A95" w:rsidP="00C34EE7">
            <w:pPr>
              <w:spacing w:before="120" w:after="120"/>
              <w:rPr>
                <w:sz w:val="16"/>
                <w:szCs w:val="16"/>
                <w:lang w:val="bg-BG"/>
              </w:rPr>
            </w:pPr>
          </w:p>
        </w:tc>
        <w:tc>
          <w:tcPr>
            <w:tcW w:w="709" w:type="dxa"/>
            <w:vAlign w:val="center"/>
          </w:tcPr>
          <w:p w:rsidR="00231A95" w:rsidRPr="0020088D" w:rsidRDefault="00231A95" w:rsidP="00C34EE7">
            <w:pPr>
              <w:spacing w:before="120" w:after="120"/>
              <w:rPr>
                <w:sz w:val="16"/>
                <w:szCs w:val="16"/>
                <w:lang w:val="bg-BG"/>
              </w:rPr>
            </w:pPr>
          </w:p>
        </w:tc>
        <w:tc>
          <w:tcPr>
            <w:tcW w:w="1082" w:type="dxa"/>
            <w:vAlign w:val="center"/>
          </w:tcPr>
          <w:p w:rsidR="00231A95" w:rsidRPr="0020088D" w:rsidRDefault="00231A95" w:rsidP="00C34EE7">
            <w:pPr>
              <w:spacing w:before="120" w:after="120"/>
              <w:rPr>
                <w:sz w:val="16"/>
                <w:szCs w:val="16"/>
                <w:lang w:val="bg-BG"/>
              </w:rPr>
            </w:pPr>
          </w:p>
        </w:tc>
        <w:tc>
          <w:tcPr>
            <w:tcW w:w="108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c>
          <w:tcPr>
            <w:tcW w:w="108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r>
      <w:tr w:rsidR="00231A95" w:rsidRPr="0020088D" w:rsidTr="00A163C2">
        <w:trPr>
          <w:trHeight w:val="343"/>
        </w:trPr>
        <w:tc>
          <w:tcPr>
            <w:tcW w:w="1440" w:type="dxa"/>
            <w:vAlign w:val="center"/>
          </w:tcPr>
          <w:p w:rsidR="00231A95" w:rsidRPr="0020088D" w:rsidRDefault="0032212D" w:rsidP="008D74BF">
            <w:pPr>
              <w:pStyle w:val="RowsHeading"/>
              <w:rPr>
                <w:rFonts w:ascii="Times New Roman" w:hAnsi="Times New Roman" w:cs="Times New Roman"/>
                <w:sz w:val="16"/>
                <w:szCs w:val="16"/>
                <w:lang w:val="bg-BG"/>
              </w:rPr>
            </w:pPr>
            <w:r w:rsidRPr="0020088D">
              <w:rPr>
                <w:rFonts w:ascii="Times New Roman" w:hAnsi="Times New Roman" w:cs="Times New Roman"/>
                <w:sz w:val="16"/>
                <w:szCs w:val="16"/>
                <w:lang w:val="bg-BG"/>
              </w:rPr>
              <w:t>Финанси</w:t>
            </w:r>
          </w:p>
        </w:tc>
        <w:tc>
          <w:tcPr>
            <w:tcW w:w="1134"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851" w:type="dxa"/>
            <w:vAlign w:val="center"/>
          </w:tcPr>
          <w:p w:rsidR="00231A95" w:rsidRPr="0020088D" w:rsidRDefault="00231A95" w:rsidP="00C34EE7">
            <w:pPr>
              <w:spacing w:before="120" w:after="120"/>
              <w:rPr>
                <w:sz w:val="16"/>
                <w:szCs w:val="16"/>
                <w:lang w:val="bg-BG"/>
              </w:rPr>
            </w:pPr>
          </w:p>
        </w:tc>
        <w:tc>
          <w:tcPr>
            <w:tcW w:w="709"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850" w:type="dxa"/>
            <w:vAlign w:val="center"/>
          </w:tcPr>
          <w:p w:rsidR="00231A95" w:rsidRPr="0020088D" w:rsidRDefault="00231A95" w:rsidP="00C34EE7">
            <w:pPr>
              <w:spacing w:before="120" w:after="120"/>
              <w:rPr>
                <w:sz w:val="16"/>
                <w:szCs w:val="16"/>
                <w:lang w:val="bg-BG"/>
              </w:rPr>
            </w:pPr>
          </w:p>
        </w:tc>
        <w:tc>
          <w:tcPr>
            <w:tcW w:w="709" w:type="dxa"/>
            <w:vAlign w:val="center"/>
          </w:tcPr>
          <w:p w:rsidR="00231A95" w:rsidRPr="0020088D" w:rsidRDefault="00231A95" w:rsidP="00C34EE7">
            <w:pPr>
              <w:spacing w:before="120" w:after="120"/>
              <w:rPr>
                <w:sz w:val="16"/>
                <w:szCs w:val="16"/>
                <w:lang w:val="bg-BG"/>
              </w:rPr>
            </w:pPr>
          </w:p>
        </w:tc>
        <w:tc>
          <w:tcPr>
            <w:tcW w:w="1082" w:type="dxa"/>
            <w:vAlign w:val="center"/>
          </w:tcPr>
          <w:p w:rsidR="00231A95" w:rsidRPr="0020088D" w:rsidRDefault="00231A95" w:rsidP="00C34EE7">
            <w:pPr>
              <w:spacing w:before="120" w:after="120"/>
              <w:rPr>
                <w:sz w:val="16"/>
                <w:szCs w:val="16"/>
                <w:lang w:val="bg-BG"/>
              </w:rPr>
            </w:pPr>
          </w:p>
        </w:tc>
        <w:tc>
          <w:tcPr>
            <w:tcW w:w="108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c>
          <w:tcPr>
            <w:tcW w:w="108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r>
      <w:tr w:rsidR="00231A95" w:rsidRPr="0020088D" w:rsidTr="00A163C2">
        <w:tc>
          <w:tcPr>
            <w:tcW w:w="1440" w:type="dxa"/>
            <w:vAlign w:val="center"/>
          </w:tcPr>
          <w:p w:rsidR="00231A95" w:rsidRPr="0020088D" w:rsidRDefault="0032212D" w:rsidP="0032212D">
            <w:pPr>
              <w:pStyle w:val="RowsHeading"/>
              <w:rPr>
                <w:rFonts w:ascii="Times New Roman" w:hAnsi="Times New Roman" w:cs="Times New Roman"/>
                <w:sz w:val="16"/>
                <w:szCs w:val="16"/>
                <w:lang w:val="bg-BG"/>
              </w:rPr>
            </w:pPr>
            <w:r w:rsidRPr="0020088D">
              <w:rPr>
                <w:rFonts w:ascii="Times New Roman" w:hAnsi="Times New Roman" w:cs="Times New Roman"/>
                <w:sz w:val="16"/>
                <w:szCs w:val="16"/>
                <w:lang w:val="bg-BG"/>
              </w:rPr>
              <w:t>Телекомуникации</w:t>
            </w:r>
          </w:p>
        </w:tc>
        <w:tc>
          <w:tcPr>
            <w:tcW w:w="1134"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851" w:type="dxa"/>
            <w:vAlign w:val="center"/>
          </w:tcPr>
          <w:p w:rsidR="00231A95" w:rsidRPr="0020088D" w:rsidRDefault="00231A95" w:rsidP="00C34EE7">
            <w:pPr>
              <w:spacing w:before="120" w:after="120"/>
              <w:rPr>
                <w:sz w:val="16"/>
                <w:szCs w:val="16"/>
                <w:lang w:val="bg-BG"/>
              </w:rPr>
            </w:pPr>
          </w:p>
        </w:tc>
        <w:tc>
          <w:tcPr>
            <w:tcW w:w="709"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850" w:type="dxa"/>
            <w:vAlign w:val="center"/>
          </w:tcPr>
          <w:p w:rsidR="00231A95" w:rsidRPr="0020088D" w:rsidRDefault="00231A95" w:rsidP="00C34EE7">
            <w:pPr>
              <w:spacing w:before="120" w:after="120"/>
              <w:rPr>
                <w:sz w:val="16"/>
                <w:szCs w:val="16"/>
                <w:lang w:val="bg-BG"/>
              </w:rPr>
            </w:pPr>
          </w:p>
        </w:tc>
        <w:tc>
          <w:tcPr>
            <w:tcW w:w="709" w:type="dxa"/>
            <w:vAlign w:val="center"/>
          </w:tcPr>
          <w:p w:rsidR="00231A95" w:rsidRPr="0020088D" w:rsidRDefault="00231A95" w:rsidP="00C34EE7">
            <w:pPr>
              <w:spacing w:before="120" w:after="120"/>
              <w:rPr>
                <w:sz w:val="16"/>
                <w:szCs w:val="16"/>
                <w:lang w:val="bg-BG"/>
              </w:rPr>
            </w:pPr>
          </w:p>
        </w:tc>
        <w:tc>
          <w:tcPr>
            <w:tcW w:w="1082" w:type="dxa"/>
            <w:vAlign w:val="center"/>
          </w:tcPr>
          <w:p w:rsidR="00231A95" w:rsidRPr="0020088D" w:rsidRDefault="00231A95" w:rsidP="00C34EE7">
            <w:pPr>
              <w:spacing w:before="120" w:after="120"/>
              <w:rPr>
                <w:sz w:val="16"/>
                <w:szCs w:val="16"/>
                <w:lang w:val="bg-BG"/>
              </w:rPr>
            </w:pPr>
          </w:p>
        </w:tc>
        <w:tc>
          <w:tcPr>
            <w:tcW w:w="108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c>
          <w:tcPr>
            <w:tcW w:w="108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r>
      <w:tr w:rsidR="00231A95" w:rsidRPr="0020088D" w:rsidTr="00A163C2">
        <w:tc>
          <w:tcPr>
            <w:tcW w:w="1440" w:type="dxa"/>
            <w:vAlign w:val="center"/>
          </w:tcPr>
          <w:p w:rsidR="00231A95" w:rsidRPr="0020088D" w:rsidRDefault="0032212D" w:rsidP="0032212D">
            <w:pPr>
              <w:pStyle w:val="RowsHeading"/>
              <w:rPr>
                <w:rFonts w:ascii="Times New Roman" w:hAnsi="Times New Roman" w:cs="Times New Roman"/>
                <w:sz w:val="16"/>
                <w:szCs w:val="16"/>
                <w:lang w:val="bg-BG"/>
              </w:rPr>
            </w:pPr>
            <w:r w:rsidRPr="0020088D">
              <w:rPr>
                <w:rFonts w:ascii="Times New Roman" w:hAnsi="Times New Roman" w:cs="Times New Roman"/>
                <w:sz w:val="16"/>
                <w:szCs w:val="16"/>
                <w:lang w:val="bg-BG"/>
              </w:rPr>
              <w:t>Електричество и газ</w:t>
            </w:r>
          </w:p>
        </w:tc>
        <w:tc>
          <w:tcPr>
            <w:tcW w:w="1134"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851" w:type="dxa"/>
            <w:vAlign w:val="center"/>
          </w:tcPr>
          <w:p w:rsidR="00231A95" w:rsidRPr="0020088D" w:rsidRDefault="00231A95" w:rsidP="00C34EE7">
            <w:pPr>
              <w:spacing w:before="120" w:after="120"/>
              <w:rPr>
                <w:sz w:val="16"/>
                <w:szCs w:val="16"/>
                <w:lang w:val="bg-BG"/>
              </w:rPr>
            </w:pPr>
          </w:p>
        </w:tc>
        <w:tc>
          <w:tcPr>
            <w:tcW w:w="709"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850" w:type="dxa"/>
            <w:vAlign w:val="center"/>
          </w:tcPr>
          <w:p w:rsidR="00231A95" w:rsidRPr="0020088D" w:rsidRDefault="00231A95" w:rsidP="00C34EE7">
            <w:pPr>
              <w:spacing w:before="120" w:after="120"/>
              <w:rPr>
                <w:sz w:val="16"/>
                <w:szCs w:val="16"/>
                <w:lang w:val="bg-BG"/>
              </w:rPr>
            </w:pPr>
          </w:p>
        </w:tc>
        <w:tc>
          <w:tcPr>
            <w:tcW w:w="709" w:type="dxa"/>
            <w:vAlign w:val="center"/>
          </w:tcPr>
          <w:p w:rsidR="00231A95" w:rsidRPr="0020088D" w:rsidRDefault="00231A95" w:rsidP="00C34EE7">
            <w:pPr>
              <w:spacing w:before="120" w:after="120"/>
              <w:rPr>
                <w:sz w:val="16"/>
                <w:szCs w:val="16"/>
                <w:lang w:val="bg-BG"/>
              </w:rPr>
            </w:pPr>
          </w:p>
        </w:tc>
        <w:tc>
          <w:tcPr>
            <w:tcW w:w="1082" w:type="dxa"/>
            <w:vAlign w:val="center"/>
          </w:tcPr>
          <w:p w:rsidR="00231A95" w:rsidRPr="0020088D" w:rsidRDefault="00231A95" w:rsidP="00C34EE7">
            <w:pPr>
              <w:spacing w:before="120" w:after="120"/>
              <w:rPr>
                <w:sz w:val="16"/>
                <w:szCs w:val="16"/>
                <w:lang w:val="bg-BG"/>
              </w:rPr>
            </w:pPr>
          </w:p>
        </w:tc>
        <w:tc>
          <w:tcPr>
            <w:tcW w:w="108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c>
          <w:tcPr>
            <w:tcW w:w="108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r>
      <w:tr w:rsidR="00231A95" w:rsidRPr="0020088D" w:rsidTr="00A163C2">
        <w:trPr>
          <w:trHeight w:val="289"/>
        </w:trPr>
        <w:tc>
          <w:tcPr>
            <w:tcW w:w="1440" w:type="dxa"/>
            <w:vAlign w:val="center"/>
          </w:tcPr>
          <w:p w:rsidR="00231A95" w:rsidRPr="0020088D" w:rsidRDefault="0032212D" w:rsidP="0032212D">
            <w:pPr>
              <w:pStyle w:val="RowsHeading"/>
              <w:rPr>
                <w:rFonts w:ascii="Times New Roman" w:hAnsi="Times New Roman" w:cs="Times New Roman"/>
                <w:sz w:val="16"/>
                <w:szCs w:val="16"/>
                <w:lang w:val="bg-BG"/>
              </w:rPr>
            </w:pPr>
            <w:r w:rsidRPr="0020088D">
              <w:rPr>
                <w:rFonts w:ascii="Times New Roman" w:hAnsi="Times New Roman" w:cs="Times New Roman"/>
                <w:sz w:val="16"/>
                <w:szCs w:val="16"/>
                <w:lang w:val="bg-BG"/>
              </w:rPr>
              <w:t>Транспорт</w:t>
            </w:r>
          </w:p>
        </w:tc>
        <w:tc>
          <w:tcPr>
            <w:tcW w:w="1134"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851" w:type="dxa"/>
            <w:vAlign w:val="center"/>
          </w:tcPr>
          <w:p w:rsidR="00231A95" w:rsidRPr="0020088D" w:rsidRDefault="00231A95" w:rsidP="00C34EE7">
            <w:pPr>
              <w:spacing w:before="120" w:after="120"/>
              <w:rPr>
                <w:sz w:val="16"/>
                <w:szCs w:val="16"/>
                <w:lang w:val="bg-BG"/>
              </w:rPr>
            </w:pPr>
          </w:p>
        </w:tc>
        <w:tc>
          <w:tcPr>
            <w:tcW w:w="709"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850" w:type="dxa"/>
            <w:vAlign w:val="center"/>
          </w:tcPr>
          <w:p w:rsidR="00231A95" w:rsidRPr="0020088D" w:rsidRDefault="00231A95" w:rsidP="00C34EE7">
            <w:pPr>
              <w:spacing w:before="120" w:after="120"/>
              <w:rPr>
                <w:sz w:val="16"/>
                <w:szCs w:val="16"/>
                <w:lang w:val="bg-BG"/>
              </w:rPr>
            </w:pPr>
          </w:p>
        </w:tc>
        <w:tc>
          <w:tcPr>
            <w:tcW w:w="709" w:type="dxa"/>
            <w:vAlign w:val="center"/>
          </w:tcPr>
          <w:p w:rsidR="00231A95" w:rsidRPr="0020088D" w:rsidRDefault="00231A95" w:rsidP="00C34EE7">
            <w:pPr>
              <w:spacing w:before="120" w:after="120"/>
              <w:rPr>
                <w:sz w:val="16"/>
                <w:szCs w:val="16"/>
                <w:lang w:val="bg-BG"/>
              </w:rPr>
            </w:pPr>
          </w:p>
        </w:tc>
        <w:tc>
          <w:tcPr>
            <w:tcW w:w="1082" w:type="dxa"/>
            <w:vAlign w:val="center"/>
          </w:tcPr>
          <w:p w:rsidR="00231A95" w:rsidRPr="0020088D" w:rsidRDefault="00231A95" w:rsidP="00C34EE7">
            <w:pPr>
              <w:spacing w:before="120" w:after="120"/>
              <w:rPr>
                <w:sz w:val="16"/>
                <w:szCs w:val="16"/>
                <w:lang w:val="bg-BG"/>
              </w:rPr>
            </w:pPr>
          </w:p>
        </w:tc>
        <w:tc>
          <w:tcPr>
            <w:tcW w:w="108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c>
          <w:tcPr>
            <w:tcW w:w="108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r>
      <w:tr w:rsidR="00231A95" w:rsidRPr="0020088D" w:rsidTr="00A163C2">
        <w:trPr>
          <w:trHeight w:val="289"/>
        </w:trPr>
        <w:tc>
          <w:tcPr>
            <w:tcW w:w="1440" w:type="dxa"/>
            <w:vAlign w:val="center"/>
          </w:tcPr>
          <w:p w:rsidR="00231A95" w:rsidRPr="0020088D" w:rsidRDefault="0032212D" w:rsidP="0032212D">
            <w:pPr>
              <w:pStyle w:val="RowsHeading"/>
              <w:rPr>
                <w:rFonts w:ascii="Times New Roman" w:hAnsi="Times New Roman" w:cs="Times New Roman"/>
                <w:sz w:val="16"/>
                <w:szCs w:val="16"/>
                <w:lang w:val="bg-BG"/>
              </w:rPr>
            </w:pPr>
            <w:r w:rsidRPr="0020088D">
              <w:rPr>
                <w:rFonts w:ascii="Times New Roman" w:hAnsi="Times New Roman" w:cs="Times New Roman"/>
                <w:sz w:val="16"/>
                <w:szCs w:val="16"/>
                <w:lang w:val="bg-BG"/>
              </w:rPr>
              <w:t xml:space="preserve">Други комунални услуги  </w:t>
            </w:r>
            <w:r w:rsidR="00345B3C" w:rsidRPr="0020088D">
              <w:rPr>
                <w:rFonts w:ascii="Times New Roman" w:hAnsi="Times New Roman" w:cs="Times New Roman"/>
                <w:sz w:val="16"/>
                <w:szCs w:val="16"/>
                <w:lang w:val="bg-BG"/>
              </w:rPr>
              <w:t>(</w:t>
            </w:r>
            <w:r w:rsidRPr="0020088D">
              <w:rPr>
                <w:rFonts w:ascii="Times New Roman" w:hAnsi="Times New Roman" w:cs="Times New Roman"/>
                <w:sz w:val="16"/>
                <w:szCs w:val="16"/>
                <w:lang w:val="bg-BG"/>
              </w:rPr>
              <w:t>включително пощенски услуги</w:t>
            </w:r>
            <w:r w:rsidR="00345B3C" w:rsidRPr="0020088D">
              <w:rPr>
                <w:rFonts w:ascii="Times New Roman" w:hAnsi="Times New Roman" w:cs="Times New Roman"/>
                <w:sz w:val="16"/>
                <w:szCs w:val="16"/>
                <w:lang w:val="bg-BG"/>
              </w:rPr>
              <w:t>)</w:t>
            </w:r>
          </w:p>
        </w:tc>
        <w:tc>
          <w:tcPr>
            <w:tcW w:w="1134"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851" w:type="dxa"/>
            <w:vAlign w:val="center"/>
          </w:tcPr>
          <w:p w:rsidR="00231A95" w:rsidRPr="0020088D" w:rsidRDefault="00231A95" w:rsidP="00C34EE7">
            <w:pPr>
              <w:spacing w:before="120" w:after="120"/>
              <w:rPr>
                <w:sz w:val="16"/>
                <w:szCs w:val="16"/>
                <w:lang w:val="bg-BG"/>
              </w:rPr>
            </w:pPr>
          </w:p>
        </w:tc>
        <w:tc>
          <w:tcPr>
            <w:tcW w:w="709"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850" w:type="dxa"/>
            <w:vAlign w:val="center"/>
          </w:tcPr>
          <w:p w:rsidR="00231A95" w:rsidRPr="0020088D" w:rsidRDefault="00231A95" w:rsidP="00C34EE7">
            <w:pPr>
              <w:spacing w:before="120" w:after="120"/>
              <w:rPr>
                <w:sz w:val="16"/>
                <w:szCs w:val="16"/>
                <w:lang w:val="bg-BG"/>
              </w:rPr>
            </w:pPr>
          </w:p>
        </w:tc>
        <w:tc>
          <w:tcPr>
            <w:tcW w:w="709" w:type="dxa"/>
            <w:vAlign w:val="center"/>
          </w:tcPr>
          <w:p w:rsidR="00231A95" w:rsidRPr="0020088D" w:rsidRDefault="00231A95" w:rsidP="00C34EE7">
            <w:pPr>
              <w:spacing w:before="120" w:after="120"/>
              <w:rPr>
                <w:sz w:val="16"/>
                <w:szCs w:val="16"/>
                <w:lang w:val="bg-BG"/>
              </w:rPr>
            </w:pPr>
          </w:p>
        </w:tc>
        <w:tc>
          <w:tcPr>
            <w:tcW w:w="1082" w:type="dxa"/>
            <w:vAlign w:val="center"/>
          </w:tcPr>
          <w:p w:rsidR="00231A95" w:rsidRPr="0020088D" w:rsidRDefault="00231A95" w:rsidP="00C34EE7">
            <w:pPr>
              <w:spacing w:before="120" w:after="120"/>
              <w:rPr>
                <w:sz w:val="16"/>
                <w:szCs w:val="16"/>
                <w:lang w:val="bg-BG"/>
              </w:rPr>
            </w:pPr>
          </w:p>
        </w:tc>
        <w:tc>
          <w:tcPr>
            <w:tcW w:w="108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c>
          <w:tcPr>
            <w:tcW w:w="108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r>
      <w:tr w:rsidR="00231A95" w:rsidRPr="0020088D" w:rsidTr="00A163C2">
        <w:tc>
          <w:tcPr>
            <w:tcW w:w="1440" w:type="dxa"/>
            <w:vAlign w:val="center"/>
          </w:tcPr>
          <w:p w:rsidR="00231A95" w:rsidRPr="0020088D" w:rsidRDefault="0032212D" w:rsidP="0032212D">
            <w:pPr>
              <w:pStyle w:val="RowsHeading"/>
              <w:rPr>
                <w:rFonts w:ascii="Times New Roman" w:hAnsi="Times New Roman" w:cs="Times New Roman"/>
                <w:sz w:val="16"/>
                <w:szCs w:val="16"/>
                <w:lang w:val="bg-BG"/>
              </w:rPr>
            </w:pPr>
            <w:r w:rsidRPr="0020088D">
              <w:rPr>
                <w:rFonts w:ascii="Times New Roman" w:hAnsi="Times New Roman" w:cs="Times New Roman"/>
                <w:sz w:val="16"/>
                <w:szCs w:val="16"/>
                <w:lang w:val="bg-BG"/>
              </w:rPr>
              <w:t>Недвижими имоти</w:t>
            </w:r>
          </w:p>
        </w:tc>
        <w:tc>
          <w:tcPr>
            <w:tcW w:w="1134"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851" w:type="dxa"/>
            <w:vAlign w:val="center"/>
          </w:tcPr>
          <w:p w:rsidR="00231A95" w:rsidRPr="0020088D" w:rsidRDefault="00231A95" w:rsidP="00C34EE7">
            <w:pPr>
              <w:spacing w:before="120" w:after="120"/>
              <w:rPr>
                <w:sz w:val="16"/>
                <w:szCs w:val="16"/>
                <w:lang w:val="bg-BG"/>
              </w:rPr>
            </w:pPr>
          </w:p>
        </w:tc>
        <w:tc>
          <w:tcPr>
            <w:tcW w:w="709"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850" w:type="dxa"/>
            <w:vAlign w:val="center"/>
          </w:tcPr>
          <w:p w:rsidR="00231A95" w:rsidRPr="0020088D" w:rsidRDefault="00231A95" w:rsidP="00C34EE7">
            <w:pPr>
              <w:spacing w:before="120" w:after="120"/>
              <w:rPr>
                <w:sz w:val="16"/>
                <w:szCs w:val="16"/>
                <w:lang w:val="bg-BG"/>
              </w:rPr>
            </w:pPr>
          </w:p>
        </w:tc>
        <w:tc>
          <w:tcPr>
            <w:tcW w:w="709" w:type="dxa"/>
            <w:vAlign w:val="center"/>
          </w:tcPr>
          <w:p w:rsidR="00231A95" w:rsidRPr="0020088D" w:rsidRDefault="00231A95" w:rsidP="00C34EE7">
            <w:pPr>
              <w:spacing w:before="120" w:after="120"/>
              <w:rPr>
                <w:sz w:val="16"/>
                <w:szCs w:val="16"/>
                <w:lang w:val="bg-BG"/>
              </w:rPr>
            </w:pPr>
          </w:p>
        </w:tc>
        <w:tc>
          <w:tcPr>
            <w:tcW w:w="1082" w:type="dxa"/>
            <w:vAlign w:val="center"/>
          </w:tcPr>
          <w:p w:rsidR="00231A95" w:rsidRPr="0020088D" w:rsidRDefault="00231A95" w:rsidP="00C34EE7">
            <w:pPr>
              <w:spacing w:before="120" w:after="120"/>
              <w:rPr>
                <w:sz w:val="16"/>
                <w:szCs w:val="16"/>
                <w:lang w:val="bg-BG"/>
              </w:rPr>
            </w:pPr>
          </w:p>
        </w:tc>
        <w:tc>
          <w:tcPr>
            <w:tcW w:w="108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c>
          <w:tcPr>
            <w:tcW w:w="108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r>
      <w:tr w:rsidR="00231A95" w:rsidRPr="0020088D" w:rsidTr="00A163C2">
        <w:trPr>
          <w:trHeight w:val="361"/>
        </w:trPr>
        <w:tc>
          <w:tcPr>
            <w:tcW w:w="1440" w:type="dxa"/>
            <w:vAlign w:val="center"/>
          </w:tcPr>
          <w:p w:rsidR="00231A95" w:rsidRPr="0020088D" w:rsidRDefault="0032212D" w:rsidP="008D74BF">
            <w:pPr>
              <w:pStyle w:val="RowsHeading"/>
              <w:rPr>
                <w:rFonts w:ascii="Times New Roman" w:hAnsi="Times New Roman" w:cs="Times New Roman"/>
                <w:sz w:val="16"/>
                <w:szCs w:val="16"/>
                <w:lang w:val="bg-BG"/>
              </w:rPr>
            </w:pPr>
            <w:r w:rsidRPr="0020088D">
              <w:rPr>
                <w:rFonts w:ascii="Times New Roman" w:hAnsi="Times New Roman" w:cs="Times New Roman"/>
                <w:sz w:val="16"/>
                <w:szCs w:val="16"/>
                <w:lang w:val="bg-BG"/>
              </w:rPr>
              <w:t>Други дейности</w:t>
            </w:r>
          </w:p>
        </w:tc>
        <w:tc>
          <w:tcPr>
            <w:tcW w:w="1134"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851" w:type="dxa"/>
            <w:vAlign w:val="center"/>
          </w:tcPr>
          <w:p w:rsidR="00231A95" w:rsidRPr="0020088D" w:rsidRDefault="00231A95" w:rsidP="00C34EE7">
            <w:pPr>
              <w:spacing w:before="120" w:after="120"/>
              <w:rPr>
                <w:sz w:val="16"/>
                <w:szCs w:val="16"/>
                <w:lang w:val="bg-BG"/>
              </w:rPr>
            </w:pPr>
          </w:p>
        </w:tc>
        <w:tc>
          <w:tcPr>
            <w:tcW w:w="709"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1134" w:type="dxa"/>
            <w:vAlign w:val="center"/>
          </w:tcPr>
          <w:p w:rsidR="00231A95" w:rsidRPr="0020088D" w:rsidRDefault="00231A95" w:rsidP="00C34EE7">
            <w:pPr>
              <w:spacing w:before="120" w:after="120"/>
              <w:rPr>
                <w:sz w:val="16"/>
                <w:szCs w:val="16"/>
                <w:lang w:val="bg-BG"/>
              </w:rPr>
            </w:pPr>
          </w:p>
        </w:tc>
        <w:tc>
          <w:tcPr>
            <w:tcW w:w="850" w:type="dxa"/>
            <w:vAlign w:val="center"/>
          </w:tcPr>
          <w:p w:rsidR="00231A95" w:rsidRPr="0020088D" w:rsidRDefault="00231A95" w:rsidP="00C34EE7">
            <w:pPr>
              <w:spacing w:before="120" w:after="120"/>
              <w:rPr>
                <w:sz w:val="16"/>
                <w:szCs w:val="16"/>
                <w:lang w:val="bg-BG"/>
              </w:rPr>
            </w:pPr>
          </w:p>
        </w:tc>
        <w:tc>
          <w:tcPr>
            <w:tcW w:w="709" w:type="dxa"/>
            <w:vAlign w:val="center"/>
          </w:tcPr>
          <w:p w:rsidR="00231A95" w:rsidRPr="0020088D" w:rsidRDefault="00231A95" w:rsidP="00C34EE7">
            <w:pPr>
              <w:spacing w:before="120" w:after="120"/>
              <w:rPr>
                <w:sz w:val="16"/>
                <w:szCs w:val="16"/>
                <w:lang w:val="bg-BG"/>
              </w:rPr>
            </w:pPr>
          </w:p>
        </w:tc>
        <w:tc>
          <w:tcPr>
            <w:tcW w:w="1082" w:type="dxa"/>
            <w:vAlign w:val="center"/>
          </w:tcPr>
          <w:p w:rsidR="00231A95" w:rsidRPr="0020088D" w:rsidRDefault="00231A95" w:rsidP="00C34EE7">
            <w:pPr>
              <w:spacing w:before="120" w:after="120"/>
              <w:rPr>
                <w:sz w:val="16"/>
                <w:szCs w:val="16"/>
                <w:lang w:val="bg-BG"/>
              </w:rPr>
            </w:pPr>
          </w:p>
        </w:tc>
        <w:tc>
          <w:tcPr>
            <w:tcW w:w="108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c>
          <w:tcPr>
            <w:tcW w:w="108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c>
          <w:tcPr>
            <w:tcW w:w="1170" w:type="dxa"/>
            <w:vAlign w:val="center"/>
          </w:tcPr>
          <w:p w:rsidR="00231A95" w:rsidRPr="0020088D" w:rsidRDefault="00231A95" w:rsidP="00C34EE7">
            <w:pPr>
              <w:spacing w:before="120" w:after="120"/>
              <w:rPr>
                <w:sz w:val="16"/>
                <w:szCs w:val="16"/>
                <w:lang w:val="bg-BG"/>
              </w:rPr>
            </w:pPr>
          </w:p>
        </w:tc>
      </w:tr>
      <w:tr w:rsidR="00231A95" w:rsidRPr="0020088D" w:rsidTr="00A163C2">
        <w:trPr>
          <w:trHeight w:val="433"/>
        </w:trPr>
        <w:tc>
          <w:tcPr>
            <w:tcW w:w="1440" w:type="dxa"/>
            <w:vAlign w:val="center"/>
          </w:tcPr>
          <w:p w:rsidR="00231A95" w:rsidRPr="0020088D" w:rsidRDefault="0032212D" w:rsidP="00C34EE7">
            <w:pPr>
              <w:pStyle w:val="RowsHeading"/>
              <w:rPr>
                <w:rFonts w:ascii="Times New Roman" w:hAnsi="Times New Roman" w:cs="Times New Roman"/>
                <w:b/>
                <w:sz w:val="16"/>
                <w:szCs w:val="16"/>
                <w:lang w:val="bg-BG"/>
              </w:rPr>
            </w:pPr>
            <w:r w:rsidRPr="0020088D">
              <w:rPr>
                <w:rFonts w:ascii="Times New Roman" w:hAnsi="Times New Roman" w:cs="Times New Roman"/>
                <w:b/>
                <w:sz w:val="16"/>
                <w:szCs w:val="16"/>
                <w:lang w:val="bg-BG"/>
              </w:rPr>
              <w:t>Общо</w:t>
            </w:r>
          </w:p>
        </w:tc>
        <w:tc>
          <w:tcPr>
            <w:tcW w:w="1134" w:type="dxa"/>
            <w:vAlign w:val="center"/>
          </w:tcPr>
          <w:p w:rsidR="00231A95" w:rsidRPr="0020088D" w:rsidRDefault="00231A95" w:rsidP="00C34EE7">
            <w:pPr>
              <w:spacing w:before="120" w:after="120"/>
              <w:rPr>
                <w:b/>
                <w:sz w:val="16"/>
                <w:szCs w:val="16"/>
                <w:lang w:val="bg-BG"/>
              </w:rPr>
            </w:pPr>
          </w:p>
        </w:tc>
        <w:tc>
          <w:tcPr>
            <w:tcW w:w="1134" w:type="dxa"/>
            <w:vAlign w:val="center"/>
          </w:tcPr>
          <w:p w:rsidR="00231A95" w:rsidRPr="0020088D" w:rsidRDefault="00231A95" w:rsidP="00C34EE7">
            <w:pPr>
              <w:spacing w:before="120" w:after="120"/>
              <w:rPr>
                <w:b/>
                <w:sz w:val="16"/>
                <w:szCs w:val="16"/>
                <w:lang w:val="bg-BG"/>
              </w:rPr>
            </w:pPr>
          </w:p>
        </w:tc>
        <w:tc>
          <w:tcPr>
            <w:tcW w:w="851" w:type="dxa"/>
            <w:vAlign w:val="center"/>
          </w:tcPr>
          <w:p w:rsidR="00231A95" w:rsidRPr="0020088D" w:rsidRDefault="00231A95" w:rsidP="00C34EE7">
            <w:pPr>
              <w:spacing w:before="120" w:after="120"/>
              <w:rPr>
                <w:b/>
                <w:sz w:val="16"/>
                <w:szCs w:val="16"/>
                <w:lang w:val="bg-BG"/>
              </w:rPr>
            </w:pPr>
          </w:p>
        </w:tc>
        <w:tc>
          <w:tcPr>
            <w:tcW w:w="709" w:type="dxa"/>
            <w:vAlign w:val="center"/>
          </w:tcPr>
          <w:p w:rsidR="00231A95" w:rsidRPr="0020088D" w:rsidRDefault="00231A95" w:rsidP="00C34EE7">
            <w:pPr>
              <w:spacing w:before="120" w:after="120"/>
              <w:rPr>
                <w:b/>
                <w:sz w:val="16"/>
                <w:szCs w:val="16"/>
                <w:lang w:val="bg-BG"/>
              </w:rPr>
            </w:pPr>
          </w:p>
        </w:tc>
        <w:tc>
          <w:tcPr>
            <w:tcW w:w="1134" w:type="dxa"/>
            <w:vAlign w:val="center"/>
          </w:tcPr>
          <w:p w:rsidR="00231A95" w:rsidRPr="0020088D" w:rsidRDefault="00231A95" w:rsidP="00C34EE7">
            <w:pPr>
              <w:spacing w:before="120" w:after="120"/>
              <w:rPr>
                <w:b/>
                <w:sz w:val="16"/>
                <w:szCs w:val="16"/>
                <w:lang w:val="bg-BG"/>
              </w:rPr>
            </w:pPr>
          </w:p>
        </w:tc>
        <w:tc>
          <w:tcPr>
            <w:tcW w:w="1134" w:type="dxa"/>
            <w:vAlign w:val="center"/>
          </w:tcPr>
          <w:p w:rsidR="00231A95" w:rsidRPr="0020088D" w:rsidRDefault="00231A95" w:rsidP="00C34EE7">
            <w:pPr>
              <w:spacing w:before="120" w:after="120"/>
              <w:rPr>
                <w:b/>
                <w:sz w:val="16"/>
                <w:szCs w:val="16"/>
                <w:lang w:val="bg-BG"/>
              </w:rPr>
            </w:pPr>
          </w:p>
        </w:tc>
        <w:tc>
          <w:tcPr>
            <w:tcW w:w="850" w:type="dxa"/>
            <w:vAlign w:val="center"/>
          </w:tcPr>
          <w:p w:rsidR="00231A95" w:rsidRPr="0020088D" w:rsidRDefault="00231A95" w:rsidP="00C34EE7">
            <w:pPr>
              <w:spacing w:before="120" w:after="120"/>
              <w:rPr>
                <w:b/>
                <w:sz w:val="16"/>
                <w:szCs w:val="16"/>
                <w:lang w:val="bg-BG"/>
              </w:rPr>
            </w:pPr>
          </w:p>
        </w:tc>
        <w:tc>
          <w:tcPr>
            <w:tcW w:w="709" w:type="dxa"/>
            <w:vAlign w:val="center"/>
          </w:tcPr>
          <w:p w:rsidR="00231A95" w:rsidRPr="0020088D" w:rsidRDefault="00231A95" w:rsidP="00C34EE7">
            <w:pPr>
              <w:spacing w:before="120" w:after="120"/>
              <w:rPr>
                <w:b/>
                <w:sz w:val="16"/>
                <w:szCs w:val="16"/>
                <w:lang w:val="bg-BG"/>
              </w:rPr>
            </w:pPr>
          </w:p>
        </w:tc>
        <w:tc>
          <w:tcPr>
            <w:tcW w:w="1082" w:type="dxa"/>
            <w:vAlign w:val="center"/>
          </w:tcPr>
          <w:p w:rsidR="00231A95" w:rsidRPr="0020088D" w:rsidRDefault="00231A95" w:rsidP="00C34EE7">
            <w:pPr>
              <w:spacing w:before="120" w:after="120"/>
              <w:rPr>
                <w:b/>
                <w:sz w:val="16"/>
                <w:szCs w:val="16"/>
                <w:lang w:val="bg-BG"/>
              </w:rPr>
            </w:pPr>
          </w:p>
        </w:tc>
        <w:tc>
          <w:tcPr>
            <w:tcW w:w="1080" w:type="dxa"/>
            <w:vAlign w:val="center"/>
          </w:tcPr>
          <w:p w:rsidR="00231A95" w:rsidRPr="0020088D" w:rsidRDefault="00231A95" w:rsidP="00C34EE7">
            <w:pPr>
              <w:spacing w:before="120" w:after="120"/>
              <w:rPr>
                <w:b/>
                <w:sz w:val="16"/>
                <w:szCs w:val="16"/>
                <w:lang w:val="bg-BG"/>
              </w:rPr>
            </w:pPr>
          </w:p>
        </w:tc>
        <w:tc>
          <w:tcPr>
            <w:tcW w:w="1170" w:type="dxa"/>
            <w:vAlign w:val="center"/>
          </w:tcPr>
          <w:p w:rsidR="00231A95" w:rsidRPr="0020088D" w:rsidRDefault="00231A95" w:rsidP="00C34EE7">
            <w:pPr>
              <w:spacing w:before="120" w:after="120"/>
              <w:rPr>
                <w:b/>
                <w:sz w:val="16"/>
                <w:szCs w:val="16"/>
                <w:lang w:val="bg-BG"/>
              </w:rPr>
            </w:pPr>
          </w:p>
        </w:tc>
        <w:tc>
          <w:tcPr>
            <w:tcW w:w="1080" w:type="dxa"/>
            <w:vAlign w:val="center"/>
          </w:tcPr>
          <w:p w:rsidR="00231A95" w:rsidRPr="0020088D" w:rsidRDefault="00231A95" w:rsidP="00C34EE7">
            <w:pPr>
              <w:spacing w:before="120" w:after="120"/>
              <w:rPr>
                <w:b/>
                <w:sz w:val="16"/>
                <w:szCs w:val="16"/>
                <w:lang w:val="bg-BG"/>
              </w:rPr>
            </w:pPr>
          </w:p>
        </w:tc>
        <w:tc>
          <w:tcPr>
            <w:tcW w:w="1170" w:type="dxa"/>
            <w:vAlign w:val="center"/>
          </w:tcPr>
          <w:p w:rsidR="00231A95" w:rsidRPr="0020088D" w:rsidRDefault="00231A95" w:rsidP="00C34EE7">
            <w:pPr>
              <w:spacing w:before="120" w:after="120"/>
              <w:rPr>
                <w:b/>
                <w:sz w:val="16"/>
                <w:szCs w:val="16"/>
                <w:lang w:val="bg-BG"/>
              </w:rPr>
            </w:pPr>
          </w:p>
        </w:tc>
        <w:tc>
          <w:tcPr>
            <w:tcW w:w="1170" w:type="dxa"/>
            <w:vAlign w:val="center"/>
          </w:tcPr>
          <w:p w:rsidR="00231A95" w:rsidRPr="0020088D" w:rsidRDefault="00231A95" w:rsidP="00C34EE7">
            <w:pPr>
              <w:spacing w:before="120" w:after="120"/>
              <w:rPr>
                <w:b/>
                <w:sz w:val="16"/>
                <w:szCs w:val="16"/>
                <w:lang w:val="bg-BG"/>
              </w:rPr>
            </w:pPr>
          </w:p>
        </w:tc>
      </w:tr>
      <w:tr w:rsidR="00231A95" w:rsidRPr="0020088D" w:rsidTr="00A163C2">
        <w:trPr>
          <w:cantSplit/>
          <w:trHeight w:hRule="exact" w:val="312"/>
        </w:trPr>
        <w:tc>
          <w:tcPr>
            <w:tcW w:w="15847" w:type="dxa"/>
            <w:gridSpan w:val="15"/>
            <w:vAlign w:val="center"/>
          </w:tcPr>
          <w:p w:rsidR="00231A95" w:rsidRPr="0020088D" w:rsidRDefault="0032212D" w:rsidP="0032212D">
            <w:pPr>
              <w:spacing w:before="80" w:after="80"/>
              <w:jc w:val="center"/>
              <w:rPr>
                <w:b/>
                <w:i/>
                <w:sz w:val="16"/>
                <w:szCs w:val="16"/>
                <w:lang w:val="bg-BG"/>
              </w:rPr>
            </w:pPr>
            <w:r w:rsidRPr="0020088D">
              <w:rPr>
                <w:b/>
                <w:i/>
                <w:sz w:val="16"/>
                <w:szCs w:val="16"/>
                <w:lang w:val="bg-BG"/>
              </w:rPr>
              <w:lastRenderedPageBreak/>
              <w:t>Позиции по меморандума</w:t>
            </w:r>
          </w:p>
        </w:tc>
      </w:tr>
      <w:tr w:rsidR="00231A95" w:rsidRPr="0020088D" w:rsidTr="00A163C2">
        <w:trPr>
          <w:cantSplit/>
          <w:trHeight w:hRule="exact" w:val="312"/>
        </w:trPr>
        <w:tc>
          <w:tcPr>
            <w:tcW w:w="5268" w:type="dxa"/>
            <w:gridSpan w:val="5"/>
            <w:vAlign w:val="center"/>
          </w:tcPr>
          <w:p w:rsidR="00231A95" w:rsidRPr="0020088D" w:rsidRDefault="0032212D" w:rsidP="0032212D">
            <w:pPr>
              <w:spacing w:before="120" w:after="120"/>
              <w:rPr>
                <w:sz w:val="16"/>
                <w:szCs w:val="16"/>
                <w:lang w:val="bg-BG"/>
              </w:rPr>
            </w:pPr>
            <w:r w:rsidRPr="0020088D">
              <w:rPr>
                <w:sz w:val="16"/>
                <w:szCs w:val="16"/>
                <w:lang w:val="bg-BG"/>
              </w:rPr>
              <w:t>Листвани ДП  като % от пазарна капитализация</w:t>
            </w:r>
          </w:p>
        </w:tc>
        <w:tc>
          <w:tcPr>
            <w:tcW w:w="10579" w:type="dxa"/>
            <w:gridSpan w:val="10"/>
            <w:vAlign w:val="center"/>
          </w:tcPr>
          <w:p w:rsidR="00231A95" w:rsidRPr="0020088D" w:rsidRDefault="00231A95" w:rsidP="00C34EE7">
            <w:pPr>
              <w:spacing w:before="120" w:after="120"/>
              <w:rPr>
                <w:b/>
                <w:sz w:val="16"/>
                <w:szCs w:val="16"/>
                <w:lang w:val="bg-BG"/>
              </w:rPr>
            </w:pPr>
          </w:p>
        </w:tc>
      </w:tr>
      <w:tr w:rsidR="00231A95" w:rsidRPr="0020088D" w:rsidTr="00A163C2">
        <w:trPr>
          <w:cantSplit/>
          <w:trHeight w:hRule="exact" w:val="312"/>
        </w:trPr>
        <w:tc>
          <w:tcPr>
            <w:tcW w:w="5268" w:type="dxa"/>
            <w:gridSpan w:val="5"/>
            <w:vAlign w:val="center"/>
          </w:tcPr>
          <w:p w:rsidR="00231A95" w:rsidRPr="0020088D" w:rsidRDefault="0032212D" w:rsidP="0032212D">
            <w:pPr>
              <w:spacing w:before="120" w:after="120"/>
              <w:rPr>
                <w:sz w:val="16"/>
                <w:szCs w:val="16"/>
                <w:lang w:val="bg-BG"/>
              </w:rPr>
            </w:pPr>
            <w:r w:rsidRPr="0020088D">
              <w:rPr>
                <w:sz w:val="16"/>
                <w:szCs w:val="16"/>
                <w:lang w:val="bg-BG"/>
              </w:rPr>
              <w:t xml:space="preserve">Дял на ДП в националната добавена стойност </w:t>
            </w:r>
            <w:r w:rsidR="00231A95" w:rsidRPr="0020088D">
              <w:rPr>
                <w:sz w:val="16"/>
                <w:szCs w:val="16"/>
                <w:lang w:val="bg-BG"/>
              </w:rPr>
              <w:t>(</w:t>
            </w:r>
            <w:r w:rsidRPr="0020088D">
              <w:rPr>
                <w:sz w:val="16"/>
                <w:szCs w:val="16"/>
                <w:lang w:val="bg-BG"/>
              </w:rPr>
              <w:t>БВП</w:t>
            </w:r>
            <w:r w:rsidR="00231A95" w:rsidRPr="0020088D">
              <w:rPr>
                <w:sz w:val="16"/>
                <w:szCs w:val="16"/>
                <w:lang w:val="bg-BG"/>
              </w:rPr>
              <w:t>)</w:t>
            </w:r>
          </w:p>
        </w:tc>
        <w:tc>
          <w:tcPr>
            <w:tcW w:w="10579" w:type="dxa"/>
            <w:gridSpan w:val="10"/>
            <w:vAlign w:val="center"/>
          </w:tcPr>
          <w:p w:rsidR="00231A95" w:rsidRPr="0020088D" w:rsidRDefault="00231A95" w:rsidP="00C34EE7">
            <w:pPr>
              <w:spacing w:before="120" w:after="120"/>
              <w:rPr>
                <w:b/>
                <w:sz w:val="16"/>
                <w:szCs w:val="16"/>
                <w:lang w:val="bg-BG"/>
              </w:rPr>
            </w:pPr>
          </w:p>
        </w:tc>
      </w:tr>
      <w:tr w:rsidR="00231A95" w:rsidRPr="0020088D" w:rsidTr="00A163C2">
        <w:trPr>
          <w:cantSplit/>
          <w:trHeight w:hRule="exact" w:val="312"/>
        </w:trPr>
        <w:tc>
          <w:tcPr>
            <w:tcW w:w="5268" w:type="dxa"/>
            <w:gridSpan w:val="5"/>
            <w:vAlign w:val="center"/>
          </w:tcPr>
          <w:p w:rsidR="00231A95" w:rsidRPr="0020088D" w:rsidRDefault="0032212D" w:rsidP="0032212D">
            <w:pPr>
              <w:spacing w:before="120" w:after="120"/>
              <w:rPr>
                <w:sz w:val="16"/>
                <w:szCs w:val="16"/>
                <w:lang w:val="bg-BG"/>
              </w:rPr>
            </w:pPr>
            <w:r w:rsidRPr="0020088D">
              <w:rPr>
                <w:sz w:val="16"/>
                <w:szCs w:val="16"/>
                <w:lang w:val="bg-BG"/>
              </w:rPr>
              <w:t>Заетост в ДП  като процент от  общата заетост</w:t>
            </w:r>
          </w:p>
        </w:tc>
        <w:tc>
          <w:tcPr>
            <w:tcW w:w="10579" w:type="dxa"/>
            <w:gridSpan w:val="10"/>
            <w:vAlign w:val="center"/>
          </w:tcPr>
          <w:p w:rsidR="00231A95" w:rsidRPr="0020088D" w:rsidRDefault="00231A95" w:rsidP="00C34EE7">
            <w:pPr>
              <w:spacing w:before="120" w:after="120"/>
              <w:rPr>
                <w:b/>
                <w:sz w:val="16"/>
                <w:szCs w:val="16"/>
                <w:lang w:val="bg-BG"/>
              </w:rPr>
            </w:pPr>
          </w:p>
        </w:tc>
      </w:tr>
    </w:tbl>
    <w:p w:rsidR="003D0231" w:rsidRPr="0020088D" w:rsidRDefault="003D0231" w:rsidP="0019106C">
      <w:pPr>
        <w:pStyle w:val="Heading1"/>
        <w:spacing w:before="360" w:after="360"/>
        <w:rPr>
          <w:lang w:val="bg-BG"/>
        </w:rPr>
      </w:pPr>
      <w:r w:rsidRPr="0020088D">
        <w:rPr>
          <w:lang w:val="bg-BG"/>
        </w:rPr>
        <w:br w:type="page"/>
      </w:r>
      <w:bookmarkStart w:id="2" w:name="_Toc521484059"/>
      <w:r w:rsidR="000C4806" w:rsidRPr="0020088D">
        <w:rPr>
          <w:lang w:val="bg-BG"/>
        </w:rPr>
        <w:lastRenderedPageBreak/>
        <w:t>Таблица</w:t>
      </w:r>
      <w:r w:rsidRPr="0020088D">
        <w:rPr>
          <w:lang w:val="bg-BG"/>
        </w:rPr>
        <w:t xml:space="preserve"> 2: </w:t>
      </w:r>
      <w:r w:rsidR="00B954EB" w:rsidRPr="0020088D">
        <w:rPr>
          <w:lang w:val="bg-BG"/>
        </w:rPr>
        <w:t xml:space="preserve">СЪВКУПНИ ДАННИ ЗА </w:t>
      </w:r>
      <w:r w:rsidR="00C00D52" w:rsidRPr="0020088D">
        <w:rPr>
          <w:lang w:val="bg-BG"/>
        </w:rPr>
        <w:t>предприятия</w:t>
      </w:r>
      <w:r w:rsidR="00B954EB" w:rsidRPr="0020088D">
        <w:rPr>
          <w:lang w:val="bg-BG"/>
        </w:rPr>
        <w:t>,</w:t>
      </w:r>
      <w:r w:rsidR="008137D0" w:rsidRPr="0020088D">
        <w:rPr>
          <w:lang w:val="bg-BG"/>
        </w:rPr>
        <w:t xml:space="preserve"> </w:t>
      </w:r>
      <w:r w:rsidR="00B954EB" w:rsidRPr="0020088D">
        <w:rPr>
          <w:lang w:val="bg-BG"/>
        </w:rPr>
        <w:t>ПРИТЕЖАВАНИ НА ПОДНАЦИОНАЛНО  РАВНИЩЕ НА УПРАВЛЕНИЕ</w:t>
      </w:r>
      <w:r w:rsidRPr="0020088D">
        <w:rPr>
          <w:rStyle w:val="FootnoteReference"/>
          <w:lang w:val="bg-BG"/>
        </w:rPr>
        <w:footnoteReference w:id="4"/>
      </w:r>
      <w:bookmarkEnd w:id="2"/>
      <w:r w:rsidRPr="0020088D">
        <w:rPr>
          <w:lang w:val="bg-BG"/>
        </w:rPr>
        <w:t xml:space="preserve">  </w:t>
      </w:r>
    </w:p>
    <w:tbl>
      <w:tblPr>
        <w:tblW w:w="1584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134"/>
        <w:gridCol w:w="1134"/>
        <w:gridCol w:w="851"/>
        <w:gridCol w:w="709"/>
        <w:gridCol w:w="1134"/>
        <w:gridCol w:w="1134"/>
        <w:gridCol w:w="850"/>
        <w:gridCol w:w="709"/>
        <w:gridCol w:w="1082"/>
        <w:gridCol w:w="1080"/>
        <w:gridCol w:w="1170"/>
        <w:gridCol w:w="1080"/>
        <w:gridCol w:w="1170"/>
        <w:gridCol w:w="1170"/>
      </w:tblGrid>
      <w:tr w:rsidR="003D0231" w:rsidRPr="0020088D" w:rsidTr="00A163C2">
        <w:tc>
          <w:tcPr>
            <w:tcW w:w="1440" w:type="dxa"/>
            <w:vAlign w:val="center"/>
          </w:tcPr>
          <w:p w:rsidR="003D0231" w:rsidRPr="0020088D" w:rsidRDefault="003D0231" w:rsidP="00C34EE7">
            <w:pPr>
              <w:jc w:val="center"/>
              <w:rPr>
                <w:b/>
                <w:sz w:val="16"/>
                <w:szCs w:val="16"/>
                <w:lang w:val="bg-BG"/>
              </w:rPr>
            </w:pPr>
          </w:p>
        </w:tc>
        <w:tc>
          <w:tcPr>
            <w:tcW w:w="3828" w:type="dxa"/>
            <w:gridSpan w:val="4"/>
            <w:vAlign w:val="center"/>
          </w:tcPr>
          <w:p w:rsidR="003D0231" w:rsidRPr="0020088D" w:rsidRDefault="00BC75A0" w:rsidP="00BC75A0">
            <w:pPr>
              <w:pStyle w:val="ColumnsHeading"/>
              <w:rPr>
                <w:rFonts w:ascii="Times New Roman" w:hAnsi="Times New Roman" w:cs="Times New Roman"/>
                <w:b/>
                <w:bCs/>
                <w:sz w:val="16"/>
                <w:szCs w:val="16"/>
                <w:lang w:val="bg-BG"/>
              </w:rPr>
            </w:pPr>
            <w:r w:rsidRPr="0020088D">
              <w:rPr>
                <w:rFonts w:ascii="Times New Roman" w:hAnsi="Times New Roman" w:cs="Times New Roman"/>
                <w:b/>
                <w:sz w:val="16"/>
                <w:szCs w:val="16"/>
                <w:lang w:val="bg-BG" w:eastAsia="bg-BG"/>
              </w:rPr>
              <w:t>Предприятия с мажоритарно участие</w:t>
            </w:r>
            <w:r w:rsidRPr="0020088D">
              <w:rPr>
                <w:rFonts w:ascii="Times New Roman" w:hAnsi="Times New Roman" w:cs="Times New Roman"/>
                <w:b/>
                <w:bCs/>
                <w:sz w:val="16"/>
                <w:szCs w:val="16"/>
                <w:lang w:val="bg-BG"/>
              </w:rPr>
              <w:t xml:space="preserve">, листвани на борсата </w:t>
            </w:r>
          </w:p>
        </w:tc>
        <w:tc>
          <w:tcPr>
            <w:tcW w:w="3827" w:type="dxa"/>
            <w:gridSpan w:val="4"/>
            <w:vAlign w:val="center"/>
          </w:tcPr>
          <w:p w:rsidR="003D0231" w:rsidRPr="0020088D" w:rsidRDefault="00BC75A0" w:rsidP="00BC75A0">
            <w:pPr>
              <w:pStyle w:val="ColumnsHeading"/>
              <w:rPr>
                <w:rFonts w:ascii="Times New Roman" w:hAnsi="Times New Roman" w:cs="Times New Roman"/>
                <w:b/>
                <w:bCs/>
                <w:sz w:val="16"/>
                <w:szCs w:val="16"/>
                <w:lang w:val="bg-BG"/>
              </w:rPr>
            </w:pPr>
            <w:r w:rsidRPr="0020088D">
              <w:rPr>
                <w:rFonts w:ascii="Times New Roman" w:hAnsi="Times New Roman" w:cs="Times New Roman"/>
                <w:b/>
                <w:sz w:val="16"/>
                <w:szCs w:val="16"/>
                <w:lang w:val="bg-BG" w:eastAsia="bg-BG"/>
              </w:rPr>
              <w:t>Предприятия с миноритарно участие</w:t>
            </w:r>
            <w:r w:rsidRPr="0020088D">
              <w:rPr>
                <w:rFonts w:ascii="Times New Roman" w:hAnsi="Times New Roman" w:cs="Times New Roman"/>
                <w:b/>
                <w:bCs/>
                <w:sz w:val="16"/>
                <w:szCs w:val="16"/>
                <w:lang w:val="bg-BG"/>
              </w:rPr>
              <w:t xml:space="preserve">, листвани на борсата </w:t>
            </w:r>
            <w:r w:rsidR="009F5967" w:rsidRPr="0020088D">
              <w:rPr>
                <w:rFonts w:ascii="Times New Roman" w:hAnsi="Times New Roman" w:cs="Times New Roman"/>
                <w:b/>
                <w:bCs/>
                <w:sz w:val="16"/>
                <w:szCs w:val="16"/>
                <w:lang w:val="bg-BG"/>
              </w:rPr>
              <w:t>(</w:t>
            </w:r>
            <w:r w:rsidRPr="0020088D">
              <w:rPr>
                <w:rFonts w:ascii="Times New Roman" w:hAnsi="Times New Roman" w:cs="Times New Roman"/>
                <w:b/>
                <w:bCs/>
                <w:sz w:val="16"/>
                <w:szCs w:val="16"/>
                <w:lang w:val="bg-BG"/>
              </w:rPr>
              <w:t>ЧДП</w:t>
            </w:r>
            <w:r w:rsidR="009F5967" w:rsidRPr="0020088D">
              <w:rPr>
                <w:rFonts w:ascii="Times New Roman" w:hAnsi="Times New Roman" w:cs="Times New Roman"/>
                <w:b/>
                <w:bCs/>
                <w:sz w:val="16"/>
                <w:szCs w:val="16"/>
                <w:lang w:val="bg-BG"/>
              </w:rPr>
              <w:t>)</w:t>
            </w:r>
          </w:p>
        </w:tc>
        <w:tc>
          <w:tcPr>
            <w:tcW w:w="3332" w:type="dxa"/>
            <w:gridSpan w:val="3"/>
            <w:vAlign w:val="center"/>
          </w:tcPr>
          <w:p w:rsidR="003D0231" w:rsidRPr="0020088D" w:rsidRDefault="00BC75A0" w:rsidP="00BC75A0">
            <w:pPr>
              <w:pStyle w:val="ColumnsHeading"/>
              <w:rPr>
                <w:rFonts w:ascii="Times New Roman" w:hAnsi="Times New Roman" w:cs="Times New Roman"/>
                <w:b/>
                <w:bCs/>
                <w:sz w:val="16"/>
                <w:szCs w:val="16"/>
                <w:lang w:val="bg-BG"/>
              </w:rPr>
            </w:pPr>
            <w:r w:rsidRPr="0020088D">
              <w:rPr>
                <w:rFonts w:ascii="Times New Roman" w:hAnsi="Times New Roman" w:cs="Times New Roman"/>
                <w:b/>
                <w:sz w:val="16"/>
                <w:szCs w:val="16"/>
                <w:lang w:val="bg-BG" w:eastAsia="bg-BG"/>
              </w:rPr>
              <w:t>Предприятия с мажоритарно участие</w:t>
            </w:r>
            <w:r w:rsidRPr="0020088D">
              <w:rPr>
                <w:rFonts w:ascii="Times New Roman" w:hAnsi="Times New Roman" w:cs="Times New Roman"/>
                <w:b/>
                <w:bCs/>
                <w:sz w:val="16"/>
                <w:szCs w:val="16"/>
                <w:lang w:val="bg-BG"/>
              </w:rPr>
              <w:t xml:space="preserve">, нелиствани на борсата </w:t>
            </w:r>
          </w:p>
        </w:tc>
        <w:tc>
          <w:tcPr>
            <w:tcW w:w="3420" w:type="dxa"/>
            <w:gridSpan w:val="3"/>
            <w:vAlign w:val="center"/>
          </w:tcPr>
          <w:p w:rsidR="003D0231" w:rsidRPr="0020088D" w:rsidRDefault="00BC75A0" w:rsidP="00C34EE7">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Дружества, създадени със закони, и  квазипредприятия</w:t>
            </w:r>
          </w:p>
        </w:tc>
      </w:tr>
      <w:tr w:rsidR="00BC75A0" w:rsidRPr="0020088D" w:rsidTr="00A163C2">
        <w:trPr>
          <w:trHeight w:val="308"/>
        </w:trPr>
        <w:tc>
          <w:tcPr>
            <w:tcW w:w="1440" w:type="dxa"/>
            <w:vMerge w:val="restart"/>
            <w:vAlign w:val="center"/>
          </w:tcPr>
          <w:p w:rsidR="00BC75A0" w:rsidRPr="0020088D" w:rsidRDefault="00BC75A0" w:rsidP="00A163C2">
            <w:pPr>
              <w:pStyle w:val="ColumnsHeading"/>
              <w:ind w:firstLine="198"/>
              <w:rPr>
                <w:rFonts w:ascii="Times New Roman" w:hAnsi="Times New Roman" w:cs="Times New Roman"/>
                <w:sz w:val="16"/>
                <w:szCs w:val="16"/>
                <w:lang w:val="bg-BG"/>
              </w:rPr>
            </w:pPr>
            <w:r w:rsidRPr="0020088D">
              <w:rPr>
                <w:rFonts w:ascii="Times New Roman" w:hAnsi="Times New Roman" w:cs="Times New Roman"/>
                <w:sz w:val="16"/>
                <w:szCs w:val="16"/>
                <w:lang w:val="bg-BG"/>
              </w:rPr>
              <w:t xml:space="preserve"> </w:t>
            </w:r>
          </w:p>
        </w:tc>
        <w:tc>
          <w:tcPr>
            <w:tcW w:w="1134" w:type="dxa"/>
            <w:vMerge w:val="restart"/>
            <w:vAlign w:val="center"/>
          </w:tcPr>
          <w:p w:rsidR="00BC75A0" w:rsidRPr="0020088D" w:rsidRDefault="00BC75A0" w:rsidP="00BC75A0">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 предприятия</w:t>
            </w:r>
          </w:p>
        </w:tc>
        <w:tc>
          <w:tcPr>
            <w:tcW w:w="1134" w:type="dxa"/>
            <w:vMerge w:val="restart"/>
            <w:vAlign w:val="center"/>
          </w:tcPr>
          <w:p w:rsidR="00BC75A0" w:rsidRPr="0020088D" w:rsidRDefault="00BC75A0" w:rsidP="00BC75A0">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  служители</w:t>
            </w:r>
          </w:p>
        </w:tc>
        <w:tc>
          <w:tcPr>
            <w:tcW w:w="1560" w:type="dxa"/>
            <w:gridSpan w:val="2"/>
            <w:vAlign w:val="center"/>
          </w:tcPr>
          <w:p w:rsidR="00BC75A0" w:rsidRPr="0020088D" w:rsidRDefault="00BC75A0" w:rsidP="00BC75A0">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Стойност на  предприятията (USD млн.</w:t>
            </w:r>
          </w:p>
        </w:tc>
        <w:tc>
          <w:tcPr>
            <w:tcW w:w="1134" w:type="dxa"/>
            <w:vMerge w:val="restart"/>
            <w:vAlign w:val="center"/>
          </w:tcPr>
          <w:p w:rsidR="00BC75A0" w:rsidRPr="0020088D" w:rsidRDefault="00BC75A0" w:rsidP="00E4513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 предприятия</w:t>
            </w:r>
          </w:p>
        </w:tc>
        <w:tc>
          <w:tcPr>
            <w:tcW w:w="1134" w:type="dxa"/>
            <w:vMerge w:val="restart"/>
            <w:vAlign w:val="center"/>
          </w:tcPr>
          <w:p w:rsidR="00BC75A0" w:rsidRPr="0020088D" w:rsidRDefault="00BC75A0" w:rsidP="00E4513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  служители</w:t>
            </w:r>
          </w:p>
        </w:tc>
        <w:tc>
          <w:tcPr>
            <w:tcW w:w="1559" w:type="dxa"/>
            <w:gridSpan w:val="2"/>
            <w:vAlign w:val="center"/>
          </w:tcPr>
          <w:p w:rsidR="00BC75A0" w:rsidRPr="0020088D" w:rsidRDefault="00BC75A0" w:rsidP="00C34EE7">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Стойност на  предприятията (USD млн.</w:t>
            </w:r>
          </w:p>
        </w:tc>
        <w:tc>
          <w:tcPr>
            <w:tcW w:w="1082" w:type="dxa"/>
            <w:vMerge w:val="restart"/>
            <w:vAlign w:val="center"/>
          </w:tcPr>
          <w:p w:rsidR="00BC75A0" w:rsidRPr="0020088D" w:rsidRDefault="00BC75A0" w:rsidP="00E4513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 предприятия</w:t>
            </w:r>
          </w:p>
        </w:tc>
        <w:tc>
          <w:tcPr>
            <w:tcW w:w="1080" w:type="dxa"/>
            <w:vMerge w:val="restart"/>
            <w:vAlign w:val="center"/>
          </w:tcPr>
          <w:p w:rsidR="00BC75A0" w:rsidRPr="0020088D" w:rsidRDefault="00BC75A0" w:rsidP="00E4513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  служители</w:t>
            </w:r>
          </w:p>
        </w:tc>
        <w:tc>
          <w:tcPr>
            <w:tcW w:w="1170" w:type="dxa"/>
            <w:vMerge w:val="restart"/>
            <w:vAlign w:val="center"/>
          </w:tcPr>
          <w:p w:rsidR="00BC75A0" w:rsidRPr="0020088D" w:rsidRDefault="00BC75A0" w:rsidP="00BC75A0">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Стойност на  предприятията (USD млн.)</w:t>
            </w:r>
            <w:r w:rsidRPr="0020088D">
              <w:rPr>
                <w:rStyle w:val="FootnoteReference"/>
                <w:rFonts w:ascii="Times New Roman" w:hAnsi="Times New Roman" w:cs="Times New Roman"/>
                <w:b/>
                <w:bCs/>
                <w:sz w:val="16"/>
                <w:szCs w:val="16"/>
                <w:lang w:val="bg-BG"/>
              </w:rPr>
              <w:footnoteReference w:id="5"/>
            </w:r>
          </w:p>
        </w:tc>
        <w:tc>
          <w:tcPr>
            <w:tcW w:w="1080" w:type="dxa"/>
            <w:vMerge w:val="restart"/>
            <w:vAlign w:val="center"/>
          </w:tcPr>
          <w:p w:rsidR="00BC75A0" w:rsidRPr="0020088D" w:rsidRDefault="00BC75A0" w:rsidP="00E4513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 предприятия</w:t>
            </w:r>
          </w:p>
        </w:tc>
        <w:tc>
          <w:tcPr>
            <w:tcW w:w="1170" w:type="dxa"/>
            <w:vMerge w:val="restart"/>
            <w:vAlign w:val="center"/>
          </w:tcPr>
          <w:p w:rsidR="00BC75A0" w:rsidRPr="0020088D" w:rsidRDefault="00BC75A0" w:rsidP="00E4513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  служители</w:t>
            </w:r>
          </w:p>
        </w:tc>
        <w:tc>
          <w:tcPr>
            <w:tcW w:w="1170" w:type="dxa"/>
            <w:vMerge w:val="restart"/>
            <w:vAlign w:val="center"/>
          </w:tcPr>
          <w:p w:rsidR="00BC75A0" w:rsidRPr="0020088D" w:rsidRDefault="00BC75A0" w:rsidP="00C34EE7">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Стойност на  предприятията (USD млн.)</w:t>
            </w:r>
            <w:r w:rsidRPr="0020088D">
              <w:rPr>
                <w:rFonts w:ascii="Times New Roman" w:hAnsi="Times New Roman" w:cs="Times New Roman"/>
                <w:b/>
                <w:bCs/>
                <w:sz w:val="16"/>
                <w:szCs w:val="16"/>
                <w:vertAlign w:val="superscript"/>
                <w:lang w:val="bg-BG"/>
              </w:rPr>
              <w:t>2</w:t>
            </w:r>
          </w:p>
        </w:tc>
      </w:tr>
      <w:tr w:rsidR="00BC75A0" w:rsidRPr="0020088D" w:rsidTr="00A163C2">
        <w:trPr>
          <w:trHeight w:val="307"/>
        </w:trPr>
        <w:tc>
          <w:tcPr>
            <w:tcW w:w="1440" w:type="dxa"/>
            <w:vMerge/>
            <w:vAlign w:val="center"/>
          </w:tcPr>
          <w:p w:rsidR="00BC75A0" w:rsidRPr="0020088D" w:rsidRDefault="00BC75A0" w:rsidP="00C34EE7">
            <w:pPr>
              <w:pStyle w:val="ColumnsHeading"/>
              <w:rPr>
                <w:rFonts w:ascii="Times New Roman" w:hAnsi="Times New Roman" w:cs="Times New Roman"/>
                <w:sz w:val="16"/>
                <w:szCs w:val="16"/>
                <w:lang w:val="bg-BG"/>
              </w:rPr>
            </w:pPr>
          </w:p>
        </w:tc>
        <w:tc>
          <w:tcPr>
            <w:tcW w:w="1134" w:type="dxa"/>
            <w:vMerge/>
            <w:vAlign w:val="center"/>
          </w:tcPr>
          <w:p w:rsidR="00BC75A0" w:rsidRPr="0020088D" w:rsidRDefault="00BC75A0" w:rsidP="00C34EE7">
            <w:pPr>
              <w:pStyle w:val="ColumnsHeading"/>
              <w:rPr>
                <w:rFonts w:ascii="Times New Roman" w:hAnsi="Times New Roman" w:cs="Times New Roman"/>
                <w:b/>
                <w:bCs/>
                <w:sz w:val="16"/>
                <w:szCs w:val="16"/>
                <w:lang w:val="bg-BG"/>
              </w:rPr>
            </w:pPr>
          </w:p>
        </w:tc>
        <w:tc>
          <w:tcPr>
            <w:tcW w:w="1134" w:type="dxa"/>
            <w:vMerge/>
            <w:vAlign w:val="center"/>
          </w:tcPr>
          <w:p w:rsidR="00BC75A0" w:rsidRPr="0020088D" w:rsidRDefault="00BC75A0" w:rsidP="00C34EE7">
            <w:pPr>
              <w:pStyle w:val="ColumnsHeading"/>
              <w:rPr>
                <w:rFonts w:ascii="Times New Roman" w:hAnsi="Times New Roman" w:cs="Times New Roman"/>
                <w:b/>
                <w:bCs/>
                <w:sz w:val="16"/>
                <w:szCs w:val="16"/>
                <w:lang w:val="bg-BG"/>
              </w:rPr>
            </w:pPr>
          </w:p>
        </w:tc>
        <w:tc>
          <w:tcPr>
            <w:tcW w:w="851" w:type="dxa"/>
            <w:vAlign w:val="center"/>
          </w:tcPr>
          <w:p w:rsidR="00BC75A0" w:rsidRPr="0020088D" w:rsidRDefault="00BC75A0" w:rsidP="00E4513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Пазарна стойност</w:t>
            </w:r>
          </w:p>
        </w:tc>
        <w:tc>
          <w:tcPr>
            <w:tcW w:w="709" w:type="dxa"/>
            <w:vAlign w:val="center"/>
          </w:tcPr>
          <w:p w:rsidR="00BC75A0" w:rsidRPr="0020088D" w:rsidRDefault="00EC2C00" w:rsidP="00EC2C00">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Балансова</w:t>
            </w:r>
            <w:r w:rsidR="00BC75A0" w:rsidRPr="0020088D">
              <w:rPr>
                <w:rFonts w:ascii="Times New Roman" w:hAnsi="Times New Roman" w:cs="Times New Roman"/>
                <w:b/>
                <w:bCs/>
                <w:sz w:val="16"/>
                <w:szCs w:val="16"/>
                <w:lang w:val="bg-BG"/>
              </w:rPr>
              <w:t xml:space="preserve"> стойност</w:t>
            </w:r>
          </w:p>
        </w:tc>
        <w:tc>
          <w:tcPr>
            <w:tcW w:w="1134" w:type="dxa"/>
            <w:vMerge/>
            <w:vAlign w:val="center"/>
          </w:tcPr>
          <w:p w:rsidR="00BC75A0" w:rsidRPr="0020088D" w:rsidRDefault="00BC75A0" w:rsidP="00C34EE7">
            <w:pPr>
              <w:pStyle w:val="ColumnsHeading"/>
              <w:rPr>
                <w:rFonts w:ascii="Times New Roman" w:hAnsi="Times New Roman" w:cs="Times New Roman"/>
                <w:b/>
                <w:bCs/>
                <w:sz w:val="16"/>
                <w:szCs w:val="16"/>
                <w:lang w:val="bg-BG"/>
              </w:rPr>
            </w:pPr>
          </w:p>
        </w:tc>
        <w:tc>
          <w:tcPr>
            <w:tcW w:w="1134" w:type="dxa"/>
            <w:vMerge/>
            <w:vAlign w:val="center"/>
          </w:tcPr>
          <w:p w:rsidR="00BC75A0" w:rsidRPr="0020088D" w:rsidRDefault="00BC75A0" w:rsidP="00C34EE7">
            <w:pPr>
              <w:pStyle w:val="ColumnsHeading"/>
              <w:rPr>
                <w:rFonts w:ascii="Times New Roman" w:hAnsi="Times New Roman" w:cs="Times New Roman"/>
                <w:b/>
                <w:bCs/>
                <w:sz w:val="16"/>
                <w:szCs w:val="16"/>
                <w:lang w:val="bg-BG"/>
              </w:rPr>
            </w:pPr>
          </w:p>
        </w:tc>
        <w:tc>
          <w:tcPr>
            <w:tcW w:w="850" w:type="dxa"/>
            <w:vAlign w:val="center"/>
          </w:tcPr>
          <w:p w:rsidR="00BC75A0" w:rsidRPr="0020088D" w:rsidRDefault="00BC75A0" w:rsidP="00E4513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Пазарна стойност</w:t>
            </w:r>
          </w:p>
        </w:tc>
        <w:tc>
          <w:tcPr>
            <w:tcW w:w="709" w:type="dxa"/>
            <w:vAlign w:val="center"/>
          </w:tcPr>
          <w:p w:rsidR="00BC75A0" w:rsidRPr="0020088D" w:rsidRDefault="00EC2C00" w:rsidP="00E4513D">
            <w:pPr>
              <w:pStyle w:val="ColumnsHeading"/>
              <w:rPr>
                <w:rFonts w:ascii="Times New Roman" w:hAnsi="Times New Roman" w:cs="Times New Roman"/>
                <w:b/>
                <w:bCs/>
                <w:sz w:val="16"/>
                <w:szCs w:val="16"/>
                <w:lang w:val="bg-BG"/>
              </w:rPr>
            </w:pPr>
            <w:r w:rsidRPr="0020088D">
              <w:rPr>
                <w:rFonts w:ascii="Times New Roman" w:hAnsi="Times New Roman" w:cs="Times New Roman"/>
                <w:b/>
                <w:bCs/>
                <w:sz w:val="16"/>
                <w:szCs w:val="16"/>
                <w:lang w:val="bg-BG"/>
              </w:rPr>
              <w:t>Балансова стойност</w:t>
            </w:r>
          </w:p>
        </w:tc>
        <w:tc>
          <w:tcPr>
            <w:tcW w:w="1082" w:type="dxa"/>
            <w:vMerge/>
            <w:vAlign w:val="center"/>
          </w:tcPr>
          <w:p w:rsidR="00BC75A0" w:rsidRPr="0020088D" w:rsidRDefault="00BC75A0" w:rsidP="00C34EE7">
            <w:pPr>
              <w:jc w:val="center"/>
              <w:rPr>
                <w:b/>
                <w:bCs/>
                <w:sz w:val="16"/>
                <w:szCs w:val="16"/>
                <w:lang w:val="bg-BG"/>
              </w:rPr>
            </w:pPr>
          </w:p>
        </w:tc>
        <w:tc>
          <w:tcPr>
            <w:tcW w:w="1080" w:type="dxa"/>
            <w:vMerge/>
            <w:vAlign w:val="center"/>
          </w:tcPr>
          <w:p w:rsidR="00BC75A0" w:rsidRPr="0020088D" w:rsidRDefault="00BC75A0" w:rsidP="00C34EE7">
            <w:pPr>
              <w:jc w:val="center"/>
              <w:rPr>
                <w:b/>
                <w:bCs/>
                <w:sz w:val="16"/>
                <w:szCs w:val="16"/>
                <w:lang w:val="bg-BG"/>
              </w:rPr>
            </w:pPr>
          </w:p>
        </w:tc>
        <w:tc>
          <w:tcPr>
            <w:tcW w:w="1170" w:type="dxa"/>
            <w:vMerge/>
            <w:vAlign w:val="center"/>
          </w:tcPr>
          <w:p w:rsidR="00BC75A0" w:rsidRPr="0020088D" w:rsidRDefault="00BC75A0" w:rsidP="00C34EE7">
            <w:pPr>
              <w:jc w:val="center"/>
              <w:rPr>
                <w:b/>
                <w:bCs/>
                <w:sz w:val="16"/>
                <w:szCs w:val="16"/>
                <w:lang w:val="bg-BG"/>
              </w:rPr>
            </w:pPr>
          </w:p>
        </w:tc>
        <w:tc>
          <w:tcPr>
            <w:tcW w:w="1080" w:type="dxa"/>
            <w:vMerge/>
            <w:vAlign w:val="center"/>
          </w:tcPr>
          <w:p w:rsidR="00BC75A0" w:rsidRPr="0020088D" w:rsidRDefault="00BC75A0" w:rsidP="00C34EE7">
            <w:pPr>
              <w:jc w:val="center"/>
              <w:rPr>
                <w:b/>
                <w:bCs/>
                <w:sz w:val="16"/>
                <w:szCs w:val="16"/>
                <w:lang w:val="bg-BG"/>
              </w:rPr>
            </w:pPr>
          </w:p>
        </w:tc>
        <w:tc>
          <w:tcPr>
            <w:tcW w:w="1170" w:type="dxa"/>
            <w:vMerge/>
            <w:vAlign w:val="center"/>
          </w:tcPr>
          <w:p w:rsidR="00BC75A0" w:rsidRPr="0020088D" w:rsidRDefault="00BC75A0" w:rsidP="00C34EE7">
            <w:pPr>
              <w:jc w:val="center"/>
              <w:rPr>
                <w:b/>
                <w:bCs/>
                <w:sz w:val="16"/>
                <w:szCs w:val="16"/>
                <w:lang w:val="bg-BG"/>
              </w:rPr>
            </w:pPr>
          </w:p>
        </w:tc>
        <w:tc>
          <w:tcPr>
            <w:tcW w:w="1170" w:type="dxa"/>
            <w:vMerge/>
            <w:vAlign w:val="center"/>
          </w:tcPr>
          <w:p w:rsidR="00BC75A0" w:rsidRPr="0020088D" w:rsidRDefault="00BC75A0" w:rsidP="00C34EE7">
            <w:pPr>
              <w:jc w:val="center"/>
              <w:rPr>
                <w:b/>
                <w:bCs/>
                <w:sz w:val="16"/>
                <w:szCs w:val="16"/>
                <w:lang w:val="bg-BG"/>
              </w:rPr>
            </w:pPr>
          </w:p>
        </w:tc>
      </w:tr>
      <w:tr w:rsidR="00231A95" w:rsidRPr="0020088D" w:rsidTr="00A163C2">
        <w:trPr>
          <w:trHeight w:val="343"/>
        </w:trPr>
        <w:tc>
          <w:tcPr>
            <w:tcW w:w="1440" w:type="dxa"/>
            <w:vAlign w:val="center"/>
          </w:tcPr>
          <w:p w:rsidR="00231A95" w:rsidRPr="0020088D" w:rsidRDefault="00BC75A0" w:rsidP="00BC75A0">
            <w:pPr>
              <w:pStyle w:val="RowsHeading"/>
              <w:rPr>
                <w:rFonts w:ascii="Times New Roman" w:hAnsi="Times New Roman" w:cs="Times New Roman"/>
                <w:sz w:val="16"/>
                <w:szCs w:val="16"/>
                <w:lang w:val="bg-BG"/>
              </w:rPr>
            </w:pPr>
            <w:r w:rsidRPr="0020088D">
              <w:rPr>
                <w:rFonts w:ascii="Times New Roman" w:hAnsi="Times New Roman" w:cs="Times New Roman"/>
                <w:sz w:val="16"/>
                <w:szCs w:val="16"/>
                <w:lang w:val="bg-BG"/>
              </w:rPr>
              <w:t>Основни сектори</w:t>
            </w:r>
            <w:r w:rsidR="00231A95" w:rsidRPr="0020088D">
              <w:rPr>
                <w:rStyle w:val="FootnoteReference"/>
                <w:rFonts w:ascii="Times New Roman" w:hAnsi="Times New Roman" w:cs="Times New Roman"/>
                <w:sz w:val="16"/>
                <w:szCs w:val="16"/>
                <w:lang w:val="bg-BG"/>
              </w:rPr>
              <w:footnoteReference w:id="6"/>
            </w:r>
            <w:r w:rsidR="00231A95" w:rsidRPr="0020088D">
              <w:rPr>
                <w:rFonts w:ascii="Times New Roman" w:hAnsi="Times New Roman" w:cs="Times New Roman"/>
                <w:sz w:val="16"/>
                <w:szCs w:val="16"/>
                <w:lang w:val="bg-BG"/>
              </w:rPr>
              <w:t xml:space="preserve">  </w:t>
            </w:r>
          </w:p>
        </w:tc>
        <w:tc>
          <w:tcPr>
            <w:tcW w:w="1134" w:type="dxa"/>
            <w:vAlign w:val="center"/>
          </w:tcPr>
          <w:p w:rsidR="00231A95" w:rsidRPr="0020088D" w:rsidRDefault="00231A95" w:rsidP="00C34EE7">
            <w:pPr>
              <w:spacing w:before="120" w:after="120"/>
              <w:rPr>
                <w:b/>
                <w:bCs/>
                <w:sz w:val="16"/>
                <w:szCs w:val="16"/>
                <w:lang w:val="bg-BG"/>
              </w:rPr>
            </w:pPr>
          </w:p>
        </w:tc>
        <w:tc>
          <w:tcPr>
            <w:tcW w:w="1134" w:type="dxa"/>
            <w:vAlign w:val="center"/>
          </w:tcPr>
          <w:p w:rsidR="00231A95" w:rsidRPr="0020088D" w:rsidRDefault="00231A95" w:rsidP="00C34EE7">
            <w:pPr>
              <w:spacing w:before="120" w:after="120"/>
              <w:rPr>
                <w:b/>
                <w:bCs/>
                <w:sz w:val="16"/>
                <w:szCs w:val="16"/>
                <w:lang w:val="bg-BG"/>
              </w:rPr>
            </w:pPr>
          </w:p>
        </w:tc>
        <w:tc>
          <w:tcPr>
            <w:tcW w:w="851" w:type="dxa"/>
            <w:vAlign w:val="center"/>
          </w:tcPr>
          <w:p w:rsidR="00231A95" w:rsidRPr="0020088D" w:rsidRDefault="00231A95" w:rsidP="00C34EE7">
            <w:pPr>
              <w:spacing w:before="120" w:after="120"/>
              <w:rPr>
                <w:b/>
                <w:bCs/>
                <w:sz w:val="16"/>
                <w:szCs w:val="16"/>
                <w:lang w:val="bg-BG"/>
              </w:rPr>
            </w:pPr>
          </w:p>
        </w:tc>
        <w:tc>
          <w:tcPr>
            <w:tcW w:w="709" w:type="dxa"/>
            <w:vAlign w:val="center"/>
          </w:tcPr>
          <w:p w:rsidR="00231A95" w:rsidRPr="0020088D" w:rsidRDefault="00231A95" w:rsidP="00C34EE7">
            <w:pPr>
              <w:spacing w:before="120" w:after="120"/>
              <w:rPr>
                <w:b/>
                <w:bCs/>
                <w:sz w:val="16"/>
                <w:szCs w:val="16"/>
                <w:lang w:val="bg-BG"/>
              </w:rPr>
            </w:pPr>
          </w:p>
        </w:tc>
        <w:tc>
          <w:tcPr>
            <w:tcW w:w="1134" w:type="dxa"/>
            <w:vAlign w:val="center"/>
          </w:tcPr>
          <w:p w:rsidR="00231A95" w:rsidRPr="0020088D" w:rsidRDefault="00231A95" w:rsidP="00C34EE7">
            <w:pPr>
              <w:spacing w:before="120" w:after="120"/>
              <w:rPr>
                <w:b/>
                <w:bCs/>
                <w:sz w:val="16"/>
                <w:szCs w:val="16"/>
                <w:lang w:val="bg-BG"/>
              </w:rPr>
            </w:pPr>
          </w:p>
        </w:tc>
        <w:tc>
          <w:tcPr>
            <w:tcW w:w="1134" w:type="dxa"/>
            <w:vAlign w:val="center"/>
          </w:tcPr>
          <w:p w:rsidR="00231A95" w:rsidRPr="0020088D" w:rsidRDefault="00231A95" w:rsidP="00C34EE7">
            <w:pPr>
              <w:spacing w:before="120" w:after="120"/>
              <w:rPr>
                <w:b/>
                <w:bCs/>
                <w:sz w:val="16"/>
                <w:szCs w:val="16"/>
                <w:lang w:val="bg-BG"/>
              </w:rPr>
            </w:pPr>
          </w:p>
        </w:tc>
        <w:tc>
          <w:tcPr>
            <w:tcW w:w="850" w:type="dxa"/>
            <w:vAlign w:val="center"/>
          </w:tcPr>
          <w:p w:rsidR="00231A95" w:rsidRPr="0020088D" w:rsidRDefault="00231A95" w:rsidP="00C34EE7">
            <w:pPr>
              <w:spacing w:before="120" w:after="120"/>
              <w:rPr>
                <w:b/>
                <w:bCs/>
                <w:sz w:val="16"/>
                <w:szCs w:val="16"/>
                <w:lang w:val="bg-BG"/>
              </w:rPr>
            </w:pPr>
          </w:p>
        </w:tc>
        <w:tc>
          <w:tcPr>
            <w:tcW w:w="709" w:type="dxa"/>
            <w:vAlign w:val="center"/>
          </w:tcPr>
          <w:p w:rsidR="00231A95" w:rsidRPr="0020088D" w:rsidRDefault="00231A95" w:rsidP="00C34EE7">
            <w:pPr>
              <w:spacing w:before="120" w:after="120"/>
              <w:rPr>
                <w:b/>
                <w:bCs/>
                <w:sz w:val="16"/>
                <w:szCs w:val="16"/>
                <w:lang w:val="bg-BG"/>
              </w:rPr>
            </w:pPr>
          </w:p>
        </w:tc>
        <w:tc>
          <w:tcPr>
            <w:tcW w:w="1082" w:type="dxa"/>
            <w:vAlign w:val="center"/>
          </w:tcPr>
          <w:p w:rsidR="00231A95" w:rsidRPr="0020088D" w:rsidRDefault="00231A95" w:rsidP="00C34EE7">
            <w:pPr>
              <w:spacing w:before="120" w:after="120"/>
              <w:rPr>
                <w:b/>
                <w:bCs/>
                <w:sz w:val="16"/>
                <w:szCs w:val="16"/>
                <w:lang w:val="bg-BG"/>
              </w:rPr>
            </w:pPr>
          </w:p>
        </w:tc>
        <w:tc>
          <w:tcPr>
            <w:tcW w:w="1080" w:type="dxa"/>
            <w:vAlign w:val="center"/>
          </w:tcPr>
          <w:p w:rsidR="00231A95" w:rsidRPr="0020088D" w:rsidRDefault="00231A95" w:rsidP="00C34EE7">
            <w:pPr>
              <w:spacing w:before="120" w:after="120"/>
              <w:rPr>
                <w:b/>
                <w:bCs/>
                <w:sz w:val="16"/>
                <w:szCs w:val="16"/>
                <w:lang w:val="bg-BG"/>
              </w:rPr>
            </w:pPr>
          </w:p>
        </w:tc>
        <w:tc>
          <w:tcPr>
            <w:tcW w:w="1170" w:type="dxa"/>
            <w:vAlign w:val="center"/>
          </w:tcPr>
          <w:p w:rsidR="00231A95" w:rsidRPr="0020088D" w:rsidRDefault="00231A95" w:rsidP="00C34EE7">
            <w:pPr>
              <w:spacing w:before="120" w:after="120"/>
              <w:rPr>
                <w:b/>
                <w:bCs/>
                <w:sz w:val="16"/>
                <w:szCs w:val="16"/>
                <w:lang w:val="bg-BG"/>
              </w:rPr>
            </w:pPr>
          </w:p>
        </w:tc>
        <w:tc>
          <w:tcPr>
            <w:tcW w:w="1080" w:type="dxa"/>
            <w:vAlign w:val="center"/>
          </w:tcPr>
          <w:p w:rsidR="00231A95" w:rsidRPr="0020088D" w:rsidRDefault="00231A95" w:rsidP="00C34EE7">
            <w:pPr>
              <w:spacing w:before="120" w:after="120"/>
              <w:rPr>
                <w:b/>
                <w:bCs/>
                <w:sz w:val="16"/>
                <w:szCs w:val="16"/>
                <w:lang w:val="bg-BG"/>
              </w:rPr>
            </w:pPr>
          </w:p>
        </w:tc>
        <w:tc>
          <w:tcPr>
            <w:tcW w:w="1170" w:type="dxa"/>
            <w:vAlign w:val="center"/>
          </w:tcPr>
          <w:p w:rsidR="00231A95" w:rsidRPr="0020088D" w:rsidRDefault="00231A95" w:rsidP="00C34EE7">
            <w:pPr>
              <w:spacing w:before="120" w:after="120"/>
              <w:rPr>
                <w:b/>
                <w:bCs/>
                <w:sz w:val="16"/>
                <w:szCs w:val="16"/>
                <w:lang w:val="bg-BG"/>
              </w:rPr>
            </w:pPr>
          </w:p>
        </w:tc>
        <w:tc>
          <w:tcPr>
            <w:tcW w:w="1170" w:type="dxa"/>
            <w:vAlign w:val="center"/>
          </w:tcPr>
          <w:p w:rsidR="00231A95" w:rsidRPr="0020088D" w:rsidRDefault="00231A95" w:rsidP="00C34EE7">
            <w:pPr>
              <w:spacing w:before="120" w:after="120"/>
              <w:rPr>
                <w:b/>
                <w:bCs/>
                <w:sz w:val="16"/>
                <w:szCs w:val="16"/>
                <w:lang w:val="bg-BG"/>
              </w:rPr>
            </w:pPr>
          </w:p>
        </w:tc>
      </w:tr>
      <w:tr w:rsidR="00BC75A0" w:rsidRPr="0020088D" w:rsidTr="00A163C2">
        <w:trPr>
          <w:trHeight w:val="316"/>
        </w:trPr>
        <w:tc>
          <w:tcPr>
            <w:tcW w:w="1440" w:type="dxa"/>
            <w:vAlign w:val="center"/>
          </w:tcPr>
          <w:p w:rsidR="00BC75A0" w:rsidRPr="0020088D" w:rsidRDefault="00BC75A0" w:rsidP="00E4513D">
            <w:pPr>
              <w:pStyle w:val="RowsHeading"/>
              <w:rPr>
                <w:rFonts w:ascii="Times New Roman" w:hAnsi="Times New Roman" w:cs="Times New Roman"/>
                <w:sz w:val="16"/>
                <w:szCs w:val="16"/>
                <w:lang w:val="bg-BG"/>
              </w:rPr>
            </w:pPr>
            <w:r w:rsidRPr="0020088D">
              <w:rPr>
                <w:rFonts w:ascii="Times New Roman" w:hAnsi="Times New Roman" w:cs="Times New Roman"/>
                <w:sz w:val="16"/>
                <w:szCs w:val="16"/>
                <w:lang w:val="bg-BG"/>
              </w:rPr>
              <w:t>Производство</w:t>
            </w:r>
          </w:p>
        </w:tc>
        <w:tc>
          <w:tcPr>
            <w:tcW w:w="1134"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851" w:type="dxa"/>
            <w:vAlign w:val="center"/>
          </w:tcPr>
          <w:p w:rsidR="00BC75A0" w:rsidRPr="0020088D" w:rsidRDefault="00BC75A0" w:rsidP="00C34EE7">
            <w:pPr>
              <w:spacing w:before="120" w:after="120"/>
              <w:rPr>
                <w:sz w:val="16"/>
                <w:szCs w:val="16"/>
                <w:lang w:val="bg-BG"/>
              </w:rPr>
            </w:pPr>
          </w:p>
        </w:tc>
        <w:tc>
          <w:tcPr>
            <w:tcW w:w="709"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850" w:type="dxa"/>
            <w:vAlign w:val="center"/>
          </w:tcPr>
          <w:p w:rsidR="00BC75A0" w:rsidRPr="0020088D" w:rsidRDefault="00BC75A0" w:rsidP="00C34EE7">
            <w:pPr>
              <w:spacing w:before="120" w:after="120"/>
              <w:rPr>
                <w:sz w:val="16"/>
                <w:szCs w:val="16"/>
                <w:lang w:val="bg-BG"/>
              </w:rPr>
            </w:pPr>
          </w:p>
        </w:tc>
        <w:tc>
          <w:tcPr>
            <w:tcW w:w="709" w:type="dxa"/>
            <w:vAlign w:val="center"/>
          </w:tcPr>
          <w:p w:rsidR="00BC75A0" w:rsidRPr="0020088D" w:rsidRDefault="00BC75A0" w:rsidP="00C34EE7">
            <w:pPr>
              <w:spacing w:before="120" w:after="120"/>
              <w:rPr>
                <w:sz w:val="16"/>
                <w:szCs w:val="16"/>
                <w:lang w:val="bg-BG"/>
              </w:rPr>
            </w:pPr>
          </w:p>
        </w:tc>
        <w:tc>
          <w:tcPr>
            <w:tcW w:w="1082" w:type="dxa"/>
            <w:vAlign w:val="center"/>
          </w:tcPr>
          <w:p w:rsidR="00BC75A0" w:rsidRPr="0020088D" w:rsidRDefault="00BC75A0" w:rsidP="00C34EE7">
            <w:pPr>
              <w:spacing w:before="120" w:after="120"/>
              <w:rPr>
                <w:sz w:val="16"/>
                <w:szCs w:val="16"/>
                <w:lang w:val="bg-BG"/>
              </w:rPr>
            </w:pPr>
          </w:p>
        </w:tc>
        <w:tc>
          <w:tcPr>
            <w:tcW w:w="108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c>
          <w:tcPr>
            <w:tcW w:w="108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r>
      <w:tr w:rsidR="00BC75A0" w:rsidRPr="0020088D" w:rsidTr="00A163C2">
        <w:trPr>
          <w:trHeight w:val="343"/>
        </w:trPr>
        <w:tc>
          <w:tcPr>
            <w:tcW w:w="1440" w:type="dxa"/>
            <w:vAlign w:val="center"/>
          </w:tcPr>
          <w:p w:rsidR="00BC75A0" w:rsidRPr="0020088D" w:rsidRDefault="00BC75A0" w:rsidP="00E4513D">
            <w:pPr>
              <w:pStyle w:val="RowsHeading"/>
              <w:rPr>
                <w:rFonts w:ascii="Times New Roman" w:hAnsi="Times New Roman" w:cs="Times New Roman"/>
                <w:sz w:val="16"/>
                <w:szCs w:val="16"/>
                <w:lang w:val="bg-BG"/>
              </w:rPr>
            </w:pPr>
            <w:r w:rsidRPr="0020088D">
              <w:rPr>
                <w:rFonts w:ascii="Times New Roman" w:hAnsi="Times New Roman" w:cs="Times New Roman"/>
                <w:sz w:val="16"/>
                <w:szCs w:val="16"/>
                <w:lang w:val="bg-BG"/>
              </w:rPr>
              <w:t>Финанси</w:t>
            </w:r>
          </w:p>
        </w:tc>
        <w:tc>
          <w:tcPr>
            <w:tcW w:w="1134"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851" w:type="dxa"/>
            <w:vAlign w:val="center"/>
          </w:tcPr>
          <w:p w:rsidR="00BC75A0" w:rsidRPr="0020088D" w:rsidRDefault="00BC75A0" w:rsidP="00C34EE7">
            <w:pPr>
              <w:spacing w:before="120" w:after="120"/>
              <w:rPr>
                <w:sz w:val="16"/>
                <w:szCs w:val="16"/>
                <w:lang w:val="bg-BG"/>
              </w:rPr>
            </w:pPr>
          </w:p>
        </w:tc>
        <w:tc>
          <w:tcPr>
            <w:tcW w:w="709"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850" w:type="dxa"/>
            <w:vAlign w:val="center"/>
          </w:tcPr>
          <w:p w:rsidR="00BC75A0" w:rsidRPr="0020088D" w:rsidRDefault="00BC75A0" w:rsidP="00C34EE7">
            <w:pPr>
              <w:spacing w:before="120" w:after="120"/>
              <w:rPr>
                <w:sz w:val="16"/>
                <w:szCs w:val="16"/>
                <w:lang w:val="bg-BG"/>
              </w:rPr>
            </w:pPr>
          </w:p>
        </w:tc>
        <w:tc>
          <w:tcPr>
            <w:tcW w:w="709" w:type="dxa"/>
            <w:vAlign w:val="center"/>
          </w:tcPr>
          <w:p w:rsidR="00BC75A0" w:rsidRPr="0020088D" w:rsidRDefault="00BC75A0" w:rsidP="00C34EE7">
            <w:pPr>
              <w:spacing w:before="120" w:after="120"/>
              <w:rPr>
                <w:sz w:val="16"/>
                <w:szCs w:val="16"/>
                <w:lang w:val="bg-BG"/>
              </w:rPr>
            </w:pPr>
          </w:p>
        </w:tc>
        <w:tc>
          <w:tcPr>
            <w:tcW w:w="1082" w:type="dxa"/>
            <w:vAlign w:val="center"/>
          </w:tcPr>
          <w:p w:rsidR="00BC75A0" w:rsidRPr="0020088D" w:rsidRDefault="00BC75A0" w:rsidP="00C34EE7">
            <w:pPr>
              <w:spacing w:before="120" w:after="120"/>
              <w:rPr>
                <w:sz w:val="16"/>
                <w:szCs w:val="16"/>
                <w:lang w:val="bg-BG"/>
              </w:rPr>
            </w:pPr>
          </w:p>
        </w:tc>
        <w:tc>
          <w:tcPr>
            <w:tcW w:w="108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c>
          <w:tcPr>
            <w:tcW w:w="108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r>
      <w:tr w:rsidR="00BC75A0" w:rsidRPr="0020088D" w:rsidTr="00A163C2">
        <w:tc>
          <w:tcPr>
            <w:tcW w:w="1440" w:type="dxa"/>
            <w:vAlign w:val="center"/>
          </w:tcPr>
          <w:p w:rsidR="00BC75A0" w:rsidRPr="0020088D" w:rsidRDefault="00BC75A0" w:rsidP="00E4513D">
            <w:pPr>
              <w:pStyle w:val="RowsHeading"/>
              <w:rPr>
                <w:rFonts w:ascii="Times New Roman" w:hAnsi="Times New Roman" w:cs="Times New Roman"/>
                <w:sz w:val="16"/>
                <w:szCs w:val="16"/>
                <w:lang w:val="bg-BG"/>
              </w:rPr>
            </w:pPr>
            <w:r w:rsidRPr="0020088D">
              <w:rPr>
                <w:rFonts w:ascii="Times New Roman" w:hAnsi="Times New Roman" w:cs="Times New Roman"/>
                <w:sz w:val="16"/>
                <w:szCs w:val="16"/>
                <w:lang w:val="bg-BG"/>
              </w:rPr>
              <w:t>Телекомуникации</w:t>
            </w:r>
          </w:p>
        </w:tc>
        <w:tc>
          <w:tcPr>
            <w:tcW w:w="1134"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851" w:type="dxa"/>
            <w:vAlign w:val="center"/>
          </w:tcPr>
          <w:p w:rsidR="00BC75A0" w:rsidRPr="0020088D" w:rsidRDefault="00BC75A0" w:rsidP="00C34EE7">
            <w:pPr>
              <w:spacing w:before="120" w:after="120"/>
              <w:rPr>
                <w:sz w:val="16"/>
                <w:szCs w:val="16"/>
                <w:lang w:val="bg-BG"/>
              </w:rPr>
            </w:pPr>
          </w:p>
        </w:tc>
        <w:tc>
          <w:tcPr>
            <w:tcW w:w="709"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850" w:type="dxa"/>
            <w:vAlign w:val="center"/>
          </w:tcPr>
          <w:p w:rsidR="00BC75A0" w:rsidRPr="0020088D" w:rsidRDefault="00BC75A0" w:rsidP="00C34EE7">
            <w:pPr>
              <w:spacing w:before="120" w:after="120"/>
              <w:rPr>
                <w:sz w:val="16"/>
                <w:szCs w:val="16"/>
                <w:lang w:val="bg-BG"/>
              </w:rPr>
            </w:pPr>
          </w:p>
        </w:tc>
        <w:tc>
          <w:tcPr>
            <w:tcW w:w="709" w:type="dxa"/>
            <w:vAlign w:val="center"/>
          </w:tcPr>
          <w:p w:rsidR="00BC75A0" w:rsidRPr="0020088D" w:rsidRDefault="00BC75A0" w:rsidP="00C34EE7">
            <w:pPr>
              <w:spacing w:before="120" w:after="120"/>
              <w:rPr>
                <w:sz w:val="16"/>
                <w:szCs w:val="16"/>
                <w:lang w:val="bg-BG"/>
              </w:rPr>
            </w:pPr>
          </w:p>
        </w:tc>
        <w:tc>
          <w:tcPr>
            <w:tcW w:w="1082" w:type="dxa"/>
            <w:vAlign w:val="center"/>
          </w:tcPr>
          <w:p w:rsidR="00BC75A0" w:rsidRPr="0020088D" w:rsidRDefault="00BC75A0" w:rsidP="00C34EE7">
            <w:pPr>
              <w:spacing w:before="120" w:after="120"/>
              <w:rPr>
                <w:sz w:val="16"/>
                <w:szCs w:val="16"/>
                <w:lang w:val="bg-BG"/>
              </w:rPr>
            </w:pPr>
          </w:p>
        </w:tc>
        <w:tc>
          <w:tcPr>
            <w:tcW w:w="108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c>
          <w:tcPr>
            <w:tcW w:w="108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r>
      <w:tr w:rsidR="00BC75A0" w:rsidRPr="0020088D" w:rsidTr="00A163C2">
        <w:tc>
          <w:tcPr>
            <w:tcW w:w="1440" w:type="dxa"/>
            <w:vAlign w:val="center"/>
          </w:tcPr>
          <w:p w:rsidR="00BC75A0" w:rsidRPr="0020088D" w:rsidRDefault="00BC75A0" w:rsidP="00E4513D">
            <w:pPr>
              <w:pStyle w:val="RowsHeading"/>
              <w:rPr>
                <w:rFonts w:ascii="Times New Roman" w:hAnsi="Times New Roman" w:cs="Times New Roman"/>
                <w:sz w:val="16"/>
                <w:szCs w:val="16"/>
                <w:lang w:val="bg-BG"/>
              </w:rPr>
            </w:pPr>
            <w:r w:rsidRPr="0020088D">
              <w:rPr>
                <w:rFonts w:ascii="Times New Roman" w:hAnsi="Times New Roman" w:cs="Times New Roman"/>
                <w:sz w:val="16"/>
                <w:szCs w:val="16"/>
                <w:lang w:val="bg-BG"/>
              </w:rPr>
              <w:t>Електричество и газ</w:t>
            </w:r>
          </w:p>
        </w:tc>
        <w:tc>
          <w:tcPr>
            <w:tcW w:w="1134"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851" w:type="dxa"/>
            <w:vAlign w:val="center"/>
          </w:tcPr>
          <w:p w:rsidR="00BC75A0" w:rsidRPr="0020088D" w:rsidRDefault="00BC75A0" w:rsidP="00C34EE7">
            <w:pPr>
              <w:spacing w:before="120" w:after="120"/>
              <w:rPr>
                <w:sz w:val="16"/>
                <w:szCs w:val="16"/>
                <w:lang w:val="bg-BG"/>
              </w:rPr>
            </w:pPr>
          </w:p>
        </w:tc>
        <w:tc>
          <w:tcPr>
            <w:tcW w:w="709"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850" w:type="dxa"/>
            <w:vAlign w:val="center"/>
          </w:tcPr>
          <w:p w:rsidR="00BC75A0" w:rsidRPr="0020088D" w:rsidRDefault="00BC75A0" w:rsidP="00C34EE7">
            <w:pPr>
              <w:spacing w:before="120" w:after="120"/>
              <w:rPr>
                <w:sz w:val="16"/>
                <w:szCs w:val="16"/>
                <w:lang w:val="bg-BG"/>
              </w:rPr>
            </w:pPr>
          </w:p>
        </w:tc>
        <w:tc>
          <w:tcPr>
            <w:tcW w:w="709" w:type="dxa"/>
            <w:vAlign w:val="center"/>
          </w:tcPr>
          <w:p w:rsidR="00BC75A0" w:rsidRPr="0020088D" w:rsidRDefault="00BC75A0" w:rsidP="00C34EE7">
            <w:pPr>
              <w:spacing w:before="120" w:after="120"/>
              <w:rPr>
                <w:sz w:val="16"/>
                <w:szCs w:val="16"/>
                <w:lang w:val="bg-BG"/>
              </w:rPr>
            </w:pPr>
          </w:p>
        </w:tc>
        <w:tc>
          <w:tcPr>
            <w:tcW w:w="1082" w:type="dxa"/>
            <w:vAlign w:val="center"/>
          </w:tcPr>
          <w:p w:rsidR="00BC75A0" w:rsidRPr="0020088D" w:rsidRDefault="00BC75A0" w:rsidP="00C34EE7">
            <w:pPr>
              <w:spacing w:before="120" w:after="120"/>
              <w:rPr>
                <w:sz w:val="16"/>
                <w:szCs w:val="16"/>
                <w:lang w:val="bg-BG"/>
              </w:rPr>
            </w:pPr>
          </w:p>
        </w:tc>
        <w:tc>
          <w:tcPr>
            <w:tcW w:w="108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c>
          <w:tcPr>
            <w:tcW w:w="108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r>
      <w:tr w:rsidR="00BC75A0" w:rsidRPr="0020088D" w:rsidTr="00A163C2">
        <w:trPr>
          <w:trHeight w:val="289"/>
        </w:trPr>
        <w:tc>
          <w:tcPr>
            <w:tcW w:w="1440" w:type="dxa"/>
            <w:vAlign w:val="center"/>
          </w:tcPr>
          <w:p w:rsidR="00BC75A0" w:rsidRPr="0020088D" w:rsidRDefault="00BC75A0" w:rsidP="00E4513D">
            <w:pPr>
              <w:pStyle w:val="RowsHeading"/>
              <w:rPr>
                <w:rFonts w:ascii="Times New Roman" w:hAnsi="Times New Roman" w:cs="Times New Roman"/>
                <w:sz w:val="16"/>
                <w:szCs w:val="16"/>
                <w:lang w:val="bg-BG"/>
              </w:rPr>
            </w:pPr>
            <w:r w:rsidRPr="0020088D">
              <w:rPr>
                <w:rFonts w:ascii="Times New Roman" w:hAnsi="Times New Roman" w:cs="Times New Roman"/>
                <w:sz w:val="16"/>
                <w:szCs w:val="16"/>
                <w:lang w:val="bg-BG"/>
              </w:rPr>
              <w:t>Транспорт</w:t>
            </w:r>
          </w:p>
        </w:tc>
        <w:tc>
          <w:tcPr>
            <w:tcW w:w="1134"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851" w:type="dxa"/>
            <w:vAlign w:val="center"/>
          </w:tcPr>
          <w:p w:rsidR="00BC75A0" w:rsidRPr="0020088D" w:rsidRDefault="00BC75A0" w:rsidP="00C34EE7">
            <w:pPr>
              <w:spacing w:before="120" w:after="120"/>
              <w:rPr>
                <w:sz w:val="16"/>
                <w:szCs w:val="16"/>
                <w:lang w:val="bg-BG"/>
              </w:rPr>
            </w:pPr>
          </w:p>
        </w:tc>
        <w:tc>
          <w:tcPr>
            <w:tcW w:w="709"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850" w:type="dxa"/>
            <w:vAlign w:val="center"/>
          </w:tcPr>
          <w:p w:rsidR="00BC75A0" w:rsidRPr="0020088D" w:rsidRDefault="00BC75A0" w:rsidP="00C34EE7">
            <w:pPr>
              <w:spacing w:before="120" w:after="120"/>
              <w:rPr>
                <w:sz w:val="16"/>
                <w:szCs w:val="16"/>
                <w:lang w:val="bg-BG"/>
              </w:rPr>
            </w:pPr>
          </w:p>
        </w:tc>
        <w:tc>
          <w:tcPr>
            <w:tcW w:w="709" w:type="dxa"/>
            <w:vAlign w:val="center"/>
          </w:tcPr>
          <w:p w:rsidR="00BC75A0" w:rsidRPr="0020088D" w:rsidRDefault="00BC75A0" w:rsidP="00C34EE7">
            <w:pPr>
              <w:spacing w:before="120" w:after="120"/>
              <w:rPr>
                <w:sz w:val="16"/>
                <w:szCs w:val="16"/>
                <w:lang w:val="bg-BG"/>
              </w:rPr>
            </w:pPr>
          </w:p>
        </w:tc>
        <w:tc>
          <w:tcPr>
            <w:tcW w:w="1082" w:type="dxa"/>
            <w:vAlign w:val="center"/>
          </w:tcPr>
          <w:p w:rsidR="00BC75A0" w:rsidRPr="0020088D" w:rsidRDefault="00BC75A0" w:rsidP="00C34EE7">
            <w:pPr>
              <w:spacing w:before="120" w:after="120"/>
              <w:rPr>
                <w:sz w:val="16"/>
                <w:szCs w:val="16"/>
                <w:lang w:val="bg-BG"/>
              </w:rPr>
            </w:pPr>
          </w:p>
        </w:tc>
        <w:tc>
          <w:tcPr>
            <w:tcW w:w="108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c>
          <w:tcPr>
            <w:tcW w:w="108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r>
      <w:tr w:rsidR="00BC75A0" w:rsidRPr="0020088D" w:rsidTr="00A163C2">
        <w:trPr>
          <w:trHeight w:val="289"/>
        </w:trPr>
        <w:tc>
          <w:tcPr>
            <w:tcW w:w="1440" w:type="dxa"/>
            <w:vAlign w:val="center"/>
          </w:tcPr>
          <w:p w:rsidR="00BC75A0" w:rsidRPr="0020088D" w:rsidRDefault="00BC75A0" w:rsidP="00E4513D">
            <w:pPr>
              <w:pStyle w:val="RowsHeading"/>
              <w:rPr>
                <w:rFonts w:ascii="Times New Roman" w:hAnsi="Times New Roman" w:cs="Times New Roman"/>
                <w:sz w:val="16"/>
                <w:szCs w:val="16"/>
                <w:lang w:val="bg-BG"/>
              </w:rPr>
            </w:pPr>
            <w:r w:rsidRPr="0020088D">
              <w:rPr>
                <w:rFonts w:ascii="Times New Roman" w:hAnsi="Times New Roman" w:cs="Times New Roman"/>
                <w:sz w:val="16"/>
                <w:szCs w:val="16"/>
                <w:lang w:val="bg-BG"/>
              </w:rPr>
              <w:t>Други комунални услуги  (включително пощенски услуги)</w:t>
            </w:r>
          </w:p>
        </w:tc>
        <w:tc>
          <w:tcPr>
            <w:tcW w:w="1134"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851" w:type="dxa"/>
            <w:vAlign w:val="center"/>
          </w:tcPr>
          <w:p w:rsidR="00BC75A0" w:rsidRPr="0020088D" w:rsidRDefault="00BC75A0" w:rsidP="00C34EE7">
            <w:pPr>
              <w:spacing w:before="120" w:after="120"/>
              <w:rPr>
                <w:sz w:val="16"/>
                <w:szCs w:val="16"/>
                <w:lang w:val="bg-BG"/>
              </w:rPr>
            </w:pPr>
          </w:p>
        </w:tc>
        <w:tc>
          <w:tcPr>
            <w:tcW w:w="709"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850" w:type="dxa"/>
            <w:vAlign w:val="center"/>
          </w:tcPr>
          <w:p w:rsidR="00BC75A0" w:rsidRPr="0020088D" w:rsidRDefault="00BC75A0" w:rsidP="00C34EE7">
            <w:pPr>
              <w:spacing w:before="120" w:after="120"/>
              <w:rPr>
                <w:sz w:val="16"/>
                <w:szCs w:val="16"/>
                <w:lang w:val="bg-BG"/>
              </w:rPr>
            </w:pPr>
          </w:p>
        </w:tc>
        <w:tc>
          <w:tcPr>
            <w:tcW w:w="709" w:type="dxa"/>
            <w:vAlign w:val="center"/>
          </w:tcPr>
          <w:p w:rsidR="00BC75A0" w:rsidRPr="0020088D" w:rsidRDefault="00BC75A0" w:rsidP="00C34EE7">
            <w:pPr>
              <w:spacing w:before="120" w:after="120"/>
              <w:rPr>
                <w:sz w:val="16"/>
                <w:szCs w:val="16"/>
                <w:lang w:val="bg-BG"/>
              </w:rPr>
            </w:pPr>
          </w:p>
        </w:tc>
        <w:tc>
          <w:tcPr>
            <w:tcW w:w="1082" w:type="dxa"/>
            <w:vAlign w:val="center"/>
          </w:tcPr>
          <w:p w:rsidR="00BC75A0" w:rsidRPr="0020088D" w:rsidRDefault="00BC75A0" w:rsidP="00C34EE7">
            <w:pPr>
              <w:spacing w:before="120" w:after="120"/>
              <w:rPr>
                <w:sz w:val="16"/>
                <w:szCs w:val="16"/>
                <w:lang w:val="bg-BG"/>
              </w:rPr>
            </w:pPr>
          </w:p>
        </w:tc>
        <w:tc>
          <w:tcPr>
            <w:tcW w:w="108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c>
          <w:tcPr>
            <w:tcW w:w="108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r>
      <w:tr w:rsidR="00BC75A0" w:rsidRPr="0020088D" w:rsidTr="00A163C2">
        <w:tc>
          <w:tcPr>
            <w:tcW w:w="1440" w:type="dxa"/>
            <w:vAlign w:val="center"/>
          </w:tcPr>
          <w:p w:rsidR="00BC75A0" w:rsidRPr="0020088D" w:rsidRDefault="00BC75A0" w:rsidP="00E4513D">
            <w:pPr>
              <w:pStyle w:val="RowsHeading"/>
              <w:rPr>
                <w:rFonts w:ascii="Times New Roman" w:hAnsi="Times New Roman" w:cs="Times New Roman"/>
                <w:sz w:val="16"/>
                <w:szCs w:val="16"/>
                <w:lang w:val="bg-BG"/>
              </w:rPr>
            </w:pPr>
            <w:r w:rsidRPr="0020088D">
              <w:rPr>
                <w:rFonts w:ascii="Times New Roman" w:hAnsi="Times New Roman" w:cs="Times New Roman"/>
                <w:sz w:val="16"/>
                <w:szCs w:val="16"/>
                <w:lang w:val="bg-BG"/>
              </w:rPr>
              <w:t>Недвижими имоти</w:t>
            </w:r>
          </w:p>
        </w:tc>
        <w:tc>
          <w:tcPr>
            <w:tcW w:w="1134"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851" w:type="dxa"/>
            <w:vAlign w:val="center"/>
          </w:tcPr>
          <w:p w:rsidR="00BC75A0" w:rsidRPr="0020088D" w:rsidRDefault="00BC75A0" w:rsidP="00C34EE7">
            <w:pPr>
              <w:spacing w:before="120" w:after="120"/>
              <w:rPr>
                <w:sz w:val="16"/>
                <w:szCs w:val="16"/>
                <w:lang w:val="bg-BG"/>
              </w:rPr>
            </w:pPr>
          </w:p>
        </w:tc>
        <w:tc>
          <w:tcPr>
            <w:tcW w:w="709"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850" w:type="dxa"/>
            <w:vAlign w:val="center"/>
          </w:tcPr>
          <w:p w:rsidR="00BC75A0" w:rsidRPr="0020088D" w:rsidRDefault="00BC75A0" w:rsidP="00C34EE7">
            <w:pPr>
              <w:spacing w:before="120" w:after="120"/>
              <w:rPr>
                <w:sz w:val="16"/>
                <w:szCs w:val="16"/>
                <w:lang w:val="bg-BG"/>
              </w:rPr>
            </w:pPr>
          </w:p>
        </w:tc>
        <w:tc>
          <w:tcPr>
            <w:tcW w:w="709" w:type="dxa"/>
            <w:vAlign w:val="center"/>
          </w:tcPr>
          <w:p w:rsidR="00BC75A0" w:rsidRPr="0020088D" w:rsidRDefault="00BC75A0" w:rsidP="00C34EE7">
            <w:pPr>
              <w:spacing w:before="120" w:after="120"/>
              <w:rPr>
                <w:sz w:val="16"/>
                <w:szCs w:val="16"/>
                <w:lang w:val="bg-BG"/>
              </w:rPr>
            </w:pPr>
          </w:p>
        </w:tc>
        <w:tc>
          <w:tcPr>
            <w:tcW w:w="1082" w:type="dxa"/>
            <w:vAlign w:val="center"/>
          </w:tcPr>
          <w:p w:rsidR="00BC75A0" w:rsidRPr="0020088D" w:rsidRDefault="00BC75A0" w:rsidP="00C34EE7">
            <w:pPr>
              <w:spacing w:before="120" w:after="120"/>
              <w:rPr>
                <w:sz w:val="16"/>
                <w:szCs w:val="16"/>
                <w:lang w:val="bg-BG"/>
              </w:rPr>
            </w:pPr>
          </w:p>
        </w:tc>
        <w:tc>
          <w:tcPr>
            <w:tcW w:w="108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c>
          <w:tcPr>
            <w:tcW w:w="108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r>
      <w:tr w:rsidR="00BC75A0" w:rsidRPr="0020088D" w:rsidTr="00A163C2">
        <w:trPr>
          <w:trHeight w:val="361"/>
        </w:trPr>
        <w:tc>
          <w:tcPr>
            <w:tcW w:w="1440" w:type="dxa"/>
            <w:vAlign w:val="center"/>
          </w:tcPr>
          <w:p w:rsidR="00BC75A0" w:rsidRPr="0020088D" w:rsidRDefault="00BC75A0" w:rsidP="00E4513D">
            <w:pPr>
              <w:pStyle w:val="RowsHeading"/>
              <w:rPr>
                <w:rFonts w:ascii="Times New Roman" w:hAnsi="Times New Roman" w:cs="Times New Roman"/>
                <w:sz w:val="16"/>
                <w:szCs w:val="16"/>
                <w:lang w:val="bg-BG"/>
              </w:rPr>
            </w:pPr>
            <w:r w:rsidRPr="0020088D">
              <w:rPr>
                <w:rFonts w:ascii="Times New Roman" w:hAnsi="Times New Roman" w:cs="Times New Roman"/>
                <w:sz w:val="16"/>
                <w:szCs w:val="16"/>
                <w:lang w:val="bg-BG"/>
              </w:rPr>
              <w:t>Други дейности</w:t>
            </w:r>
          </w:p>
        </w:tc>
        <w:tc>
          <w:tcPr>
            <w:tcW w:w="1134"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851" w:type="dxa"/>
            <w:vAlign w:val="center"/>
          </w:tcPr>
          <w:p w:rsidR="00BC75A0" w:rsidRPr="0020088D" w:rsidRDefault="00BC75A0" w:rsidP="00C34EE7">
            <w:pPr>
              <w:spacing w:before="120" w:after="120"/>
              <w:rPr>
                <w:sz w:val="16"/>
                <w:szCs w:val="16"/>
                <w:lang w:val="bg-BG"/>
              </w:rPr>
            </w:pPr>
          </w:p>
        </w:tc>
        <w:tc>
          <w:tcPr>
            <w:tcW w:w="709"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1134" w:type="dxa"/>
            <w:vAlign w:val="center"/>
          </w:tcPr>
          <w:p w:rsidR="00BC75A0" w:rsidRPr="0020088D" w:rsidRDefault="00BC75A0" w:rsidP="00C34EE7">
            <w:pPr>
              <w:spacing w:before="120" w:after="120"/>
              <w:rPr>
                <w:sz w:val="16"/>
                <w:szCs w:val="16"/>
                <w:lang w:val="bg-BG"/>
              </w:rPr>
            </w:pPr>
          </w:p>
        </w:tc>
        <w:tc>
          <w:tcPr>
            <w:tcW w:w="850" w:type="dxa"/>
            <w:vAlign w:val="center"/>
          </w:tcPr>
          <w:p w:rsidR="00BC75A0" w:rsidRPr="0020088D" w:rsidRDefault="00BC75A0" w:rsidP="00C34EE7">
            <w:pPr>
              <w:spacing w:before="120" w:after="120"/>
              <w:rPr>
                <w:sz w:val="16"/>
                <w:szCs w:val="16"/>
                <w:lang w:val="bg-BG"/>
              </w:rPr>
            </w:pPr>
          </w:p>
        </w:tc>
        <w:tc>
          <w:tcPr>
            <w:tcW w:w="709" w:type="dxa"/>
            <w:vAlign w:val="center"/>
          </w:tcPr>
          <w:p w:rsidR="00BC75A0" w:rsidRPr="0020088D" w:rsidRDefault="00BC75A0" w:rsidP="00C34EE7">
            <w:pPr>
              <w:spacing w:before="120" w:after="120"/>
              <w:rPr>
                <w:sz w:val="16"/>
                <w:szCs w:val="16"/>
                <w:lang w:val="bg-BG"/>
              </w:rPr>
            </w:pPr>
          </w:p>
        </w:tc>
        <w:tc>
          <w:tcPr>
            <w:tcW w:w="1082" w:type="dxa"/>
            <w:vAlign w:val="center"/>
          </w:tcPr>
          <w:p w:rsidR="00BC75A0" w:rsidRPr="0020088D" w:rsidRDefault="00BC75A0" w:rsidP="00C34EE7">
            <w:pPr>
              <w:spacing w:before="120" w:after="120"/>
              <w:rPr>
                <w:sz w:val="16"/>
                <w:szCs w:val="16"/>
                <w:lang w:val="bg-BG"/>
              </w:rPr>
            </w:pPr>
          </w:p>
        </w:tc>
        <w:tc>
          <w:tcPr>
            <w:tcW w:w="108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c>
          <w:tcPr>
            <w:tcW w:w="108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c>
          <w:tcPr>
            <w:tcW w:w="1170" w:type="dxa"/>
            <w:vAlign w:val="center"/>
          </w:tcPr>
          <w:p w:rsidR="00BC75A0" w:rsidRPr="0020088D" w:rsidRDefault="00BC75A0" w:rsidP="00C34EE7">
            <w:pPr>
              <w:spacing w:before="120" w:after="120"/>
              <w:rPr>
                <w:sz w:val="16"/>
                <w:szCs w:val="16"/>
                <w:lang w:val="bg-BG"/>
              </w:rPr>
            </w:pPr>
          </w:p>
        </w:tc>
      </w:tr>
      <w:tr w:rsidR="00BC75A0" w:rsidRPr="0020088D" w:rsidTr="00A163C2">
        <w:trPr>
          <w:trHeight w:val="433"/>
        </w:trPr>
        <w:tc>
          <w:tcPr>
            <w:tcW w:w="1440" w:type="dxa"/>
            <w:vAlign w:val="center"/>
          </w:tcPr>
          <w:p w:rsidR="00BC75A0" w:rsidRPr="0020088D" w:rsidRDefault="00BC75A0" w:rsidP="00E4513D">
            <w:pPr>
              <w:pStyle w:val="RowsHeading"/>
              <w:rPr>
                <w:rFonts w:ascii="Times New Roman" w:hAnsi="Times New Roman" w:cs="Times New Roman"/>
                <w:b/>
                <w:sz w:val="16"/>
                <w:szCs w:val="16"/>
                <w:lang w:val="bg-BG"/>
              </w:rPr>
            </w:pPr>
            <w:r w:rsidRPr="0020088D">
              <w:rPr>
                <w:rFonts w:ascii="Times New Roman" w:hAnsi="Times New Roman" w:cs="Times New Roman"/>
                <w:b/>
                <w:sz w:val="16"/>
                <w:szCs w:val="16"/>
                <w:lang w:val="bg-BG"/>
              </w:rPr>
              <w:t>Общо</w:t>
            </w:r>
          </w:p>
        </w:tc>
        <w:tc>
          <w:tcPr>
            <w:tcW w:w="1134" w:type="dxa"/>
            <w:vAlign w:val="center"/>
          </w:tcPr>
          <w:p w:rsidR="00BC75A0" w:rsidRPr="0020088D" w:rsidRDefault="00BC75A0" w:rsidP="00C34EE7">
            <w:pPr>
              <w:spacing w:before="120" w:after="120"/>
              <w:rPr>
                <w:b/>
                <w:sz w:val="16"/>
                <w:szCs w:val="16"/>
                <w:lang w:val="bg-BG"/>
              </w:rPr>
            </w:pPr>
          </w:p>
        </w:tc>
        <w:tc>
          <w:tcPr>
            <w:tcW w:w="1134" w:type="dxa"/>
            <w:vAlign w:val="center"/>
          </w:tcPr>
          <w:p w:rsidR="00BC75A0" w:rsidRPr="0020088D" w:rsidRDefault="00BC75A0" w:rsidP="00C34EE7">
            <w:pPr>
              <w:spacing w:before="120" w:after="120"/>
              <w:rPr>
                <w:b/>
                <w:sz w:val="16"/>
                <w:szCs w:val="16"/>
                <w:lang w:val="bg-BG"/>
              </w:rPr>
            </w:pPr>
          </w:p>
        </w:tc>
        <w:tc>
          <w:tcPr>
            <w:tcW w:w="851" w:type="dxa"/>
            <w:vAlign w:val="center"/>
          </w:tcPr>
          <w:p w:rsidR="00BC75A0" w:rsidRPr="0020088D" w:rsidRDefault="00BC75A0" w:rsidP="00C34EE7">
            <w:pPr>
              <w:spacing w:before="120" w:after="120"/>
              <w:rPr>
                <w:b/>
                <w:sz w:val="16"/>
                <w:szCs w:val="16"/>
                <w:lang w:val="bg-BG"/>
              </w:rPr>
            </w:pPr>
          </w:p>
        </w:tc>
        <w:tc>
          <w:tcPr>
            <w:tcW w:w="709" w:type="dxa"/>
            <w:vAlign w:val="center"/>
          </w:tcPr>
          <w:p w:rsidR="00BC75A0" w:rsidRPr="0020088D" w:rsidRDefault="00BC75A0" w:rsidP="00C34EE7">
            <w:pPr>
              <w:spacing w:before="120" w:after="120"/>
              <w:rPr>
                <w:b/>
                <w:sz w:val="16"/>
                <w:szCs w:val="16"/>
                <w:lang w:val="bg-BG"/>
              </w:rPr>
            </w:pPr>
          </w:p>
        </w:tc>
        <w:tc>
          <w:tcPr>
            <w:tcW w:w="1134" w:type="dxa"/>
            <w:vAlign w:val="center"/>
          </w:tcPr>
          <w:p w:rsidR="00BC75A0" w:rsidRPr="0020088D" w:rsidRDefault="00BC75A0" w:rsidP="00C34EE7">
            <w:pPr>
              <w:spacing w:before="120" w:after="120"/>
              <w:rPr>
                <w:b/>
                <w:sz w:val="16"/>
                <w:szCs w:val="16"/>
                <w:lang w:val="bg-BG"/>
              </w:rPr>
            </w:pPr>
          </w:p>
        </w:tc>
        <w:tc>
          <w:tcPr>
            <w:tcW w:w="1134" w:type="dxa"/>
            <w:vAlign w:val="center"/>
          </w:tcPr>
          <w:p w:rsidR="00BC75A0" w:rsidRPr="0020088D" w:rsidRDefault="00BC75A0" w:rsidP="00C34EE7">
            <w:pPr>
              <w:spacing w:before="120" w:after="120"/>
              <w:rPr>
                <w:b/>
                <w:sz w:val="16"/>
                <w:szCs w:val="16"/>
                <w:lang w:val="bg-BG"/>
              </w:rPr>
            </w:pPr>
          </w:p>
        </w:tc>
        <w:tc>
          <w:tcPr>
            <w:tcW w:w="850" w:type="dxa"/>
            <w:vAlign w:val="center"/>
          </w:tcPr>
          <w:p w:rsidR="00BC75A0" w:rsidRPr="0020088D" w:rsidRDefault="00BC75A0" w:rsidP="00C34EE7">
            <w:pPr>
              <w:spacing w:before="120" w:after="120"/>
              <w:rPr>
                <w:b/>
                <w:sz w:val="16"/>
                <w:szCs w:val="16"/>
                <w:lang w:val="bg-BG"/>
              </w:rPr>
            </w:pPr>
          </w:p>
        </w:tc>
        <w:tc>
          <w:tcPr>
            <w:tcW w:w="709" w:type="dxa"/>
            <w:vAlign w:val="center"/>
          </w:tcPr>
          <w:p w:rsidR="00BC75A0" w:rsidRPr="0020088D" w:rsidRDefault="00BC75A0" w:rsidP="00C34EE7">
            <w:pPr>
              <w:spacing w:before="120" w:after="120"/>
              <w:rPr>
                <w:b/>
                <w:sz w:val="16"/>
                <w:szCs w:val="16"/>
                <w:lang w:val="bg-BG"/>
              </w:rPr>
            </w:pPr>
          </w:p>
        </w:tc>
        <w:tc>
          <w:tcPr>
            <w:tcW w:w="1082" w:type="dxa"/>
            <w:vAlign w:val="center"/>
          </w:tcPr>
          <w:p w:rsidR="00BC75A0" w:rsidRPr="0020088D" w:rsidRDefault="00BC75A0" w:rsidP="00C34EE7">
            <w:pPr>
              <w:spacing w:before="120" w:after="120"/>
              <w:rPr>
                <w:b/>
                <w:sz w:val="16"/>
                <w:szCs w:val="16"/>
                <w:lang w:val="bg-BG"/>
              </w:rPr>
            </w:pPr>
          </w:p>
        </w:tc>
        <w:tc>
          <w:tcPr>
            <w:tcW w:w="1080" w:type="dxa"/>
            <w:vAlign w:val="center"/>
          </w:tcPr>
          <w:p w:rsidR="00BC75A0" w:rsidRPr="0020088D" w:rsidRDefault="00BC75A0" w:rsidP="00C34EE7">
            <w:pPr>
              <w:spacing w:before="120" w:after="120"/>
              <w:rPr>
                <w:b/>
                <w:sz w:val="16"/>
                <w:szCs w:val="16"/>
                <w:lang w:val="bg-BG"/>
              </w:rPr>
            </w:pPr>
          </w:p>
        </w:tc>
        <w:tc>
          <w:tcPr>
            <w:tcW w:w="1170" w:type="dxa"/>
            <w:vAlign w:val="center"/>
          </w:tcPr>
          <w:p w:rsidR="00BC75A0" w:rsidRPr="0020088D" w:rsidRDefault="00BC75A0" w:rsidP="00C34EE7">
            <w:pPr>
              <w:spacing w:before="120" w:after="120"/>
              <w:rPr>
                <w:b/>
                <w:sz w:val="16"/>
                <w:szCs w:val="16"/>
                <w:lang w:val="bg-BG"/>
              </w:rPr>
            </w:pPr>
          </w:p>
        </w:tc>
        <w:tc>
          <w:tcPr>
            <w:tcW w:w="1080" w:type="dxa"/>
            <w:vAlign w:val="center"/>
          </w:tcPr>
          <w:p w:rsidR="00BC75A0" w:rsidRPr="0020088D" w:rsidRDefault="00BC75A0" w:rsidP="00C34EE7">
            <w:pPr>
              <w:spacing w:before="120" w:after="120"/>
              <w:rPr>
                <w:b/>
                <w:sz w:val="16"/>
                <w:szCs w:val="16"/>
                <w:lang w:val="bg-BG"/>
              </w:rPr>
            </w:pPr>
          </w:p>
        </w:tc>
        <w:tc>
          <w:tcPr>
            <w:tcW w:w="1170" w:type="dxa"/>
            <w:vAlign w:val="center"/>
          </w:tcPr>
          <w:p w:rsidR="00BC75A0" w:rsidRPr="0020088D" w:rsidRDefault="00BC75A0" w:rsidP="00C34EE7">
            <w:pPr>
              <w:spacing w:before="120" w:after="120"/>
              <w:rPr>
                <w:b/>
                <w:sz w:val="16"/>
                <w:szCs w:val="16"/>
                <w:lang w:val="bg-BG"/>
              </w:rPr>
            </w:pPr>
          </w:p>
        </w:tc>
        <w:tc>
          <w:tcPr>
            <w:tcW w:w="1170" w:type="dxa"/>
            <w:vAlign w:val="center"/>
          </w:tcPr>
          <w:p w:rsidR="00BC75A0" w:rsidRPr="0020088D" w:rsidRDefault="00BC75A0" w:rsidP="00C34EE7">
            <w:pPr>
              <w:spacing w:before="120" w:after="120"/>
              <w:rPr>
                <w:b/>
                <w:sz w:val="16"/>
                <w:szCs w:val="16"/>
                <w:lang w:val="bg-BG"/>
              </w:rPr>
            </w:pPr>
          </w:p>
        </w:tc>
      </w:tr>
    </w:tbl>
    <w:p w:rsidR="003D0231" w:rsidRPr="0020088D" w:rsidRDefault="003D0231" w:rsidP="003D0231">
      <w:pPr>
        <w:rPr>
          <w:lang w:val="bg-BG"/>
        </w:rPr>
      </w:pPr>
    </w:p>
    <w:p w:rsidR="003D0231" w:rsidRPr="0020088D" w:rsidRDefault="003D0231" w:rsidP="003D0231">
      <w:pPr>
        <w:pStyle w:val="Num-DocParagraph"/>
        <w:rPr>
          <w:lang w:val="bg-BG"/>
        </w:rPr>
      </w:pPr>
    </w:p>
    <w:p w:rsidR="003D0231" w:rsidRPr="0020088D" w:rsidRDefault="00A67D2D" w:rsidP="0019106C">
      <w:pPr>
        <w:pStyle w:val="Heading1"/>
        <w:spacing w:before="360" w:after="360"/>
        <w:rPr>
          <w:lang w:val="bg-BG"/>
        </w:rPr>
      </w:pPr>
      <w:r w:rsidRPr="0020088D">
        <w:rPr>
          <w:lang w:val="bg-BG"/>
        </w:rPr>
        <w:fldChar w:fldCharType="begin"/>
      </w:r>
      <w:r w:rsidR="003D0231" w:rsidRPr="0020088D">
        <w:rPr>
          <w:lang w:val="bg-BG"/>
        </w:rPr>
        <w:instrText xml:space="preserve"> MACROBUTTON NUMBERING </w:instrText>
      </w:r>
      <w:r w:rsidRPr="0020088D">
        <w:rPr>
          <w:lang w:val="bg-BG"/>
        </w:rPr>
        <w:fldChar w:fldCharType="begin"/>
      </w:r>
      <w:r w:rsidR="003D0231" w:rsidRPr="0020088D">
        <w:rPr>
          <w:lang w:val="bg-BG"/>
        </w:rPr>
        <w:instrText xml:space="preserve"> SEQ  cpara \h \r 0</w:instrText>
      </w:r>
      <w:r w:rsidRPr="0020088D">
        <w:rPr>
          <w:lang w:val="bg-BG"/>
        </w:rPr>
        <w:fldChar w:fldCharType="end"/>
      </w:r>
      <w:r w:rsidRPr="0020088D">
        <w:rPr>
          <w:lang w:val="bg-BG"/>
        </w:rPr>
        <w:fldChar w:fldCharType="begin"/>
      </w:r>
      <w:r w:rsidR="003D0231" w:rsidRPr="0020088D">
        <w:rPr>
          <w:lang w:val="bg-BG"/>
        </w:rPr>
        <w:instrText xml:space="preserve"> SEQ  ccount \h</w:instrText>
      </w:r>
      <w:r w:rsidRPr="0020088D">
        <w:rPr>
          <w:lang w:val="bg-BG"/>
        </w:rPr>
        <w:fldChar w:fldCharType="end"/>
      </w:r>
      <w:bookmarkStart w:id="3" w:name="_Toc521484060"/>
      <w:r w:rsidRPr="0020088D">
        <w:rPr>
          <w:lang w:val="bg-BG"/>
        </w:rPr>
        <w:fldChar w:fldCharType="end"/>
      </w:r>
      <w:r w:rsidR="000C4806" w:rsidRPr="0020088D">
        <w:rPr>
          <w:lang w:val="bg-BG"/>
        </w:rPr>
        <w:t>Таблица</w:t>
      </w:r>
      <w:r w:rsidR="003D0231" w:rsidRPr="0020088D">
        <w:rPr>
          <w:lang w:val="bg-BG"/>
        </w:rPr>
        <w:t xml:space="preserve"> 3: </w:t>
      </w:r>
      <w:r w:rsidR="004311A7" w:rsidRPr="0020088D">
        <w:rPr>
          <w:lang w:val="bg-BG"/>
        </w:rPr>
        <w:t xml:space="preserve">ЛИСТВАНИ НА БОРСАТА ДРУЖЕСТВА С КОНСОЛИДИРАНА СОБСТВЕНОСТ В ПУБЛИЧНИЯ СЕКТОР В РАЗМЕР НА НЕ ПО-МАЛКО ОТ </w:t>
      </w:r>
      <w:r w:rsidR="008137D0" w:rsidRPr="0020088D">
        <w:rPr>
          <w:lang w:val="bg-BG"/>
        </w:rPr>
        <w:t>10%</w:t>
      </w:r>
      <w:r w:rsidR="003D0231" w:rsidRPr="0020088D">
        <w:rPr>
          <w:rStyle w:val="FootnoteReference"/>
          <w:lang w:val="bg-BG"/>
        </w:rPr>
        <w:footnoteReference w:id="7"/>
      </w:r>
      <w:bookmarkEnd w:id="3"/>
      <w:r w:rsidR="003D0231" w:rsidRPr="0020088D">
        <w:rPr>
          <w:lang w:val="bg-BG"/>
        </w:rPr>
        <w:t xml:space="preserve">  </w:t>
      </w:r>
    </w:p>
    <w:tbl>
      <w:tblPr>
        <w:tblW w:w="55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2363"/>
        <w:gridCol w:w="2471"/>
        <w:gridCol w:w="2689"/>
        <w:gridCol w:w="2517"/>
        <w:gridCol w:w="2117"/>
      </w:tblGrid>
      <w:tr w:rsidR="0012216D" w:rsidRPr="0020088D" w:rsidTr="00F927B7">
        <w:trPr>
          <w:trHeight w:val="363"/>
          <w:jc w:val="center"/>
        </w:trPr>
        <w:tc>
          <w:tcPr>
            <w:tcW w:w="1170" w:type="pct"/>
            <w:vAlign w:val="center"/>
          </w:tcPr>
          <w:p w:rsidR="004311A7" w:rsidRPr="0020088D" w:rsidRDefault="004311A7" w:rsidP="004311A7">
            <w:pPr>
              <w:jc w:val="center"/>
              <w:rPr>
                <w:b/>
                <w:sz w:val="16"/>
                <w:szCs w:val="16"/>
                <w:lang w:val="bg-BG"/>
              </w:rPr>
            </w:pPr>
            <w:r w:rsidRPr="0020088D">
              <w:rPr>
                <w:b/>
                <w:sz w:val="16"/>
                <w:szCs w:val="16"/>
                <w:lang w:val="bg-BG"/>
              </w:rPr>
              <w:t>Наименование</w:t>
            </w:r>
          </w:p>
          <w:p w:rsidR="00F75836" w:rsidRPr="0020088D" w:rsidRDefault="004311A7" w:rsidP="004311A7">
            <w:pPr>
              <w:jc w:val="center"/>
              <w:rPr>
                <w:b/>
                <w:sz w:val="16"/>
                <w:szCs w:val="16"/>
                <w:lang w:val="bg-BG"/>
              </w:rPr>
            </w:pPr>
            <w:r w:rsidRPr="0020088D">
              <w:rPr>
                <w:b/>
                <w:sz w:val="16"/>
                <w:szCs w:val="16"/>
                <w:lang w:val="bg-BG"/>
              </w:rPr>
              <w:t>на дружеството</w:t>
            </w:r>
            <w:r w:rsidR="00F75836" w:rsidRPr="0020088D">
              <w:rPr>
                <w:b/>
                <w:sz w:val="16"/>
                <w:szCs w:val="16"/>
                <w:lang w:val="bg-BG"/>
              </w:rPr>
              <w:t>:</w:t>
            </w:r>
          </w:p>
        </w:tc>
        <w:tc>
          <w:tcPr>
            <w:tcW w:w="744" w:type="pct"/>
            <w:vAlign w:val="center"/>
          </w:tcPr>
          <w:p w:rsidR="00F75836" w:rsidRPr="0020088D" w:rsidRDefault="004311A7" w:rsidP="004311A7">
            <w:pPr>
              <w:jc w:val="center"/>
              <w:rPr>
                <w:b/>
                <w:sz w:val="16"/>
                <w:szCs w:val="16"/>
                <w:lang w:val="bg-BG"/>
              </w:rPr>
            </w:pPr>
            <w:r w:rsidRPr="0020088D">
              <w:rPr>
                <w:b/>
                <w:sz w:val="16"/>
                <w:szCs w:val="16"/>
                <w:lang w:val="bg-BG"/>
              </w:rPr>
              <w:t>Основна икономическа дейност</w:t>
            </w:r>
            <w:r w:rsidR="00F75836" w:rsidRPr="0020088D">
              <w:rPr>
                <w:b/>
                <w:sz w:val="16"/>
                <w:szCs w:val="16"/>
                <w:lang w:val="bg-BG"/>
              </w:rPr>
              <w:t>:</w:t>
            </w:r>
          </w:p>
        </w:tc>
        <w:tc>
          <w:tcPr>
            <w:tcW w:w="778" w:type="pct"/>
            <w:vAlign w:val="center"/>
          </w:tcPr>
          <w:p w:rsidR="00F75836" w:rsidRPr="0020088D" w:rsidRDefault="004311A7" w:rsidP="004311A7">
            <w:pPr>
              <w:jc w:val="center"/>
              <w:rPr>
                <w:b/>
                <w:sz w:val="16"/>
                <w:szCs w:val="16"/>
                <w:lang w:val="bg-BG"/>
              </w:rPr>
            </w:pPr>
            <w:r w:rsidRPr="0020088D">
              <w:rPr>
                <w:b/>
                <w:sz w:val="16"/>
                <w:szCs w:val="16"/>
                <w:lang w:val="bg-BG"/>
              </w:rPr>
              <w:t>Фондова борса(и) на листване</w:t>
            </w:r>
            <w:r w:rsidR="00F75836" w:rsidRPr="0020088D">
              <w:rPr>
                <w:b/>
                <w:sz w:val="16"/>
                <w:szCs w:val="16"/>
                <w:lang w:val="bg-BG"/>
              </w:rPr>
              <w:t>:</w:t>
            </w:r>
          </w:p>
        </w:tc>
        <w:tc>
          <w:tcPr>
            <w:tcW w:w="847" w:type="pct"/>
            <w:vAlign w:val="center"/>
          </w:tcPr>
          <w:p w:rsidR="00F75836" w:rsidRPr="0020088D" w:rsidRDefault="004311A7" w:rsidP="004311A7">
            <w:pPr>
              <w:jc w:val="center"/>
              <w:rPr>
                <w:b/>
                <w:sz w:val="16"/>
                <w:szCs w:val="16"/>
                <w:lang w:val="bg-BG"/>
              </w:rPr>
            </w:pPr>
            <w:r w:rsidRPr="0020088D">
              <w:rPr>
                <w:b/>
                <w:sz w:val="16"/>
                <w:szCs w:val="16"/>
                <w:lang w:val="bg-BG"/>
              </w:rPr>
              <w:t>Процент държавна собственост</w:t>
            </w:r>
            <w:r w:rsidR="00F75836" w:rsidRPr="0020088D">
              <w:rPr>
                <w:sz w:val="16"/>
                <w:szCs w:val="16"/>
                <w:vertAlign w:val="superscript"/>
                <w:lang w:val="bg-BG"/>
              </w:rPr>
              <w:footnoteReference w:id="8"/>
            </w:r>
            <w:r w:rsidR="00F75836" w:rsidRPr="0020088D">
              <w:rPr>
                <w:b/>
                <w:sz w:val="16"/>
                <w:szCs w:val="16"/>
                <w:lang w:val="bg-BG"/>
              </w:rPr>
              <w:t>:</w:t>
            </w:r>
          </w:p>
        </w:tc>
        <w:tc>
          <w:tcPr>
            <w:tcW w:w="793" w:type="pct"/>
            <w:vAlign w:val="center"/>
          </w:tcPr>
          <w:p w:rsidR="00F75836" w:rsidRPr="0020088D" w:rsidRDefault="004311A7" w:rsidP="00467813">
            <w:pPr>
              <w:jc w:val="center"/>
              <w:rPr>
                <w:b/>
                <w:sz w:val="16"/>
                <w:szCs w:val="16"/>
                <w:lang w:val="bg-BG"/>
              </w:rPr>
            </w:pPr>
            <w:r w:rsidRPr="0020088D">
              <w:rPr>
                <w:b/>
                <w:sz w:val="16"/>
                <w:szCs w:val="16"/>
                <w:lang w:val="bg-BG"/>
              </w:rPr>
              <w:t>Пазарна стойност на д</w:t>
            </w:r>
            <w:r w:rsidR="00467813" w:rsidRPr="0020088D">
              <w:rPr>
                <w:b/>
                <w:sz w:val="16"/>
                <w:szCs w:val="16"/>
                <w:lang w:val="bg-BG"/>
              </w:rPr>
              <w:t>ру</w:t>
            </w:r>
            <w:r w:rsidRPr="0020088D">
              <w:rPr>
                <w:b/>
                <w:sz w:val="16"/>
                <w:szCs w:val="16"/>
                <w:lang w:val="bg-BG"/>
              </w:rPr>
              <w:t>жеството</w:t>
            </w:r>
          </w:p>
        </w:tc>
        <w:tc>
          <w:tcPr>
            <w:tcW w:w="667" w:type="pct"/>
            <w:vAlign w:val="center"/>
          </w:tcPr>
          <w:p w:rsidR="00F75836" w:rsidRPr="0020088D" w:rsidRDefault="004311A7" w:rsidP="004311A7">
            <w:pPr>
              <w:jc w:val="center"/>
              <w:rPr>
                <w:b/>
                <w:sz w:val="16"/>
                <w:szCs w:val="16"/>
                <w:lang w:val="bg-BG"/>
              </w:rPr>
            </w:pPr>
            <w:r w:rsidRPr="0020088D">
              <w:rPr>
                <w:b/>
                <w:sz w:val="16"/>
                <w:szCs w:val="16"/>
                <w:lang w:val="bg-BG"/>
              </w:rPr>
              <w:t>№ служители</w:t>
            </w:r>
          </w:p>
        </w:tc>
      </w:tr>
      <w:tr w:rsidR="0012216D" w:rsidRPr="0020088D" w:rsidTr="00F927B7">
        <w:trPr>
          <w:trHeight w:val="363"/>
          <w:jc w:val="center"/>
        </w:trPr>
        <w:tc>
          <w:tcPr>
            <w:tcW w:w="1170" w:type="pct"/>
          </w:tcPr>
          <w:p w:rsidR="00F75836" w:rsidRPr="0020088D" w:rsidRDefault="00F75836" w:rsidP="003E75CC">
            <w:pPr>
              <w:jc w:val="center"/>
              <w:rPr>
                <w:b/>
                <w:sz w:val="16"/>
                <w:szCs w:val="16"/>
                <w:lang w:val="bg-BG"/>
              </w:rPr>
            </w:pPr>
          </w:p>
        </w:tc>
        <w:tc>
          <w:tcPr>
            <w:tcW w:w="744" w:type="pct"/>
          </w:tcPr>
          <w:p w:rsidR="00F75836" w:rsidRPr="0020088D" w:rsidRDefault="00F75836" w:rsidP="003E75CC">
            <w:pPr>
              <w:jc w:val="center"/>
              <w:rPr>
                <w:b/>
                <w:sz w:val="16"/>
                <w:szCs w:val="16"/>
                <w:lang w:val="bg-BG"/>
              </w:rPr>
            </w:pPr>
          </w:p>
        </w:tc>
        <w:tc>
          <w:tcPr>
            <w:tcW w:w="778" w:type="pct"/>
          </w:tcPr>
          <w:p w:rsidR="00F75836" w:rsidRPr="0020088D" w:rsidRDefault="00F75836" w:rsidP="003E75CC">
            <w:pPr>
              <w:jc w:val="center"/>
              <w:rPr>
                <w:b/>
                <w:sz w:val="16"/>
                <w:szCs w:val="16"/>
                <w:lang w:val="bg-BG"/>
              </w:rPr>
            </w:pPr>
          </w:p>
        </w:tc>
        <w:tc>
          <w:tcPr>
            <w:tcW w:w="847" w:type="pct"/>
          </w:tcPr>
          <w:p w:rsidR="00F75836" w:rsidRPr="0020088D" w:rsidRDefault="00F75836" w:rsidP="003E75CC">
            <w:pPr>
              <w:jc w:val="center"/>
              <w:rPr>
                <w:b/>
                <w:sz w:val="16"/>
                <w:szCs w:val="16"/>
                <w:lang w:val="bg-BG"/>
              </w:rPr>
            </w:pPr>
          </w:p>
        </w:tc>
        <w:tc>
          <w:tcPr>
            <w:tcW w:w="793" w:type="pct"/>
          </w:tcPr>
          <w:p w:rsidR="00F75836" w:rsidRPr="0020088D" w:rsidRDefault="00F75836" w:rsidP="003E75CC">
            <w:pPr>
              <w:jc w:val="center"/>
              <w:rPr>
                <w:b/>
                <w:sz w:val="16"/>
                <w:szCs w:val="16"/>
                <w:lang w:val="bg-BG"/>
              </w:rPr>
            </w:pPr>
          </w:p>
        </w:tc>
        <w:tc>
          <w:tcPr>
            <w:tcW w:w="667" w:type="pct"/>
          </w:tcPr>
          <w:p w:rsidR="00F75836" w:rsidRPr="0020088D" w:rsidRDefault="00F75836" w:rsidP="003E75CC">
            <w:pPr>
              <w:jc w:val="center"/>
              <w:rPr>
                <w:b/>
                <w:sz w:val="16"/>
                <w:szCs w:val="16"/>
                <w:lang w:val="bg-BG"/>
              </w:rPr>
            </w:pPr>
          </w:p>
        </w:tc>
      </w:tr>
      <w:tr w:rsidR="0012216D" w:rsidRPr="0020088D" w:rsidTr="00F927B7">
        <w:trPr>
          <w:trHeight w:val="363"/>
          <w:jc w:val="center"/>
        </w:trPr>
        <w:tc>
          <w:tcPr>
            <w:tcW w:w="1170" w:type="pct"/>
          </w:tcPr>
          <w:p w:rsidR="00F75836" w:rsidRPr="0020088D" w:rsidRDefault="00F75836" w:rsidP="003E75CC">
            <w:pPr>
              <w:jc w:val="center"/>
              <w:rPr>
                <w:b/>
                <w:sz w:val="16"/>
                <w:szCs w:val="16"/>
                <w:lang w:val="bg-BG"/>
              </w:rPr>
            </w:pPr>
          </w:p>
        </w:tc>
        <w:tc>
          <w:tcPr>
            <w:tcW w:w="744" w:type="pct"/>
          </w:tcPr>
          <w:p w:rsidR="00F75836" w:rsidRPr="0020088D" w:rsidRDefault="00F75836" w:rsidP="003E75CC">
            <w:pPr>
              <w:jc w:val="center"/>
              <w:rPr>
                <w:b/>
                <w:sz w:val="16"/>
                <w:szCs w:val="16"/>
                <w:lang w:val="bg-BG"/>
              </w:rPr>
            </w:pPr>
          </w:p>
        </w:tc>
        <w:tc>
          <w:tcPr>
            <w:tcW w:w="778" w:type="pct"/>
          </w:tcPr>
          <w:p w:rsidR="00F75836" w:rsidRPr="0020088D" w:rsidRDefault="00F75836" w:rsidP="003E75CC">
            <w:pPr>
              <w:jc w:val="center"/>
              <w:rPr>
                <w:b/>
                <w:sz w:val="16"/>
                <w:szCs w:val="16"/>
                <w:lang w:val="bg-BG"/>
              </w:rPr>
            </w:pPr>
          </w:p>
        </w:tc>
        <w:tc>
          <w:tcPr>
            <w:tcW w:w="847" w:type="pct"/>
          </w:tcPr>
          <w:p w:rsidR="00F75836" w:rsidRPr="0020088D" w:rsidRDefault="00F75836" w:rsidP="003E75CC">
            <w:pPr>
              <w:jc w:val="center"/>
              <w:rPr>
                <w:b/>
                <w:sz w:val="16"/>
                <w:szCs w:val="16"/>
                <w:lang w:val="bg-BG"/>
              </w:rPr>
            </w:pPr>
          </w:p>
        </w:tc>
        <w:tc>
          <w:tcPr>
            <w:tcW w:w="793" w:type="pct"/>
          </w:tcPr>
          <w:p w:rsidR="00F75836" w:rsidRPr="0020088D" w:rsidRDefault="00F75836" w:rsidP="003E75CC">
            <w:pPr>
              <w:jc w:val="center"/>
              <w:rPr>
                <w:b/>
                <w:sz w:val="16"/>
                <w:szCs w:val="16"/>
                <w:lang w:val="bg-BG"/>
              </w:rPr>
            </w:pPr>
          </w:p>
        </w:tc>
        <w:tc>
          <w:tcPr>
            <w:tcW w:w="667" w:type="pct"/>
          </w:tcPr>
          <w:p w:rsidR="00F75836" w:rsidRPr="0020088D" w:rsidRDefault="00F75836" w:rsidP="003E75CC">
            <w:pPr>
              <w:jc w:val="center"/>
              <w:rPr>
                <w:b/>
                <w:sz w:val="16"/>
                <w:szCs w:val="16"/>
                <w:lang w:val="bg-BG"/>
              </w:rPr>
            </w:pPr>
          </w:p>
        </w:tc>
      </w:tr>
      <w:tr w:rsidR="0012216D" w:rsidRPr="0020088D" w:rsidTr="00F927B7">
        <w:trPr>
          <w:trHeight w:val="363"/>
          <w:jc w:val="center"/>
        </w:trPr>
        <w:tc>
          <w:tcPr>
            <w:tcW w:w="1170" w:type="pct"/>
          </w:tcPr>
          <w:p w:rsidR="00F75836" w:rsidRPr="0020088D" w:rsidRDefault="00F75836" w:rsidP="003E75CC">
            <w:pPr>
              <w:jc w:val="center"/>
              <w:rPr>
                <w:b/>
                <w:sz w:val="16"/>
                <w:szCs w:val="16"/>
                <w:lang w:val="bg-BG"/>
              </w:rPr>
            </w:pPr>
          </w:p>
        </w:tc>
        <w:tc>
          <w:tcPr>
            <w:tcW w:w="744" w:type="pct"/>
          </w:tcPr>
          <w:p w:rsidR="00F75836" w:rsidRPr="0020088D" w:rsidRDefault="00F75836" w:rsidP="003E75CC">
            <w:pPr>
              <w:jc w:val="center"/>
              <w:rPr>
                <w:b/>
                <w:sz w:val="16"/>
                <w:szCs w:val="16"/>
                <w:lang w:val="bg-BG"/>
              </w:rPr>
            </w:pPr>
          </w:p>
        </w:tc>
        <w:tc>
          <w:tcPr>
            <w:tcW w:w="778" w:type="pct"/>
          </w:tcPr>
          <w:p w:rsidR="00F75836" w:rsidRPr="0020088D" w:rsidRDefault="00F75836" w:rsidP="003E75CC">
            <w:pPr>
              <w:jc w:val="center"/>
              <w:rPr>
                <w:b/>
                <w:sz w:val="16"/>
                <w:szCs w:val="16"/>
                <w:lang w:val="bg-BG"/>
              </w:rPr>
            </w:pPr>
          </w:p>
        </w:tc>
        <w:tc>
          <w:tcPr>
            <w:tcW w:w="847" w:type="pct"/>
          </w:tcPr>
          <w:p w:rsidR="00F75836" w:rsidRPr="0020088D" w:rsidRDefault="00F75836" w:rsidP="003E75CC">
            <w:pPr>
              <w:jc w:val="center"/>
              <w:rPr>
                <w:b/>
                <w:sz w:val="16"/>
                <w:szCs w:val="16"/>
                <w:lang w:val="bg-BG"/>
              </w:rPr>
            </w:pPr>
          </w:p>
        </w:tc>
        <w:tc>
          <w:tcPr>
            <w:tcW w:w="793" w:type="pct"/>
          </w:tcPr>
          <w:p w:rsidR="00F75836" w:rsidRPr="0020088D" w:rsidRDefault="00F75836" w:rsidP="003E75CC">
            <w:pPr>
              <w:jc w:val="center"/>
              <w:rPr>
                <w:b/>
                <w:sz w:val="16"/>
                <w:szCs w:val="16"/>
                <w:lang w:val="bg-BG"/>
              </w:rPr>
            </w:pPr>
          </w:p>
        </w:tc>
        <w:tc>
          <w:tcPr>
            <w:tcW w:w="667" w:type="pct"/>
          </w:tcPr>
          <w:p w:rsidR="00F75836" w:rsidRPr="0020088D" w:rsidRDefault="00F75836" w:rsidP="003E75CC">
            <w:pPr>
              <w:jc w:val="center"/>
              <w:rPr>
                <w:b/>
                <w:sz w:val="16"/>
                <w:szCs w:val="16"/>
                <w:lang w:val="bg-BG"/>
              </w:rPr>
            </w:pPr>
          </w:p>
        </w:tc>
      </w:tr>
      <w:tr w:rsidR="0012216D" w:rsidRPr="0020088D" w:rsidTr="00F927B7">
        <w:trPr>
          <w:trHeight w:val="363"/>
          <w:jc w:val="center"/>
        </w:trPr>
        <w:tc>
          <w:tcPr>
            <w:tcW w:w="1170" w:type="pct"/>
          </w:tcPr>
          <w:p w:rsidR="00F75836" w:rsidRPr="0020088D" w:rsidRDefault="00F75836" w:rsidP="003E75CC">
            <w:pPr>
              <w:jc w:val="center"/>
              <w:rPr>
                <w:b/>
                <w:sz w:val="16"/>
                <w:szCs w:val="16"/>
                <w:lang w:val="bg-BG"/>
              </w:rPr>
            </w:pPr>
          </w:p>
        </w:tc>
        <w:tc>
          <w:tcPr>
            <w:tcW w:w="744" w:type="pct"/>
          </w:tcPr>
          <w:p w:rsidR="00F75836" w:rsidRPr="0020088D" w:rsidRDefault="00F75836" w:rsidP="003E75CC">
            <w:pPr>
              <w:jc w:val="center"/>
              <w:rPr>
                <w:b/>
                <w:sz w:val="16"/>
                <w:szCs w:val="16"/>
                <w:lang w:val="bg-BG"/>
              </w:rPr>
            </w:pPr>
          </w:p>
        </w:tc>
        <w:tc>
          <w:tcPr>
            <w:tcW w:w="778" w:type="pct"/>
          </w:tcPr>
          <w:p w:rsidR="00F75836" w:rsidRPr="0020088D" w:rsidRDefault="00F75836" w:rsidP="003E75CC">
            <w:pPr>
              <w:jc w:val="center"/>
              <w:rPr>
                <w:b/>
                <w:sz w:val="16"/>
                <w:szCs w:val="16"/>
                <w:lang w:val="bg-BG"/>
              </w:rPr>
            </w:pPr>
          </w:p>
        </w:tc>
        <w:tc>
          <w:tcPr>
            <w:tcW w:w="847" w:type="pct"/>
          </w:tcPr>
          <w:p w:rsidR="00F75836" w:rsidRPr="0020088D" w:rsidRDefault="00F75836" w:rsidP="003E75CC">
            <w:pPr>
              <w:jc w:val="center"/>
              <w:rPr>
                <w:b/>
                <w:sz w:val="16"/>
                <w:szCs w:val="16"/>
                <w:lang w:val="bg-BG"/>
              </w:rPr>
            </w:pPr>
          </w:p>
        </w:tc>
        <w:tc>
          <w:tcPr>
            <w:tcW w:w="793" w:type="pct"/>
          </w:tcPr>
          <w:p w:rsidR="00F75836" w:rsidRPr="0020088D" w:rsidRDefault="00F75836" w:rsidP="003E75CC">
            <w:pPr>
              <w:jc w:val="center"/>
              <w:rPr>
                <w:b/>
                <w:sz w:val="16"/>
                <w:szCs w:val="16"/>
                <w:lang w:val="bg-BG"/>
              </w:rPr>
            </w:pPr>
          </w:p>
        </w:tc>
        <w:tc>
          <w:tcPr>
            <w:tcW w:w="667" w:type="pct"/>
          </w:tcPr>
          <w:p w:rsidR="00F75836" w:rsidRPr="0020088D" w:rsidRDefault="00F75836" w:rsidP="003E75CC">
            <w:pPr>
              <w:jc w:val="center"/>
              <w:rPr>
                <w:b/>
                <w:sz w:val="16"/>
                <w:szCs w:val="16"/>
                <w:lang w:val="bg-BG"/>
              </w:rPr>
            </w:pPr>
          </w:p>
        </w:tc>
      </w:tr>
      <w:tr w:rsidR="0012216D" w:rsidRPr="0020088D" w:rsidTr="00F927B7">
        <w:trPr>
          <w:trHeight w:val="363"/>
          <w:jc w:val="center"/>
        </w:trPr>
        <w:tc>
          <w:tcPr>
            <w:tcW w:w="1170" w:type="pct"/>
          </w:tcPr>
          <w:p w:rsidR="00F75836" w:rsidRPr="0020088D" w:rsidRDefault="00F75836" w:rsidP="003E75CC">
            <w:pPr>
              <w:jc w:val="center"/>
              <w:rPr>
                <w:b/>
                <w:sz w:val="16"/>
                <w:szCs w:val="16"/>
                <w:lang w:val="bg-BG"/>
              </w:rPr>
            </w:pPr>
          </w:p>
        </w:tc>
        <w:tc>
          <w:tcPr>
            <w:tcW w:w="744" w:type="pct"/>
          </w:tcPr>
          <w:p w:rsidR="00F75836" w:rsidRPr="0020088D" w:rsidRDefault="00F75836" w:rsidP="003E75CC">
            <w:pPr>
              <w:jc w:val="center"/>
              <w:rPr>
                <w:b/>
                <w:sz w:val="16"/>
                <w:szCs w:val="16"/>
                <w:lang w:val="bg-BG"/>
              </w:rPr>
            </w:pPr>
          </w:p>
        </w:tc>
        <w:tc>
          <w:tcPr>
            <w:tcW w:w="778" w:type="pct"/>
          </w:tcPr>
          <w:p w:rsidR="00F75836" w:rsidRPr="0020088D" w:rsidRDefault="00F75836" w:rsidP="003E75CC">
            <w:pPr>
              <w:jc w:val="center"/>
              <w:rPr>
                <w:b/>
                <w:sz w:val="16"/>
                <w:szCs w:val="16"/>
                <w:lang w:val="bg-BG"/>
              </w:rPr>
            </w:pPr>
          </w:p>
        </w:tc>
        <w:tc>
          <w:tcPr>
            <w:tcW w:w="847" w:type="pct"/>
          </w:tcPr>
          <w:p w:rsidR="00F75836" w:rsidRPr="0020088D" w:rsidRDefault="00F75836" w:rsidP="003E75CC">
            <w:pPr>
              <w:jc w:val="center"/>
              <w:rPr>
                <w:b/>
                <w:sz w:val="16"/>
                <w:szCs w:val="16"/>
                <w:lang w:val="bg-BG"/>
              </w:rPr>
            </w:pPr>
          </w:p>
        </w:tc>
        <w:tc>
          <w:tcPr>
            <w:tcW w:w="793" w:type="pct"/>
          </w:tcPr>
          <w:p w:rsidR="00F75836" w:rsidRPr="0020088D" w:rsidRDefault="00F75836" w:rsidP="003E75CC">
            <w:pPr>
              <w:jc w:val="center"/>
              <w:rPr>
                <w:b/>
                <w:sz w:val="16"/>
                <w:szCs w:val="16"/>
                <w:lang w:val="bg-BG"/>
              </w:rPr>
            </w:pPr>
          </w:p>
        </w:tc>
        <w:tc>
          <w:tcPr>
            <w:tcW w:w="667" w:type="pct"/>
          </w:tcPr>
          <w:p w:rsidR="00F75836" w:rsidRPr="0020088D" w:rsidRDefault="00F75836" w:rsidP="003E75CC">
            <w:pPr>
              <w:jc w:val="center"/>
              <w:rPr>
                <w:b/>
                <w:sz w:val="16"/>
                <w:szCs w:val="16"/>
                <w:lang w:val="bg-BG"/>
              </w:rPr>
            </w:pPr>
          </w:p>
        </w:tc>
      </w:tr>
      <w:tr w:rsidR="0012216D" w:rsidRPr="0020088D" w:rsidTr="00F927B7">
        <w:trPr>
          <w:trHeight w:val="363"/>
          <w:jc w:val="center"/>
        </w:trPr>
        <w:tc>
          <w:tcPr>
            <w:tcW w:w="1170" w:type="pct"/>
          </w:tcPr>
          <w:p w:rsidR="00F75836" w:rsidRPr="0020088D" w:rsidRDefault="00F75836" w:rsidP="003E75CC">
            <w:pPr>
              <w:jc w:val="center"/>
              <w:rPr>
                <w:b/>
                <w:sz w:val="16"/>
                <w:szCs w:val="16"/>
                <w:lang w:val="bg-BG"/>
              </w:rPr>
            </w:pPr>
          </w:p>
        </w:tc>
        <w:tc>
          <w:tcPr>
            <w:tcW w:w="744" w:type="pct"/>
          </w:tcPr>
          <w:p w:rsidR="00F75836" w:rsidRPr="0020088D" w:rsidRDefault="00F75836" w:rsidP="003E75CC">
            <w:pPr>
              <w:jc w:val="center"/>
              <w:rPr>
                <w:b/>
                <w:sz w:val="16"/>
                <w:szCs w:val="16"/>
                <w:lang w:val="bg-BG"/>
              </w:rPr>
            </w:pPr>
          </w:p>
        </w:tc>
        <w:tc>
          <w:tcPr>
            <w:tcW w:w="778" w:type="pct"/>
          </w:tcPr>
          <w:p w:rsidR="00F75836" w:rsidRPr="0020088D" w:rsidRDefault="00F75836" w:rsidP="003E75CC">
            <w:pPr>
              <w:jc w:val="center"/>
              <w:rPr>
                <w:b/>
                <w:sz w:val="16"/>
                <w:szCs w:val="16"/>
                <w:lang w:val="bg-BG"/>
              </w:rPr>
            </w:pPr>
          </w:p>
        </w:tc>
        <w:tc>
          <w:tcPr>
            <w:tcW w:w="847" w:type="pct"/>
          </w:tcPr>
          <w:p w:rsidR="00F75836" w:rsidRPr="0020088D" w:rsidRDefault="00F75836" w:rsidP="003E75CC">
            <w:pPr>
              <w:jc w:val="center"/>
              <w:rPr>
                <w:b/>
                <w:sz w:val="16"/>
                <w:szCs w:val="16"/>
                <w:lang w:val="bg-BG"/>
              </w:rPr>
            </w:pPr>
          </w:p>
        </w:tc>
        <w:tc>
          <w:tcPr>
            <w:tcW w:w="793" w:type="pct"/>
          </w:tcPr>
          <w:p w:rsidR="00F75836" w:rsidRPr="0020088D" w:rsidRDefault="00F75836" w:rsidP="003E75CC">
            <w:pPr>
              <w:jc w:val="center"/>
              <w:rPr>
                <w:b/>
                <w:sz w:val="16"/>
                <w:szCs w:val="16"/>
                <w:lang w:val="bg-BG"/>
              </w:rPr>
            </w:pPr>
          </w:p>
        </w:tc>
        <w:tc>
          <w:tcPr>
            <w:tcW w:w="667" w:type="pct"/>
          </w:tcPr>
          <w:p w:rsidR="00F75836" w:rsidRPr="0020088D" w:rsidRDefault="00F75836" w:rsidP="003E75CC">
            <w:pPr>
              <w:jc w:val="center"/>
              <w:rPr>
                <w:b/>
                <w:sz w:val="16"/>
                <w:szCs w:val="16"/>
                <w:lang w:val="bg-BG"/>
              </w:rPr>
            </w:pPr>
          </w:p>
        </w:tc>
      </w:tr>
      <w:tr w:rsidR="0012216D" w:rsidRPr="0020088D" w:rsidTr="00F927B7">
        <w:trPr>
          <w:trHeight w:val="363"/>
          <w:jc w:val="center"/>
        </w:trPr>
        <w:tc>
          <w:tcPr>
            <w:tcW w:w="1170" w:type="pct"/>
          </w:tcPr>
          <w:p w:rsidR="00F75836" w:rsidRPr="0020088D" w:rsidRDefault="00F75836" w:rsidP="003E75CC">
            <w:pPr>
              <w:jc w:val="center"/>
              <w:rPr>
                <w:b/>
                <w:sz w:val="16"/>
                <w:szCs w:val="16"/>
                <w:lang w:val="bg-BG"/>
              </w:rPr>
            </w:pPr>
          </w:p>
        </w:tc>
        <w:tc>
          <w:tcPr>
            <w:tcW w:w="744" w:type="pct"/>
          </w:tcPr>
          <w:p w:rsidR="00F75836" w:rsidRPr="0020088D" w:rsidRDefault="00F75836" w:rsidP="003E75CC">
            <w:pPr>
              <w:jc w:val="center"/>
              <w:rPr>
                <w:b/>
                <w:sz w:val="16"/>
                <w:szCs w:val="16"/>
                <w:lang w:val="bg-BG"/>
              </w:rPr>
            </w:pPr>
          </w:p>
        </w:tc>
        <w:tc>
          <w:tcPr>
            <w:tcW w:w="778" w:type="pct"/>
          </w:tcPr>
          <w:p w:rsidR="00F75836" w:rsidRPr="0020088D" w:rsidRDefault="00F75836" w:rsidP="003E75CC">
            <w:pPr>
              <w:jc w:val="center"/>
              <w:rPr>
                <w:b/>
                <w:sz w:val="16"/>
                <w:szCs w:val="16"/>
                <w:lang w:val="bg-BG"/>
              </w:rPr>
            </w:pPr>
          </w:p>
        </w:tc>
        <w:tc>
          <w:tcPr>
            <w:tcW w:w="847" w:type="pct"/>
          </w:tcPr>
          <w:p w:rsidR="00F75836" w:rsidRPr="0020088D" w:rsidRDefault="00F75836" w:rsidP="003E75CC">
            <w:pPr>
              <w:jc w:val="center"/>
              <w:rPr>
                <w:b/>
                <w:sz w:val="16"/>
                <w:szCs w:val="16"/>
                <w:lang w:val="bg-BG"/>
              </w:rPr>
            </w:pPr>
          </w:p>
        </w:tc>
        <w:tc>
          <w:tcPr>
            <w:tcW w:w="793" w:type="pct"/>
          </w:tcPr>
          <w:p w:rsidR="00F75836" w:rsidRPr="0020088D" w:rsidRDefault="00F75836" w:rsidP="003E75CC">
            <w:pPr>
              <w:jc w:val="center"/>
              <w:rPr>
                <w:b/>
                <w:sz w:val="16"/>
                <w:szCs w:val="16"/>
                <w:lang w:val="bg-BG"/>
              </w:rPr>
            </w:pPr>
          </w:p>
        </w:tc>
        <w:tc>
          <w:tcPr>
            <w:tcW w:w="667" w:type="pct"/>
          </w:tcPr>
          <w:p w:rsidR="00F75836" w:rsidRPr="0020088D" w:rsidRDefault="00F75836" w:rsidP="003E75CC">
            <w:pPr>
              <w:jc w:val="center"/>
              <w:rPr>
                <w:b/>
                <w:sz w:val="16"/>
                <w:szCs w:val="16"/>
                <w:lang w:val="bg-BG"/>
              </w:rPr>
            </w:pPr>
          </w:p>
        </w:tc>
      </w:tr>
      <w:tr w:rsidR="0012216D" w:rsidRPr="0020088D" w:rsidTr="00F927B7">
        <w:trPr>
          <w:trHeight w:val="363"/>
          <w:jc w:val="center"/>
        </w:trPr>
        <w:tc>
          <w:tcPr>
            <w:tcW w:w="1170" w:type="pct"/>
          </w:tcPr>
          <w:p w:rsidR="00F75836" w:rsidRPr="0020088D" w:rsidRDefault="00F75836" w:rsidP="003E75CC">
            <w:pPr>
              <w:jc w:val="center"/>
              <w:rPr>
                <w:b/>
                <w:sz w:val="16"/>
                <w:szCs w:val="16"/>
                <w:lang w:val="bg-BG"/>
              </w:rPr>
            </w:pPr>
          </w:p>
        </w:tc>
        <w:tc>
          <w:tcPr>
            <w:tcW w:w="744" w:type="pct"/>
          </w:tcPr>
          <w:p w:rsidR="00F75836" w:rsidRPr="0020088D" w:rsidRDefault="00F75836" w:rsidP="003E75CC">
            <w:pPr>
              <w:jc w:val="center"/>
              <w:rPr>
                <w:b/>
                <w:sz w:val="16"/>
                <w:szCs w:val="16"/>
                <w:lang w:val="bg-BG"/>
              </w:rPr>
            </w:pPr>
          </w:p>
        </w:tc>
        <w:tc>
          <w:tcPr>
            <w:tcW w:w="778" w:type="pct"/>
          </w:tcPr>
          <w:p w:rsidR="00F75836" w:rsidRPr="0020088D" w:rsidRDefault="00F75836" w:rsidP="003E75CC">
            <w:pPr>
              <w:jc w:val="center"/>
              <w:rPr>
                <w:b/>
                <w:sz w:val="16"/>
                <w:szCs w:val="16"/>
                <w:lang w:val="bg-BG"/>
              </w:rPr>
            </w:pPr>
          </w:p>
        </w:tc>
        <w:tc>
          <w:tcPr>
            <w:tcW w:w="847" w:type="pct"/>
          </w:tcPr>
          <w:p w:rsidR="00F75836" w:rsidRPr="0020088D" w:rsidRDefault="00F75836" w:rsidP="003E75CC">
            <w:pPr>
              <w:jc w:val="center"/>
              <w:rPr>
                <w:b/>
                <w:sz w:val="16"/>
                <w:szCs w:val="16"/>
                <w:lang w:val="bg-BG"/>
              </w:rPr>
            </w:pPr>
          </w:p>
        </w:tc>
        <w:tc>
          <w:tcPr>
            <w:tcW w:w="793" w:type="pct"/>
          </w:tcPr>
          <w:p w:rsidR="00F75836" w:rsidRPr="0020088D" w:rsidRDefault="00F75836" w:rsidP="003E75CC">
            <w:pPr>
              <w:jc w:val="center"/>
              <w:rPr>
                <w:b/>
                <w:sz w:val="16"/>
                <w:szCs w:val="16"/>
                <w:lang w:val="bg-BG"/>
              </w:rPr>
            </w:pPr>
          </w:p>
        </w:tc>
        <w:tc>
          <w:tcPr>
            <w:tcW w:w="667" w:type="pct"/>
          </w:tcPr>
          <w:p w:rsidR="00F75836" w:rsidRPr="0020088D" w:rsidRDefault="00F75836" w:rsidP="003E75CC">
            <w:pPr>
              <w:jc w:val="center"/>
              <w:rPr>
                <w:b/>
                <w:sz w:val="16"/>
                <w:szCs w:val="16"/>
                <w:lang w:val="bg-BG"/>
              </w:rPr>
            </w:pPr>
          </w:p>
        </w:tc>
      </w:tr>
      <w:tr w:rsidR="0012216D" w:rsidRPr="0020088D" w:rsidTr="00F927B7">
        <w:trPr>
          <w:trHeight w:val="363"/>
          <w:jc w:val="center"/>
        </w:trPr>
        <w:tc>
          <w:tcPr>
            <w:tcW w:w="1170" w:type="pct"/>
          </w:tcPr>
          <w:p w:rsidR="00F75836" w:rsidRPr="0020088D" w:rsidRDefault="00F75836" w:rsidP="003E75CC">
            <w:pPr>
              <w:jc w:val="center"/>
              <w:rPr>
                <w:b/>
                <w:sz w:val="16"/>
                <w:szCs w:val="16"/>
                <w:lang w:val="bg-BG"/>
              </w:rPr>
            </w:pPr>
          </w:p>
        </w:tc>
        <w:tc>
          <w:tcPr>
            <w:tcW w:w="744" w:type="pct"/>
          </w:tcPr>
          <w:p w:rsidR="00F75836" w:rsidRPr="0020088D" w:rsidRDefault="00F75836" w:rsidP="003E75CC">
            <w:pPr>
              <w:jc w:val="center"/>
              <w:rPr>
                <w:b/>
                <w:sz w:val="16"/>
                <w:szCs w:val="16"/>
                <w:lang w:val="bg-BG"/>
              </w:rPr>
            </w:pPr>
          </w:p>
        </w:tc>
        <w:tc>
          <w:tcPr>
            <w:tcW w:w="778" w:type="pct"/>
          </w:tcPr>
          <w:p w:rsidR="00F75836" w:rsidRPr="0020088D" w:rsidRDefault="00F75836" w:rsidP="003E75CC">
            <w:pPr>
              <w:jc w:val="center"/>
              <w:rPr>
                <w:b/>
                <w:sz w:val="16"/>
                <w:szCs w:val="16"/>
                <w:lang w:val="bg-BG"/>
              </w:rPr>
            </w:pPr>
          </w:p>
        </w:tc>
        <w:tc>
          <w:tcPr>
            <w:tcW w:w="847" w:type="pct"/>
          </w:tcPr>
          <w:p w:rsidR="00F75836" w:rsidRPr="0020088D" w:rsidRDefault="00F75836" w:rsidP="003E75CC">
            <w:pPr>
              <w:jc w:val="center"/>
              <w:rPr>
                <w:b/>
                <w:sz w:val="16"/>
                <w:szCs w:val="16"/>
                <w:lang w:val="bg-BG"/>
              </w:rPr>
            </w:pPr>
          </w:p>
        </w:tc>
        <w:tc>
          <w:tcPr>
            <w:tcW w:w="793" w:type="pct"/>
          </w:tcPr>
          <w:p w:rsidR="00F75836" w:rsidRPr="0020088D" w:rsidRDefault="00F75836" w:rsidP="003E75CC">
            <w:pPr>
              <w:jc w:val="center"/>
              <w:rPr>
                <w:b/>
                <w:sz w:val="16"/>
                <w:szCs w:val="16"/>
                <w:lang w:val="bg-BG"/>
              </w:rPr>
            </w:pPr>
          </w:p>
        </w:tc>
        <w:tc>
          <w:tcPr>
            <w:tcW w:w="667" w:type="pct"/>
          </w:tcPr>
          <w:p w:rsidR="00F75836" w:rsidRPr="0020088D" w:rsidRDefault="00F75836" w:rsidP="003E75CC">
            <w:pPr>
              <w:jc w:val="center"/>
              <w:rPr>
                <w:b/>
                <w:sz w:val="16"/>
                <w:szCs w:val="16"/>
                <w:lang w:val="bg-BG"/>
              </w:rPr>
            </w:pPr>
          </w:p>
        </w:tc>
      </w:tr>
      <w:tr w:rsidR="0012216D" w:rsidRPr="0020088D" w:rsidTr="00F927B7">
        <w:trPr>
          <w:trHeight w:val="363"/>
          <w:jc w:val="center"/>
        </w:trPr>
        <w:tc>
          <w:tcPr>
            <w:tcW w:w="1170" w:type="pct"/>
          </w:tcPr>
          <w:p w:rsidR="00F75836" w:rsidRPr="0020088D" w:rsidRDefault="00F75836" w:rsidP="003E75CC">
            <w:pPr>
              <w:jc w:val="center"/>
              <w:rPr>
                <w:b/>
                <w:sz w:val="16"/>
                <w:szCs w:val="16"/>
                <w:lang w:val="bg-BG"/>
              </w:rPr>
            </w:pPr>
          </w:p>
        </w:tc>
        <w:tc>
          <w:tcPr>
            <w:tcW w:w="744" w:type="pct"/>
          </w:tcPr>
          <w:p w:rsidR="00F75836" w:rsidRPr="0020088D" w:rsidRDefault="00F75836" w:rsidP="003E75CC">
            <w:pPr>
              <w:jc w:val="center"/>
              <w:rPr>
                <w:b/>
                <w:sz w:val="16"/>
                <w:szCs w:val="16"/>
                <w:lang w:val="bg-BG"/>
              </w:rPr>
            </w:pPr>
          </w:p>
        </w:tc>
        <w:tc>
          <w:tcPr>
            <w:tcW w:w="778" w:type="pct"/>
          </w:tcPr>
          <w:p w:rsidR="00F75836" w:rsidRPr="0020088D" w:rsidRDefault="00F75836" w:rsidP="003E75CC">
            <w:pPr>
              <w:jc w:val="center"/>
              <w:rPr>
                <w:b/>
                <w:sz w:val="16"/>
                <w:szCs w:val="16"/>
                <w:lang w:val="bg-BG"/>
              </w:rPr>
            </w:pPr>
          </w:p>
        </w:tc>
        <w:tc>
          <w:tcPr>
            <w:tcW w:w="847" w:type="pct"/>
          </w:tcPr>
          <w:p w:rsidR="00F75836" w:rsidRPr="0020088D" w:rsidRDefault="00F75836" w:rsidP="003E75CC">
            <w:pPr>
              <w:jc w:val="center"/>
              <w:rPr>
                <w:b/>
                <w:sz w:val="16"/>
                <w:szCs w:val="16"/>
                <w:lang w:val="bg-BG"/>
              </w:rPr>
            </w:pPr>
          </w:p>
        </w:tc>
        <w:tc>
          <w:tcPr>
            <w:tcW w:w="793" w:type="pct"/>
          </w:tcPr>
          <w:p w:rsidR="00F75836" w:rsidRPr="0020088D" w:rsidRDefault="00F75836" w:rsidP="003E75CC">
            <w:pPr>
              <w:jc w:val="center"/>
              <w:rPr>
                <w:b/>
                <w:sz w:val="16"/>
                <w:szCs w:val="16"/>
                <w:lang w:val="bg-BG"/>
              </w:rPr>
            </w:pPr>
          </w:p>
        </w:tc>
        <w:tc>
          <w:tcPr>
            <w:tcW w:w="667" w:type="pct"/>
          </w:tcPr>
          <w:p w:rsidR="00F75836" w:rsidRPr="0020088D" w:rsidRDefault="00F75836" w:rsidP="003E75CC">
            <w:pPr>
              <w:jc w:val="center"/>
              <w:rPr>
                <w:b/>
                <w:sz w:val="16"/>
                <w:szCs w:val="16"/>
                <w:lang w:val="bg-BG"/>
              </w:rPr>
            </w:pPr>
          </w:p>
        </w:tc>
      </w:tr>
      <w:tr w:rsidR="0012216D" w:rsidRPr="0020088D" w:rsidTr="00F927B7">
        <w:trPr>
          <w:trHeight w:val="363"/>
          <w:jc w:val="center"/>
        </w:trPr>
        <w:tc>
          <w:tcPr>
            <w:tcW w:w="1170" w:type="pct"/>
          </w:tcPr>
          <w:p w:rsidR="00F75836" w:rsidRPr="0020088D" w:rsidRDefault="00F75836" w:rsidP="003E75CC">
            <w:pPr>
              <w:jc w:val="center"/>
              <w:rPr>
                <w:b/>
                <w:sz w:val="16"/>
                <w:szCs w:val="16"/>
                <w:lang w:val="bg-BG"/>
              </w:rPr>
            </w:pPr>
          </w:p>
        </w:tc>
        <w:tc>
          <w:tcPr>
            <w:tcW w:w="744" w:type="pct"/>
          </w:tcPr>
          <w:p w:rsidR="00F75836" w:rsidRPr="0020088D" w:rsidRDefault="00F75836" w:rsidP="003E75CC">
            <w:pPr>
              <w:jc w:val="center"/>
              <w:rPr>
                <w:b/>
                <w:sz w:val="16"/>
                <w:szCs w:val="16"/>
                <w:lang w:val="bg-BG"/>
              </w:rPr>
            </w:pPr>
          </w:p>
        </w:tc>
        <w:tc>
          <w:tcPr>
            <w:tcW w:w="778" w:type="pct"/>
          </w:tcPr>
          <w:p w:rsidR="00F75836" w:rsidRPr="0020088D" w:rsidRDefault="00F75836" w:rsidP="003E75CC">
            <w:pPr>
              <w:jc w:val="center"/>
              <w:rPr>
                <w:b/>
                <w:sz w:val="16"/>
                <w:szCs w:val="16"/>
                <w:lang w:val="bg-BG"/>
              </w:rPr>
            </w:pPr>
          </w:p>
        </w:tc>
        <w:tc>
          <w:tcPr>
            <w:tcW w:w="847" w:type="pct"/>
          </w:tcPr>
          <w:p w:rsidR="00F75836" w:rsidRPr="0020088D" w:rsidRDefault="00F75836" w:rsidP="003E75CC">
            <w:pPr>
              <w:jc w:val="center"/>
              <w:rPr>
                <w:b/>
                <w:sz w:val="16"/>
                <w:szCs w:val="16"/>
                <w:lang w:val="bg-BG"/>
              </w:rPr>
            </w:pPr>
          </w:p>
        </w:tc>
        <w:tc>
          <w:tcPr>
            <w:tcW w:w="793" w:type="pct"/>
          </w:tcPr>
          <w:p w:rsidR="00F75836" w:rsidRPr="0020088D" w:rsidRDefault="00F75836" w:rsidP="003E75CC">
            <w:pPr>
              <w:jc w:val="center"/>
              <w:rPr>
                <w:b/>
                <w:sz w:val="16"/>
                <w:szCs w:val="16"/>
                <w:lang w:val="bg-BG"/>
              </w:rPr>
            </w:pPr>
          </w:p>
        </w:tc>
        <w:tc>
          <w:tcPr>
            <w:tcW w:w="667" w:type="pct"/>
          </w:tcPr>
          <w:p w:rsidR="00F75836" w:rsidRPr="0020088D" w:rsidRDefault="00F75836" w:rsidP="003E75CC">
            <w:pPr>
              <w:jc w:val="center"/>
              <w:rPr>
                <w:b/>
                <w:sz w:val="16"/>
                <w:szCs w:val="16"/>
                <w:lang w:val="bg-BG"/>
              </w:rPr>
            </w:pPr>
          </w:p>
        </w:tc>
      </w:tr>
      <w:tr w:rsidR="0012216D" w:rsidRPr="0020088D" w:rsidTr="00F927B7">
        <w:trPr>
          <w:trHeight w:val="363"/>
          <w:jc w:val="center"/>
        </w:trPr>
        <w:tc>
          <w:tcPr>
            <w:tcW w:w="1170" w:type="pct"/>
          </w:tcPr>
          <w:p w:rsidR="00F75836" w:rsidRPr="0020088D" w:rsidRDefault="00F75836" w:rsidP="003E75CC">
            <w:pPr>
              <w:jc w:val="center"/>
              <w:rPr>
                <w:b/>
                <w:sz w:val="16"/>
                <w:szCs w:val="16"/>
                <w:lang w:val="bg-BG"/>
              </w:rPr>
            </w:pPr>
          </w:p>
        </w:tc>
        <w:tc>
          <w:tcPr>
            <w:tcW w:w="744" w:type="pct"/>
          </w:tcPr>
          <w:p w:rsidR="00F75836" w:rsidRPr="0020088D" w:rsidRDefault="00F75836" w:rsidP="003E75CC">
            <w:pPr>
              <w:jc w:val="center"/>
              <w:rPr>
                <w:b/>
                <w:sz w:val="16"/>
                <w:szCs w:val="16"/>
                <w:lang w:val="bg-BG"/>
              </w:rPr>
            </w:pPr>
          </w:p>
        </w:tc>
        <w:tc>
          <w:tcPr>
            <w:tcW w:w="778" w:type="pct"/>
          </w:tcPr>
          <w:p w:rsidR="00F75836" w:rsidRPr="0020088D" w:rsidRDefault="00F75836" w:rsidP="003E75CC">
            <w:pPr>
              <w:jc w:val="center"/>
              <w:rPr>
                <w:b/>
                <w:sz w:val="16"/>
                <w:szCs w:val="16"/>
                <w:lang w:val="bg-BG"/>
              </w:rPr>
            </w:pPr>
          </w:p>
        </w:tc>
        <w:tc>
          <w:tcPr>
            <w:tcW w:w="847" w:type="pct"/>
          </w:tcPr>
          <w:p w:rsidR="00F75836" w:rsidRPr="0020088D" w:rsidRDefault="00F75836" w:rsidP="003E75CC">
            <w:pPr>
              <w:jc w:val="center"/>
              <w:rPr>
                <w:b/>
                <w:sz w:val="16"/>
                <w:szCs w:val="16"/>
                <w:lang w:val="bg-BG"/>
              </w:rPr>
            </w:pPr>
          </w:p>
        </w:tc>
        <w:tc>
          <w:tcPr>
            <w:tcW w:w="793" w:type="pct"/>
          </w:tcPr>
          <w:p w:rsidR="00F75836" w:rsidRPr="0020088D" w:rsidRDefault="00F75836" w:rsidP="003E75CC">
            <w:pPr>
              <w:jc w:val="center"/>
              <w:rPr>
                <w:b/>
                <w:sz w:val="16"/>
                <w:szCs w:val="16"/>
                <w:lang w:val="bg-BG"/>
              </w:rPr>
            </w:pPr>
          </w:p>
        </w:tc>
        <w:tc>
          <w:tcPr>
            <w:tcW w:w="667" w:type="pct"/>
          </w:tcPr>
          <w:p w:rsidR="00F75836" w:rsidRPr="0020088D" w:rsidRDefault="00F75836" w:rsidP="003E75CC">
            <w:pPr>
              <w:jc w:val="center"/>
              <w:rPr>
                <w:b/>
                <w:sz w:val="16"/>
                <w:szCs w:val="16"/>
                <w:lang w:val="bg-BG"/>
              </w:rPr>
            </w:pPr>
          </w:p>
        </w:tc>
      </w:tr>
      <w:tr w:rsidR="0012216D" w:rsidRPr="0020088D" w:rsidTr="00F927B7">
        <w:trPr>
          <w:trHeight w:val="363"/>
          <w:jc w:val="center"/>
        </w:trPr>
        <w:tc>
          <w:tcPr>
            <w:tcW w:w="1170" w:type="pct"/>
          </w:tcPr>
          <w:p w:rsidR="00F75836" w:rsidRPr="0020088D" w:rsidRDefault="00F75836" w:rsidP="003E75CC">
            <w:pPr>
              <w:jc w:val="center"/>
              <w:rPr>
                <w:b/>
                <w:sz w:val="16"/>
                <w:szCs w:val="16"/>
                <w:lang w:val="bg-BG"/>
              </w:rPr>
            </w:pPr>
          </w:p>
        </w:tc>
        <w:tc>
          <w:tcPr>
            <w:tcW w:w="744" w:type="pct"/>
          </w:tcPr>
          <w:p w:rsidR="00F75836" w:rsidRPr="0020088D" w:rsidRDefault="00F75836" w:rsidP="003E75CC">
            <w:pPr>
              <w:jc w:val="center"/>
              <w:rPr>
                <w:b/>
                <w:sz w:val="16"/>
                <w:szCs w:val="16"/>
                <w:lang w:val="bg-BG"/>
              </w:rPr>
            </w:pPr>
          </w:p>
        </w:tc>
        <w:tc>
          <w:tcPr>
            <w:tcW w:w="778" w:type="pct"/>
          </w:tcPr>
          <w:p w:rsidR="00F75836" w:rsidRPr="0020088D" w:rsidRDefault="00F75836" w:rsidP="003E75CC">
            <w:pPr>
              <w:jc w:val="center"/>
              <w:rPr>
                <w:b/>
                <w:sz w:val="16"/>
                <w:szCs w:val="16"/>
                <w:lang w:val="bg-BG"/>
              </w:rPr>
            </w:pPr>
          </w:p>
        </w:tc>
        <w:tc>
          <w:tcPr>
            <w:tcW w:w="847" w:type="pct"/>
          </w:tcPr>
          <w:p w:rsidR="00F75836" w:rsidRPr="0020088D" w:rsidRDefault="00F75836" w:rsidP="003E75CC">
            <w:pPr>
              <w:jc w:val="center"/>
              <w:rPr>
                <w:b/>
                <w:sz w:val="16"/>
                <w:szCs w:val="16"/>
                <w:lang w:val="bg-BG"/>
              </w:rPr>
            </w:pPr>
          </w:p>
        </w:tc>
        <w:tc>
          <w:tcPr>
            <w:tcW w:w="793" w:type="pct"/>
          </w:tcPr>
          <w:p w:rsidR="00F75836" w:rsidRPr="0020088D" w:rsidRDefault="00F75836" w:rsidP="003E75CC">
            <w:pPr>
              <w:jc w:val="center"/>
              <w:rPr>
                <w:b/>
                <w:sz w:val="16"/>
                <w:szCs w:val="16"/>
                <w:lang w:val="bg-BG"/>
              </w:rPr>
            </w:pPr>
          </w:p>
        </w:tc>
        <w:tc>
          <w:tcPr>
            <w:tcW w:w="667" w:type="pct"/>
          </w:tcPr>
          <w:p w:rsidR="00F75836" w:rsidRPr="0020088D" w:rsidRDefault="00F75836" w:rsidP="003E75CC">
            <w:pPr>
              <w:jc w:val="center"/>
              <w:rPr>
                <w:b/>
                <w:sz w:val="16"/>
                <w:szCs w:val="16"/>
                <w:lang w:val="bg-BG"/>
              </w:rPr>
            </w:pPr>
          </w:p>
        </w:tc>
      </w:tr>
      <w:tr w:rsidR="0012216D" w:rsidRPr="0020088D" w:rsidTr="00F927B7">
        <w:trPr>
          <w:trHeight w:val="363"/>
          <w:jc w:val="center"/>
        </w:trPr>
        <w:tc>
          <w:tcPr>
            <w:tcW w:w="1170" w:type="pct"/>
          </w:tcPr>
          <w:p w:rsidR="00F75836" w:rsidRPr="0020088D" w:rsidRDefault="00F75836" w:rsidP="003E75CC">
            <w:pPr>
              <w:jc w:val="center"/>
              <w:rPr>
                <w:b/>
                <w:sz w:val="16"/>
                <w:szCs w:val="16"/>
                <w:lang w:val="bg-BG"/>
              </w:rPr>
            </w:pPr>
          </w:p>
        </w:tc>
        <w:tc>
          <w:tcPr>
            <w:tcW w:w="744" w:type="pct"/>
          </w:tcPr>
          <w:p w:rsidR="00F75836" w:rsidRPr="0020088D" w:rsidRDefault="00F75836" w:rsidP="003E75CC">
            <w:pPr>
              <w:jc w:val="center"/>
              <w:rPr>
                <w:b/>
                <w:sz w:val="16"/>
                <w:szCs w:val="16"/>
                <w:lang w:val="bg-BG"/>
              </w:rPr>
            </w:pPr>
          </w:p>
        </w:tc>
        <w:tc>
          <w:tcPr>
            <w:tcW w:w="778" w:type="pct"/>
          </w:tcPr>
          <w:p w:rsidR="00F75836" w:rsidRPr="0020088D" w:rsidRDefault="00F75836" w:rsidP="003E75CC">
            <w:pPr>
              <w:jc w:val="center"/>
              <w:rPr>
                <w:b/>
                <w:sz w:val="16"/>
                <w:szCs w:val="16"/>
                <w:lang w:val="bg-BG"/>
              </w:rPr>
            </w:pPr>
          </w:p>
        </w:tc>
        <w:tc>
          <w:tcPr>
            <w:tcW w:w="847" w:type="pct"/>
          </w:tcPr>
          <w:p w:rsidR="00F75836" w:rsidRPr="0020088D" w:rsidRDefault="00F75836" w:rsidP="003E75CC">
            <w:pPr>
              <w:jc w:val="center"/>
              <w:rPr>
                <w:b/>
                <w:sz w:val="16"/>
                <w:szCs w:val="16"/>
                <w:lang w:val="bg-BG"/>
              </w:rPr>
            </w:pPr>
          </w:p>
        </w:tc>
        <w:tc>
          <w:tcPr>
            <w:tcW w:w="793" w:type="pct"/>
          </w:tcPr>
          <w:p w:rsidR="00F75836" w:rsidRPr="0020088D" w:rsidRDefault="00F75836" w:rsidP="003E75CC">
            <w:pPr>
              <w:jc w:val="center"/>
              <w:rPr>
                <w:b/>
                <w:sz w:val="16"/>
                <w:szCs w:val="16"/>
                <w:lang w:val="bg-BG"/>
              </w:rPr>
            </w:pPr>
          </w:p>
        </w:tc>
        <w:tc>
          <w:tcPr>
            <w:tcW w:w="667" w:type="pct"/>
          </w:tcPr>
          <w:p w:rsidR="00F75836" w:rsidRPr="0020088D" w:rsidRDefault="00F75836" w:rsidP="003E75CC">
            <w:pPr>
              <w:jc w:val="center"/>
              <w:rPr>
                <w:b/>
                <w:sz w:val="16"/>
                <w:szCs w:val="16"/>
                <w:lang w:val="bg-BG"/>
              </w:rPr>
            </w:pPr>
          </w:p>
        </w:tc>
      </w:tr>
      <w:tr w:rsidR="0012216D" w:rsidRPr="0020088D" w:rsidTr="00F927B7">
        <w:trPr>
          <w:trHeight w:val="363"/>
          <w:jc w:val="center"/>
        </w:trPr>
        <w:tc>
          <w:tcPr>
            <w:tcW w:w="1170" w:type="pct"/>
          </w:tcPr>
          <w:p w:rsidR="00F75836" w:rsidRPr="0020088D" w:rsidRDefault="00F75836" w:rsidP="003E75CC">
            <w:pPr>
              <w:jc w:val="center"/>
              <w:rPr>
                <w:b/>
                <w:sz w:val="16"/>
                <w:szCs w:val="16"/>
                <w:lang w:val="bg-BG"/>
              </w:rPr>
            </w:pPr>
          </w:p>
        </w:tc>
        <w:tc>
          <w:tcPr>
            <w:tcW w:w="744" w:type="pct"/>
          </w:tcPr>
          <w:p w:rsidR="00F75836" w:rsidRPr="0020088D" w:rsidRDefault="00F75836" w:rsidP="003E75CC">
            <w:pPr>
              <w:jc w:val="center"/>
              <w:rPr>
                <w:b/>
                <w:sz w:val="16"/>
                <w:szCs w:val="16"/>
                <w:lang w:val="bg-BG"/>
              </w:rPr>
            </w:pPr>
          </w:p>
        </w:tc>
        <w:tc>
          <w:tcPr>
            <w:tcW w:w="778" w:type="pct"/>
          </w:tcPr>
          <w:p w:rsidR="00F75836" w:rsidRPr="0020088D" w:rsidRDefault="00F75836" w:rsidP="003E75CC">
            <w:pPr>
              <w:jc w:val="center"/>
              <w:rPr>
                <w:b/>
                <w:sz w:val="16"/>
                <w:szCs w:val="16"/>
                <w:lang w:val="bg-BG"/>
              </w:rPr>
            </w:pPr>
          </w:p>
        </w:tc>
        <w:tc>
          <w:tcPr>
            <w:tcW w:w="847" w:type="pct"/>
          </w:tcPr>
          <w:p w:rsidR="00F75836" w:rsidRPr="0020088D" w:rsidRDefault="00F75836" w:rsidP="003E75CC">
            <w:pPr>
              <w:jc w:val="center"/>
              <w:rPr>
                <w:b/>
                <w:sz w:val="16"/>
                <w:szCs w:val="16"/>
                <w:lang w:val="bg-BG"/>
              </w:rPr>
            </w:pPr>
          </w:p>
        </w:tc>
        <w:tc>
          <w:tcPr>
            <w:tcW w:w="793" w:type="pct"/>
          </w:tcPr>
          <w:p w:rsidR="00F75836" w:rsidRPr="0020088D" w:rsidRDefault="00F75836" w:rsidP="003E75CC">
            <w:pPr>
              <w:jc w:val="center"/>
              <w:rPr>
                <w:b/>
                <w:sz w:val="16"/>
                <w:szCs w:val="16"/>
                <w:lang w:val="bg-BG"/>
              </w:rPr>
            </w:pPr>
          </w:p>
        </w:tc>
        <w:tc>
          <w:tcPr>
            <w:tcW w:w="667" w:type="pct"/>
          </w:tcPr>
          <w:p w:rsidR="00F75836" w:rsidRPr="0020088D" w:rsidRDefault="00F75836" w:rsidP="003E75CC">
            <w:pPr>
              <w:jc w:val="center"/>
              <w:rPr>
                <w:b/>
                <w:sz w:val="16"/>
                <w:szCs w:val="16"/>
                <w:lang w:val="bg-BG"/>
              </w:rPr>
            </w:pPr>
          </w:p>
        </w:tc>
      </w:tr>
      <w:tr w:rsidR="0012216D" w:rsidRPr="0020088D" w:rsidTr="00F927B7">
        <w:trPr>
          <w:trHeight w:val="363"/>
          <w:jc w:val="center"/>
        </w:trPr>
        <w:tc>
          <w:tcPr>
            <w:tcW w:w="1170" w:type="pct"/>
          </w:tcPr>
          <w:p w:rsidR="00F75836" w:rsidRPr="0020088D" w:rsidRDefault="00F75836" w:rsidP="003E75CC">
            <w:pPr>
              <w:jc w:val="center"/>
              <w:rPr>
                <w:b/>
                <w:sz w:val="16"/>
                <w:szCs w:val="16"/>
                <w:lang w:val="bg-BG"/>
              </w:rPr>
            </w:pPr>
          </w:p>
        </w:tc>
        <w:tc>
          <w:tcPr>
            <w:tcW w:w="744" w:type="pct"/>
          </w:tcPr>
          <w:p w:rsidR="00F75836" w:rsidRPr="0020088D" w:rsidRDefault="00F75836" w:rsidP="003E75CC">
            <w:pPr>
              <w:jc w:val="center"/>
              <w:rPr>
                <w:b/>
                <w:sz w:val="16"/>
                <w:szCs w:val="16"/>
                <w:lang w:val="bg-BG"/>
              </w:rPr>
            </w:pPr>
          </w:p>
        </w:tc>
        <w:tc>
          <w:tcPr>
            <w:tcW w:w="778" w:type="pct"/>
          </w:tcPr>
          <w:p w:rsidR="00F75836" w:rsidRPr="0020088D" w:rsidRDefault="00F75836" w:rsidP="003E75CC">
            <w:pPr>
              <w:jc w:val="center"/>
              <w:rPr>
                <w:b/>
                <w:sz w:val="16"/>
                <w:szCs w:val="16"/>
                <w:lang w:val="bg-BG"/>
              </w:rPr>
            </w:pPr>
          </w:p>
        </w:tc>
        <w:tc>
          <w:tcPr>
            <w:tcW w:w="847" w:type="pct"/>
          </w:tcPr>
          <w:p w:rsidR="00F75836" w:rsidRPr="0020088D" w:rsidRDefault="00F75836" w:rsidP="003E75CC">
            <w:pPr>
              <w:jc w:val="center"/>
              <w:rPr>
                <w:b/>
                <w:sz w:val="16"/>
                <w:szCs w:val="16"/>
                <w:lang w:val="bg-BG"/>
              </w:rPr>
            </w:pPr>
          </w:p>
        </w:tc>
        <w:tc>
          <w:tcPr>
            <w:tcW w:w="793" w:type="pct"/>
          </w:tcPr>
          <w:p w:rsidR="00F75836" w:rsidRPr="0020088D" w:rsidRDefault="00F75836" w:rsidP="003E75CC">
            <w:pPr>
              <w:jc w:val="center"/>
              <w:rPr>
                <w:b/>
                <w:sz w:val="16"/>
                <w:szCs w:val="16"/>
                <w:lang w:val="bg-BG"/>
              </w:rPr>
            </w:pPr>
          </w:p>
        </w:tc>
        <w:tc>
          <w:tcPr>
            <w:tcW w:w="667" w:type="pct"/>
          </w:tcPr>
          <w:p w:rsidR="00F75836" w:rsidRPr="0020088D" w:rsidRDefault="00F75836" w:rsidP="003E75CC">
            <w:pPr>
              <w:jc w:val="center"/>
              <w:rPr>
                <w:b/>
                <w:sz w:val="16"/>
                <w:szCs w:val="16"/>
                <w:lang w:val="bg-BG"/>
              </w:rPr>
            </w:pPr>
          </w:p>
        </w:tc>
      </w:tr>
    </w:tbl>
    <w:p w:rsidR="00B73F1B" w:rsidRPr="0020088D" w:rsidRDefault="00B73F1B" w:rsidP="0019106C">
      <w:pPr>
        <w:pStyle w:val="Heading1"/>
        <w:spacing w:before="360" w:after="360"/>
        <w:rPr>
          <w:lang w:val="bg-BG"/>
        </w:rPr>
        <w:sectPr w:rsidR="00B73F1B" w:rsidRPr="0020088D" w:rsidSect="0012216D">
          <w:pgSz w:w="16838" w:h="11906" w:orient="landscape"/>
          <w:pgMar w:top="1440" w:right="1440" w:bottom="1440" w:left="1440" w:header="709" w:footer="709" w:gutter="0"/>
          <w:cols w:space="708"/>
          <w:docGrid w:linePitch="360"/>
        </w:sectPr>
      </w:pPr>
    </w:p>
    <w:p w:rsidR="004A7071" w:rsidRPr="0020088D" w:rsidRDefault="000C4806" w:rsidP="0019106C">
      <w:pPr>
        <w:pStyle w:val="Heading1"/>
        <w:spacing w:before="360" w:after="360"/>
        <w:rPr>
          <w:lang w:val="bg-BG"/>
        </w:rPr>
      </w:pPr>
      <w:bookmarkStart w:id="4" w:name="_Toc521484061"/>
      <w:r w:rsidRPr="0020088D">
        <w:rPr>
          <w:lang w:val="bg-BG"/>
        </w:rPr>
        <w:lastRenderedPageBreak/>
        <w:t>Таблица</w:t>
      </w:r>
      <w:r w:rsidR="007A14DB" w:rsidRPr="0020088D">
        <w:rPr>
          <w:lang w:val="bg-BG"/>
        </w:rPr>
        <w:t xml:space="preserve"> 4: </w:t>
      </w:r>
      <w:r w:rsidR="004311A7" w:rsidRPr="0020088D">
        <w:rPr>
          <w:lang w:val="bg-BG"/>
        </w:rPr>
        <w:t xml:space="preserve">ИНДИВИДУАЛНИ ГОЛЕМИ  ДЪРЖАВНИ </w:t>
      </w:r>
      <w:r w:rsidR="00C00D52" w:rsidRPr="0020088D">
        <w:rPr>
          <w:lang w:val="bg-BG"/>
        </w:rPr>
        <w:t>предприятия</w:t>
      </w:r>
      <w:bookmarkEnd w:id="4"/>
      <w:r w:rsidR="008137D0" w:rsidRPr="0020088D">
        <w:rPr>
          <w:lang w:val="bg-BG"/>
        </w:rPr>
        <w:t xml:space="preserve"> </w:t>
      </w:r>
    </w:p>
    <w:p w:rsidR="003D0231" w:rsidRPr="0020088D" w:rsidRDefault="004311A7" w:rsidP="0012216D">
      <w:pPr>
        <w:pStyle w:val="BodyText"/>
        <w:ind w:left="-993" w:right="-926"/>
        <w:rPr>
          <w:lang w:val="bg-BG"/>
        </w:rPr>
      </w:pPr>
      <w:r w:rsidRPr="0020088D">
        <w:rPr>
          <w:lang w:val="bg-BG"/>
        </w:rPr>
        <w:t xml:space="preserve">При попълване на долната </w:t>
      </w:r>
      <w:r w:rsidR="000C4806" w:rsidRPr="0020088D">
        <w:rPr>
          <w:lang w:val="bg-BG"/>
        </w:rPr>
        <w:t>Таблица</w:t>
      </w:r>
      <w:r w:rsidRPr="0020088D">
        <w:rPr>
          <w:lang w:val="bg-BG"/>
        </w:rPr>
        <w:t xml:space="preserve"> от</w:t>
      </w:r>
      <w:r w:rsidR="0001776E" w:rsidRPr="0020088D">
        <w:rPr>
          <w:lang w:val="bg-BG"/>
        </w:rPr>
        <w:t xml:space="preserve"> </w:t>
      </w:r>
      <w:r w:rsidR="00DB4E8D" w:rsidRPr="0020088D">
        <w:rPr>
          <w:lang w:val="bg-BG"/>
        </w:rPr>
        <w:t>респондентите</w:t>
      </w:r>
      <w:r w:rsidR="00161A5C" w:rsidRPr="0020088D">
        <w:rPr>
          <w:lang w:val="bg-BG"/>
        </w:rPr>
        <w:t xml:space="preserve"> </w:t>
      </w:r>
      <w:r w:rsidRPr="0020088D">
        <w:rPr>
          <w:lang w:val="bg-BG"/>
        </w:rPr>
        <w:t xml:space="preserve">се очаква да включат най-малко </w:t>
      </w:r>
      <w:r w:rsidR="008A055D" w:rsidRPr="0020088D">
        <w:rPr>
          <w:lang w:val="bg-BG"/>
        </w:rPr>
        <w:t>5</w:t>
      </w:r>
      <w:r w:rsidRPr="0020088D">
        <w:rPr>
          <w:lang w:val="bg-BG"/>
        </w:rPr>
        <w:t xml:space="preserve">-те най-големи ДП за държавата по стойност, както и допълнителни </w:t>
      </w:r>
      <w:r w:rsidR="008A055D" w:rsidRPr="0020088D">
        <w:rPr>
          <w:lang w:val="bg-BG"/>
        </w:rPr>
        <w:t xml:space="preserve"> </w:t>
      </w:r>
      <w:r w:rsidRPr="0020088D">
        <w:rPr>
          <w:lang w:val="bg-BG"/>
        </w:rPr>
        <w:t>ДП, които отговарят на един от следните критерии</w:t>
      </w:r>
      <w:r w:rsidR="004A7071" w:rsidRPr="0020088D">
        <w:rPr>
          <w:lang w:val="bg-BG"/>
        </w:rPr>
        <w:t xml:space="preserve">: (1) </w:t>
      </w:r>
      <w:r w:rsidRPr="0020088D">
        <w:rPr>
          <w:lang w:val="bg-BG"/>
        </w:rPr>
        <w:t xml:space="preserve">имат пазарна капитализация  или прогнозна стойност  от над </w:t>
      </w:r>
      <w:r w:rsidR="004A7071" w:rsidRPr="0020088D">
        <w:rPr>
          <w:lang w:val="bg-BG"/>
        </w:rPr>
        <w:t xml:space="preserve">USD 100 </w:t>
      </w:r>
      <w:r w:rsidRPr="0020088D">
        <w:rPr>
          <w:lang w:val="bg-BG"/>
        </w:rPr>
        <w:t>милиона</w:t>
      </w:r>
      <w:r w:rsidR="004A7071" w:rsidRPr="0020088D">
        <w:rPr>
          <w:lang w:val="bg-BG"/>
        </w:rPr>
        <w:t xml:space="preserve">; (2) </w:t>
      </w:r>
      <w:r w:rsidRPr="0020088D">
        <w:rPr>
          <w:lang w:val="bg-BG"/>
        </w:rPr>
        <w:t xml:space="preserve">имат годишни приходи  над </w:t>
      </w:r>
      <w:r w:rsidR="004A7071" w:rsidRPr="0020088D">
        <w:rPr>
          <w:lang w:val="bg-BG"/>
        </w:rPr>
        <w:t xml:space="preserve">USD 100 </w:t>
      </w:r>
      <w:r w:rsidRPr="0020088D">
        <w:rPr>
          <w:lang w:val="bg-BG"/>
        </w:rPr>
        <w:t>милиона</w:t>
      </w:r>
      <w:r w:rsidR="004A7071" w:rsidRPr="0020088D">
        <w:rPr>
          <w:lang w:val="bg-BG"/>
        </w:rPr>
        <w:t xml:space="preserve">; (3) </w:t>
      </w:r>
      <w:r w:rsidRPr="0020088D">
        <w:rPr>
          <w:lang w:val="bg-BG"/>
        </w:rPr>
        <w:t>имат над 500 служители</w:t>
      </w:r>
      <w:r w:rsidR="004A7071" w:rsidRPr="0020088D">
        <w:rPr>
          <w:lang w:val="bg-BG"/>
        </w:rPr>
        <w:t>. (</w:t>
      </w:r>
      <w:r w:rsidRPr="0020088D">
        <w:rPr>
          <w:lang w:val="bg-BG"/>
        </w:rPr>
        <w:t xml:space="preserve">В случай че </w:t>
      </w:r>
      <w:r w:rsidR="00DB4E8D" w:rsidRPr="0020088D">
        <w:rPr>
          <w:lang w:val="bg-BG"/>
        </w:rPr>
        <w:t>респондентите</w:t>
      </w:r>
      <w:r w:rsidR="004A7071" w:rsidRPr="0020088D">
        <w:rPr>
          <w:lang w:val="bg-BG"/>
        </w:rPr>
        <w:t xml:space="preserve"> </w:t>
      </w:r>
      <w:r w:rsidRPr="0020088D">
        <w:rPr>
          <w:lang w:val="bg-BG"/>
        </w:rPr>
        <w:t xml:space="preserve">е трябвало да се отклонят от тази дефиниция, най-любезно ги молим да </w:t>
      </w:r>
      <w:r w:rsidR="00160B0F" w:rsidRPr="0020088D">
        <w:rPr>
          <w:lang w:val="bg-BG"/>
        </w:rPr>
        <w:t>обяснят</w:t>
      </w:r>
      <w:r w:rsidRPr="0020088D">
        <w:rPr>
          <w:lang w:val="bg-BG"/>
        </w:rPr>
        <w:t xml:space="preserve"> на </w:t>
      </w:r>
      <w:r w:rsidR="00DB4E8D" w:rsidRPr="0020088D">
        <w:rPr>
          <w:lang w:val="bg-BG"/>
        </w:rPr>
        <w:t>Секретариата</w:t>
      </w:r>
      <w:r w:rsidR="00FD65CA" w:rsidRPr="0020088D">
        <w:rPr>
          <w:lang w:val="bg-BG"/>
        </w:rPr>
        <w:t xml:space="preserve"> причината за това и да опишат</w:t>
      </w:r>
      <w:r w:rsidRPr="0020088D">
        <w:rPr>
          <w:lang w:val="bg-BG"/>
        </w:rPr>
        <w:t xml:space="preserve"> алтернативните дефиниции, които са използвали</w:t>
      </w:r>
      <w:r w:rsidR="004A7071" w:rsidRPr="0020088D">
        <w:rPr>
          <w:lang w:val="bg-BG"/>
        </w:rPr>
        <w:t>.)</w:t>
      </w:r>
      <w:r w:rsidR="00161A5C" w:rsidRPr="0020088D">
        <w:rPr>
          <w:lang w:val="bg-BG"/>
        </w:rPr>
        <w:t xml:space="preserve">  </w:t>
      </w:r>
      <w:r w:rsidR="004A7071" w:rsidRPr="0020088D">
        <w:rPr>
          <w:lang w:val="bg-BG"/>
        </w:rPr>
        <w:t xml:space="preserve"> </w:t>
      </w:r>
      <w:r w:rsidR="007A14DB" w:rsidRPr="0020088D">
        <w:rPr>
          <w:lang w:val="bg-BG"/>
        </w:rPr>
        <w:t xml:space="preserve"> </w:t>
      </w:r>
    </w:p>
    <w:p w:rsidR="00B73F1B" w:rsidRPr="0020088D" w:rsidRDefault="00D2034F" w:rsidP="00160B0F">
      <w:pPr>
        <w:pStyle w:val="BodyText"/>
        <w:ind w:left="-993" w:right="-926"/>
        <w:rPr>
          <w:lang w:val="bg-BG"/>
        </w:rPr>
      </w:pPr>
      <w:r w:rsidRPr="0020088D">
        <w:rPr>
          <w:lang w:val="bg-BG"/>
        </w:rPr>
        <w:t>Освен това от р</w:t>
      </w:r>
      <w:r w:rsidR="00DB4E8D" w:rsidRPr="0020088D">
        <w:rPr>
          <w:lang w:val="bg-BG"/>
        </w:rPr>
        <w:t>еспондентите</w:t>
      </w:r>
      <w:r w:rsidR="004A7071" w:rsidRPr="0020088D">
        <w:rPr>
          <w:lang w:val="bg-BG"/>
        </w:rPr>
        <w:t xml:space="preserve"> </w:t>
      </w:r>
      <w:r w:rsidRPr="0020088D">
        <w:rPr>
          <w:lang w:val="bg-BG"/>
        </w:rPr>
        <w:t xml:space="preserve">се очаква да  предоставят допълнителна </w:t>
      </w:r>
      <w:r w:rsidR="006420A2" w:rsidRPr="0020088D">
        <w:rPr>
          <w:lang w:val="bg-BG"/>
        </w:rPr>
        <w:t>информация</w:t>
      </w:r>
      <w:r w:rsidR="004A7071" w:rsidRPr="0020088D">
        <w:rPr>
          <w:lang w:val="bg-BG"/>
        </w:rPr>
        <w:t xml:space="preserve"> </w:t>
      </w:r>
      <w:r w:rsidRPr="0020088D">
        <w:rPr>
          <w:lang w:val="bg-BG"/>
        </w:rPr>
        <w:t xml:space="preserve"> относно дружества, които не  отговарят на нито едно от горните  критерии, но  спрямо които  държавни органи  упражняват  значителна степен на влияние въпреки това. </w:t>
      </w:r>
      <w:r w:rsidR="00104885" w:rsidRPr="0020088D">
        <w:rPr>
          <w:lang w:val="bg-BG"/>
        </w:rPr>
        <w:t>Това би могло да включва дружества с големи инвестиции</w:t>
      </w:r>
      <w:r w:rsidR="00467813" w:rsidRPr="0020088D">
        <w:rPr>
          <w:lang w:val="bg-BG"/>
        </w:rPr>
        <w:t xml:space="preserve"> от държавни пенсионни фондове</w:t>
      </w:r>
      <w:r w:rsidR="00FD65CA" w:rsidRPr="0020088D">
        <w:rPr>
          <w:lang w:val="bg-BG"/>
        </w:rPr>
        <w:t xml:space="preserve"> или други повлияни</w:t>
      </w:r>
      <w:r w:rsidR="00104885" w:rsidRPr="0020088D">
        <w:rPr>
          <w:lang w:val="bg-BG"/>
        </w:rPr>
        <w:t xml:space="preserve"> от държавата инвестиционни </w:t>
      </w:r>
      <w:r w:rsidR="00160B0F" w:rsidRPr="0020088D">
        <w:rPr>
          <w:lang w:val="bg-BG"/>
        </w:rPr>
        <w:t>схеми</w:t>
      </w:r>
      <w:r w:rsidR="004A7071" w:rsidRPr="0020088D">
        <w:rPr>
          <w:lang w:val="bg-BG"/>
        </w:rPr>
        <w:t xml:space="preserve">. </w:t>
      </w:r>
      <w:r w:rsidR="00192657" w:rsidRPr="0020088D">
        <w:rPr>
          <w:lang w:val="bg-BG"/>
        </w:rPr>
        <w:t xml:space="preserve">Може да включва и дружества, в които правителството упражнява влияние, което далеч надхвърля притежаваните от него акции с право на глас, например, поради златни акции или разпоредби в устава на  дружествата. </w:t>
      </w:r>
      <w:r w:rsidR="00160B0F" w:rsidRPr="0020088D">
        <w:rPr>
          <w:lang w:val="bg-BG"/>
        </w:rPr>
        <w:t>Моля добавете нови редове, ако е необходимо.</w:t>
      </w:r>
    </w:p>
    <w:tbl>
      <w:tblPr>
        <w:tblW w:w="565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21"/>
        <w:gridCol w:w="1404"/>
        <w:gridCol w:w="1634"/>
        <w:gridCol w:w="1109"/>
        <w:gridCol w:w="1493"/>
        <w:gridCol w:w="1974"/>
        <w:gridCol w:w="3374"/>
      </w:tblGrid>
      <w:tr w:rsidR="00FD65CA" w:rsidRPr="0020088D" w:rsidTr="00FD65CA">
        <w:trPr>
          <w:cantSplit/>
          <w:trHeight w:val="363"/>
        </w:trPr>
        <w:tc>
          <w:tcPr>
            <w:tcW w:w="1096" w:type="pct"/>
            <w:vAlign w:val="center"/>
            <w:hideMark/>
          </w:tcPr>
          <w:p w:rsidR="003D0231" w:rsidRPr="0020088D" w:rsidRDefault="00192657" w:rsidP="00467813">
            <w:pPr>
              <w:jc w:val="center"/>
              <w:rPr>
                <w:b/>
                <w:bCs/>
                <w:color w:val="000000"/>
                <w:sz w:val="18"/>
                <w:szCs w:val="18"/>
                <w:lang w:val="bg-BG" w:eastAsia="lt-LT"/>
              </w:rPr>
            </w:pPr>
            <w:r w:rsidRPr="0020088D">
              <w:rPr>
                <w:b/>
                <w:bCs/>
                <w:color w:val="000000"/>
                <w:sz w:val="18"/>
                <w:szCs w:val="18"/>
                <w:lang w:val="bg-BG" w:eastAsia="lt-LT"/>
              </w:rPr>
              <w:t xml:space="preserve">Наименование на ДП и неговите дъщерни дружества (ако е възможно, моля да включите линк към уебсайт) </w:t>
            </w:r>
          </w:p>
        </w:tc>
        <w:tc>
          <w:tcPr>
            <w:tcW w:w="475" w:type="pct"/>
            <w:vAlign w:val="center"/>
            <w:hideMark/>
          </w:tcPr>
          <w:p w:rsidR="003D0231" w:rsidRPr="0020088D" w:rsidRDefault="00467813" w:rsidP="00467813">
            <w:pPr>
              <w:jc w:val="center"/>
              <w:rPr>
                <w:b/>
                <w:bCs/>
                <w:color w:val="000000"/>
                <w:sz w:val="18"/>
                <w:szCs w:val="18"/>
                <w:lang w:val="bg-BG" w:eastAsia="lt-LT"/>
              </w:rPr>
            </w:pPr>
            <w:r w:rsidRPr="0020088D">
              <w:rPr>
                <w:b/>
                <w:bCs/>
                <w:color w:val="000000"/>
                <w:sz w:val="18"/>
                <w:szCs w:val="18"/>
                <w:lang w:val="bg-BG" w:eastAsia="lt-LT"/>
              </w:rPr>
              <w:t>Основен сектор на дейност</w:t>
            </w:r>
            <w:r w:rsidR="004A7071" w:rsidRPr="0020088D">
              <w:rPr>
                <w:rStyle w:val="FootnoteReference"/>
                <w:b/>
                <w:bCs/>
                <w:color w:val="000000"/>
                <w:sz w:val="18"/>
                <w:szCs w:val="18"/>
                <w:lang w:val="bg-BG" w:eastAsia="lt-LT"/>
              </w:rPr>
              <w:footnoteReference w:id="9"/>
            </w:r>
          </w:p>
        </w:tc>
        <w:tc>
          <w:tcPr>
            <w:tcW w:w="438" w:type="pct"/>
            <w:vAlign w:val="center"/>
            <w:hideMark/>
          </w:tcPr>
          <w:p w:rsidR="003D0231" w:rsidRPr="0020088D" w:rsidRDefault="00467813" w:rsidP="00467813">
            <w:pPr>
              <w:jc w:val="center"/>
              <w:rPr>
                <w:b/>
                <w:bCs/>
                <w:color w:val="000000"/>
                <w:sz w:val="18"/>
                <w:szCs w:val="18"/>
                <w:lang w:val="bg-BG" w:eastAsia="lt-LT"/>
              </w:rPr>
            </w:pPr>
            <w:r w:rsidRPr="0020088D">
              <w:rPr>
                <w:b/>
                <w:bCs/>
                <w:color w:val="000000"/>
                <w:sz w:val="18"/>
                <w:szCs w:val="18"/>
                <w:lang w:val="bg-BG" w:eastAsia="lt-LT"/>
              </w:rPr>
              <w:t xml:space="preserve">Корпоративна форма </w:t>
            </w:r>
            <w:r w:rsidR="003E75CC" w:rsidRPr="0020088D">
              <w:rPr>
                <w:b/>
                <w:bCs/>
                <w:color w:val="000000"/>
                <w:sz w:val="18"/>
                <w:szCs w:val="18"/>
                <w:lang w:val="bg-BG" w:eastAsia="lt-LT"/>
              </w:rPr>
              <w:t>(</w:t>
            </w:r>
            <w:r w:rsidRPr="0020088D">
              <w:rPr>
                <w:b/>
                <w:bCs/>
                <w:color w:val="000000"/>
                <w:sz w:val="18"/>
                <w:szCs w:val="18"/>
                <w:lang w:val="bg-BG" w:eastAsia="lt-LT"/>
              </w:rPr>
              <w:t>напр. листвано на борсата дружество,  нелиствано на борсата акционерно дружество, дружество, създадено със закон, друго</w:t>
            </w:r>
            <w:r w:rsidR="003E75CC" w:rsidRPr="0020088D">
              <w:rPr>
                <w:b/>
                <w:bCs/>
                <w:color w:val="000000"/>
                <w:sz w:val="18"/>
                <w:szCs w:val="18"/>
                <w:lang w:val="bg-BG" w:eastAsia="lt-LT"/>
              </w:rPr>
              <w:t>)</w:t>
            </w:r>
          </w:p>
        </w:tc>
        <w:tc>
          <w:tcPr>
            <w:tcW w:w="856" w:type="pct"/>
            <w:gridSpan w:val="2"/>
            <w:tcBorders>
              <w:bottom w:val="single" w:sz="4" w:space="0" w:color="auto"/>
            </w:tcBorders>
            <w:vAlign w:val="center"/>
            <w:hideMark/>
          </w:tcPr>
          <w:p w:rsidR="003D0231" w:rsidRPr="0020088D" w:rsidRDefault="000D6E0C" w:rsidP="000D6E0C">
            <w:pPr>
              <w:jc w:val="center"/>
              <w:rPr>
                <w:b/>
                <w:bCs/>
                <w:color w:val="000000"/>
                <w:sz w:val="18"/>
                <w:szCs w:val="18"/>
                <w:lang w:val="bg-BG" w:eastAsia="lt-LT"/>
              </w:rPr>
            </w:pPr>
            <w:r w:rsidRPr="0020088D">
              <w:rPr>
                <w:b/>
                <w:bCs/>
                <w:color w:val="000000"/>
                <w:sz w:val="18"/>
                <w:szCs w:val="18"/>
                <w:lang w:val="bg-BG" w:eastAsia="lt-LT"/>
              </w:rPr>
              <w:t>Размер на предприятието</w:t>
            </w:r>
          </w:p>
        </w:tc>
        <w:tc>
          <w:tcPr>
            <w:tcW w:w="466" w:type="pct"/>
            <w:vAlign w:val="center"/>
            <w:hideMark/>
          </w:tcPr>
          <w:p w:rsidR="003D0231" w:rsidRPr="0020088D" w:rsidRDefault="000D6E0C" w:rsidP="000D6E0C">
            <w:pPr>
              <w:jc w:val="center"/>
              <w:rPr>
                <w:b/>
                <w:bCs/>
                <w:color w:val="000000"/>
                <w:sz w:val="18"/>
                <w:szCs w:val="18"/>
                <w:lang w:val="bg-BG" w:eastAsia="lt-LT"/>
              </w:rPr>
            </w:pPr>
            <w:r w:rsidRPr="0020088D">
              <w:rPr>
                <w:b/>
                <w:bCs/>
                <w:color w:val="000000"/>
                <w:sz w:val="18"/>
                <w:szCs w:val="18"/>
                <w:lang w:val="bg-BG" w:eastAsia="lt-LT"/>
              </w:rPr>
              <w:t>Дял на предприятието, притежаван от държавата</w:t>
            </w:r>
            <w:r w:rsidR="004A7071" w:rsidRPr="0020088D">
              <w:rPr>
                <w:rStyle w:val="FootnoteReference"/>
                <w:b/>
                <w:bCs/>
                <w:color w:val="000000"/>
                <w:sz w:val="18"/>
                <w:szCs w:val="18"/>
                <w:lang w:val="bg-BG" w:eastAsia="lt-LT"/>
              </w:rPr>
              <w:footnoteReference w:id="10"/>
            </w:r>
          </w:p>
        </w:tc>
        <w:tc>
          <w:tcPr>
            <w:tcW w:w="616" w:type="pct"/>
            <w:vAlign w:val="center"/>
            <w:hideMark/>
          </w:tcPr>
          <w:p w:rsidR="003D0231" w:rsidRPr="0020088D" w:rsidRDefault="000D6E0C" w:rsidP="00E60DB5">
            <w:pPr>
              <w:jc w:val="center"/>
              <w:rPr>
                <w:b/>
                <w:bCs/>
                <w:color w:val="000000"/>
                <w:sz w:val="18"/>
                <w:szCs w:val="18"/>
                <w:lang w:val="bg-BG" w:eastAsia="lt-LT"/>
              </w:rPr>
            </w:pPr>
            <w:r w:rsidRPr="0020088D">
              <w:rPr>
                <w:b/>
                <w:bCs/>
                <w:color w:val="000000"/>
                <w:sz w:val="18"/>
                <w:szCs w:val="18"/>
                <w:lang w:val="bg-BG" w:eastAsia="lt-LT"/>
              </w:rPr>
              <w:t>Име и характер на държавен орган/органи, притежаващо/и  и упражняващ/и  функцията на собст</w:t>
            </w:r>
            <w:r w:rsidR="00E60DB5" w:rsidRPr="0020088D">
              <w:rPr>
                <w:b/>
                <w:bCs/>
                <w:color w:val="000000"/>
                <w:sz w:val="18"/>
                <w:szCs w:val="18"/>
                <w:lang w:val="bg-BG" w:eastAsia="lt-LT"/>
              </w:rPr>
              <w:t>веност</w:t>
            </w:r>
          </w:p>
        </w:tc>
        <w:tc>
          <w:tcPr>
            <w:tcW w:w="1053" w:type="pct"/>
            <w:vAlign w:val="center"/>
            <w:hideMark/>
          </w:tcPr>
          <w:p w:rsidR="003D0231" w:rsidRPr="0020088D" w:rsidRDefault="00192657" w:rsidP="00E60DB5">
            <w:pPr>
              <w:jc w:val="center"/>
              <w:rPr>
                <w:b/>
                <w:bCs/>
                <w:color w:val="000000"/>
                <w:sz w:val="18"/>
                <w:szCs w:val="18"/>
                <w:lang w:val="bg-BG" w:eastAsia="lt-LT"/>
              </w:rPr>
            </w:pPr>
            <w:r w:rsidRPr="0020088D">
              <w:rPr>
                <w:b/>
                <w:bCs/>
                <w:color w:val="000000"/>
                <w:sz w:val="18"/>
                <w:szCs w:val="18"/>
                <w:lang w:val="bg-BG" w:eastAsia="lt-LT"/>
              </w:rPr>
              <w:t>Промени през последните пет години в структурата на собствеността и контрола (промяна в дела на държавното участие; промяна в корпоративната структура;  преразпределяне на собствеността/контрола в рамките на сектор „Държавно управление”)</w:t>
            </w:r>
          </w:p>
        </w:tc>
      </w:tr>
      <w:tr w:rsidR="00181E99" w:rsidRPr="0020088D" w:rsidTr="00FD65CA">
        <w:trPr>
          <w:cantSplit/>
          <w:trHeight w:val="284"/>
        </w:trPr>
        <w:tc>
          <w:tcPr>
            <w:tcW w:w="1096" w:type="pct"/>
            <w:vMerge w:val="restart"/>
            <w:vAlign w:val="center"/>
          </w:tcPr>
          <w:p w:rsidR="00B438EE" w:rsidRPr="0020088D" w:rsidRDefault="00B438EE" w:rsidP="00C34EE7">
            <w:pPr>
              <w:jc w:val="left"/>
              <w:rPr>
                <w:b/>
                <w:bCs/>
                <w:color w:val="000000"/>
                <w:sz w:val="18"/>
                <w:szCs w:val="18"/>
                <w:lang w:val="bg-BG" w:eastAsia="lt-LT"/>
              </w:rPr>
            </w:pPr>
          </w:p>
        </w:tc>
        <w:tc>
          <w:tcPr>
            <w:tcW w:w="475" w:type="pct"/>
            <w:vMerge w:val="restart"/>
            <w:vAlign w:val="center"/>
          </w:tcPr>
          <w:p w:rsidR="00B438EE" w:rsidRPr="0020088D" w:rsidRDefault="00B438EE" w:rsidP="00C34EE7">
            <w:pPr>
              <w:rPr>
                <w:b/>
                <w:bCs/>
                <w:color w:val="000000"/>
                <w:sz w:val="18"/>
                <w:szCs w:val="18"/>
                <w:lang w:val="bg-BG" w:eastAsia="lt-LT"/>
              </w:rPr>
            </w:pPr>
          </w:p>
        </w:tc>
        <w:tc>
          <w:tcPr>
            <w:tcW w:w="438" w:type="pct"/>
            <w:vMerge w:val="restart"/>
            <w:vAlign w:val="center"/>
          </w:tcPr>
          <w:p w:rsidR="00B438EE" w:rsidRPr="0020088D" w:rsidRDefault="00B438EE" w:rsidP="00C34EE7">
            <w:pPr>
              <w:rPr>
                <w:b/>
                <w:bCs/>
                <w:color w:val="000000"/>
                <w:sz w:val="18"/>
                <w:szCs w:val="18"/>
                <w:lang w:val="bg-BG" w:eastAsia="lt-LT"/>
              </w:rPr>
            </w:pPr>
          </w:p>
        </w:tc>
        <w:tc>
          <w:tcPr>
            <w:tcW w:w="510" w:type="pct"/>
            <w:tcBorders>
              <w:bottom w:val="single" w:sz="4" w:space="0" w:color="808080" w:themeColor="background1" w:themeShade="80"/>
              <w:right w:val="single" w:sz="4" w:space="0" w:color="808080" w:themeColor="background1" w:themeShade="80"/>
            </w:tcBorders>
            <w:tcMar>
              <w:left w:w="57" w:type="dxa"/>
              <w:right w:w="57" w:type="dxa"/>
            </w:tcMar>
            <w:vAlign w:val="center"/>
          </w:tcPr>
          <w:p w:rsidR="00B438EE" w:rsidRPr="0020088D" w:rsidRDefault="00181E99" w:rsidP="00181E99">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Стойност на активите</w:t>
            </w:r>
          </w:p>
        </w:tc>
        <w:tc>
          <w:tcPr>
            <w:tcW w:w="346" w:type="pct"/>
            <w:tcBorders>
              <w:left w:val="single" w:sz="4" w:space="0" w:color="808080" w:themeColor="background1" w:themeShade="80"/>
              <w:bottom w:val="single" w:sz="4" w:space="0" w:color="808080" w:themeColor="background1" w:themeShade="80"/>
            </w:tcBorders>
            <w:tcMar>
              <w:left w:w="57" w:type="dxa"/>
              <w:right w:w="57" w:type="dxa"/>
            </w:tcMar>
            <w:vAlign w:val="center"/>
          </w:tcPr>
          <w:p w:rsidR="00B438EE" w:rsidRPr="0020088D" w:rsidRDefault="00B438EE" w:rsidP="00C34EE7">
            <w:pPr>
              <w:jc w:val="left"/>
              <w:rPr>
                <w:b/>
                <w:bCs/>
                <w:color w:val="808080" w:themeColor="background1" w:themeShade="80"/>
                <w:sz w:val="18"/>
                <w:szCs w:val="18"/>
                <w:lang w:val="bg-BG" w:eastAsia="lt-LT"/>
              </w:rPr>
            </w:pPr>
          </w:p>
        </w:tc>
        <w:tc>
          <w:tcPr>
            <w:tcW w:w="466" w:type="pct"/>
            <w:vMerge w:val="restart"/>
            <w:vAlign w:val="center"/>
          </w:tcPr>
          <w:p w:rsidR="00B438EE" w:rsidRPr="0020088D" w:rsidRDefault="00B438EE" w:rsidP="00C34EE7">
            <w:pPr>
              <w:jc w:val="left"/>
              <w:rPr>
                <w:b/>
                <w:bCs/>
                <w:color w:val="000000"/>
                <w:sz w:val="18"/>
                <w:szCs w:val="18"/>
                <w:lang w:val="bg-BG" w:eastAsia="lt-LT"/>
              </w:rPr>
            </w:pPr>
          </w:p>
        </w:tc>
        <w:tc>
          <w:tcPr>
            <w:tcW w:w="616" w:type="pct"/>
            <w:vMerge w:val="restart"/>
            <w:vAlign w:val="center"/>
          </w:tcPr>
          <w:p w:rsidR="00B438EE" w:rsidRPr="0020088D" w:rsidRDefault="00B438EE" w:rsidP="00C34EE7">
            <w:pPr>
              <w:rPr>
                <w:b/>
                <w:bCs/>
                <w:color w:val="000000"/>
                <w:sz w:val="18"/>
                <w:szCs w:val="18"/>
                <w:lang w:val="bg-BG" w:eastAsia="lt-LT"/>
              </w:rPr>
            </w:pPr>
          </w:p>
        </w:tc>
        <w:tc>
          <w:tcPr>
            <w:tcW w:w="1053" w:type="pct"/>
            <w:vMerge w:val="restart"/>
            <w:vAlign w:val="center"/>
          </w:tcPr>
          <w:p w:rsidR="00B438EE" w:rsidRPr="0020088D" w:rsidRDefault="00B438EE" w:rsidP="00C34EE7">
            <w:pPr>
              <w:rPr>
                <w:b/>
                <w:bCs/>
                <w:color w:val="000000"/>
                <w:sz w:val="18"/>
                <w:szCs w:val="18"/>
                <w:lang w:val="bg-BG" w:eastAsia="lt-LT"/>
              </w:rPr>
            </w:pPr>
          </w:p>
        </w:tc>
      </w:tr>
      <w:tr w:rsidR="00181E99" w:rsidRPr="0020088D" w:rsidTr="00FD65CA">
        <w:trPr>
          <w:cantSplit/>
          <w:trHeight w:val="284"/>
        </w:trPr>
        <w:tc>
          <w:tcPr>
            <w:tcW w:w="1096" w:type="pct"/>
            <w:vMerge/>
            <w:vAlign w:val="center"/>
          </w:tcPr>
          <w:p w:rsidR="00F927B7" w:rsidRPr="0020088D" w:rsidRDefault="00F927B7" w:rsidP="00C34EE7">
            <w:pPr>
              <w:jc w:val="left"/>
              <w:rPr>
                <w:b/>
                <w:bCs/>
                <w:color w:val="000000"/>
                <w:sz w:val="18"/>
                <w:szCs w:val="18"/>
                <w:lang w:val="bg-BG" w:eastAsia="lt-LT"/>
              </w:rPr>
            </w:pPr>
          </w:p>
        </w:tc>
        <w:tc>
          <w:tcPr>
            <w:tcW w:w="475" w:type="pct"/>
            <w:vMerge/>
            <w:vAlign w:val="center"/>
          </w:tcPr>
          <w:p w:rsidR="00F927B7" w:rsidRPr="0020088D" w:rsidRDefault="00F927B7" w:rsidP="00C34EE7">
            <w:pPr>
              <w:rPr>
                <w:b/>
                <w:bCs/>
                <w:color w:val="000000"/>
                <w:sz w:val="18"/>
                <w:szCs w:val="18"/>
                <w:lang w:val="bg-BG" w:eastAsia="lt-LT"/>
              </w:rPr>
            </w:pPr>
          </w:p>
        </w:tc>
        <w:tc>
          <w:tcPr>
            <w:tcW w:w="438" w:type="pct"/>
            <w:vMerge/>
            <w:vAlign w:val="center"/>
          </w:tcPr>
          <w:p w:rsidR="00F927B7" w:rsidRPr="0020088D" w:rsidRDefault="00F927B7"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tcMar>
              <w:left w:w="57" w:type="dxa"/>
              <w:right w:w="57" w:type="dxa"/>
            </w:tcMar>
            <w:vAlign w:val="center"/>
          </w:tcPr>
          <w:p w:rsidR="00F927B7" w:rsidRPr="0020088D" w:rsidRDefault="00181E99" w:rsidP="00181E99">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Балансова стойност на собствения капитал</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tcMar>
              <w:left w:w="57" w:type="dxa"/>
              <w:right w:w="57" w:type="dxa"/>
            </w:tcMar>
            <w:vAlign w:val="center"/>
          </w:tcPr>
          <w:p w:rsidR="00F927B7" w:rsidRPr="0020088D" w:rsidRDefault="00F927B7" w:rsidP="00C34EE7">
            <w:pPr>
              <w:jc w:val="left"/>
              <w:rPr>
                <w:b/>
                <w:bCs/>
                <w:color w:val="808080" w:themeColor="background1" w:themeShade="80"/>
                <w:sz w:val="18"/>
                <w:szCs w:val="18"/>
                <w:lang w:val="bg-BG" w:eastAsia="lt-LT"/>
              </w:rPr>
            </w:pPr>
          </w:p>
        </w:tc>
        <w:tc>
          <w:tcPr>
            <w:tcW w:w="466" w:type="pct"/>
            <w:vMerge/>
            <w:vAlign w:val="center"/>
          </w:tcPr>
          <w:p w:rsidR="00F927B7" w:rsidRPr="0020088D" w:rsidRDefault="00F927B7" w:rsidP="00C34EE7">
            <w:pPr>
              <w:jc w:val="left"/>
              <w:rPr>
                <w:b/>
                <w:bCs/>
                <w:color w:val="000000"/>
                <w:sz w:val="18"/>
                <w:szCs w:val="18"/>
                <w:lang w:val="bg-BG" w:eastAsia="lt-LT"/>
              </w:rPr>
            </w:pPr>
          </w:p>
        </w:tc>
        <w:tc>
          <w:tcPr>
            <w:tcW w:w="616" w:type="pct"/>
            <w:vMerge/>
            <w:vAlign w:val="center"/>
          </w:tcPr>
          <w:p w:rsidR="00F927B7" w:rsidRPr="0020088D" w:rsidRDefault="00F927B7" w:rsidP="00C34EE7">
            <w:pPr>
              <w:rPr>
                <w:b/>
                <w:bCs/>
                <w:color w:val="000000"/>
                <w:sz w:val="18"/>
                <w:szCs w:val="18"/>
                <w:lang w:val="bg-BG" w:eastAsia="lt-LT"/>
              </w:rPr>
            </w:pPr>
          </w:p>
        </w:tc>
        <w:tc>
          <w:tcPr>
            <w:tcW w:w="1053" w:type="pct"/>
            <w:vMerge/>
            <w:vAlign w:val="center"/>
          </w:tcPr>
          <w:p w:rsidR="00F927B7" w:rsidRPr="0020088D" w:rsidRDefault="00F927B7" w:rsidP="00C34EE7">
            <w:pPr>
              <w:rPr>
                <w:b/>
                <w:bCs/>
                <w:color w:val="000000"/>
                <w:sz w:val="18"/>
                <w:szCs w:val="18"/>
                <w:lang w:val="bg-BG" w:eastAsia="lt-LT"/>
              </w:rPr>
            </w:pPr>
          </w:p>
        </w:tc>
      </w:tr>
      <w:tr w:rsidR="00181E99" w:rsidRPr="0020088D" w:rsidTr="00FD65CA">
        <w:trPr>
          <w:cantSplit/>
          <w:trHeight w:val="284"/>
        </w:trPr>
        <w:tc>
          <w:tcPr>
            <w:tcW w:w="1096" w:type="pct"/>
            <w:vMerge/>
            <w:vAlign w:val="center"/>
          </w:tcPr>
          <w:p w:rsidR="00B438EE" w:rsidRPr="0020088D" w:rsidRDefault="00B438EE" w:rsidP="00C34EE7">
            <w:pPr>
              <w:jc w:val="left"/>
              <w:rPr>
                <w:b/>
                <w:bCs/>
                <w:color w:val="000000"/>
                <w:sz w:val="18"/>
                <w:szCs w:val="18"/>
                <w:lang w:val="bg-BG" w:eastAsia="lt-LT"/>
              </w:rPr>
            </w:pPr>
          </w:p>
        </w:tc>
        <w:tc>
          <w:tcPr>
            <w:tcW w:w="475" w:type="pct"/>
            <w:vMerge/>
            <w:vAlign w:val="center"/>
          </w:tcPr>
          <w:p w:rsidR="00B438EE" w:rsidRPr="0020088D" w:rsidRDefault="00B438EE" w:rsidP="00C34EE7">
            <w:pPr>
              <w:rPr>
                <w:b/>
                <w:bCs/>
                <w:color w:val="000000"/>
                <w:sz w:val="18"/>
                <w:szCs w:val="18"/>
                <w:lang w:val="bg-BG" w:eastAsia="lt-LT"/>
              </w:rPr>
            </w:pPr>
          </w:p>
        </w:tc>
        <w:tc>
          <w:tcPr>
            <w:tcW w:w="438" w:type="pct"/>
            <w:vMerge/>
            <w:vAlign w:val="center"/>
          </w:tcPr>
          <w:p w:rsidR="00B438EE" w:rsidRPr="0020088D" w:rsidRDefault="00B438EE"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tcMar>
              <w:left w:w="57" w:type="dxa"/>
              <w:right w:w="57" w:type="dxa"/>
            </w:tcMar>
            <w:vAlign w:val="center"/>
          </w:tcPr>
          <w:p w:rsidR="00B438EE" w:rsidRPr="0020088D" w:rsidRDefault="00181E99" w:rsidP="00181E99">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Пазарна капитализация</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tcMar>
              <w:left w:w="57" w:type="dxa"/>
              <w:right w:w="57" w:type="dxa"/>
            </w:tcMar>
            <w:vAlign w:val="center"/>
          </w:tcPr>
          <w:p w:rsidR="00B438EE" w:rsidRPr="0020088D" w:rsidRDefault="00B438EE" w:rsidP="00C34EE7">
            <w:pPr>
              <w:jc w:val="left"/>
              <w:rPr>
                <w:b/>
                <w:bCs/>
                <w:color w:val="000000"/>
                <w:sz w:val="18"/>
                <w:szCs w:val="18"/>
                <w:lang w:val="bg-BG" w:eastAsia="lt-LT"/>
              </w:rPr>
            </w:pPr>
          </w:p>
        </w:tc>
        <w:tc>
          <w:tcPr>
            <w:tcW w:w="466" w:type="pct"/>
            <w:vMerge/>
            <w:vAlign w:val="center"/>
          </w:tcPr>
          <w:p w:rsidR="00B438EE" w:rsidRPr="0020088D" w:rsidRDefault="00B438EE" w:rsidP="00C34EE7">
            <w:pPr>
              <w:jc w:val="left"/>
              <w:rPr>
                <w:b/>
                <w:bCs/>
                <w:color w:val="000000"/>
                <w:sz w:val="18"/>
                <w:szCs w:val="18"/>
                <w:lang w:val="bg-BG" w:eastAsia="lt-LT"/>
              </w:rPr>
            </w:pPr>
          </w:p>
        </w:tc>
        <w:tc>
          <w:tcPr>
            <w:tcW w:w="616" w:type="pct"/>
            <w:vMerge/>
            <w:vAlign w:val="center"/>
          </w:tcPr>
          <w:p w:rsidR="00B438EE" w:rsidRPr="0020088D" w:rsidRDefault="00B438EE" w:rsidP="00C34EE7">
            <w:pPr>
              <w:rPr>
                <w:b/>
                <w:bCs/>
                <w:color w:val="000000"/>
                <w:sz w:val="18"/>
                <w:szCs w:val="18"/>
                <w:lang w:val="bg-BG" w:eastAsia="lt-LT"/>
              </w:rPr>
            </w:pPr>
          </w:p>
        </w:tc>
        <w:tc>
          <w:tcPr>
            <w:tcW w:w="1053" w:type="pct"/>
            <w:vMerge/>
            <w:vAlign w:val="center"/>
          </w:tcPr>
          <w:p w:rsidR="00B438EE" w:rsidRPr="0020088D" w:rsidRDefault="00B438EE" w:rsidP="00C34EE7">
            <w:pPr>
              <w:rPr>
                <w:b/>
                <w:bCs/>
                <w:color w:val="000000"/>
                <w:sz w:val="18"/>
                <w:szCs w:val="18"/>
                <w:lang w:val="bg-BG" w:eastAsia="lt-LT"/>
              </w:rPr>
            </w:pPr>
          </w:p>
        </w:tc>
      </w:tr>
      <w:tr w:rsidR="00181E99" w:rsidRPr="0020088D" w:rsidTr="00FD65CA">
        <w:trPr>
          <w:cantSplit/>
          <w:trHeight w:val="284"/>
        </w:trPr>
        <w:tc>
          <w:tcPr>
            <w:tcW w:w="1096" w:type="pct"/>
            <w:vMerge/>
            <w:vAlign w:val="center"/>
          </w:tcPr>
          <w:p w:rsidR="00B438EE" w:rsidRPr="0020088D" w:rsidRDefault="00B438EE" w:rsidP="00C34EE7">
            <w:pPr>
              <w:jc w:val="left"/>
              <w:rPr>
                <w:b/>
                <w:bCs/>
                <w:color w:val="000000"/>
                <w:sz w:val="18"/>
                <w:szCs w:val="18"/>
                <w:lang w:val="bg-BG" w:eastAsia="lt-LT"/>
              </w:rPr>
            </w:pPr>
          </w:p>
        </w:tc>
        <w:tc>
          <w:tcPr>
            <w:tcW w:w="475" w:type="pct"/>
            <w:vMerge/>
            <w:vAlign w:val="center"/>
          </w:tcPr>
          <w:p w:rsidR="00B438EE" w:rsidRPr="0020088D" w:rsidRDefault="00B438EE" w:rsidP="00C34EE7">
            <w:pPr>
              <w:rPr>
                <w:b/>
                <w:bCs/>
                <w:color w:val="000000"/>
                <w:sz w:val="18"/>
                <w:szCs w:val="18"/>
                <w:lang w:val="bg-BG" w:eastAsia="lt-LT"/>
              </w:rPr>
            </w:pPr>
          </w:p>
        </w:tc>
        <w:tc>
          <w:tcPr>
            <w:tcW w:w="438" w:type="pct"/>
            <w:vMerge/>
            <w:vAlign w:val="center"/>
          </w:tcPr>
          <w:p w:rsidR="00B438EE" w:rsidRPr="0020088D" w:rsidRDefault="00B438EE"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tcMar>
              <w:left w:w="57" w:type="dxa"/>
              <w:right w:w="57" w:type="dxa"/>
            </w:tcMar>
            <w:vAlign w:val="center"/>
          </w:tcPr>
          <w:p w:rsidR="00B438EE" w:rsidRPr="0020088D" w:rsidRDefault="00181E99" w:rsidP="00181E99">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Годишен оборот</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tcMar>
              <w:left w:w="57" w:type="dxa"/>
              <w:right w:w="57" w:type="dxa"/>
            </w:tcMar>
            <w:vAlign w:val="center"/>
          </w:tcPr>
          <w:p w:rsidR="00B438EE" w:rsidRPr="0020088D" w:rsidRDefault="00B438EE" w:rsidP="00C34EE7">
            <w:pPr>
              <w:jc w:val="left"/>
              <w:rPr>
                <w:b/>
                <w:bCs/>
                <w:color w:val="000000"/>
                <w:sz w:val="18"/>
                <w:szCs w:val="18"/>
                <w:lang w:val="bg-BG" w:eastAsia="lt-LT"/>
              </w:rPr>
            </w:pPr>
          </w:p>
        </w:tc>
        <w:tc>
          <w:tcPr>
            <w:tcW w:w="466" w:type="pct"/>
            <w:vMerge/>
            <w:vAlign w:val="center"/>
          </w:tcPr>
          <w:p w:rsidR="00B438EE" w:rsidRPr="0020088D" w:rsidRDefault="00B438EE" w:rsidP="00C34EE7">
            <w:pPr>
              <w:jc w:val="left"/>
              <w:rPr>
                <w:b/>
                <w:bCs/>
                <w:color w:val="000000"/>
                <w:sz w:val="18"/>
                <w:szCs w:val="18"/>
                <w:lang w:val="bg-BG" w:eastAsia="lt-LT"/>
              </w:rPr>
            </w:pPr>
          </w:p>
        </w:tc>
        <w:tc>
          <w:tcPr>
            <w:tcW w:w="616" w:type="pct"/>
            <w:vMerge/>
            <w:vAlign w:val="center"/>
          </w:tcPr>
          <w:p w:rsidR="00B438EE" w:rsidRPr="0020088D" w:rsidRDefault="00B438EE" w:rsidP="00C34EE7">
            <w:pPr>
              <w:rPr>
                <w:b/>
                <w:bCs/>
                <w:color w:val="000000"/>
                <w:sz w:val="18"/>
                <w:szCs w:val="18"/>
                <w:lang w:val="bg-BG" w:eastAsia="lt-LT"/>
              </w:rPr>
            </w:pPr>
          </w:p>
        </w:tc>
        <w:tc>
          <w:tcPr>
            <w:tcW w:w="1053" w:type="pct"/>
            <w:vMerge/>
            <w:vAlign w:val="center"/>
          </w:tcPr>
          <w:p w:rsidR="00B438EE" w:rsidRPr="0020088D" w:rsidRDefault="00B438EE" w:rsidP="00C34EE7">
            <w:pPr>
              <w:rPr>
                <w:b/>
                <w:bCs/>
                <w:color w:val="000000"/>
                <w:sz w:val="18"/>
                <w:szCs w:val="18"/>
                <w:lang w:val="bg-BG" w:eastAsia="lt-LT"/>
              </w:rPr>
            </w:pPr>
          </w:p>
        </w:tc>
      </w:tr>
      <w:tr w:rsidR="00181E99" w:rsidRPr="0020088D" w:rsidTr="00FD65CA">
        <w:trPr>
          <w:cantSplit/>
          <w:trHeight w:val="284"/>
        </w:trPr>
        <w:tc>
          <w:tcPr>
            <w:tcW w:w="1096" w:type="pct"/>
            <w:vMerge/>
            <w:vAlign w:val="center"/>
          </w:tcPr>
          <w:p w:rsidR="00B438EE" w:rsidRPr="0020088D" w:rsidRDefault="00B438EE" w:rsidP="00C34EE7">
            <w:pPr>
              <w:jc w:val="left"/>
              <w:rPr>
                <w:b/>
                <w:bCs/>
                <w:color w:val="000000"/>
                <w:sz w:val="18"/>
                <w:szCs w:val="18"/>
                <w:lang w:val="bg-BG" w:eastAsia="lt-LT"/>
              </w:rPr>
            </w:pPr>
          </w:p>
        </w:tc>
        <w:tc>
          <w:tcPr>
            <w:tcW w:w="475" w:type="pct"/>
            <w:vMerge/>
            <w:vAlign w:val="center"/>
          </w:tcPr>
          <w:p w:rsidR="00B438EE" w:rsidRPr="0020088D" w:rsidRDefault="00B438EE" w:rsidP="00C34EE7">
            <w:pPr>
              <w:rPr>
                <w:b/>
                <w:bCs/>
                <w:color w:val="000000"/>
                <w:sz w:val="18"/>
                <w:szCs w:val="18"/>
                <w:lang w:val="bg-BG" w:eastAsia="lt-LT"/>
              </w:rPr>
            </w:pPr>
          </w:p>
        </w:tc>
        <w:tc>
          <w:tcPr>
            <w:tcW w:w="438" w:type="pct"/>
            <w:vMerge/>
            <w:vAlign w:val="center"/>
          </w:tcPr>
          <w:p w:rsidR="00B438EE" w:rsidRPr="0020088D" w:rsidRDefault="00B438EE"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auto"/>
              <w:right w:val="single" w:sz="4" w:space="0" w:color="808080" w:themeColor="background1" w:themeShade="80"/>
            </w:tcBorders>
            <w:tcMar>
              <w:left w:w="57" w:type="dxa"/>
              <w:right w:w="57" w:type="dxa"/>
            </w:tcMar>
            <w:vAlign w:val="center"/>
          </w:tcPr>
          <w:p w:rsidR="00B438EE" w:rsidRPr="0020088D" w:rsidRDefault="00FD65CA" w:rsidP="00FD65CA">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 служители</w:t>
            </w:r>
          </w:p>
        </w:tc>
        <w:tc>
          <w:tcPr>
            <w:tcW w:w="346" w:type="pct"/>
            <w:tcBorders>
              <w:top w:val="single" w:sz="4" w:space="0" w:color="808080" w:themeColor="background1" w:themeShade="80"/>
              <w:left w:val="single" w:sz="4" w:space="0" w:color="808080" w:themeColor="background1" w:themeShade="80"/>
              <w:bottom w:val="single" w:sz="4" w:space="0" w:color="auto"/>
            </w:tcBorders>
            <w:tcMar>
              <w:left w:w="57" w:type="dxa"/>
              <w:right w:w="57" w:type="dxa"/>
            </w:tcMar>
            <w:vAlign w:val="center"/>
          </w:tcPr>
          <w:p w:rsidR="00B438EE" w:rsidRPr="0020088D" w:rsidRDefault="00B438EE" w:rsidP="00C34EE7">
            <w:pPr>
              <w:jc w:val="left"/>
              <w:rPr>
                <w:b/>
                <w:bCs/>
                <w:color w:val="000000"/>
                <w:sz w:val="18"/>
                <w:szCs w:val="18"/>
                <w:lang w:val="bg-BG" w:eastAsia="lt-LT"/>
              </w:rPr>
            </w:pPr>
          </w:p>
        </w:tc>
        <w:tc>
          <w:tcPr>
            <w:tcW w:w="466" w:type="pct"/>
            <w:vMerge/>
            <w:vAlign w:val="center"/>
          </w:tcPr>
          <w:p w:rsidR="00B438EE" w:rsidRPr="0020088D" w:rsidRDefault="00B438EE" w:rsidP="00C34EE7">
            <w:pPr>
              <w:jc w:val="left"/>
              <w:rPr>
                <w:b/>
                <w:bCs/>
                <w:color w:val="000000"/>
                <w:sz w:val="18"/>
                <w:szCs w:val="18"/>
                <w:lang w:val="bg-BG" w:eastAsia="lt-LT"/>
              </w:rPr>
            </w:pPr>
          </w:p>
        </w:tc>
        <w:tc>
          <w:tcPr>
            <w:tcW w:w="616" w:type="pct"/>
            <w:vMerge/>
            <w:vAlign w:val="center"/>
          </w:tcPr>
          <w:p w:rsidR="00B438EE" w:rsidRPr="0020088D" w:rsidRDefault="00B438EE" w:rsidP="00C34EE7">
            <w:pPr>
              <w:rPr>
                <w:b/>
                <w:bCs/>
                <w:color w:val="000000"/>
                <w:sz w:val="18"/>
                <w:szCs w:val="18"/>
                <w:lang w:val="bg-BG" w:eastAsia="lt-LT"/>
              </w:rPr>
            </w:pPr>
          </w:p>
        </w:tc>
        <w:tc>
          <w:tcPr>
            <w:tcW w:w="1053" w:type="pct"/>
            <w:vMerge/>
            <w:vAlign w:val="center"/>
          </w:tcPr>
          <w:p w:rsidR="00B438EE" w:rsidRPr="0020088D" w:rsidRDefault="00B438EE" w:rsidP="00C34EE7">
            <w:pPr>
              <w:rPr>
                <w:b/>
                <w:bCs/>
                <w:color w:val="000000"/>
                <w:sz w:val="18"/>
                <w:szCs w:val="18"/>
                <w:lang w:val="bg-BG" w:eastAsia="lt-LT"/>
              </w:rPr>
            </w:pPr>
          </w:p>
        </w:tc>
      </w:tr>
      <w:tr w:rsidR="00FD65CA" w:rsidRPr="0020088D" w:rsidTr="00FD65CA">
        <w:trPr>
          <w:cantSplit/>
          <w:trHeight w:val="284"/>
        </w:trPr>
        <w:tc>
          <w:tcPr>
            <w:tcW w:w="1096" w:type="pct"/>
            <w:vMerge w:val="restart"/>
            <w:vAlign w:val="center"/>
          </w:tcPr>
          <w:p w:rsidR="00FD65CA" w:rsidRPr="0020088D" w:rsidRDefault="00FD65CA" w:rsidP="00C34EE7">
            <w:pPr>
              <w:jc w:val="left"/>
              <w:rPr>
                <w:b/>
                <w:bCs/>
                <w:color w:val="000000"/>
                <w:sz w:val="18"/>
                <w:szCs w:val="18"/>
                <w:lang w:val="bg-BG" w:eastAsia="lt-LT"/>
              </w:rPr>
            </w:pPr>
          </w:p>
        </w:tc>
        <w:tc>
          <w:tcPr>
            <w:tcW w:w="475" w:type="pct"/>
            <w:vMerge w:val="restart"/>
            <w:vAlign w:val="center"/>
          </w:tcPr>
          <w:p w:rsidR="00FD65CA" w:rsidRPr="0020088D" w:rsidRDefault="00FD65CA" w:rsidP="00C34EE7">
            <w:pPr>
              <w:rPr>
                <w:b/>
                <w:bCs/>
                <w:color w:val="000000"/>
                <w:sz w:val="18"/>
                <w:szCs w:val="18"/>
                <w:lang w:val="bg-BG" w:eastAsia="lt-LT"/>
              </w:rPr>
            </w:pPr>
          </w:p>
        </w:tc>
        <w:tc>
          <w:tcPr>
            <w:tcW w:w="438" w:type="pct"/>
            <w:vMerge w:val="restart"/>
            <w:vAlign w:val="center"/>
          </w:tcPr>
          <w:p w:rsidR="00FD65CA" w:rsidRPr="0020088D" w:rsidRDefault="00FD65CA" w:rsidP="00C34EE7">
            <w:pPr>
              <w:rPr>
                <w:b/>
                <w:bCs/>
                <w:color w:val="000000"/>
                <w:sz w:val="18"/>
                <w:szCs w:val="18"/>
                <w:lang w:val="bg-BG" w:eastAsia="lt-LT"/>
              </w:rPr>
            </w:pPr>
          </w:p>
        </w:tc>
        <w:tc>
          <w:tcPr>
            <w:tcW w:w="510" w:type="pct"/>
            <w:tcBorders>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Стойност на активите</w:t>
            </w:r>
          </w:p>
        </w:tc>
        <w:tc>
          <w:tcPr>
            <w:tcW w:w="346" w:type="pct"/>
            <w:tcBorders>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restart"/>
            <w:vAlign w:val="center"/>
          </w:tcPr>
          <w:p w:rsidR="00FD65CA" w:rsidRPr="0020088D" w:rsidRDefault="00FD65CA" w:rsidP="00C34EE7">
            <w:pPr>
              <w:jc w:val="left"/>
              <w:rPr>
                <w:b/>
                <w:bCs/>
                <w:color w:val="000000"/>
                <w:sz w:val="18"/>
                <w:szCs w:val="18"/>
                <w:lang w:val="bg-BG" w:eastAsia="lt-LT"/>
              </w:rPr>
            </w:pPr>
          </w:p>
        </w:tc>
        <w:tc>
          <w:tcPr>
            <w:tcW w:w="616" w:type="pct"/>
            <w:vMerge w:val="restart"/>
            <w:vAlign w:val="center"/>
          </w:tcPr>
          <w:p w:rsidR="00FD65CA" w:rsidRPr="0020088D" w:rsidRDefault="00FD65CA" w:rsidP="00C34EE7">
            <w:pPr>
              <w:rPr>
                <w:b/>
                <w:bCs/>
                <w:color w:val="000000"/>
                <w:sz w:val="18"/>
                <w:szCs w:val="18"/>
                <w:lang w:val="bg-BG" w:eastAsia="lt-LT"/>
              </w:rPr>
            </w:pPr>
          </w:p>
        </w:tc>
        <w:tc>
          <w:tcPr>
            <w:tcW w:w="1053" w:type="pct"/>
            <w:vMerge w:val="restart"/>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Балансова стойност на собствения капитал</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Пазарна капитализация</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Годишен оборот</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181E99" w:rsidRPr="0020088D" w:rsidTr="00FD65CA">
        <w:trPr>
          <w:cantSplit/>
          <w:trHeight w:val="284"/>
        </w:trPr>
        <w:tc>
          <w:tcPr>
            <w:tcW w:w="1096" w:type="pct"/>
            <w:vMerge/>
            <w:vAlign w:val="center"/>
          </w:tcPr>
          <w:p w:rsidR="00C34EE7" w:rsidRPr="0020088D" w:rsidRDefault="00C34EE7" w:rsidP="00C34EE7">
            <w:pPr>
              <w:jc w:val="left"/>
              <w:rPr>
                <w:b/>
                <w:bCs/>
                <w:color w:val="000000"/>
                <w:sz w:val="18"/>
                <w:szCs w:val="18"/>
                <w:lang w:val="bg-BG" w:eastAsia="lt-LT"/>
              </w:rPr>
            </w:pPr>
          </w:p>
        </w:tc>
        <w:tc>
          <w:tcPr>
            <w:tcW w:w="475" w:type="pct"/>
            <w:vMerge/>
            <w:vAlign w:val="center"/>
          </w:tcPr>
          <w:p w:rsidR="00C34EE7" w:rsidRPr="0020088D" w:rsidRDefault="00C34EE7" w:rsidP="00C34EE7">
            <w:pPr>
              <w:rPr>
                <w:b/>
                <w:bCs/>
                <w:color w:val="000000"/>
                <w:sz w:val="18"/>
                <w:szCs w:val="18"/>
                <w:lang w:val="bg-BG" w:eastAsia="lt-LT"/>
              </w:rPr>
            </w:pPr>
          </w:p>
        </w:tc>
        <w:tc>
          <w:tcPr>
            <w:tcW w:w="438" w:type="pct"/>
            <w:vMerge/>
            <w:vAlign w:val="center"/>
          </w:tcPr>
          <w:p w:rsidR="00C34EE7" w:rsidRPr="0020088D" w:rsidRDefault="00C34EE7"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auto"/>
              <w:right w:val="single" w:sz="4" w:space="0" w:color="808080" w:themeColor="background1" w:themeShade="80"/>
            </w:tcBorders>
            <w:vAlign w:val="center"/>
          </w:tcPr>
          <w:p w:rsidR="00C34EE7" w:rsidRPr="0020088D" w:rsidRDefault="00FD65CA" w:rsidP="00C34EE7">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 служители</w:t>
            </w:r>
          </w:p>
        </w:tc>
        <w:tc>
          <w:tcPr>
            <w:tcW w:w="346" w:type="pct"/>
            <w:tcBorders>
              <w:top w:val="single" w:sz="4" w:space="0" w:color="808080" w:themeColor="background1" w:themeShade="80"/>
              <w:left w:val="single" w:sz="4" w:space="0" w:color="808080" w:themeColor="background1" w:themeShade="80"/>
              <w:bottom w:val="single" w:sz="4" w:space="0" w:color="auto"/>
            </w:tcBorders>
            <w:vAlign w:val="center"/>
          </w:tcPr>
          <w:p w:rsidR="00C34EE7" w:rsidRPr="0020088D" w:rsidRDefault="00C34EE7" w:rsidP="00C34EE7">
            <w:pPr>
              <w:jc w:val="left"/>
              <w:rPr>
                <w:b/>
                <w:bCs/>
                <w:color w:val="000000"/>
                <w:sz w:val="18"/>
                <w:szCs w:val="18"/>
                <w:lang w:val="bg-BG" w:eastAsia="lt-LT"/>
              </w:rPr>
            </w:pPr>
          </w:p>
        </w:tc>
        <w:tc>
          <w:tcPr>
            <w:tcW w:w="466" w:type="pct"/>
            <w:vMerge/>
            <w:vAlign w:val="center"/>
          </w:tcPr>
          <w:p w:rsidR="00C34EE7" w:rsidRPr="0020088D" w:rsidRDefault="00C34EE7" w:rsidP="00C34EE7">
            <w:pPr>
              <w:jc w:val="left"/>
              <w:rPr>
                <w:b/>
                <w:bCs/>
                <w:color w:val="000000"/>
                <w:sz w:val="18"/>
                <w:szCs w:val="18"/>
                <w:lang w:val="bg-BG" w:eastAsia="lt-LT"/>
              </w:rPr>
            </w:pPr>
          </w:p>
        </w:tc>
        <w:tc>
          <w:tcPr>
            <w:tcW w:w="616" w:type="pct"/>
            <w:vMerge/>
            <w:vAlign w:val="center"/>
          </w:tcPr>
          <w:p w:rsidR="00C34EE7" w:rsidRPr="0020088D" w:rsidRDefault="00C34EE7" w:rsidP="00C34EE7">
            <w:pPr>
              <w:rPr>
                <w:b/>
                <w:bCs/>
                <w:color w:val="000000"/>
                <w:sz w:val="18"/>
                <w:szCs w:val="18"/>
                <w:lang w:val="bg-BG" w:eastAsia="lt-LT"/>
              </w:rPr>
            </w:pPr>
          </w:p>
        </w:tc>
        <w:tc>
          <w:tcPr>
            <w:tcW w:w="1053" w:type="pct"/>
            <w:vMerge/>
            <w:vAlign w:val="center"/>
          </w:tcPr>
          <w:p w:rsidR="00C34EE7" w:rsidRPr="0020088D" w:rsidRDefault="00C34EE7" w:rsidP="00C34EE7">
            <w:pPr>
              <w:rPr>
                <w:b/>
                <w:bCs/>
                <w:color w:val="000000"/>
                <w:sz w:val="18"/>
                <w:szCs w:val="18"/>
                <w:lang w:val="bg-BG" w:eastAsia="lt-LT"/>
              </w:rPr>
            </w:pPr>
          </w:p>
        </w:tc>
      </w:tr>
      <w:tr w:rsidR="00FD65CA" w:rsidRPr="0020088D" w:rsidTr="00FD65CA">
        <w:trPr>
          <w:cantSplit/>
          <w:trHeight w:val="284"/>
        </w:trPr>
        <w:tc>
          <w:tcPr>
            <w:tcW w:w="1096" w:type="pct"/>
            <w:vMerge w:val="restart"/>
            <w:vAlign w:val="center"/>
          </w:tcPr>
          <w:p w:rsidR="00FD65CA" w:rsidRPr="0020088D" w:rsidRDefault="00FD65CA" w:rsidP="00C34EE7">
            <w:pPr>
              <w:jc w:val="left"/>
              <w:rPr>
                <w:b/>
                <w:bCs/>
                <w:color w:val="000000"/>
                <w:sz w:val="18"/>
                <w:szCs w:val="18"/>
                <w:lang w:val="bg-BG" w:eastAsia="lt-LT"/>
              </w:rPr>
            </w:pPr>
          </w:p>
        </w:tc>
        <w:tc>
          <w:tcPr>
            <w:tcW w:w="475" w:type="pct"/>
            <w:vMerge w:val="restart"/>
            <w:vAlign w:val="center"/>
          </w:tcPr>
          <w:p w:rsidR="00FD65CA" w:rsidRPr="0020088D" w:rsidRDefault="00FD65CA" w:rsidP="00C34EE7">
            <w:pPr>
              <w:rPr>
                <w:b/>
                <w:bCs/>
                <w:color w:val="000000"/>
                <w:sz w:val="18"/>
                <w:szCs w:val="18"/>
                <w:lang w:val="bg-BG" w:eastAsia="lt-LT"/>
              </w:rPr>
            </w:pPr>
          </w:p>
        </w:tc>
        <w:tc>
          <w:tcPr>
            <w:tcW w:w="438" w:type="pct"/>
            <w:vMerge w:val="restart"/>
            <w:vAlign w:val="center"/>
          </w:tcPr>
          <w:p w:rsidR="00FD65CA" w:rsidRPr="0020088D" w:rsidRDefault="00FD65CA" w:rsidP="00C34EE7">
            <w:pPr>
              <w:rPr>
                <w:b/>
                <w:bCs/>
                <w:color w:val="000000"/>
                <w:sz w:val="18"/>
                <w:szCs w:val="18"/>
                <w:lang w:val="bg-BG" w:eastAsia="lt-LT"/>
              </w:rPr>
            </w:pPr>
          </w:p>
        </w:tc>
        <w:tc>
          <w:tcPr>
            <w:tcW w:w="510" w:type="pct"/>
            <w:tcBorders>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Стойност на активите</w:t>
            </w:r>
          </w:p>
        </w:tc>
        <w:tc>
          <w:tcPr>
            <w:tcW w:w="346" w:type="pct"/>
            <w:tcBorders>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restart"/>
            <w:vAlign w:val="center"/>
          </w:tcPr>
          <w:p w:rsidR="00FD65CA" w:rsidRPr="0020088D" w:rsidRDefault="00FD65CA" w:rsidP="00C34EE7">
            <w:pPr>
              <w:jc w:val="left"/>
              <w:rPr>
                <w:b/>
                <w:bCs/>
                <w:color w:val="000000"/>
                <w:sz w:val="18"/>
                <w:szCs w:val="18"/>
                <w:lang w:val="bg-BG" w:eastAsia="lt-LT"/>
              </w:rPr>
            </w:pPr>
          </w:p>
        </w:tc>
        <w:tc>
          <w:tcPr>
            <w:tcW w:w="616" w:type="pct"/>
            <w:vMerge w:val="restart"/>
            <w:vAlign w:val="center"/>
          </w:tcPr>
          <w:p w:rsidR="00FD65CA" w:rsidRPr="0020088D" w:rsidRDefault="00FD65CA" w:rsidP="00C34EE7">
            <w:pPr>
              <w:rPr>
                <w:b/>
                <w:bCs/>
                <w:color w:val="000000"/>
                <w:sz w:val="18"/>
                <w:szCs w:val="18"/>
                <w:lang w:val="bg-BG" w:eastAsia="lt-LT"/>
              </w:rPr>
            </w:pPr>
          </w:p>
        </w:tc>
        <w:tc>
          <w:tcPr>
            <w:tcW w:w="1053" w:type="pct"/>
            <w:vMerge w:val="restart"/>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Балансова стойност на собствения капитал</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Пазарна капитализация</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Годишен оборот</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auto"/>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 служители</w:t>
            </w:r>
          </w:p>
        </w:tc>
        <w:tc>
          <w:tcPr>
            <w:tcW w:w="346" w:type="pct"/>
            <w:tcBorders>
              <w:top w:val="single" w:sz="4" w:space="0" w:color="808080" w:themeColor="background1" w:themeShade="80"/>
              <w:left w:val="single" w:sz="4" w:space="0" w:color="808080" w:themeColor="background1" w:themeShade="80"/>
              <w:bottom w:val="single" w:sz="4" w:space="0" w:color="auto"/>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restart"/>
            <w:vAlign w:val="center"/>
          </w:tcPr>
          <w:p w:rsidR="00FD65CA" w:rsidRPr="0020088D" w:rsidRDefault="00FD65CA" w:rsidP="00C34EE7">
            <w:pPr>
              <w:jc w:val="left"/>
              <w:rPr>
                <w:b/>
                <w:bCs/>
                <w:color w:val="000000"/>
                <w:sz w:val="18"/>
                <w:szCs w:val="18"/>
                <w:lang w:val="bg-BG" w:eastAsia="lt-LT"/>
              </w:rPr>
            </w:pPr>
          </w:p>
        </w:tc>
        <w:tc>
          <w:tcPr>
            <w:tcW w:w="475" w:type="pct"/>
            <w:vMerge w:val="restart"/>
            <w:vAlign w:val="center"/>
          </w:tcPr>
          <w:p w:rsidR="00FD65CA" w:rsidRPr="0020088D" w:rsidRDefault="00FD65CA" w:rsidP="00C34EE7">
            <w:pPr>
              <w:rPr>
                <w:b/>
                <w:bCs/>
                <w:color w:val="000000"/>
                <w:sz w:val="18"/>
                <w:szCs w:val="18"/>
                <w:lang w:val="bg-BG" w:eastAsia="lt-LT"/>
              </w:rPr>
            </w:pPr>
          </w:p>
        </w:tc>
        <w:tc>
          <w:tcPr>
            <w:tcW w:w="438" w:type="pct"/>
            <w:vMerge w:val="restart"/>
            <w:vAlign w:val="center"/>
          </w:tcPr>
          <w:p w:rsidR="00FD65CA" w:rsidRPr="0020088D" w:rsidRDefault="00FD65CA" w:rsidP="00C34EE7">
            <w:pPr>
              <w:rPr>
                <w:b/>
                <w:bCs/>
                <w:color w:val="000000"/>
                <w:sz w:val="18"/>
                <w:szCs w:val="18"/>
                <w:lang w:val="bg-BG" w:eastAsia="lt-LT"/>
              </w:rPr>
            </w:pPr>
          </w:p>
        </w:tc>
        <w:tc>
          <w:tcPr>
            <w:tcW w:w="510" w:type="pct"/>
            <w:tcBorders>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Стойност на активите</w:t>
            </w:r>
          </w:p>
        </w:tc>
        <w:tc>
          <w:tcPr>
            <w:tcW w:w="346" w:type="pct"/>
            <w:tcBorders>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restart"/>
            <w:vAlign w:val="center"/>
          </w:tcPr>
          <w:p w:rsidR="00FD65CA" w:rsidRPr="0020088D" w:rsidRDefault="00FD65CA" w:rsidP="00C34EE7">
            <w:pPr>
              <w:jc w:val="left"/>
              <w:rPr>
                <w:b/>
                <w:bCs/>
                <w:color w:val="000000"/>
                <w:sz w:val="18"/>
                <w:szCs w:val="18"/>
                <w:lang w:val="bg-BG" w:eastAsia="lt-LT"/>
              </w:rPr>
            </w:pPr>
          </w:p>
        </w:tc>
        <w:tc>
          <w:tcPr>
            <w:tcW w:w="616" w:type="pct"/>
            <w:vMerge w:val="restart"/>
            <w:vAlign w:val="center"/>
          </w:tcPr>
          <w:p w:rsidR="00FD65CA" w:rsidRPr="0020088D" w:rsidRDefault="00FD65CA" w:rsidP="00C34EE7">
            <w:pPr>
              <w:rPr>
                <w:b/>
                <w:bCs/>
                <w:color w:val="000000"/>
                <w:sz w:val="18"/>
                <w:szCs w:val="18"/>
                <w:lang w:val="bg-BG" w:eastAsia="lt-LT"/>
              </w:rPr>
            </w:pPr>
          </w:p>
        </w:tc>
        <w:tc>
          <w:tcPr>
            <w:tcW w:w="1053" w:type="pct"/>
            <w:vMerge w:val="restart"/>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Балансова стойност на собствения капитал</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Пазарна капитализация</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Годишен оборот</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auto"/>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 служители</w:t>
            </w:r>
          </w:p>
        </w:tc>
        <w:tc>
          <w:tcPr>
            <w:tcW w:w="346" w:type="pct"/>
            <w:tcBorders>
              <w:top w:val="single" w:sz="4" w:space="0" w:color="808080" w:themeColor="background1" w:themeShade="80"/>
              <w:left w:val="single" w:sz="4" w:space="0" w:color="808080" w:themeColor="background1" w:themeShade="80"/>
              <w:bottom w:val="single" w:sz="4" w:space="0" w:color="auto"/>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restart"/>
            <w:vAlign w:val="center"/>
          </w:tcPr>
          <w:p w:rsidR="00FD65CA" w:rsidRPr="0020088D" w:rsidRDefault="00FD65CA" w:rsidP="00C34EE7">
            <w:pPr>
              <w:jc w:val="left"/>
              <w:rPr>
                <w:b/>
                <w:bCs/>
                <w:color w:val="000000"/>
                <w:sz w:val="18"/>
                <w:szCs w:val="18"/>
                <w:lang w:val="bg-BG" w:eastAsia="lt-LT"/>
              </w:rPr>
            </w:pPr>
          </w:p>
        </w:tc>
        <w:tc>
          <w:tcPr>
            <w:tcW w:w="475" w:type="pct"/>
            <w:vMerge w:val="restart"/>
            <w:vAlign w:val="center"/>
          </w:tcPr>
          <w:p w:rsidR="00FD65CA" w:rsidRPr="0020088D" w:rsidRDefault="00FD65CA" w:rsidP="00C34EE7">
            <w:pPr>
              <w:rPr>
                <w:b/>
                <w:bCs/>
                <w:color w:val="000000"/>
                <w:sz w:val="18"/>
                <w:szCs w:val="18"/>
                <w:lang w:val="bg-BG" w:eastAsia="lt-LT"/>
              </w:rPr>
            </w:pPr>
          </w:p>
        </w:tc>
        <w:tc>
          <w:tcPr>
            <w:tcW w:w="438" w:type="pct"/>
            <w:vMerge w:val="restart"/>
            <w:vAlign w:val="center"/>
          </w:tcPr>
          <w:p w:rsidR="00FD65CA" w:rsidRPr="0020088D" w:rsidRDefault="00FD65CA" w:rsidP="00C34EE7">
            <w:pPr>
              <w:rPr>
                <w:b/>
                <w:bCs/>
                <w:color w:val="000000"/>
                <w:sz w:val="18"/>
                <w:szCs w:val="18"/>
                <w:lang w:val="bg-BG" w:eastAsia="lt-LT"/>
              </w:rPr>
            </w:pPr>
          </w:p>
        </w:tc>
        <w:tc>
          <w:tcPr>
            <w:tcW w:w="510" w:type="pct"/>
            <w:tcBorders>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Стойност на активите</w:t>
            </w:r>
          </w:p>
        </w:tc>
        <w:tc>
          <w:tcPr>
            <w:tcW w:w="346" w:type="pct"/>
            <w:tcBorders>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restart"/>
            <w:vAlign w:val="center"/>
          </w:tcPr>
          <w:p w:rsidR="00FD65CA" w:rsidRPr="0020088D" w:rsidRDefault="00FD65CA" w:rsidP="00C34EE7">
            <w:pPr>
              <w:jc w:val="left"/>
              <w:rPr>
                <w:b/>
                <w:bCs/>
                <w:color w:val="000000"/>
                <w:sz w:val="18"/>
                <w:szCs w:val="18"/>
                <w:lang w:val="bg-BG" w:eastAsia="lt-LT"/>
              </w:rPr>
            </w:pPr>
          </w:p>
        </w:tc>
        <w:tc>
          <w:tcPr>
            <w:tcW w:w="616" w:type="pct"/>
            <w:vMerge w:val="restart"/>
            <w:vAlign w:val="center"/>
          </w:tcPr>
          <w:p w:rsidR="00FD65CA" w:rsidRPr="0020088D" w:rsidRDefault="00FD65CA" w:rsidP="00C34EE7">
            <w:pPr>
              <w:rPr>
                <w:b/>
                <w:bCs/>
                <w:color w:val="000000"/>
                <w:sz w:val="18"/>
                <w:szCs w:val="18"/>
                <w:lang w:val="bg-BG" w:eastAsia="lt-LT"/>
              </w:rPr>
            </w:pPr>
          </w:p>
        </w:tc>
        <w:tc>
          <w:tcPr>
            <w:tcW w:w="1053" w:type="pct"/>
            <w:vMerge w:val="restart"/>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Балансова стойност на собствения капитал</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Пазарна капитализация</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Годишен оборот</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auto"/>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 служители</w:t>
            </w:r>
          </w:p>
        </w:tc>
        <w:tc>
          <w:tcPr>
            <w:tcW w:w="346" w:type="pct"/>
            <w:tcBorders>
              <w:top w:val="single" w:sz="4" w:space="0" w:color="808080" w:themeColor="background1" w:themeShade="80"/>
              <w:left w:val="single" w:sz="4" w:space="0" w:color="808080" w:themeColor="background1" w:themeShade="80"/>
              <w:bottom w:val="single" w:sz="4" w:space="0" w:color="auto"/>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restart"/>
            <w:vAlign w:val="center"/>
          </w:tcPr>
          <w:p w:rsidR="00FD65CA" w:rsidRPr="0020088D" w:rsidRDefault="00FD65CA" w:rsidP="00C34EE7">
            <w:pPr>
              <w:jc w:val="left"/>
              <w:rPr>
                <w:b/>
                <w:bCs/>
                <w:color w:val="000000"/>
                <w:sz w:val="18"/>
                <w:szCs w:val="18"/>
                <w:lang w:val="bg-BG" w:eastAsia="lt-LT"/>
              </w:rPr>
            </w:pPr>
          </w:p>
        </w:tc>
        <w:tc>
          <w:tcPr>
            <w:tcW w:w="475" w:type="pct"/>
            <w:vMerge w:val="restart"/>
            <w:vAlign w:val="center"/>
          </w:tcPr>
          <w:p w:rsidR="00FD65CA" w:rsidRPr="0020088D" w:rsidRDefault="00FD65CA" w:rsidP="00C34EE7">
            <w:pPr>
              <w:rPr>
                <w:b/>
                <w:bCs/>
                <w:color w:val="000000"/>
                <w:sz w:val="18"/>
                <w:szCs w:val="18"/>
                <w:lang w:val="bg-BG" w:eastAsia="lt-LT"/>
              </w:rPr>
            </w:pPr>
          </w:p>
        </w:tc>
        <w:tc>
          <w:tcPr>
            <w:tcW w:w="438" w:type="pct"/>
            <w:vMerge w:val="restart"/>
            <w:vAlign w:val="center"/>
          </w:tcPr>
          <w:p w:rsidR="00FD65CA" w:rsidRPr="0020088D" w:rsidRDefault="00FD65CA" w:rsidP="00C34EE7">
            <w:pPr>
              <w:rPr>
                <w:b/>
                <w:bCs/>
                <w:color w:val="000000"/>
                <w:sz w:val="18"/>
                <w:szCs w:val="18"/>
                <w:lang w:val="bg-BG" w:eastAsia="lt-LT"/>
              </w:rPr>
            </w:pPr>
          </w:p>
        </w:tc>
        <w:tc>
          <w:tcPr>
            <w:tcW w:w="510" w:type="pct"/>
            <w:tcBorders>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Стойност на активите</w:t>
            </w:r>
          </w:p>
        </w:tc>
        <w:tc>
          <w:tcPr>
            <w:tcW w:w="346" w:type="pct"/>
            <w:tcBorders>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restart"/>
            <w:vAlign w:val="center"/>
          </w:tcPr>
          <w:p w:rsidR="00FD65CA" w:rsidRPr="0020088D" w:rsidRDefault="00FD65CA" w:rsidP="00C34EE7">
            <w:pPr>
              <w:jc w:val="left"/>
              <w:rPr>
                <w:b/>
                <w:bCs/>
                <w:color w:val="000000"/>
                <w:sz w:val="18"/>
                <w:szCs w:val="18"/>
                <w:lang w:val="bg-BG" w:eastAsia="lt-LT"/>
              </w:rPr>
            </w:pPr>
          </w:p>
        </w:tc>
        <w:tc>
          <w:tcPr>
            <w:tcW w:w="616" w:type="pct"/>
            <w:vMerge w:val="restart"/>
            <w:vAlign w:val="center"/>
          </w:tcPr>
          <w:p w:rsidR="00FD65CA" w:rsidRPr="0020088D" w:rsidRDefault="00FD65CA" w:rsidP="00C34EE7">
            <w:pPr>
              <w:rPr>
                <w:b/>
                <w:bCs/>
                <w:color w:val="000000"/>
                <w:sz w:val="18"/>
                <w:szCs w:val="18"/>
                <w:lang w:val="bg-BG" w:eastAsia="lt-LT"/>
              </w:rPr>
            </w:pPr>
          </w:p>
        </w:tc>
        <w:tc>
          <w:tcPr>
            <w:tcW w:w="1053" w:type="pct"/>
            <w:vMerge w:val="restart"/>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Балансова стойност на собствения капитал</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Пазарна капитализация</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Годишен оборот</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auto"/>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 служители</w:t>
            </w:r>
          </w:p>
        </w:tc>
        <w:tc>
          <w:tcPr>
            <w:tcW w:w="346" w:type="pct"/>
            <w:tcBorders>
              <w:top w:val="single" w:sz="4" w:space="0" w:color="808080" w:themeColor="background1" w:themeShade="80"/>
              <w:left w:val="single" w:sz="4" w:space="0" w:color="808080" w:themeColor="background1" w:themeShade="80"/>
              <w:bottom w:val="single" w:sz="4" w:space="0" w:color="auto"/>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restart"/>
            <w:vAlign w:val="center"/>
          </w:tcPr>
          <w:p w:rsidR="00FD65CA" w:rsidRPr="0020088D" w:rsidRDefault="00FD65CA" w:rsidP="00C34EE7">
            <w:pPr>
              <w:jc w:val="left"/>
              <w:rPr>
                <w:b/>
                <w:bCs/>
                <w:color w:val="000000"/>
                <w:sz w:val="18"/>
                <w:szCs w:val="18"/>
                <w:lang w:val="bg-BG" w:eastAsia="lt-LT"/>
              </w:rPr>
            </w:pPr>
          </w:p>
        </w:tc>
        <w:tc>
          <w:tcPr>
            <w:tcW w:w="475" w:type="pct"/>
            <w:vMerge w:val="restart"/>
            <w:vAlign w:val="center"/>
          </w:tcPr>
          <w:p w:rsidR="00FD65CA" w:rsidRPr="0020088D" w:rsidRDefault="00FD65CA" w:rsidP="00C34EE7">
            <w:pPr>
              <w:rPr>
                <w:b/>
                <w:bCs/>
                <w:color w:val="000000"/>
                <w:sz w:val="18"/>
                <w:szCs w:val="18"/>
                <w:lang w:val="bg-BG" w:eastAsia="lt-LT"/>
              </w:rPr>
            </w:pPr>
          </w:p>
        </w:tc>
        <w:tc>
          <w:tcPr>
            <w:tcW w:w="438" w:type="pct"/>
            <w:vMerge w:val="restart"/>
            <w:vAlign w:val="center"/>
          </w:tcPr>
          <w:p w:rsidR="00FD65CA" w:rsidRPr="0020088D" w:rsidRDefault="00FD65CA" w:rsidP="00C34EE7">
            <w:pPr>
              <w:rPr>
                <w:b/>
                <w:bCs/>
                <w:color w:val="000000"/>
                <w:sz w:val="18"/>
                <w:szCs w:val="18"/>
                <w:lang w:val="bg-BG" w:eastAsia="lt-LT"/>
              </w:rPr>
            </w:pPr>
          </w:p>
        </w:tc>
        <w:tc>
          <w:tcPr>
            <w:tcW w:w="510" w:type="pct"/>
            <w:tcBorders>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Стойност на активите</w:t>
            </w:r>
          </w:p>
        </w:tc>
        <w:tc>
          <w:tcPr>
            <w:tcW w:w="346" w:type="pct"/>
            <w:tcBorders>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restart"/>
            <w:vAlign w:val="center"/>
          </w:tcPr>
          <w:p w:rsidR="00FD65CA" w:rsidRPr="0020088D" w:rsidRDefault="00FD65CA" w:rsidP="00C34EE7">
            <w:pPr>
              <w:jc w:val="left"/>
              <w:rPr>
                <w:b/>
                <w:bCs/>
                <w:color w:val="000000"/>
                <w:sz w:val="18"/>
                <w:szCs w:val="18"/>
                <w:lang w:val="bg-BG" w:eastAsia="lt-LT"/>
              </w:rPr>
            </w:pPr>
          </w:p>
        </w:tc>
        <w:tc>
          <w:tcPr>
            <w:tcW w:w="616" w:type="pct"/>
            <w:vMerge w:val="restart"/>
            <w:vAlign w:val="center"/>
          </w:tcPr>
          <w:p w:rsidR="00FD65CA" w:rsidRPr="0020088D" w:rsidRDefault="00FD65CA" w:rsidP="00C34EE7">
            <w:pPr>
              <w:rPr>
                <w:b/>
                <w:bCs/>
                <w:color w:val="000000"/>
                <w:sz w:val="18"/>
                <w:szCs w:val="18"/>
                <w:lang w:val="bg-BG" w:eastAsia="lt-LT"/>
              </w:rPr>
            </w:pPr>
          </w:p>
        </w:tc>
        <w:tc>
          <w:tcPr>
            <w:tcW w:w="1053" w:type="pct"/>
            <w:vMerge w:val="restart"/>
            <w:vAlign w:val="center"/>
          </w:tcPr>
          <w:p w:rsidR="00FD65CA" w:rsidRPr="0020088D" w:rsidRDefault="00FD65CA" w:rsidP="00C34EE7">
            <w:pPr>
              <w:rPr>
                <w:b/>
                <w:bCs/>
                <w:color w:val="000000"/>
                <w:sz w:val="18"/>
                <w:szCs w:val="18"/>
                <w:lang w:val="bg-BG" w:eastAsia="lt-LT"/>
              </w:rPr>
            </w:pPr>
          </w:p>
          <w:p w:rsidR="00FD65CA" w:rsidRPr="0020088D" w:rsidRDefault="00FD65CA">
            <w:pPr>
              <w:rPr>
                <w:sz w:val="18"/>
                <w:szCs w:val="18"/>
                <w:lang w:val="bg-BG" w:eastAsia="lt-LT"/>
              </w:rPr>
            </w:pPr>
          </w:p>
          <w:p w:rsidR="00FD65CA" w:rsidRPr="0020088D" w:rsidRDefault="00FD65CA" w:rsidP="00161A5C">
            <w:pPr>
              <w:rPr>
                <w:sz w:val="18"/>
                <w:szCs w:val="18"/>
                <w:lang w:val="bg-BG" w:eastAsia="lt-LT"/>
              </w:rPr>
            </w:pPr>
          </w:p>
          <w:p w:rsidR="00FD65CA" w:rsidRPr="0020088D" w:rsidRDefault="00FD65CA" w:rsidP="00161A5C">
            <w:pPr>
              <w:rPr>
                <w:sz w:val="18"/>
                <w:szCs w:val="18"/>
                <w:lang w:val="bg-BG" w:eastAsia="lt-LT"/>
              </w:rPr>
            </w:pPr>
          </w:p>
          <w:p w:rsidR="00FD65CA" w:rsidRPr="0020088D" w:rsidRDefault="00FD65CA" w:rsidP="00161A5C">
            <w:pPr>
              <w:rPr>
                <w:sz w:val="18"/>
                <w:szCs w:val="18"/>
                <w:lang w:val="bg-BG" w:eastAsia="lt-LT"/>
              </w:rPr>
            </w:pPr>
          </w:p>
          <w:p w:rsidR="00FD65CA" w:rsidRPr="0020088D" w:rsidRDefault="00FD65CA" w:rsidP="00161A5C">
            <w:pPr>
              <w:rPr>
                <w:sz w:val="18"/>
                <w:szCs w:val="18"/>
                <w:lang w:val="bg-BG" w:eastAsia="lt-LT"/>
              </w:rPr>
            </w:pPr>
          </w:p>
          <w:p w:rsidR="00FD65CA" w:rsidRPr="0020088D" w:rsidRDefault="00FD65CA">
            <w:pPr>
              <w:rPr>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Балансова стойност на собствения капитал</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Пазарна капитализация</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590581">
        <w:trPr>
          <w:cantSplit/>
          <w:trHeight w:val="395"/>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Годишен оборот</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D65CA" w:rsidRPr="0020088D" w:rsidRDefault="00FD65CA"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 служители</w:t>
            </w:r>
          </w:p>
        </w:tc>
        <w:tc>
          <w:tcPr>
            <w:tcW w:w="346"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r w:rsidR="00FD65CA" w:rsidRPr="0020088D" w:rsidTr="00FD65CA">
        <w:trPr>
          <w:cantSplit/>
          <w:trHeight w:val="284"/>
        </w:trPr>
        <w:tc>
          <w:tcPr>
            <w:tcW w:w="1096" w:type="pct"/>
            <w:vMerge/>
            <w:vAlign w:val="center"/>
          </w:tcPr>
          <w:p w:rsidR="00FD65CA" w:rsidRPr="0020088D" w:rsidRDefault="00FD65CA" w:rsidP="00C34EE7">
            <w:pPr>
              <w:jc w:val="left"/>
              <w:rPr>
                <w:b/>
                <w:bCs/>
                <w:color w:val="000000"/>
                <w:sz w:val="18"/>
                <w:szCs w:val="18"/>
                <w:lang w:val="bg-BG" w:eastAsia="lt-LT"/>
              </w:rPr>
            </w:pPr>
          </w:p>
        </w:tc>
        <w:tc>
          <w:tcPr>
            <w:tcW w:w="475" w:type="pct"/>
            <w:vMerge/>
            <w:vAlign w:val="center"/>
          </w:tcPr>
          <w:p w:rsidR="00FD65CA" w:rsidRPr="0020088D" w:rsidRDefault="00FD65CA" w:rsidP="00C34EE7">
            <w:pPr>
              <w:rPr>
                <w:b/>
                <w:bCs/>
                <w:color w:val="000000"/>
                <w:sz w:val="18"/>
                <w:szCs w:val="18"/>
                <w:lang w:val="bg-BG" w:eastAsia="lt-LT"/>
              </w:rPr>
            </w:pPr>
          </w:p>
        </w:tc>
        <w:tc>
          <w:tcPr>
            <w:tcW w:w="438" w:type="pct"/>
            <w:vMerge/>
            <w:vAlign w:val="center"/>
          </w:tcPr>
          <w:p w:rsidR="00FD65CA" w:rsidRPr="0020088D" w:rsidRDefault="00FD65CA" w:rsidP="00C34EE7">
            <w:pPr>
              <w:rPr>
                <w:b/>
                <w:bCs/>
                <w:color w:val="000000"/>
                <w:sz w:val="18"/>
                <w:szCs w:val="18"/>
                <w:lang w:val="bg-BG" w:eastAsia="lt-LT"/>
              </w:rPr>
            </w:pPr>
          </w:p>
        </w:tc>
        <w:tc>
          <w:tcPr>
            <w:tcW w:w="510" w:type="pct"/>
            <w:tcBorders>
              <w:top w:val="single" w:sz="4" w:space="0" w:color="808080" w:themeColor="background1" w:themeShade="80"/>
              <w:right w:val="single" w:sz="4" w:space="0" w:color="808080" w:themeColor="background1" w:themeShade="80"/>
            </w:tcBorders>
            <w:vAlign w:val="center"/>
          </w:tcPr>
          <w:p w:rsidR="00FD65CA" w:rsidRPr="0020088D" w:rsidRDefault="00590581" w:rsidP="00A12901">
            <w:pPr>
              <w:jc w:val="left"/>
              <w:rPr>
                <w:b/>
                <w:bCs/>
                <w:color w:val="808080" w:themeColor="background1" w:themeShade="80"/>
                <w:sz w:val="18"/>
                <w:szCs w:val="18"/>
                <w:lang w:val="bg-BG" w:eastAsia="lt-LT"/>
              </w:rPr>
            </w:pPr>
            <w:r w:rsidRPr="0020088D">
              <w:rPr>
                <w:b/>
                <w:bCs/>
                <w:color w:val="808080" w:themeColor="background1" w:themeShade="80"/>
                <w:sz w:val="18"/>
                <w:szCs w:val="18"/>
                <w:lang w:val="bg-BG" w:eastAsia="lt-LT"/>
              </w:rPr>
              <w:t>№ служители</w:t>
            </w:r>
          </w:p>
        </w:tc>
        <w:tc>
          <w:tcPr>
            <w:tcW w:w="346" w:type="pct"/>
            <w:tcBorders>
              <w:top w:val="single" w:sz="4" w:space="0" w:color="808080" w:themeColor="background1" w:themeShade="80"/>
              <w:left w:val="single" w:sz="4" w:space="0" w:color="808080" w:themeColor="background1" w:themeShade="80"/>
            </w:tcBorders>
            <w:vAlign w:val="center"/>
          </w:tcPr>
          <w:p w:rsidR="00FD65CA" w:rsidRPr="0020088D" w:rsidRDefault="00FD65CA" w:rsidP="00C34EE7">
            <w:pPr>
              <w:jc w:val="left"/>
              <w:rPr>
                <w:b/>
                <w:bCs/>
                <w:color w:val="000000"/>
                <w:sz w:val="18"/>
                <w:szCs w:val="18"/>
                <w:lang w:val="bg-BG" w:eastAsia="lt-LT"/>
              </w:rPr>
            </w:pPr>
          </w:p>
        </w:tc>
        <w:tc>
          <w:tcPr>
            <w:tcW w:w="466" w:type="pct"/>
            <w:vMerge/>
            <w:vAlign w:val="center"/>
          </w:tcPr>
          <w:p w:rsidR="00FD65CA" w:rsidRPr="0020088D" w:rsidRDefault="00FD65CA" w:rsidP="00C34EE7">
            <w:pPr>
              <w:jc w:val="left"/>
              <w:rPr>
                <w:b/>
                <w:bCs/>
                <w:color w:val="000000"/>
                <w:sz w:val="18"/>
                <w:szCs w:val="18"/>
                <w:lang w:val="bg-BG" w:eastAsia="lt-LT"/>
              </w:rPr>
            </w:pPr>
          </w:p>
        </w:tc>
        <w:tc>
          <w:tcPr>
            <w:tcW w:w="616" w:type="pct"/>
            <w:vMerge/>
            <w:vAlign w:val="center"/>
          </w:tcPr>
          <w:p w:rsidR="00FD65CA" w:rsidRPr="0020088D" w:rsidRDefault="00FD65CA" w:rsidP="00C34EE7">
            <w:pPr>
              <w:rPr>
                <w:b/>
                <w:bCs/>
                <w:color w:val="000000"/>
                <w:sz w:val="18"/>
                <w:szCs w:val="18"/>
                <w:lang w:val="bg-BG" w:eastAsia="lt-LT"/>
              </w:rPr>
            </w:pPr>
          </w:p>
        </w:tc>
        <w:tc>
          <w:tcPr>
            <w:tcW w:w="1053" w:type="pct"/>
            <w:vMerge/>
            <w:vAlign w:val="center"/>
          </w:tcPr>
          <w:p w:rsidR="00FD65CA" w:rsidRPr="0020088D" w:rsidRDefault="00FD65CA" w:rsidP="00C34EE7">
            <w:pPr>
              <w:rPr>
                <w:b/>
                <w:bCs/>
                <w:color w:val="000000"/>
                <w:sz w:val="18"/>
                <w:szCs w:val="18"/>
                <w:lang w:val="bg-BG" w:eastAsia="lt-LT"/>
              </w:rPr>
            </w:pPr>
          </w:p>
        </w:tc>
      </w:tr>
    </w:tbl>
    <w:p w:rsidR="008137D0" w:rsidRPr="0020088D" w:rsidRDefault="008137D0" w:rsidP="003D0231">
      <w:pPr>
        <w:pStyle w:val="BodyText"/>
        <w:rPr>
          <w:lang w:val="bg-BG"/>
        </w:rPr>
        <w:sectPr w:rsidR="008137D0" w:rsidRPr="0020088D" w:rsidSect="008137D0">
          <w:pgSz w:w="16838" w:h="11906" w:orient="landscape"/>
          <w:pgMar w:top="1440" w:right="1440" w:bottom="1440" w:left="1440" w:header="709" w:footer="709" w:gutter="0"/>
          <w:cols w:space="708"/>
          <w:docGrid w:linePitch="360"/>
        </w:sectPr>
      </w:pPr>
    </w:p>
    <w:p w:rsidR="003D0231" w:rsidRPr="0020088D" w:rsidRDefault="00FD65CA" w:rsidP="0019106C">
      <w:pPr>
        <w:pStyle w:val="Heading1"/>
        <w:spacing w:before="360" w:after="360"/>
        <w:rPr>
          <w:lang w:val="bg-BG"/>
        </w:rPr>
      </w:pPr>
      <w:bookmarkStart w:id="5" w:name="_Toc521484062"/>
      <w:r w:rsidRPr="0020088D">
        <w:rPr>
          <w:lang w:val="bg-BG"/>
        </w:rPr>
        <w:lastRenderedPageBreak/>
        <w:t>МЕТОДОЛОГИЧЕСКА БЕЛЕЖКА</w:t>
      </w:r>
      <w:bookmarkEnd w:id="5"/>
    </w:p>
    <w:p w:rsidR="003D0231" w:rsidRPr="0020088D" w:rsidRDefault="00561D60" w:rsidP="003D0231">
      <w:pPr>
        <w:pStyle w:val="Heading2"/>
        <w:rPr>
          <w:lang w:val="bg-BG" w:eastAsia="en-US"/>
        </w:rPr>
      </w:pPr>
      <w:r w:rsidRPr="0020088D">
        <w:rPr>
          <w:lang w:val="bg-BG" w:eastAsia="en-US"/>
        </w:rPr>
        <w:t>Докладваща агенция</w:t>
      </w:r>
      <w:r w:rsidR="003D0231" w:rsidRPr="0020088D">
        <w:rPr>
          <w:lang w:val="bg-BG" w:eastAsia="en-US"/>
        </w:rPr>
        <w:t>/</w:t>
      </w:r>
      <w:r w:rsidRPr="0020088D">
        <w:rPr>
          <w:lang w:val="bg-BG" w:eastAsia="en-US"/>
        </w:rPr>
        <w:t>агенции</w:t>
      </w:r>
    </w:p>
    <w:p w:rsidR="0012216D" w:rsidRPr="0020088D" w:rsidRDefault="00561D60" w:rsidP="009F5967">
      <w:pPr>
        <w:pStyle w:val="BodyText"/>
        <w:rPr>
          <w:lang w:val="bg-BG" w:eastAsia="en-US"/>
        </w:rPr>
      </w:pPr>
      <w:r w:rsidRPr="0020088D">
        <w:rPr>
          <w:lang w:val="bg-BG" w:eastAsia="en-US"/>
        </w:rPr>
        <w:t>Моля посо</w:t>
      </w:r>
      <w:r w:rsidR="003D25FC" w:rsidRPr="0020088D">
        <w:rPr>
          <w:lang w:val="bg-BG" w:eastAsia="en-US"/>
        </w:rPr>
        <w:t>чете</w:t>
      </w:r>
      <w:r w:rsidRPr="0020088D">
        <w:rPr>
          <w:lang w:val="bg-BG" w:eastAsia="en-US"/>
        </w:rPr>
        <w:t xml:space="preserve"> коя държавна агенция или агенции отговарят </w:t>
      </w:r>
      <w:r w:rsidR="003D25FC" w:rsidRPr="0020088D">
        <w:rPr>
          <w:lang w:val="bg-BG" w:eastAsia="en-US"/>
        </w:rPr>
        <w:t xml:space="preserve">за докладването от Вашата държава. Моля да посочите и броя на служителите в рамките на субекта(ите) на собственост, които отговарят за държавни </w:t>
      </w:r>
      <w:r w:rsidR="00C00D52" w:rsidRPr="0020088D">
        <w:rPr>
          <w:lang w:val="bg-BG" w:eastAsia="en-US"/>
        </w:rPr>
        <w:t>предприятия</w:t>
      </w:r>
      <w:r w:rsidR="003D0231" w:rsidRPr="0020088D">
        <w:rPr>
          <w:lang w:val="bg-BG" w:eastAsia="en-US"/>
        </w:rPr>
        <w:t>.</w:t>
      </w:r>
    </w:p>
    <w:p w:rsidR="003D0231" w:rsidRPr="0020088D" w:rsidRDefault="00465441" w:rsidP="003D0231">
      <w:pPr>
        <w:pStyle w:val="Heading2"/>
        <w:rPr>
          <w:lang w:val="bg-BG" w:eastAsia="en-US"/>
        </w:rPr>
      </w:pPr>
      <w:r w:rsidRPr="0020088D">
        <w:rPr>
          <w:lang w:val="bg-BG" w:eastAsia="en-US"/>
        </w:rPr>
        <w:t xml:space="preserve">Дефиниция за държавни </w:t>
      </w:r>
      <w:r w:rsidR="00C00D52" w:rsidRPr="0020088D">
        <w:rPr>
          <w:lang w:val="bg-BG" w:eastAsia="en-US"/>
        </w:rPr>
        <w:t>предприятия</w:t>
      </w:r>
    </w:p>
    <w:p w:rsidR="0012216D" w:rsidRPr="0020088D" w:rsidRDefault="00465441" w:rsidP="00112839">
      <w:pPr>
        <w:pStyle w:val="BodyText"/>
        <w:rPr>
          <w:lang w:val="bg-BG"/>
        </w:rPr>
      </w:pPr>
      <w:r w:rsidRPr="0020088D">
        <w:rPr>
          <w:lang w:val="bg-BG" w:eastAsia="en-US"/>
        </w:rPr>
        <w:t xml:space="preserve">Моля да дефинирате критериите, които Ви карат да включите </w:t>
      </w:r>
      <w:r w:rsidR="00D95978" w:rsidRPr="0020088D">
        <w:rPr>
          <w:lang w:val="bg-BG" w:eastAsia="en-US"/>
        </w:rPr>
        <w:t>предприятие</w:t>
      </w:r>
      <w:r w:rsidRPr="0020088D">
        <w:rPr>
          <w:lang w:val="bg-BG" w:eastAsia="en-US"/>
        </w:rPr>
        <w:t xml:space="preserve"> във Вашето докладване като държавно предприятие </w:t>
      </w:r>
      <w:r w:rsidR="003D0231" w:rsidRPr="0020088D">
        <w:rPr>
          <w:lang w:val="bg-BG" w:eastAsia="en-US"/>
        </w:rPr>
        <w:t>(</w:t>
      </w:r>
      <w:r w:rsidRPr="0020088D">
        <w:rPr>
          <w:lang w:val="bg-BG" w:eastAsia="en-US"/>
        </w:rPr>
        <w:t>или предприятие с миноритарно държавно участие</w:t>
      </w:r>
      <w:r w:rsidR="003D0231" w:rsidRPr="0020088D">
        <w:rPr>
          <w:lang w:val="bg-BG" w:eastAsia="en-US"/>
        </w:rPr>
        <w:t xml:space="preserve">). </w:t>
      </w:r>
      <w:r w:rsidR="00D95978" w:rsidRPr="0020088D">
        <w:rPr>
          <w:lang w:val="bg-BG" w:eastAsia="en-US"/>
        </w:rPr>
        <w:t>Някои ДП, притежавани от определени части от държавния сектор, изключени ли са от Вашето докладване, тъй като не сте могли да получите данни за тях</w:t>
      </w:r>
      <w:r w:rsidR="003D0231" w:rsidRPr="0020088D">
        <w:rPr>
          <w:lang w:val="bg-BG" w:eastAsia="en-US"/>
        </w:rPr>
        <w:t xml:space="preserve">? </w:t>
      </w:r>
      <w:r w:rsidR="00D95978" w:rsidRPr="0020088D">
        <w:rPr>
          <w:lang w:val="bg-BG" w:eastAsia="en-US"/>
        </w:rPr>
        <w:t xml:space="preserve">Ако да, моля да дадете подробности. </w:t>
      </w:r>
      <w:r w:rsidR="00192657" w:rsidRPr="0020088D">
        <w:rPr>
          <w:lang w:val="bg-BG" w:eastAsia="en-US"/>
        </w:rPr>
        <w:t xml:space="preserve">Очаква се държавите да включат в докладването си за целите на въпросника всяко дружество, което </w:t>
      </w:r>
      <w:r w:rsidR="00192657" w:rsidRPr="0020088D">
        <w:rPr>
          <w:rFonts w:ascii="TimesNewRoman,Italic" w:hAnsi="TimesNewRoman,Italic" w:cs="TimesNewRoman,Italic"/>
          <w:i/>
          <w:iCs/>
          <w:lang w:val="bg-BG" w:eastAsia="en-US"/>
        </w:rPr>
        <w:t xml:space="preserve">“(1) </w:t>
      </w:r>
      <w:r w:rsidR="00192657" w:rsidRPr="0020088D">
        <w:rPr>
          <w:i/>
          <w:iCs/>
          <w:lang w:val="bg-BG" w:eastAsia="en-US"/>
        </w:rPr>
        <w:t>се контролира</w:t>
      </w:r>
      <w:r w:rsidR="00192657" w:rsidRPr="0020088D">
        <w:rPr>
          <w:rFonts w:ascii="TimesNewRoman,Italic" w:hAnsi="TimesNewRoman,Italic" w:cs="TimesNewRoman,Italic"/>
          <w:i/>
          <w:iCs/>
          <w:lang w:val="bg-BG" w:eastAsia="en-US"/>
        </w:rPr>
        <w:t xml:space="preserve"> </w:t>
      </w:r>
      <w:r w:rsidR="00192657" w:rsidRPr="0020088D">
        <w:rPr>
          <w:lang w:val="bg-BG" w:eastAsia="en-US"/>
        </w:rPr>
        <w:t xml:space="preserve">от друга публична единица; и (2) е пазарен производител. </w:t>
      </w:r>
      <w:r w:rsidR="00112839" w:rsidRPr="0020088D">
        <w:rPr>
          <w:lang w:val="bg-BG"/>
        </w:rPr>
        <w:t>Контролът се дефинира като способност за определяне на общата политика или програма на институционалната единица. Дефиницията за „пазарен производител” зависи от отделна оценка за това дали институционалната единица начислява или не начислява „икономически значими цени”.” Изключили ли сте такива предприятия от Вашето докладване</w:t>
      </w:r>
      <w:r w:rsidR="003D0231" w:rsidRPr="0020088D">
        <w:rPr>
          <w:lang w:val="bg-BG" w:eastAsia="en-US"/>
        </w:rPr>
        <w:t xml:space="preserve">? </w:t>
      </w:r>
      <w:r w:rsidR="00112839" w:rsidRPr="0020088D">
        <w:rPr>
          <w:lang w:val="bg-BG" w:eastAsia="en-US"/>
        </w:rPr>
        <w:t xml:space="preserve">По-конкретно, отразени ли са напълно дружествата, създадени със закон </w:t>
      </w:r>
      <w:r w:rsidR="003D0231" w:rsidRPr="0020088D">
        <w:rPr>
          <w:lang w:val="bg-BG" w:eastAsia="en-US"/>
        </w:rPr>
        <w:t>(</w:t>
      </w:r>
      <w:r w:rsidR="00112839" w:rsidRPr="0020088D">
        <w:rPr>
          <w:lang w:val="bg-BG" w:eastAsia="en-US"/>
        </w:rPr>
        <w:t>субекти, които оперират съгласно своя собствена правна рамка)</w:t>
      </w:r>
      <w:r w:rsidR="002055FF" w:rsidRPr="0020088D">
        <w:rPr>
          <w:lang w:val="bg-BG" w:eastAsia="en-US"/>
        </w:rPr>
        <w:t>,</w:t>
      </w:r>
      <w:r w:rsidR="00112839" w:rsidRPr="0020088D">
        <w:rPr>
          <w:lang w:val="bg-BG" w:eastAsia="en-US"/>
        </w:rPr>
        <w:t xml:space="preserve"> и квазипредприятия</w:t>
      </w:r>
      <w:r w:rsidR="001D0683" w:rsidRPr="0020088D">
        <w:rPr>
          <w:lang w:val="bg-BG" w:eastAsia="en-US"/>
        </w:rPr>
        <w:t>та</w:t>
      </w:r>
      <w:r w:rsidR="003D0231" w:rsidRPr="0020088D">
        <w:rPr>
          <w:lang w:val="bg-BG" w:eastAsia="en-US"/>
        </w:rPr>
        <w:t xml:space="preserve"> (</w:t>
      </w:r>
      <w:r w:rsidR="002055FF" w:rsidRPr="0020088D">
        <w:rPr>
          <w:lang w:val="bg-BG" w:eastAsia="en-US"/>
        </w:rPr>
        <w:t>единици на равнище държавно управление, участващи в търговски дейности</w:t>
      </w:r>
      <w:r w:rsidR="003D0231" w:rsidRPr="0020088D">
        <w:rPr>
          <w:lang w:val="bg-BG" w:eastAsia="en-US"/>
        </w:rPr>
        <w:t xml:space="preserve">)? </w:t>
      </w:r>
      <w:r w:rsidR="002055FF" w:rsidRPr="0020088D">
        <w:rPr>
          <w:lang w:val="bg-BG" w:eastAsia="en-US"/>
        </w:rPr>
        <w:t>Моля посочете подробности.</w:t>
      </w:r>
    </w:p>
    <w:p w:rsidR="003D0231" w:rsidRPr="0020088D" w:rsidRDefault="00EF6ADC" w:rsidP="003D0231">
      <w:pPr>
        <w:pStyle w:val="Heading2"/>
        <w:rPr>
          <w:lang w:val="bg-BG" w:eastAsia="en-US"/>
        </w:rPr>
      </w:pPr>
      <w:r w:rsidRPr="0020088D">
        <w:rPr>
          <w:lang w:val="bg-BG" w:eastAsia="en-US"/>
        </w:rPr>
        <w:t>Консолидация и степен на собственост</w:t>
      </w:r>
    </w:p>
    <w:p w:rsidR="0012216D" w:rsidRPr="0020088D" w:rsidRDefault="00783F01" w:rsidP="009F5967">
      <w:pPr>
        <w:pStyle w:val="BodyText"/>
        <w:rPr>
          <w:lang w:val="bg-BG" w:eastAsia="en-US"/>
        </w:rPr>
      </w:pPr>
      <w:r w:rsidRPr="0020088D">
        <w:rPr>
          <w:lang w:val="bg-BG" w:eastAsia="en-US"/>
        </w:rPr>
        <w:t>Моля дайте подробности за използваната методология</w:t>
      </w:r>
      <w:r w:rsidR="007046A4" w:rsidRPr="0020088D">
        <w:rPr>
          <w:lang w:val="bg-BG" w:eastAsia="en-US"/>
        </w:rPr>
        <w:t xml:space="preserve"> за докладване </w:t>
      </w:r>
      <w:r w:rsidR="001D0683" w:rsidRPr="0020088D">
        <w:rPr>
          <w:lang w:val="bg-BG" w:eastAsia="en-US"/>
        </w:rPr>
        <w:t>н</w:t>
      </w:r>
      <w:r w:rsidR="007046A4" w:rsidRPr="0020088D">
        <w:rPr>
          <w:lang w:val="bg-BG" w:eastAsia="en-US"/>
        </w:rPr>
        <w:t>а</w:t>
      </w:r>
      <w:r w:rsidRPr="0020088D">
        <w:rPr>
          <w:lang w:val="bg-BG" w:eastAsia="en-US"/>
        </w:rPr>
        <w:t xml:space="preserve"> дружества, </w:t>
      </w:r>
      <w:r w:rsidR="001A0936" w:rsidRPr="0020088D">
        <w:rPr>
          <w:lang w:val="bg-BG" w:eastAsia="en-US"/>
        </w:rPr>
        <w:t>притежавани чрез каскадни участия, притежавани съвместно от различ</w:t>
      </w:r>
      <w:r w:rsidR="001D0683" w:rsidRPr="0020088D">
        <w:rPr>
          <w:lang w:val="bg-BG" w:eastAsia="en-US"/>
        </w:rPr>
        <w:t>ни</w:t>
      </w:r>
      <w:r w:rsidR="001A0936" w:rsidRPr="0020088D">
        <w:rPr>
          <w:lang w:val="bg-BG" w:eastAsia="en-US"/>
        </w:rPr>
        <w:t xml:space="preserve"> части на държавния сектор или включващи собственост на различни равнища на управление. По какъв начин разделената собственост засяга праговете за докладване от </w:t>
      </w:r>
      <w:r w:rsidR="003D0231" w:rsidRPr="0020088D">
        <w:rPr>
          <w:lang w:val="bg-BG" w:eastAsia="en-US"/>
        </w:rPr>
        <w:t xml:space="preserve">10% </w:t>
      </w:r>
      <w:r w:rsidR="001A0936" w:rsidRPr="0020088D">
        <w:rPr>
          <w:lang w:val="bg-BG" w:eastAsia="en-US"/>
        </w:rPr>
        <w:t>и 50%</w:t>
      </w:r>
      <w:r w:rsidR="003D0231" w:rsidRPr="0020088D">
        <w:rPr>
          <w:lang w:val="bg-BG" w:eastAsia="en-US"/>
        </w:rPr>
        <w:t xml:space="preserve">? </w:t>
      </w:r>
      <w:r w:rsidR="001A0936" w:rsidRPr="0020088D">
        <w:rPr>
          <w:lang w:val="bg-BG" w:eastAsia="en-US"/>
        </w:rPr>
        <w:t>Как това се отразява на докладвания брой и стойности</w:t>
      </w:r>
      <w:r w:rsidR="003D0231" w:rsidRPr="0020088D">
        <w:rPr>
          <w:lang w:val="bg-BG" w:eastAsia="en-US"/>
        </w:rPr>
        <w:t>?</w:t>
      </w:r>
    </w:p>
    <w:p w:rsidR="003D0231" w:rsidRPr="0020088D" w:rsidRDefault="00EF6ADC" w:rsidP="003D0231">
      <w:pPr>
        <w:pStyle w:val="Heading2"/>
        <w:rPr>
          <w:lang w:val="bg-BG" w:eastAsia="en-US"/>
        </w:rPr>
      </w:pPr>
      <w:r w:rsidRPr="0020088D">
        <w:rPr>
          <w:lang w:val="bg-BG" w:eastAsia="en-US"/>
        </w:rPr>
        <w:t>Методи на оценка</w:t>
      </w:r>
    </w:p>
    <w:p w:rsidR="0012216D" w:rsidRPr="0020088D" w:rsidRDefault="001A0936" w:rsidP="009F5967">
      <w:pPr>
        <w:pStyle w:val="BodyText"/>
        <w:rPr>
          <w:lang w:val="bg-BG" w:eastAsia="en-US"/>
        </w:rPr>
      </w:pPr>
      <w:r w:rsidRPr="0020088D">
        <w:rPr>
          <w:lang w:val="bg-BG" w:eastAsia="en-US"/>
        </w:rPr>
        <w:t xml:space="preserve">Моля дайте подробности за използваните методи на оценка, включително разлики между  оценката на листвани на борсата ДП, нелиствани на борсата ДП и дружества, създадени със закон </w:t>
      </w:r>
      <w:r w:rsidR="003D0231" w:rsidRPr="0020088D">
        <w:rPr>
          <w:lang w:val="bg-BG" w:eastAsia="en-US"/>
        </w:rPr>
        <w:t>(</w:t>
      </w:r>
      <w:r w:rsidRPr="0020088D">
        <w:rPr>
          <w:lang w:val="bg-BG" w:eastAsia="en-US"/>
        </w:rPr>
        <w:t>или, ако е приложимо, ДП, които са в процес на приватизация</w:t>
      </w:r>
      <w:r w:rsidR="003D0231" w:rsidRPr="0020088D">
        <w:rPr>
          <w:lang w:val="bg-BG" w:eastAsia="en-US"/>
        </w:rPr>
        <w:t>).</w:t>
      </w:r>
    </w:p>
    <w:p w:rsidR="003D0231" w:rsidRPr="0020088D" w:rsidRDefault="001A0936" w:rsidP="003D0231">
      <w:pPr>
        <w:pStyle w:val="Heading2"/>
        <w:rPr>
          <w:lang w:val="bg-BG" w:eastAsia="en-US"/>
        </w:rPr>
      </w:pPr>
      <w:r w:rsidRPr="0020088D">
        <w:rPr>
          <w:lang w:val="bg-BG" w:eastAsia="en-US"/>
        </w:rPr>
        <w:t xml:space="preserve">Листвани на борсата </w:t>
      </w:r>
      <w:r w:rsidR="00C00D52" w:rsidRPr="0020088D">
        <w:rPr>
          <w:lang w:val="bg-BG" w:eastAsia="en-US"/>
        </w:rPr>
        <w:t>предприятия</w:t>
      </w:r>
    </w:p>
    <w:p w:rsidR="003C640F" w:rsidRPr="0020088D" w:rsidRDefault="001A0936" w:rsidP="009F5967">
      <w:pPr>
        <w:pStyle w:val="BodyText"/>
        <w:rPr>
          <w:lang w:val="bg-BG" w:eastAsia="en-US"/>
        </w:rPr>
      </w:pPr>
      <w:r w:rsidRPr="0020088D">
        <w:rPr>
          <w:lang w:val="bg-BG" w:eastAsia="en-US"/>
        </w:rPr>
        <w:t>Моля дайте подробности за методологията и дефинициите, обуславящи Вашия избор на предприятия за докладван, включително видовете собствен капитал в държавната собственост и степента, до която инвестицията на самостоятелни държавни органи</w:t>
      </w:r>
      <w:r w:rsidR="003D0231" w:rsidRPr="0020088D">
        <w:rPr>
          <w:lang w:val="bg-BG" w:eastAsia="en-US"/>
        </w:rPr>
        <w:t xml:space="preserve"> (</w:t>
      </w:r>
      <w:r w:rsidRPr="0020088D">
        <w:rPr>
          <w:lang w:val="bg-BG" w:eastAsia="en-US"/>
        </w:rPr>
        <w:t>напр. публични инвестиционни или пенсионни фондове</w:t>
      </w:r>
      <w:r w:rsidR="003D0231" w:rsidRPr="0020088D">
        <w:rPr>
          <w:lang w:val="bg-BG" w:eastAsia="en-US"/>
        </w:rPr>
        <w:t xml:space="preserve">) </w:t>
      </w:r>
      <w:r w:rsidRPr="0020088D">
        <w:rPr>
          <w:lang w:val="bg-BG" w:eastAsia="en-US"/>
        </w:rPr>
        <w:t>са включени в докладваните дялове на собственост.</w:t>
      </w:r>
    </w:p>
    <w:p w:rsidR="003C640F" w:rsidRPr="0020088D" w:rsidRDefault="003C640F" w:rsidP="003C640F">
      <w:pPr>
        <w:pStyle w:val="Num-DocParagraph"/>
        <w:rPr>
          <w:lang w:val="bg-BG" w:eastAsia="en-US"/>
        </w:rPr>
      </w:pPr>
      <w:r w:rsidRPr="0020088D">
        <w:rPr>
          <w:lang w:val="bg-BG" w:eastAsia="en-US"/>
        </w:rPr>
        <w:br w:type="page"/>
      </w:r>
    </w:p>
    <w:p w:rsidR="00346CB2" w:rsidRPr="0020088D" w:rsidRDefault="00AF3B93" w:rsidP="003C640F">
      <w:pPr>
        <w:pStyle w:val="Heading1"/>
        <w:rPr>
          <w:lang w:val="bg-BG" w:eastAsia="en-US"/>
        </w:rPr>
      </w:pPr>
      <w:bookmarkStart w:id="6" w:name="_Toc521484063"/>
      <w:r w:rsidRPr="0020088D">
        <w:rPr>
          <w:lang w:val="bg-BG" w:eastAsia="en-US"/>
        </w:rPr>
        <w:lastRenderedPageBreak/>
        <w:t xml:space="preserve">ПРИЛОЖЕНИЕ </w:t>
      </w:r>
      <w:r w:rsidR="003C640F" w:rsidRPr="0020088D">
        <w:rPr>
          <w:lang w:val="bg-BG" w:eastAsia="en-US"/>
        </w:rPr>
        <w:t>1</w:t>
      </w:r>
      <w:bookmarkStart w:id="7" w:name="_GoBack"/>
      <w:bookmarkEnd w:id="7"/>
      <w:r w:rsidR="003C640F" w:rsidRPr="0020088D">
        <w:rPr>
          <w:lang w:val="bg-BG" w:eastAsia="en-US"/>
        </w:rPr>
        <w:t xml:space="preserve">: </w:t>
      </w:r>
      <w:r w:rsidRPr="0020088D">
        <w:rPr>
          <w:lang w:val="bg-BG" w:eastAsia="en-US"/>
        </w:rPr>
        <w:t>ДЕФИНИЦИЯ ЗА КВАЗИПРЕДПРИЯ</w:t>
      </w:r>
      <w:r w:rsidR="008347E5" w:rsidRPr="0020088D">
        <w:rPr>
          <w:lang w:val="bg-BG" w:eastAsia="en-US"/>
        </w:rPr>
        <w:t>ТИЯ</w:t>
      </w:r>
      <w:r w:rsidRPr="0020088D">
        <w:rPr>
          <w:lang w:val="bg-BG" w:eastAsia="en-US"/>
        </w:rPr>
        <w:t xml:space="preserve"> СЪГЛАСНО СИСТЕМАТА </w:t>
      </w:r>
      <w:r w:rsidR="001D0683" w:rsidRPr="0020088D">
        <w:rPr>
          <w:lang w:val="bg-BG" w:eastAsia="en-US"/>
        </w:rPr>
        <w:t>Н</w:t>
      </w:r>
      <w:r w:rsidRPr="0020088D">
        <w:rPr>
          <w:lang w:val="bg-BG" w:eastAsia="en-US"/>
        </w:rPr>
        <w:t>А НАЦИОНАЛНИ СМЕТКИ</w:t>
      </w:r>
      <w:bookmarkEnd w:id="6"/>
    </w:p>
    <w:tbl>
      <w:tblPr>
        <w:tblStyle w:val="TableGrid"/>
        <w:tblW w:w="0" w:type="auto"/>
        <w:tblLook w:val="04A0" w:firstRow="1" w:lastRow="0" w:firstColumn="1" w:lastColumn="0" w:noHBand="0" w:noVBand="1"/>
      </w:tblPr>
      <w:tblGrid>
        <w:gridCol w:w="9242"/>
      </w:tblGrid>
      <w:tr w:rsidR="00890915" w:rsidRPr="0020088D" w:rsidTr="00890915">
        <w:tc>
          <w:tcPr>
            <w:tcW w:w="9242" w:type="dxa"/>
          </w:tcPr>
          <w:p w:rsidR="00890915" w:rsidRPr="0020088D" w:rsidRDefault="00890915" w:rsidP="00890915">
            <w:pPr>
              <w:pStyle w:val="Num-DocParagraph"/>
              <w:rPr>
                <w:sz w:val="18"/>
                <w:szCs w:val="18"/>
                <w:lang w:val="bg-BG" w:eastAsia="en-US"/>
              </w:rPr>
            </w:pPr>
          </w:p>
          <w:p w:rsidR="00B2439D" w:rsidRPr="0020088D" w:rsidRDefault="00B2439D" w:rsidP="00890915">
            <w:pPr>
              <w:pStyle w:val="Num-DocParagraph"/>
              <w:rPr>
                <w:sz w:val="18"/>
                <w:szCs w:val="18"/>
                <w:lang w:val="bg-BG" w:eastAsia="en-US"/>
              </w:rPr>
            </w:pPr>
            <w:r w:rsidRPr="0020088D">
              <w:rPr>
                <w:b/>
                <w:sz w:val="18"/>
                <w:szCs w:val="18"/>
                <w:lang w:val="bg-BG" w:eastAsia="en-US"/>
              </w:rPr>
              <w:t>4.120</w:t>
            </w:r>
            <w:r w:rsidRPr="0020088D">
              <w:rPr>
                <w:sz w:val="18"/>
                <w:szCs w:val="18"/>
                <w:lang w:val="bg-BG" w:eastAsia="en-US"/>
              </w:rPr>
              <w:t xml:space="preserve"> </w:t>
            </w:r>
            <w:r w:rsidR="00FE6A9B" w:rsidRPr="0020088D">
              <w:rPr>
                <w:sz w:val="18"/>
                <w:szCs w:val="18"/>
                <w:lang w:val="bg-BG" w:eastAsia="en-US"/>
              </w:rPr>
              <w:t xml:space="preserve">Когато държавна единица </w:t>
            </w:r>
            <w:r w:rsidR="00253729" w:rsidRPr="0020088D">
              <w:rPr>
                <w:sz w:val="18"/>
                <w:szCs w:val="18"/>
                <w:lang w:val="bg-BG" w:eastAsia="en-US"/>
              </w:rPr>
              <w:t xml:space="preserve">желае </w:t>
            </w:r>
            <w:r w:rsidR="00793C65" w:rsidRPr="0020088D">
              <w:rPr>
                <w:sz w:val="18"/>
                <w:szCs w:val="18"/>
                <w:lang w:val="bg-BG" w:eastAsia="en-US"/>
              </w:rPr>
              <w:t>да се намесва в сферата на производството, тя има три възможности</w:t>
            </w:r>
            <w:r w:rsidRPr="0020088D">
              <w:rPr>
                <w:sz w:val="18"/>
                <w:szCs w:val="18"/>
                <w:lang w:val="bg-BG" w:eastAsia="en-US"/>
              </w:rPr>
              <w:t xml:space="preserve">: </w:t>
            </w:r>
          </w:p>
          <w:p w:rsidR="00B2439D" w:rsidRPr="0020088D" w:rsidRDefault="00B2439D" w:rsidP="00B2439D">
            <w:pPr>
              <w:pStyle w:val="Num-DocParagraph"/>
              <w:ind w:left="720"/>
              <w:rPr>
                <w:sz w:val="18"/>
                <w:szCs w:val="18"/>
                <w:lang w:val="bg-BG" w:eastAsia="en-US"/>
              </w:rPr>
            </w:pPr>
            <w:r w:rsidRPr="0020088D">
              <w:rPr>
                <w:sz w:val="18"/>
                <w:szCs w:val="18"/>
                <w:lang w:val="bg-BG" w:eastAsia="en-US"/>
              </w:rPr>
              <w:t xml:space="preserve">a. </w:t>
            </w:r>
            <w:r w:rsidR="00793C65" w:rsidRPr="0020088D">
              <w:rPr>
                <w:sz w:val="18"/>
                <w:szCs w:val="18"/>
                <w:lang w:val="bg-BG" w:eastAsia="en-US"/>
              </w:rPr>
              <w:t xml:space="preserve">може да създаде публично дружество, чиято корпоративна политика, включително ценообразуване и инвестиции, </w:t>
            </w:r>
            <w:r w:rsidR="00BA5FC0" w:rsidRPr="0020088D">
              <w:rPr>
                <w:sz w:val="18"/>
                <w:szCs w:val="18"/>
                <w:lang w:val="bg-BG" w:eastAsia="en-US"/>
              </w:rPr>
              <w:t xml:space="preserve">да </w:t>
            </w:r>
            <w:r w:rsidR="00793C65" w:rsidRPr="0020088D">
              <w:rPr>
                <w:sz w:val="18"/>
                <w:szCs w:val="18"/>
                <w:lang w:val="bg-BG" w:eastAsia="en-US"/>
              </w:rPr>
              <w:t>може да контролира</w:t>
            </w:r>
            <w:r w:rsidRPr="0020088D">
              <w:rPr>
                <w:sz w:val="18"/>
                <w:szCs w:val="18"/>
                <w:lang w:val="bg-BG" w:eastAsia="en-US"/>
              </w:rPr>
              <w:t xml:space="preserve">; </w:t>
            </w:r>
          </w:p>
          <w:p w:rsidR="00E67A59" w:rsidRPr="0020088D" w:rsidRDefault="00E67A59" w:rsidP="00B2439D">
            <w:pPr>
              <w:pStyle w:val="Num-DocParagraph"/>
              <w:ind w:left="720"/>
              <w:rPr>
                <w:sz w:val="18"/>
                <w:szCs w:val="18"/>
                <w:lang w:val="bg-BG" w:eastAsia="en-US"/>
              </w:rPr>
            </w:pPr>
            <w:r w:rsidRPr="0020088D">
              <w:rPr>
                <w:sz w:val="18"/>
                <w:szCs w:val="18"/>
                <w:lang w:val="bg-BG" w:eastAsia="en-US"/>
              </w:rPr>
              <w:t xml:space="preserve">b. </w:t>
            </w:r>
            <w:r w:rsidR="00BA5FC0" w:rsidRPr="0020088D">
              <w:rPr>
                <w:sz w:val="18"/>
                <w:szCs w:val="18"/>
                <w:lang w:val="bg-BG" w:eastAsia="en-US"/>
              </w:rPr>
              <w:t>може да създаде институция с нестопанска цел (ИНЦ), която да контролира</w:t>
            </w:r>
            <w:r w:rsidR="00B2439D" w:rsidRPr="0020088D">
              <w:rPr>
                <w:sz w:val="18"/>
                <w:szCs w:val="18"/>
                <w:lang w:val="bg-BG" w:eastAsia="en-US"/>
              </w:rPr>
              <w:t xml:space="preserve">; </w:t>
            </w:r>
          </w:p>
          <w:p w:rsidR="00B2439D" w:rsidRPr="0020088D" w:rsidRDefault="00B2439D" w:rsidP="00B2439D">
            <w:pPr>
              <w:pStyle w:val="Num-DocParagraph"/>
              <w:ind w:left="720"/>
              <w:rPr>
                <w:sz w:val="18"/>
                <w:szCs w:val="18"/>
                <w:lang w:val="bg-BG" w:eastAsia="en-US"/>
              </w:rPr>
            </w:pPr>
            <w:r w:rsidRPr="0020088D">
              <w:rPr>
                <w:sz w:val="18"/>
                <w:szCs w:val="18"/>
                <w:lang w:val="bg-BG" w:eastAsia="en-US"/>
              </w:rPr>
              <w:t xml:space="preserve">c. </w:t>
            </w:r>
            <w:r w:rsidR="00BA5FC0" w:rsidRPr="0020088D">
              <w:rPr>
                <w:sz w:val="18"/>
                <w:szCs w:val="18"/>
                <w:lang w:val="bg-BG" w:eastAsia="en-US"/>
              </w:rPr>
              <w:t>може да произведе стоките или услугите сама в образувание, което притежава, но което не съществува като отделно  юридическо лице от самата държавна единица</w:t>
            </w:r>
            <w:r w:rsidRPr="0020088D">
              <w:rPr>
                <w:sz w:val="18"/>
                <w:szCs w:val="18"/>
                <w:lang w:val="bg-BG" w:eastAsia="en-US"/>
              </w:rPr>
              <w:t xml:space="preserve">. </w:t>
            </w:r>
          </w:p>
          <w:p w:rsidR="0084324C" w:rsidRPr="0020088D" w:rsidRDefault="00B2439D" w:rsidP="00890915">
            <w:pPr>
              <w:pStyle w:val="Num-DocParagraph"/>
              <w:rPr>
                <w:sz w:val="18"/>
                <w:szCs w:val="18"/>
                <w:lang w:val="bg-BG" w:eastAsia="en-US"/>
              </w:rPr>
            </w:pPr>
            <w:r w:rsidRPr="0020088D">
              <w:rPr>
                <w:b/>
                <w:sz w:val="18"/>
                <w:szCs w:val="18"/>
                <w:lang w:val="bg-BG" w:eastAsia="en-US"/>
              </w:rPr>
              <w:t>4.121</w:t>
            </w:r>
            <w:r w:rsidRPr="0020088D">
              <w:rPr>
                <w:sz w:val="18"/>
                <w:szCs w:val="18"/>
                <w:lang w:val="bg-BG" w:eastAsia="en-US"/>
              </w:rPr>
              <w:t xml:space="preserve"> </w:t>
            </w:r>
            <w:r w:rsidR="00253729" w:rsidRPr="0020088D">
              <w:rPr>
                <w:sz w:val="18"/>
                <w:szCs w:val="18"/>
                <w:lang w:val="bg-BG" w:eastAsia="en-US"/>
              </w:rPr>
              <w:t>Държавно образувание или група от образувания</w:t>
            </w:r>
            <w:r w:rsidR="004776C5" w:rsidRPr="0020088D">
              <w:rPr>
                <w:sz w:val="18"/>
                <w:szCs w:val="18"/>
                <w:lang w:val="bg-BG" w:eastAsia="en-US"/>
              </w:rPr>
              <w:t>, ангажирани</w:t>
            </w:r>
            <w:r w:rsidR="00253729" w:rsidRPr="0020088D">
              <w:rPr>
                <w:sz w:val="18"/>
                <w:szCs w:val="18"/>
                <w:lang w:val="bg-BG" w:eastAsia="en-US"/>
              </w:rPr>
              <w:t xml:space="preserve"> в един и същ вид произ</w:t>
            </w:r>
            <w:r w:rsidR="005A263F" w:rsidRPr="0020088D">
              <w:rPr>
                <w:sz w:val="18"/>
                <w:szCs w:val="18"/>
                <w:lang w:val="bg-BG" w:eastAsia="en-US"/>
              </w:rPr>
              <w:t>водство</w:t>
            </w:r>
            <w:r w:rsidR="00253729" w:rsidRPr="0020088D">
              <w:rPr>
                <w:sz w:val="18"/>
                <w:szCs w:val="18"/>
                <w:lang w:val="bg-BG" w:eastAsia="en-US"/>
              </w:rPr>
              <w:t xml:space="preserve"> под общо управление обаче следва да се третира като квазипредприятие, ако </w:t>
            </w:r>
            <w:r w:rsidR="005A263F" w:rsidRPr="0020088D">
              <w:rPr>
                <w:sz w:val="18"/>
                <w:szCs w:val="18"/>
                <w:lang w:val="bg-BG" w:eastAsia="en-US"/>
              </w:rPr>
              <w:t xml:space="preserve">отговаря на </w:t>
            </w:r>
            <w:r w:rsidR="00253729" w:rsidRPr="0020088D">
              <w:rPr>
                <w:sz w:val="18"/>
                <w:szCs w:val="18"/>
                <w:lang w:val="bg-BG" w:eastAsia="en-US"/>
              </w:rPr>
              <w:t xml:space="preserve">следните критерии: </w:t>
            </w:r>
            <w:r w:rsidRPr="0020088D">
              <w:rPr>
                <w:sz w:val="18"/>
                <w:szCs w:val="18"/>
                <w:lang w:val="bg-BG" w:eastAsia="en-US"/>
              </w:rPr>
              <w:t xml:space="preserve">  </w:t>
            </w:r>
          </w:p>
          <w:p w:rsidR="0084324C" w:rsidRPr="0020088D" w:rsidRDefault="00B2439D" w:rsidP="0084324C">
            <w:pPr>
              <w:pStyle w:val="Num-DocParagraph"/>
              <w:ind w:left="720"/>
              <w:rPr>
                <w:sz w:val="18"/>
                <w:szCs w:val="18"/>
                <w:lang w:val="bg-BG" w:eastAsia="en-US"/>
              </w:rPr>
            </w:pPr>
            <w:r w:rsidRPr="0020088D">
              <w:rPr>
                <w:sz w:val="18"/>
                <w:szCs w:val="18"/>
                <w:lang w:val="bg-BG" w:eastAsia="en-US"/>
              </w:rPr>
              <w:t xml:space="preserve">a. </w:t>
            </w:r>
            <w:r w:rsidR="005A263F" w:rsidRPr="0020088D">
              <w:rPr>
                <w:sz w:val="18"/>
                <w:szCs w:val="18"/>
                <w:lang w:val="bg-BG" w:eastAsia="en-US"/>
              </w:rPr>
              <w:t>единицата начислява цени за своите продукти, които са икономически значими</w:t>
            </w:r>
            <w:r w:rsidRPr="0020088D">
              <w:rPr>
                <w:sz w:val="18"/>
                <w:szCs w:val="18"/>
                <w:lang w:val="bg-BG" w:eastAsia="en-US"/>
              </w:rPr>
              <w:t xml:space="preserve">; </w:t>
            </w:r>
          </w:p>
          <w:p w:rsidR="0084324C" w:rsidRPr="0020088D" w:rsidRDefault="00B2439D" w:rsidP="0084324C">
            <w:pPr>
              <w:pStyle w:val="Num-DocParagraph"/>
              <w:ind w:left="720"/>
              <w:rPr>
                <w:sz w:val="18"/>
                <w:szCs w:val="18"/>
                <w:lang w:val="bg-BG" w:eastAsia="en-US"/>
              </w:rPr>
            </w:pPr>
            <w:r w:rsidRPr="0020088D">
              <w:rPr>
                <w:sz w:val="18"/>
                <w:szCs w:val="18"/>
                <w:lang w:val="bg-BG" w:eastAsia="en-US"/>
              </w:rPr>
              <w:t xml:space="preserve">b. </w:t>
            </w:r>
            <w:r w:rsidR="005A263F" w:rsidRPr="0020088D">
              <w:rPr>
                <w:sz w:val="18"/>
                <w:szCs w:val="18"/>
                <w:lang w:val="bg-BG" w:eastAsia="en-US"/>
              </w:rPr>
              <w:t xml:space="preserve">единицата се ръководи и управлява по подобен начин на дружество; и </w:t>
            </w:r>
            <w:r w:rsidRPr="0020088D">
              <w:rPr>
                <w:sz w:val="18"/>
                <w:szCs w:val="18"/>
                <w:lang w:val="bg-BG" w:eastAsia="en-US"/>
              </w:rPr>
              <w:t xml:space="preserve"> </w:t>
            </w:r>
          </w:p>
          <w:p w:rsidR="00B2439D" w:rsidRPr="0020088D" w:rsidRDefault="00B2439D" w:rsidP="0084324C">
            <w:pPr>
              <w:pStyle w:val="Num-DocParagraph"/>
              <w:ind w:left="720"/>
              <w:rPr>
                <w:sz w:val="18"/>
                <w:szCs w:val="18"/>
                <w:lang w:val="bg-BG" w:eastAsia="en-US"/>
              </w:rPr>
            </w:pPr>
            <w:r w:rsidRPr="0020088D">
              <w:rPr>
                <w:sz w:val="18"/>
                <w:szCs w:val="18"/>
                <w:lang w:val="bg-BG" w:eastAsia="en-US"/>
              </w:rPr>
              <w:t xml:space="preserve">c. </w:t>
            </w:r>
            <w:r w:rsidR="005A263F" w:rsidRPr="0020088D">
              <w:rPr>
                <w:sz w:val="18"/>
                <w:szCs w:val="18"/>
                <w:lang w:val="bg-BG" w:eastAsia="en-US"/>
              </w:rPr>
              <w:t>единицата има пълен набор от сметки, които й дават възможност да идентифицира и оцени отделно своите оперативни излишъци, икономии, активи и пасиви</w:t>
            </w:r>
            <w:r w:rsidR="00400789" w:rsidRPr="0020088D">
              <w:rPr>
                <w:sz w:val="18"/>
                <w:szCs w:val="18"/>
                <w:lang w:val="bg-BG" w:eastAsia="en-US"/>
              </w:rPr>
              <w:t xml:space="preserve">. </w:t>
            </w:r>
            <w:r w:rsidR="005A263F" w:rsidRPr="0020088D">
              <w:rPr>
                <w:sz w:val="18"/>
                <w:szCs w:val="18"/>
                <w:lang w:val="bg-BG" w:eastAsia="en-US"/>
              </w:rPr>
              <w:t>Т</w:t>
            </w:r>
            <w:r w:rsidR="004776C5" w:rsidRPr="0020088D">
              <w:rPr>
                <w:sz w:val="18"/>
                <w:szCs w:val="18"/>
                <w:lang w:val="bg-BG" w:eastAsia="en-US"/>
              </w:rPr>
              <w:t xml:space="preserve">акива </w:t>
            </w:r>
            <w:r w:rsidR="005A263F" w:rsidRPr="0020088D">
              <w:rPr>
                <w:sz w:val="18"/>
                <w:szCs w:val="18"/>
                <w:lang w:val="bg-BG" w:eastAsia="en-US"/>
              </w:rPr>
              <w:t xml:space="preserve">квазипредприятия са пазарни производители, които се третират като отделни институционални единици от държавните единици, които ги притежават. Те се класифицират, </w:t>
            </w:r>
            <w:r w:rsidR="004776C5" w:rsidRPr="0020088D">
              <w:rPr>
                <w:sz w:val="18"/>
                <w:szCs w:val="18"/>
                <w:lang w:val="bg-BG" w:eastAsia="en-US"/>
              </w:rPr>
              <w:t xml:space="preserve">определят </w:t>
            </w:r>
            <w:r w:rsidR="005A263F" w:rsidRPr="0020088D">
              <w:rPr>
                <w:sz w:val="18"/>
                <w:szCs w:val="18"/>
                <w:lang w:val="bg-BG" w:eastAsia="en-US"/>
              </w:rPr>
              <w:t>се към сектор и подсектор по същия начин</w:t>
            </w:r>
            <w:r w:rsidR="004776C5" w:rsidRPr="0020088D">
              <w:rPr>
                <w:sz w:val="18"/>
                <w:szCs w:val="18"/>
                <w:lang w:val="bg-BG" w:eastAsia="en-US"/>
              </w:rPr>
              <w:t>,</w:t>
            </w:r>
            <w:r w:rsidR="005A263F" w:rsidRPr="0020088D">
              <w:rPr>
                <w:sz w:val="18"/>
                <w:szCs w:val="18"/>
                <w:lang w:val="bg-BG" w:eastAsia="en-US"/>
              </w:rPr>
              <w:t xml:space="preserve"> както публичните предприятия</w:t>
            </w:r>
            <w:r w:rsidRPr="0020088D">
              <w:rPr>
                <w:sz w:val="18"/>
                <w:szCs w:val="18"/>
                <w:lang w:val="bg-BG" w:eastAsia="en-US"/>
              </w:rPr>
              <w:t xml:space="preserve">. </w:t>
            </w:r>
          </w:p>
          <w:p w:rsidR="00B2439D" w:rsidRPr="0020088D" w:rsidRDefault="00B2439D" w:rsidP="00890915">
            <w:pPr>
              <w:pStyle w:val="Num-DocParagraph"/>
              <w:rPr>
                <w:sz w:val="18"/>
                <w:szCs w:val="18"/>
                <w:lang w:val="bg-BG" w:eastAsia="en-US"/>
              </w:rPr>
            </w:pPr>
            <w:r w:rsidRPr="0020088D">
              <w:rPr>
                <w:b/>
                <w:sz w:val="18"/>
                <w:szCs w:val="18"/>
                <w:lang w:val="bg-BG" w:eastAsia="en-US"/>
              </w:rPr>
              <w:t>4.122</w:t>
            </w:r>
            <w:r w:rsidRPr="0020088D">
              <w:rPr>
                <w:sz w:val="18"/>
                <w:szCs w:val="18"/>
                <w:lang w:val="bg-BG" w:eastAsia="en-US"/>
              </w:rPr>
              <w:t xml:space="preserve"> </w:t>
            </w:r>
            <w:r w:rsidR="00400789" w:rsidRPr="0020088D">
              <w:rPr>
                <w:sz w:val="18"/>
                <w:szCs w:val="18"/>
                <w:lang w:val="bg-BG" w:eastAsia="en-US"/>
              </w:rPr>
              <w:t xml:space="preserve">За да бъде третирано </w:t>
            </w:r>
            <w:r w:rsidR="000D085C" w:rsidRPr="0020088D">
              <w:rPr>
                <w:sz w:val="18"/>
                <w:szCs w:val="18"/>
                <w:lang w:val="bg-BG" w:eastAsia="en-US"/>
              </w:rPr>
              <w:t>като</w:t>
            </w:r>
            <w:r w:rsidR="00400789" w:rsidRPr="0020088D">
              <w:rPr>
                <w:sz w:val="18"/>
                <w:szCs w:val="18"/>
                <w:lang w:val="bg-BG" w:eastAsia="en-US"/>
              </w:rPr>
              <w:t xml:space="preserve"> квазипредприятие, правителството трябва да позволи на ръководството на предприятието значителна дискреция не само по отношение управлението на производствения процес, но и относно използването на средства. Държавните квазипредприятия трябва да са в съ</w:t>
            </w:r>
            <w:r w:rsidR="000D085C" w:rsidRPr="0020088D">
              <w:rPr>
                <w:sz w:val="18"/>
                <w:szCs w:val="18"/>
                <w:lang w:val="bg-BG" w:eastAsia="en-US"/>
              </w:rPr>
              <w:t>с</w:t>
            </w:r>
            <w:r w:rsidR="00400789" w:rsidRPr="0020088D">
              <w:rPr>
                <w:sz w:val="18"/>
                <w:szCs w:val="18"/>
                <w:lang w:val="bg-BG" w:eastAsia="en-US"/>
              </w:rPr>
              <w:t xml:space="preserve">тояние да </w:t>
            </w:r>
            <w:r w:rsidR="000D085C" w:rsidRPr="0020088D">
              <w:rPr>
                <w:sz w:val="18"/>
                <w:szCs w:val="18"/>
                <w:lang w:val="bg-BG" w:eastAsia="en-US"/>
              </w:rPr>
              <w:t xml:space="preserve">поддържат свои собствени работни салда и бизнес кредит, и да могат да финансират някои или всички свои </w:t>
            </w:r>
            <w:proofErr w:type="spellStart"/>
            <w:r w:rsidR="000D085C" w:rsidRPr="0020088D">
              <w:rPr>
                <w:sz w:val="18"/>
                <w:szCs w:val="18"/>
                <w:lang w:val="bg-BG" w:eastAsia="en-US"/>
              </w:rPr>
              <w:t>капитало</w:t>
            </w:r>
            <w:r w:rsidR="000851A4" w:rsidRPr="0020088D">
              <w:rPr>
                <w:sz w:val="18"/>
                <w:szCs w:val="18"/>
                <w:lang w:val="bg-BG" w:eastAsia="en-US"/>
              </w:rPr>
              <w:t>образувания</w:t>
            </w:r>
            <w:proofErr w:type="spellEnd"/>
            <w:r w:rsidR="000D085C" w:rsidRPr="0020088D">
              <w:rPr>
                <w:sz w:val="18"/>
                <w:szCs w:val="18"/>
                <w:lang w:val="bg-BG" w:eastAsia="en-US"/>
              </w:rPr>
              <w:t xml:space="preserve"> </w:t>
            </w:r>
            <w:r w:rsidR="004776C5" w:rsidRPr="0020088D">
              <w:rPr>
                <w:sz w:val="18"/>
                <w:szCs w:val="18"/>
                <w:lang w:val="bg-BG" w:eastAsia="en-US"/>
              </w:rPr>
              <w:t>от</w:t>
            </w:r>
            <w:r w:rsidR="000D085C" w:rsidRPr="0020088D">
              <w:rPr>
                <w:sz w:val="18"/>
                <w:szCs w:val="18"/>
                <w:lang w:val="bg-BG" w:eastAsia="en-US"/>
              </w:rPr>
              <w:t xml:space="preserve"> своите собствени икономии, резерви от амортизационни отчисления или заемни средства. Способността за разграничаване на потоци от приходи и капитал между </w:t>
            </w:r>
            <w:proofErr w:type="spellStart"/>
            <w:r w:rsidR="000D085C" w:rsidRPr="0020088D">
              <w:rPr>
                <w:sz w:val="18"/>
                <w:szCs w:val="18"/>
                <w:lang w:val="bg-BG" w:eastAsia="en-US"/>
              </w:rPr>
              <w:t>квазипредприятия</w:t>
            </w:r>
            <w:proofErr w:type="spellEnd"/>
            <w:r w:rsidR="000D085C" w:rsidRPr="0020088D">
              <w:rPr>
                <w:sz w:val="18"/>
                <w:szCs w:val="18"/>
                <w:lang w:val="bg-BG" w:eastAsia="en-US"/>
              </w:rPr>
              <w:t xml:space="preserve"> и държавата, означава, че на практика техните оперативни и финансови дейности не са напълно интегрирани в статистиката за държавните приходи, въпреки че не са отделни юридически лица. </w:t>
            </w:r>
            <w:r w:rsidRPr="0020088D">
              <w:rPr>
                <w:sz w:val="18"/>
                <w:szCs w:val="18"/>
                <w:lang w:val="bg-BG" w:eastAsia="en-US"/>
              </w:rPr>
              <w:t xml:space="preserve"> </w:t>
            </w:r>
          </w:p>
          <w:p w:rsidR="00890915" w:rsidRPr="0020088D" w:rsidRDefault="00B2439D" w:rsidP="00890915">
            <w:pPr>
              <w:pStyle w:val="Num-DocParagraph"/>
              <w:rPr>
                <w:sz w:val="18"/>
                <w:szCs w:val="18"/>
                <w:lang w:val="bg-BG" w:eastAsia="en-US"/>
              </w:rPr>
            </w:pPr>
            <w:r w:rsidRPr="0020088D">
              <w:rPr>
                <w:b/>
                <w:sz w:val="18"/>
                <w:szCs w:val="18"/>
                <w:lang w:val="bg-BG" w:eastAsia="en-US"/>
              </w:rPr>
              <w:t>4.123</w:t>
            </w:r>
            <w:r w:rsidRPr="0020088D">
              <w:rPr>
                <w:sz w:val="18"/>
                <w:szCs w:val="18"/>
                <w:lang w:val="bg-BG" w:eastAsia="en-US"/>
              </w:rPr>
              <w:t xml:space="preserve"> </w:t>
            </w:r>
            <w:r w:rsidR="00627740" w:rsidRPr="0020088D">
              <w:rPr>
                <w:sz w:val="18"/>
                <w:szCs w:val="18"/>
                <w:lang w:val="bg-BG" w:eastAsia="en-US"/>
              </w:rPr>
              <w:t xml:space="preserve">Производствени единици на държавата, които не могат да бъдат третирани като </w:t>
            </w:r>
            <w:proofErr w:type="spellStart"/>
            <w:r w:rsidR="00627740" w:rsidRPr="0020088D">
              <w:rPr>
                <w:sz w:val="18"/>
                <w:szCs w:val="18"/>
                <w:lang w:val="bg-BG" w:eastAsia="en-US"/>
              </w:rPr>
              <w:t>квазипредприятия</w:t>
            </w:r>
            <w:proofErr w:type="spellEnd"/>
            <w:r w:rsidR="00627740" w:rsidRPr="0020088D">
              <w:rPr>
                <w:sz w:val="18"/>
                <w:szCs w:val="18"/>
                <w:lang w:val="bg-BG" w:eastAsia="en-US"/>
              </w:rPr>
              <w:t>, ка</w:t>
            </w:r>
            <w:r w:rsidR="004776C5" w:rsidRPr="0020088D">
              <w:rPr>
                <w:sz w:val="18"/>
                <w:szCs w:val="18"/>
                <w:lang w:val="bg-BG" w:eastAsia="en-US"/>
              </w:rPr>
              <w:t>квито са</w:t>
            </w:r>
            <w:r w:rsidR="00627740" w:rsidRPr="0020088D">
              <w:rPr>
                <w:sz w:val="18"/>
                <w:szCs w:val="18"/>
                <w:lang w:val="bg-BG" w:eastAsia="en-US"/>
              </w:rPr>
              <w:t xml:space="preserve">  всички </w:t>
            </w:r>
            <w:r w:rsidR="00F5275C" w:rsidRPr="0020088D">
              <w:rPr>
                <w:sz w:val="18"/>
                <w:szCs w:val="18"/>
                <w:lang w:val="bg-BG" w:eastAsia="en-US"/>
              </w:rPr>
              <w:t xml:space="preserve">неинкорпорирани </w:t>
            </w:r>
            <w:r w:rsidR="00C00D52" w:rsidRPr="0020088D">
              <w:rPr>
                <w:sz w:val="18"/>
                <w:szCs w:val="18"/>
                <w:lang w:val="bg-BG" w:eastAsia="en-US"/>
              </w:rPr>
              <w:t>предприятия</w:t>
            </w:r>
            <w:r w:rsidR="00F5275C" w:rsidRPr="0020088D">
              <w:rPr>
                <w:sz w:val="18"/>
                <w:szCs w:val="18"/>
                <w:lang w:val="bg-BG" w:eastAsia="en-US"/>
              </w:rPr>
              <w:t xml:space="preserve">, които не могат да бъдат отделени от своите собственици, остават в </w:t>
            </w:r>
            <w:r w:rsidR="000851A4" w:rsidRPr="0020088D">
              <w:rPr>
                <w:sz w:val="18"/>
                <w:szCs w:val="18"/>
                <w:lang w:val="bg-BG" w:eastAsia="en-US"/>
              </w:rPr>
              <w:t>съ</w:t>
            </w:r>
            <w:r w:rsidR="00F5275C" w:rsidRPr="0020088D">
              <w:rPr>
                <w:sz w:val="18"/>
                <w:szCs w:val="18"/>
                <w:lang w:val="bg-BG" w:eastAsia="en-US"/>
              </w:rPr>
              <w:t xml:space="preserve">щата институционална единица като собственика, в случая в сектор „Държавно управление”. Вероятно е те да </w:t>
            </w:r>
            <w:r w:rsidR="004776C5" w:rsidRPr="0020088D">
              <w:rPr>
                <w:sz w:val="18"/>
                <w:szCs w:val="18"/>
                <w:lang w:val="bg-BG" w:eastAsia="en-US"/>
              </w:rPr>
              <w:t xml:space="preserve">включват </w:t>
            </w:r>
            <w:r w:rsidR="00F5275C" w:rsidRPr="0020088D">
              <w:rPr>
                <w:sz w:val="18"/>
                <w:szCs w:val="18"/>
                <w:lang w:val="bg-BG" w:eastAsia="en-US"/>
              </w:rPr>
              <w:t xml:space="preserve">до голяма степен </w:t>
            </w:r>
            <w:r w:rsidR="000851A4" w:rsidRPr="0020088D">
              <w:rPr>
                <w:sz w:val="18"/>
                <w:szCs w:val="18"/>
                <w:lang w:val="bg-BG" w:eastAsia="en-US"/>
              </w:rPr>
              <w:t>или изцяло</w:t>
            </w:r>
            <w:r w:rsidR="004776C5" w:rsidRPr="0020088D">
              <w:rPr>
                <w:sz w:val="18"/>
                <w:szCs w:val="18"/>
                <w:lang w:val="bg-BG" w:eastAsia="en-US"/>
              </w:rPr>
              <w:t xml:space="preserve"> </w:t>
            </w:r>
            <w:r w:rsidR="00F5275C" w:rsidRPr="0020088D">
              <w:rPr>
                <w:sz w:val="18"/>
                <w:szCs w:val="18"/>
                <w:lang w:val="bg-BG" w:eastAsia="en-US"/>
              </w:rPr>
              <w:t>непазарни производители</w:t>
            </w:r>
            <w:r w:rsidRPr="0020088D">
              <w:rPr>
                <w:sz w:val="18"/>
                <w:szCs w:val="18"/>
                <w:lang w:val="bg-BG" w:eastAsia="en-US"/>
              </w:rPr>
              <w:t xml:space="preserve">: </w:t>
            </w:r>
            <w:r w:rsidR="00F5275C" w:rsidRPr="0020088D">
              <w:rPr>
                <w:sz w:val="18"/>
                <w:szCs w:val="18"/>
                <w:lang w:val="bg-BG" w:eastAsia="en-US"/>
              </w:rPr>
              <w:t>тоест, производители, чието прео</w:t>
            </w:r>
            <w:r w:rsidR="000851A4" w:rsidRPr="0020088D">
              <w:rPr>
                <w:sz w:val="18"/>
                <w:szCs w:val="18"/>
                <w:lang w:val="bg-BG" w:eastAsia="en-US"/>
              </w:rPr>
              <w:t>бладаващо или цяло производство</w:t>
            </w:r>
            <w:r w:rsidR="00F5275C" w:rsidRPr="0020088D">
              <w:rPr>
                <w:sz w:val="18"/>
                <w:szCs w:val="18"/>
                <w:lang w:val="bg-BG" w:eastAsia="en-US"/>
              </w:rPr>
              <w:t xml:space="preserve"> се доставя на други единици безвъзмездно, или на цени, които не са икономически значими. </w:t>
            </w:r>
            <w:r w:rsidR="000851A4" w:rsidRPr="0020088D">
              <w:rPr>
                <w:sz w:val="18"/>
                <w:szCs w:val="18"/>
                <w:lang w:val="bg-BG" w:eastAsia="en-US"/>
              </w:rPr>
              <w:t xml:space="preserve">Освен че предоставят непазарни стоки или услуги на широката общественост, тези единици може да включват </w:t>
            </w:r>
            <w:r w:rsidR="00580302" w:rsidRPr="0020088D">
              <w:rPr>
                <w:sz w:val="18"/>
                <w:szCs w:val="18"/>
                <w:lang w:val="bg-BG" w:eastAsia="en-US"/>
              </w:rPr>
              <w:t>държавни производители, доставящи непазарни стоки или услуги на други държавни единици за междинно потребление или бруто образуване на основен капитал</w:t>
            </w:r>
            <w:r w:rsidRPr="0020088D">
              <w:rPr>
                <w:sz w:val="18"/>
                <w:szCs w:val="18"/>
                <w:lang w:val="bg-BG" w:eastAsia="en-US"/>
              </w:rPr>
              <w:t xml:space="preserve">: </w:t>
            </w:r>
            <w:r w:rsidR="00580302" w:rsidRPr="0020088D">
              <w:rPr>
                <w:sz w:val="18"/>
                <w:szCs w:val="18"/>
                <w:lang w:val="bg-BG" w:eastAsia="en-US"/>
              </w:rPr>
              <w:t xml:space="preserve">например, </w:t>
            </w:r>
            <w:r w:rsidR="00907E70" w:rsidRPr="0020088D">
              <w:rPr>
                <w:sz w:val="18"/>
                <w:szCs w:val="18"/>
                <w:lang w:val="bg-BG" w:eastAsia="en-US"/>
              </w:rPr>
              <w:t>фабрики за муниции,</w:t>
            </w:r>
            <w:r w:rsidR="00580302" w:rsidRPr="0020088D">
              <w:rPr>
                <w:sz w:val="18"/>
                <w:szCs w:val="18"/>
                <w:lang w:val="bg-BG" w:eastAsia="en-US"/>
              </w:rPr>
              <w:t xml:space="preserve"> държавни </w:t>
            </w:r>
            <w:r w:rsidR="00907E70" w:rsidRPr="0020088D">
              <w:rPr>
                <w:sz w:val="18"/>
                <w:szCs w:val="18"/>
                <w:lang w:val="bg-BG" w:eastAsia="en-US"/>
              </w:rPr>
              <w:t>печатници,</w:t>
            </w:r>
            <w:r w:rsidR="00580302" w:rsidRPr="0020088D">
              <w:rPr>
                <w:sz w:val="18"/>
                <w:szCs w:val="18"/>
                <w:lang w:val="bg-BG" w:eastAsia="en-US"/>
              </w:rPr>
              <w:t xml:space="preserve"> транспортни агенции,</w:t>
            </w:r>
            <w:r w:rsidRPr="0020088D">
              <w:rPr>
                <w:sz w:val="18"/>
                <w:szCs w:val="18"/>
                <w:lang w:val="bg-BG" w:eastAsia="en-US"/>
              </w:rPr>
              <w:t xml:space="preserve"> </w:t>
            </w:r>
            <w:r w:rsidR="00580302" w:rsidRPr="0020088D">
              <w:rPr>
                <w:sz w:val="18"/>
                <w:szCs w:val="18"/>
                <w:lang w:val="bg-BG" w:eastAsia="en-US"/>
              </w:rPr>
              <w:t xml:space="preserve">компютърни или комуникационни агенции и т.н. </w:t>
            </w:r>
            <w:r w:rsidR="00907E70" w:rsidRPr="0020088D">
              <w:rPr>
                <w:sz w:val="18"/>
                <w:szCs w:val="18"/>
                <w:lang w:val="bg-BG" w:eastAsia="en-US"/>
              </w:rPr>
              <w:t xml:space="preserve">Възможно е обаче неинкорпорирано дружество в рамките на правителството да бъде пазарен производител. </w:t>
            </w:r>
            <w:r w:rsidR="001B7D51" w:rsidRPr="0020088D">
              <w:rPr>
                <w:sz w:val="18"/>
                <w:szCs w:val="18"/>
                <w:lang w:val="bg-BG" w:eastAsia="en-US"/>
              </w:rPr>
              <w:t xml:space="preserve">Един често цитиран пример е </w:t>
            </w:r>
            <w:r w:rsidR="00907E70" w:rsidRPr="0020088D">
              <w:rPr>
                <w:sz w:val="18"/>
                <w:szCs w:val="18"/>
                <w:lang w:val="bg-BG" w:eastAsia="en-US"/>
              </w:rPr>
              <w:t>книжарница в рамките на музей.</w:t>
            </w:r>
          </w:p>
          <w:p w:rsidR="00890915" w:rsidRPr="0020088D" w:rsidRDefault="00907E70" w:rsidP="00311A20">
            <w:pPr>
              <w:pStyle w:val="Num-DocParagraph"/>
              <w:rPr>
                <w:i/>
                <w:sz w:val="16"/>
                <w:szCs w:val="16"/>
                <w:lang w:val="bg-BG" w:eastAsia="en-US"/>
              </w:rPr>
            </w:pPr>
            <w:r w:rsidRPr="0020088D">
              <w:rPr>
                <w:i/>
                <w:sz w:val="16"/>
                <w:szCs w:val="16"/>
                <w:lang w:val="bg-BG" w:eastAsia="en-US"/>
              </w:rPr>
              <w:t>Източник</w:t>
            </w:r>
            <w:r w:rsidR="00890915" w:rsidRPr="0020088D">
              <w:rPr>
                <w:i/>
                <w:sz w:val="16"/>
                <w:szCs w:val="16"/>
                <w:lang w:val="bg-BG" w:eastAsia="en-US"/>
              </w:rPr>
              <w:t xml:space="preserve">: </w:t>
            </w:r>
            <w:r w:rsidRPr="0020088D">
              <w:rPr>
                <w:sz w:val="16"/>
                <w:szCs w:val="16"/>
                <w:lang w:val="bg-BG" w:eastAsia="en-US"/>
              </w:rPr>
              <w:t>Обединени нации</w:t>
            </w:r>
            <w:r w:rsidR="00890915" w:rsidRPr="0020088D">
              <w:rPr>
                <w:sz w:val="16"/>
                <w:szCs w:val="16"/>
                <w:lang w:val="bg-BG" w:eastAsia="en-US"/>
              </w:rPr>
              <w:t xml:space="preserve"> (2008), </w:t>
            </w:r>
            <w:r w:rsidRPr="0020088D">
              <w:rPr>
                <w:i/>
                <w:sz w:val="16"/>
                <w:szCs w:val="16"/>
                <w:lang w:val="bg-BG" w:eastAsia="en-US"/>
              </w:rPr>
              <w:t>Систе</w:t>
            </w:r>
            <w:r w:rsidR="00311A20" w:rsidRPr="0020088D">
              <w:rPr>
                <w:i/>
                <w:sz w:val="16"/>
                <w:szCs w:val="16"/>
                <w:lang w:val="bg-BG" w:eastAsia="en-US"/>
              </w:rPr>
              <w:t>ма от национални</w:t>
            </w:r>
            <w:r w:rsidRPr="0020088D">
              <w:rPr>
                <w:i/>
                <w:sz w:val="16"/>
                <w:szCs w:val="16"/>
                <w:lang w:val="bg-BG" w:eastAsia="en-US"/>
              </w:rPr>
              <w:t xml:space="preserve"> сметки </w:t>
            </w:r>
            <w:r w:rsidR="00890915" w:rsidRPr="0020088D">
              <w:rPr>
                <w:i/>
                <w:sz w:val="16"/>
                <w:szCs w:val="16"/>
                <w:lang w:val="bg-BG" w:eastAsia="en-US"/>
              </w:rPr>
              <w:t>2008</w:t>
            </w:r>
            <w:r w:rsidR="00311A20" w:rsidRPr="0020088D">
              <w:rPr>
                <w:sz w:val="16"/>
                <w:szCs w:val="16"/>
                <w:lang w:val="bg-BG" w:eastAsia="en-US"/>
              </w:rPr>
              <w:t xml:space="preserve">, Европейски общности, </w:t>
            </w:r>
            <w:r w:rsidR="001B7D51" w:rsidRPr="0020088D">
              <w:rPr>
                <w:sz w:val="16"/>
                <w:szCs w:val="16"/>
                <w:lang w:val="bg-BG" w:eastAsia="en-US"/>
              </w:rPr>
              <w:t>Международен</w:t>
            </w:r>
            <w:r w:rsidR="00311A20" w:rsidRPr="0020088D">
              <w:rPr>
                <w:sz w:val="16"/>
                <w:szCs w:val="16"/>
                <w:lang w:val="bg-BG" w:eastAsia="en-US"/>
              </w:rPr>
              <w:t xml:space="preserve"> валутен фонд, Ор</w:t>
            </w:r>
            <w:r w:rsidR="004776C5" w:rsidRPr="0020088D">
              <w:rPr>
                <w:sz w:val="16"/>
                <w:szCs w:val="16"/>
                <w:lang w:val="bg-BG" w:eastAsia="en-US"/>
              </w:rPr>
              <w:t>ганизация за</w:t>
            </w:r>
            <w:r w:rsidR="00311A20" w:rsidRPr="0020088D">
              <w:rPr>
                <w:sz w:val="16"/>
                <w:szCs w:val="16"/>
                <w:lang w:val="bg-BG" w:eastAsia="en-US"/>
              </w:rPr>
              <w:t xml:space="preserve"> икономическо сътрудничество и развитие, Обединени нации и Световна банка, Ню Йорк</w:t>
            </w:r>
            <w:r w:rsidR="00890915" w:rsidRPr="0020088D">
              <w:rPr>
                <w:sz w:val="16"/>
                <w:szCs w:val="16"/>
                <w:lang w:val="bg-BG" w:eastAsia="en-US"/>
              </w:rPr>
              <w:t>, 2009.</w:t>
            </w:r>
          </w:p>
        </w:tc>
      </w:tr>
    </w:tbl>
    <w:p w:rsidR="00890915" w:rsidRPr="0020088D" w:rsidRDefault="00890915" w:rsidP="00890915">
      <w:pPr>
        <w:pStyle w:val="Num-DocParagraph"/>
        <w:rPr>
          <w:lang w:val="bg-BG" w:eastAsia="en-US"/>
        </w:rPr>
      </w:pPr>
    </w:p>
    <w:sectPr w:rsidR="00890915" w:rsidRPr="0020088D" w:rsidSect="00464B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976" w:rsidRDefault="001C4976" w:rsidP="003D0231">
      <w:r>
        <w:separator/>
      </w:r>
    </w:p>
  </w:endnote>
  <w:endnote w:type="continuationSeparator" w:id="0">
    <w:p w:rsidR="001C4976" w:rsidRDefault="001C4976" w:rsidP="003D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3D" w:rsidRDefault="00E4513D" w:rsidP="00C34E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4513D" w:rsidRDefault="00E45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3D" w:rsidRDefault="00E4513D" w:rsidP="00C34E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282">
      <w:rPr>
        <w:rStyle w:val="PageNumber"/>
        <w:noProof/>
      </w:rPr>
      <w:t>14</w:t>
    </w:r>
    <w:r>
      <w:rPr>
        <w:rStyle w:val="PageNumber"/>
      </w:rPr>
      <w:fldChar w:fldCharType="end"/>
    </w:r>
  </w:p>
  <w:p w:rsidR="00E4513D" w:rsidRPr="002C1AA0" w:rsidRDefault="00E4513D" w:rsidP="00C34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976" w:rsidRDefault="001C4976" w:rsidP="003D0231">
      <w:r>
        <w:separator/>
      </w:r>
    </w:p>
  </w:footnote>
  <w:footnote w:type="continuationSeparator" w:id="0">
    <w:p w:rsidR="001C4976" w:rsidRDefault="001C4976" w:rsidP="003D0231">
      <w:r>
        <w:continuationSeparator/>
      </w:r>
    </w:p>
  </w:footnote>
  <w:footnote w:id="1">
    <w:p w:rsidR="00E4513D" w:rsidRDefault="00E4513D" w:rsidP="003D0231">
      <w:pPr>
        <w:pStyle w:val="FootnoteText"/>
      </w:pPr>
      <w:r>
        <w:rPr>
          <w:rStyle w:val="FootnoteReference"/>
        </w:rPr>
        <w:footnoteRef/>
      </w:r>
      <w:r>
        <w:t xml:space="preserve"> </w:t>
      </w:r>
      <w:r>
        <w:rPr>
          <w:sz w:val="16"/>
          <w:szCs w:val="16"/>
          <w:lang w:val="bg-BG"/>
        </w:rPr>
        <w:t xml:space="preserve">Броят на предприятията, служителите и оценката трябва да отразяват  ситуацията  в края на  последната година.  </w:t>
      </w:r>
      <w:r w:rsidR="00192657">
        <w:rPr>
          <w:sz w:val="16"/>
          <w:szCs w:val="16"/>
          <w:lang w:val="bg-BG"/>
        </w:rPr>
        <w:t>Всяко отклонение от тях трябва да бъде посочено ясно от отчитащата агенция.</w:t>
      </w:r>
      <w:r w:rsidR="00192657">
        <w:rPr>
          <w:sz w:val="16"/>
          <w:szCs w:val="16"/>
        </w:rPr>
        <w:t xml:space="preserve"> </w:t>
      </w:r>
    </w:p>
  </w:footnote>
  <w:footnote w:id="2">
    <w:p w:rsidR="00E4513D" w:rsidRPr="0038011E" w:rsidRDefault="00E4513D" w:rsidP="003D0231">
      <w:pPr>
        <w:pStyle w:val="FootnoteText"/>
        <w:rPr>
          <w:sz w:val="16"/>
          <w:szCs w:val="16"/>
          <w:lang w:val="bg-BG"/>
        </w:rPr>
      </w:pPr>
      <w:r w:rsidRPr="00DA689E">
        <w:rPr>
          <w:rStyle w:val="FootnoteReference"/>
        </w:rPr>
        <w:footnoteRef/>
      </w:r>
      <w:r w:rsidRPr="00DA689E">
        <w:rPr>
          <w:sz w:val="16"/>
          <w:szCs w:val="16"/>
        </w:rPr>
        <w:t xml:space="preserve"> </w:t>
      </w:r>
      <w:r>
        <w:rPr>
          <w:sz w:val="16"/>
          <w:szCs w:val="16"/>
          <w:lang w:val="bg-BG"/>
        </w:rPr>
        <w:t xml:space="preserve">Моля посочете метода на оценка и ако има и алтернативни оценки. </w:t>
      </w:r>
      <w:r w:rsidRPr="00DA689E">
        <w:rPr>
          <w:sz w:val="16"/>
          <w:szCs w:val="16"/>
        </w:rPr>
        <w:t xml:space="preserve"> </w:t>
      </w:r>
      <w:r>
        <w:rPr>
          <w:sz w:val="16"/>
          <w:szCs w:val="16"/>
          <w:lang w:val="bg-BG"/>
        </w:rPr>
        <w:t xml:space="preserve">Стойността следва да се посочва в милиони </w:t>
      </w:r>
      <w:r>
        <w:rPr>
          <w:sz w:val="16"/>
          <w:szCs w:val="16"/>
        </w:rPr>
        <w:t>USD</w:t>
      </w:r>
      <w:r>
        <w:rPr>
          <w:sz w:val="16"/>
          <w:szCs w:val="16"/>
          <w:lang w:val="bg-BG"/>
        </w:rPr>
        <w:t>.</w:t>
      </w:r>
    </w:p>
  </w:footnote>
  <w:footnote w:id="3">
    <w:p w:rsidR="00E4513D" w:rsidRDefault="00E4513D" w:rsidP="003D0231">
      <w:pPr>
        <w:pStyle w:val="FootnoteText"/>
      </w:pPr>
      <w:r w:rsidRPr="004963AD">
        <w:rPr>
          <w:rStyle w:val="FootnoteReference"/>
          <w:sz w:val="16"/>
          <w:szCs w:val="16"/>
        </w:rPr>
        <w:footnoteRef/>
      </w:r>
      <w:r w:rsidRPr="004963AD">
        <w:rPr>
          <w:sz w:val="16"/>
          <w:szCs w:val="16"/>
        </w:rPr>
        <w:t xml:space="preserve"> </w:t>
      </w:r>
      <w:r>
        <w:rPr>
          <w:sz w:val="16"/>
          <w:szCs w:val="16"/>
          <w:lang w:val="bg-BG"/>
        </w:rPr>
        <w:t>Включително производството и рафинирането на</w:t>
      </w:r>
      <w:r w:rsidRPr="004963AD">
        <w:rPr>
          <w:sz w:val="16"/>
          <w:szCs w:val="16"/>
        </w:rPr>
        <w:t xml:space="preserve"> </w:t>
      </w:r>
      <w:r>
        <w:rPr>
          <w:sz w:val="16"/>
          <w:szCs w:val="16"/>
          <w:lang w:val="bg-BG"/>
        </w:rPr>
        <w:t>въглеводороди</w:t>
      </w:r>
      <w:r w:rsidRPr="004963AD">
        <w:rPr>
          <w:sz w:val="16"/>
          <w:szCs w:val="16"/>
        </w:rPr>
        <w:t>.</w:t>
      </w:r>
      <w:r>
        <w:t xml:space="preserve"> </w:t>
      </w:r>
    </w:p>
  </w:footnote>
  <w:footnote w:id="4">
    <w:p w:rsidR="00E4513D" w:rsidRDefault="00E4513D" w:rsidP="003D0231">
      <w:pPr>
        <w:pStyle w:val="FootnoteText"/>
      </w:pPr>
      <w:r>
        <w:rPr>
          <w:rStyle w:val="FootnoteReference"/>
        </w:rPr>
        <w:footnoteRef/>
      </w:r>
      <w:r>
        <w:t xml:space="preserve"> </w:t>
      </w:r>
      <w:r>
        <w:rPr>
          <w:sz w:val="16"/>
          <w:szCs w:val="16"/>
          <w:lang w:val="bg-BG"/>
        </w:rPr>
        <w:t xml:space="preserve">Броят на предприятията, служителите и оценката трябва да отразяват  ситуацията  в края на  последната година.  </w:t>
      </w:r>
      <w:r w:rsidR="00192657">
        <w:rPr>
          <w:sz w:val="16"/>
          <w:szCs w:val="16"/>
          <w:lang w:val="bg-BG"/>
        </w:rPr>
        <w:t>Всяко отклонение от тях трябва да бъде посочено ясно от отчитащата агенция</w:t>
      </w:r>
      <w:r w:rsidR="00192657">
        <w:rPr>
          <w:sz w:val="16"/>
          <w:szCs w:val="16"/>
        </w:rPr>
        <w:t xml:space="preserve">. </w:t>
      </w:r>
    </w:p>
  </w:footnote>
  <w:footnote w:id="5">
    <w:p w:rsidR="00E4513D" w:rsidRPr="00DA689E" w:rsidRDefault="00E4513D" w:rsidP="003D0231">
      <w:pPr>
        <w:pStyle w:val="FootnoteText"/>
        <w:rPr>
          <w:sz w:val="16"/>
          <w:szCs w:val="16"/>
        </w:rPr>
      </w:pPr>
      <w:r w:rsidRPr="00DA689E">
        <w:rPr>
          <w:rStyle w:val="FootnoteReference"/>
        </w:rPr>
        <w:footnoteRef/>
      </w:r>
      <w:r w:rsidRPr="00DA689E">
        <w:rPr>
          <w:sz w:val="16"/>
          <w:szCs w:val="16"/>
        </w:rPr>
        <w:t xml:space="preserve"> </w:t>
      </w:r>
      <w:r>
        <w:rPr>
          <w:sz w:val="16"/>
          <w:szCs w:val="16"/>
          <w:lang w:val="bg-BG"/>
        </w:rPr>
        <w:t xml:space="preserve">Моля посочете метода на оценка и ако има и алтернативни оценки. </w:t>
      </w:r>
      <w:r w:rsidRPr="00DA689E">
        <w:rPr>
          <w:sz w:val="16"/>
          <w:szCs w:val="16"/>
        </w:rPr>
        <w:t xml:space="preserve"> </w:t>
      </w:r>
      <w:r>
        <w:rPr>
          <w:sz w:val="16"/>
          <w:szCs w:val="16"/>
          <w:lang w:val="bg-BG"/>
        </w:rPr>
        <w:t xml:space="preserve">Стойността следва да се посочва в милиони </w:t>
      </w:r>
      <w:r>
        <w:rPr>
          <w:sz w:val="16"/>
          <w:szCs w:val="16"/>
        </w:rPr>
        <w:t>USD.</w:t>
      </w:r>
    </w:p>
  </w:footnote>
  <w:footnote w:id="6">
    <w:p w:rsidR="00E4513D" w:rsidRDefault="00E4513D" w:rsidP="003D0231">
      <w:pPr>
        <w:pStyle w:val="FootnoteText"/>
      </w:pPr>
      <w:r w:rsidRPr="004963AD">
        <w:rPr>
          <w:rStyle w:val="FootnoteReference"/>
          <w:sz w:val="16"/>
          <w:szCs w:val="16"/>
        </w:rPr>
        <w:footnoteRef/>
      </w:r>
      <w:r w:rsidRPr="004963AD">
        <w:rPr>
          <w:sz w:val="16"/>
          <w:szCs w:val="16"/>
        </w:rPr>
        <w:t xml:space="preserve"> </w:t>
      </w:r>
      <w:r>
        <w:rPr>
          <w:sz w:val="16"/>
          <w:szCs w:val="16"/>
          <w:lang w:val="bg-BG"/>
        </w:rPr>
        <w:t>Включително производството и рафинирането на</w:t>
      </w:r>
      <w:r w:rsidRPr="004963AD">
        <w:rPr>
          <w:sz w:val="16"/>
          <w:szCs w:val="16"/>
        </w:rPr>
        <w:t xml:space="preserve"> </w:t>
      </w:r>
      <w:r>
        <w:rPr>
          <w:sz w:val="16"/>
          <w:szCs w:val="16"/>
          <w:lang w:val="bg-BG"/>
        </w:rPr>
        <w:t>въглеводороди</w:t>
      </w:r>
      <w:r w:rsidRPr="004963AD">
        <w:rPr>
          <w:sz w:val="16"/>
          <w:szCs w:val="16"/>
        </w:rPr>
        <w:t>.</w:t>
      </w:r>
      <w:r>
        <w:t xml:space="preserve"> </w:t>
      </w:r>
    </w:p>
  </w:footnote>
  <w:footnote w:id="7">
    <w:p w:rsidR="00E4513D" w:rsidRPr="0083412A" w:rsidRDefault="00E4513D" w:rsidP="003D0231">
      <w:pPr>
        <w:pStyle w:val="FootnoteText"/>
      </w:pPr>
      <w:r>
        <w:rPr>
          <w:rStyle w:val="FootnoteReference"/>
        </w:rPr>
        <w:footnoteRef/>
      </w:r>
      <w:r>
        <w:t xml:space="preserve"> </w:t>
      </w:r>
      <w:r>
        <w:rPr>
          <w:lang w:val="bg-BG"/>
        </w:rPr>
        <w:t>Моля посочете само дружества, чиито акции с право на глас се котират на  фондова борса. Ако е необходимо, добавете още редове.</w:t>
      </w:r>
      <w:r>
        <w:t xml:space="preserve"> </w:t>
      </w:r>
    </w:p>
  </w:footnote>
  <w:footnote w:id="8">
    <w:p w:rsidR="00E4513D" w:rsidRDefault="00E4513D" w:rsidP="003D0231">
      <w:pPr>
        <w:pStyle w:val="FootnoteText"/>
      </w:pPr>
      <w:r>
        <w:rPr>
          <w:rStyle w:val="FootnoteReference"/>
        </w:rPr>
        <w:footnoteRef/>
      </w:r>
      <w:r>
        <w:t xml:space="preserve"> </w:t>
      </w:r>
      <w:r>
        <w:rPr>
          <w:lang w:val="bg-BG"/>
        </w:rPr>
        <w:t>Ако дружество се притежава косвено чрез други дружества, моля посочете цялата верига на собственост</w:t>
      </w:r>
      <w:r>
        <w:t xml:space="preserve">. </w:t>
      </w:r>
    </w:p>
  </w:footnote>
  <w:footnote w:id="9">
    <w:p w:rsidR="00E4513D" w:rsidRDefault="00E4513D">
      <w:pPr>
        <w:pStyle w:val="FootnoteText"/>
      </w:pPr>
      <w:r>
        <w:rPr>
          <w:rStyle w:val="FootnoteReference"/>
        </w:rPr>
        <w:footnoteRef/>
      </w:r>
      <w:r>
        <w:t xml:space="preserve"> </w:t>
      </w:r>
      <w:r w:rsidR="00FD65CA">
        <w:rPr>
          <w:lang w:val="bg-BG"/>
        </w:rPr>
        <w:t xml:space="preserve">За сектор на дейност моля следвайте двуцифрената класификация на </w:t>
      </w:r>
      <w:r w:rsidRPr="004A7071">
        <w:t>ISIC</w:t>
      </w:r>
      <w:r w:rsidR="00FD65CA">
        <w:rPr>
          <w:lang w:val="bg-BG"/>
        </w:rPr>
        <w:t>, която се намира на</w:t>
      </w:r>
      <w:r w:rsidRPr="004A7071">
        <w:t xml:space="preserve">: </w:t>
      </w:r>
      <w:r w:rsidRPr="00DD0144">
        <w:t>http://unstats.un.org/unsd/cr/registry/regcst.asp?Cl=27&amp;Lg=1</w:t>
      </w:r>
      <w:r w:rsidRPr="004A7071">
        <w:t>.</w:t>
      </w:r>
    </w:p>
  </w:footnote>
  <w:footnote w:id="10">
    <w:p w:rsidR="00E4513D" w:rsidRDefault="00E4513D">
      <w:pPr>
        <w:pStyle w:val="FootnoteText"/>
      </w:pPr>
      <w:r>
        <w:rPr>
          <w:rStyle w:val="FootnoteReference"/>
        </w:rPr>
        <w:footnoteRef/>
      </w:r>
      <w:r>
        <w:t xml:space="preserve"> </w:t>
      </w:r>
      <w:r w:rsidR="00FD65CA">
        <w:rPr>
          <w:lang w:val="bg-BG"/>
        </w:rPr>
        <w:t xml:space="preserve">Моля посочете процент  на паричен поток и права на глас. </w:t>
      </w:r>
      <w:r w:rsidR="00192657">
        <w:rPr>
          <w:lang w:val="bg-BG"/>
        </w:rPr>
        <w:t xml:space="preserve">Ако е уместно,  моля добавете собствеността на други институции  под държавен контрол.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F62"/>
    <w:multiLevelType w:val="singleLevel"/>
    <w:tmpl w:val="3502E25E"/>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nsid w:val="3D634108"/>
    <w:multiLevelType w:val="hybridMultilevel"/>
    <w:tmpl w:val="2C50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docVars>
    <w:docVar w:name="APWAFNeedToUniquify" w:val="false"/>
    <w:docVar w:name="APWAFVersion" w:val="5.0"/>
  </w:docVars>
  <w:rsids>
    <w:rsidRoot w:val="003D0231"/>
    <w:rsid w:val="0001776E"/>
    <w:rsid w:val="00026044"/>
    <w:rsid w:val="00052A23"/>
    <w:rsid w:val="00054E3A"/>
    <w:rsid w:val="000738A1"/>
    <w:rsid w:val="00074519"/>
    <w:rsid w:val="000843C1"/>
    <w:rsid w:val="000851A4"/>
    <w:rsid w:val="000A04A5"/>
    <w:rsid w:val="000C4806"/>
    <w:rsid w:val="000D085C"/>
    <w:rsid w:val="000D6E0C"/>
    <w:rsid w:val="001025B4"/>
    <w:rsid w:val="00103588"/>
    <w:rsid w:val="00104885"/>
    <w:rsid w:val="00110169"/>
    <w:rsid w:val="00112839"/>
    <w:rsid w:val="00115F11"/>
    <w:rsid w:val="001160F4"/>
    <w:rsid w:val="0012216D"/>
    <w:rsid w:val="001308CC"/>
    <w:rsid w:val="00137E7C"/>
    <w:rsid w:val="00144AB7"/>
    <w:rsid w:val="00160B0F"/>
    <w:rsid w:val="00161A5C"/>
    <w:rsid w:val="00161F04"/>
    <w:rsid w:val="00170476"/>
    <w:rsid w:val="001767FD"/>
    <w:rsid w:val="00181E99"/>
    <w:rsid w:val="00186B0B"/>
    <w:rsid w:val="0019106C"/>
    <w:rsid w:val="00192657"/>
    <w:rsid w:val="001A0936"/>
    <w:rsid w:val="001A7183"/>
    <w:rsid w:val="001B7D51"/>
    <w:rsid w:val="001C4976"/>
    <w:rsid w:val="001D0683"/>
    <w:rsid w:val="0020088D"/>
    <w:rsid w:val="002020CE"/>
    <w:rsid w:val="002055FF"/>
    <w:rsid w:val="00212B88"/>
    <w:rsid w:val="00231A95"/>
    <w:rsid w:val="002320D2"/>
    <w:rsid w:val="00250173"/>
    <w:rsid w:val="00253729"/>
    <w:rsid w:val="00261036"/>
    <w:rsid w:val="00272636"/>
    <w:rsid w:val="00283B77"/>
    <w:rsid w:val="002860D0"/>
    <w:rsid w:val="002B4DF4"/>
    <w:rsid w:val="002C2BEE"/>
    <w:rsid w:val="002E01FB"/>
    <w:rsid w:val="002E064F"/>
    <w:rsid w:val="002E7D76"/>
    <w:rsid w:val="00302E2F"/>
    <w:rsid w:val="00311A20"/>
    <w:rsid w:val="00320E18"/>
    <w:rsid w:val="0032212D"/>
    <w:rsid w:val="00345B3C"/>
    <w:rsid w:val="00346CB2"/>
    <w:rsid w:val="003519D8"/>
    <w:rsid w:val="00352423"/>
    <w:rsid w:val="00356530"/>
    <w:rsid w:val="0038011E"/>
    <w:rsid w:val="003B0779"/>
    <w:rsid w:val="003B40DD"/>
    <w:rsid w:val="003B525A"/>
    <w:rsid w:val="003B654F"/>
    <w:rsid w:val="003C640F"/>
    <w:rsid w:val="003D0231"/>
    <w:rsid w:val="003D25FC"/>
    <w:rsid w:val="003E75CC"/>
    <w:rsid w:val="00400789"/>
    <w:rsid w:val="004311A7"/>
    <w:rsid w:val="004641C0"/>
    <w:rsid w:val="00464BD4"/>
    <w:rsid w:val="00465441"/>
    <w:rsid w:val="00467813"/>
    <w:rsid w:val="004776C5"/>
    <w:rsid w:val="00487EE9"/>
    <w:rsid w:val="00496AEE"/>
    <w:rsid w:val="004A7071"/>
    <w:rsid w:val="004C6282"/>
    <w:rsid w:val="004D0770"/>
    <w:rsid w:val="004D403E"/>
    <w:rsid w:val="004D7026"/>
    <w:rsid w:val="004F0ADB"/>
    <w:rsid w:val="004F331B"/>
    <w:rsid w:val="00510F3F"/>
    <w:rsid w:val="00525ED6"/>
    <w:rsid w:val="005431D3"/>
    <w:rsid w:val="00561D60"/>
    <w:rsid w:val="0057232B"/>
    <w:rsid w:val="00580302"/>
    <w:rsid w:val="00590581"/>
    <w:rsid w:val="00592BA1"/>
    <w:rsid w:val="005977AB"/>
    <w:rsid w:val="005A263F"/>
    <w:rsid w:val="005A3FCD"/>
    <w:rsid w:val="005A427A"/>
    <w:rsid w:val="005A740F"/>
    <w:rsid w:val="005B63CE"/>
    <w:rsid w:val="005E1B80"/>
    <w:rsid w:val="005F4C54"/>
    <w:rsid w:val="005F6722"/>
    <w:rsid w:val="00617453"/>
    <w:rsid w:val="00626C49"/>
    <w:rsid w:val="00627740"/>
    <w:rsid w:val="006371A3"/>
    <w:rsid w:val="006420A2"/>
    <w:rsid w:val="00671183"/>
    <w:rsid w:val="006764DE"/>
    <w:rsid w:val="00682A27"/>
    <w:rsid w:val="006932DB"/>
    <w:rsid w:val="006F6E1B"/>
    <w:rsid w:val="00700947"/>
    <w:rsid w:val="007046A4"/>
    <w:rsid w:val="0071145A"/>
    <w:rsid w:val="00714AFA"/>
    <w:rsid w:val="007454CD"/>
    <w:rsid w:val="00750A5B"/>
    <w:rsid w:val="00760905"/>
    <w:rsid w:val="00783F01"/>
    <w:rsid w:val="00790B1C"/>
    <w:rsid w:val="00793C65"/>
    <w:rsid w:val="00797419"/>
    <w:rsid w:val="007A14DB"/>
    <w:rsid w:val="007B186D"/>
    <w:rsid w:val="007E0F0D"/>
    <w:rsid w:val="007E3190"/>
    <w:rsid w:val="008137D0"/>
    <w:rsid w:val="00823CB6"/>
    <w:rsid w:val="00827D6C"/>
    <w:rsid w:val="008347E5"/>
    <w:rsid w:val="0084324C"/>
    <w:rsid w:val="00847619"/>
    <w:rsid w:val="00866134"/>
    <w:rsid w:val="008775F8"/>
    <w:rsid w:val="00890915"/>
    <w:rsid w:val="008A055D"/>
    <w:rsid w:val="008B42ED"/>
    <w:rsid w:val="008C5A62"/>
    <w:rsid w:val="008D74BF"/>
    <w:rsid w:val="008E25F4"/>
    <w:rsid w:val="008E5962"/>
    <w:rsid w:val="008F0D0B"/>
    <w:rsid w:val="00907E70"/>
    <w:rsid w:val="00910BFB"/>
    <w:rsid w:val="00912A6A"/>
    <w:rsid w:val="0093219F"/>
    <w:rsid w:val="00946BFE"/>
    <w:rsid w:val="00947AE4"/>
    <w:rsid w:val="009543A3"/>
    <w:rsid w:val="00954A04"/>
    <w:rsid w:val="0095787F"/>
    <w:rsid w:val="00982CF7"/>
    <w:rsid w:val="009846A3"/>
    <w:rsid w:val="009B5D26"/>
    <w:rsid w:val="009C7F84"/>
    <w:rsid w:val="009D1C96"/>
    <w:rsid w:val="009E4B1E"/>
    <w:rsid w:val="009F5967"/>
    <w:rsid w:val="00A163C2"/>
    <w:rsid w:val="00A64F01"/>
    <w:rsid w:val="00A67D2D"/>
    <w:rsid w:val="00A8284D"/>
    <w:rsid w:val="00A836C5"/>
    <w:rsid w:val="00A83E9B"/>
    <w:rsid w:val="00A87ABB"/>
    <w:rsid w:val="00A91D90"/>
    <w:rsid w:val="00AB65EA"/>
    <w:rsid w:val="00AC1CEA"/>
    <w:rsid w:val="00AD5E1B"/>
    <w:rsid w:val="00AD657F"/>
    <w:rsid w:val="00AF004C"/>
    <w:rsid w:val="00AF3B93"/>
    <w:rsid w:val="00B2439D"/>
    <w:rsid w:val="00B27F39"/>
    <w:rsid w:val="00B40565"/>
    <w:rsid w:val="00B42973"/>
    <w:rsid w:val="00B438EE"/>
    <w:rsid w:val="00B72F51"/>
    <w:rsid w:val="00B73F1B"/>
    <w:rsid w:val="00B75643"/>
    <w:rsid w:val="00B90E75"/>
    <w:rsid w:val="00B954EB"/>
    <w:rsid w:val="00B9568E"/>
    <w:rsid w:val="00B9587E"/>
    <w:rsid w:val="00BA5FC0"/>
    <w:rsid w:val="00BC591F"/>
    <w:rsid w:val="00BC75A0"/>
    <w:rsid w:val="00BD24A9"/>
    <w:rsid w:val="00BF7161"/>
    <w:rsid w:val="00C00D52"/>
    <w:rsid w:val="00C33FA4"/>
    <w:rsid w:val="00C34EE7"/>
    <w:rsid w:val="00C407AA"/>
    <w:rsid w:val="00C5286D"/>
    <w:rsid w:val="00C67353"/>
    <w:rsid w:val="00C93AFC"/>
    <w:rsid w:val="00CD187C"/>
    <w:rsid w:val="00CD3CDA"/>
    <w:rsid w:val="00CF5CED"/>
    <w:rsid w:val="00D16616"/>
    <w:rsid w:val="00D2034F"/>
    <w:rsid w:val="00D32BC9"/>
    <w:rsid w:val="00D37CC9"/>
    <w:rsid w:val="00D4472F"/>
    <w:rsid w:val="00D54F54"/>
    <w:rsid w:val="00D70B2D"/>
    <w:rsid w:val="00D75895"/>
    <w:rsid w:val="00D95978"/>
    <w:rsid w:val="00DA25B6"/>
    <w:rsid w:val="00DA3CE9"/>
    <w:rsid w:val="00DA5279"/>
    <w:rsid w:val="00DB4E8D"/>
    <w:rsid w:val="00DC6560"/>
    <w:rsid w:val="00DD0144"/>
    <w:rsid w:val="00DD500C"/>
    <w:rsid w:val="00DD54C3"/>
    <w:rsid w:val="00DD5ACC"/>
    <w:rsid w:val="00E017B6"/>
    <w:rsid w:val="00E15E72"/>
    <w:rsid w:val="00E300FD"/>
    <w:rsid w:val="00E41E70"/>
    <w:rsid w:val="00E44E44"/>
    <w:rsid w:val="00E4513D"/>
    <w:rsid w:val="00E60DB5"/>
    <w:rsid w:val="00E67A59"/>
    <w:rsid w:val="00E736E9"/>
    <w:rsid w:val="00E96A1B"/>
    <w:rsid w:val="00EC2C00"/>
    <w:rsid w:val="00EC3D45"/>
    <w:rsid w:val="00ED6523"/>
    <w:rsid w:val="00EE08FC"/>
    <w:rsid w:val="00EE2D83"/>
    <w:rsid w:val="00EF1647"/>
    <w:rsid w:val="00EF6ADC"/>
    <w:rsid w:val="00F02225"/>
    <w:rsid w:val="00F03CEB"/>
    <w:rsid w:val="00F105C4"/>
    <w:rsid w:val="00F125AE"/>
    <w:rsid w:val="00F2306D"/>
    <w:rsid w:val="00F25A8A"/>
    <w:rsid w:val="00F31AF7"/>
    <w:rsid w:val="00F4206A"/>
    <w:rsid w:val="00F47485"/>
    <w:rsid w:val="00F5275C"/>
    <w:rsid w:val="00F75836"/>
    <w:rsid w:val="00F91DED"/>
    <w:rsid w:val="00F927B7"/>
    <w:rsid w:val="00FA64CD"/>
    <w:rsid w:val="00FD65CA"/>
    <w:rsid w:val="00FE6A9B"/>
    <w:rsid w:val="00FF03CF"/>
    <w:rsid w:val="00FF388B"/>
    <w:rsid w:val="00FF43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31"/>
    <w:pPr>
      <w:tabs>
        <w:tab w:val="left" w:pos="850"/>
        <w:tab w:val="left" w:pos="1191"/>
        <w:tab w:val="left" w:pos="1531"/>
      </w:tabs>
      <w:spacing w:after="0" w:line="240" w:lineRule="auto"/>
      <w:jc w:val="both"/>
    </w:pPr>
    <w:rPr>
      <w:rFonts w:ascii="Times New Roman" w:eastAsia="Times New Roman" w:hAnsi="Times New Roman" w:cs="Times New Roman"/>
      <w:lang w:eastAsia="zh-CN"/>
    </w:rPr>
  </w:style>
  <w:style w:type="paragraph" w:styleId="Heading1">
    <w:name w:val="heading 1"/>
    <w:basedOn w:val="Normal"/>
    <w:next w:val="Num-DocParagraph"/>
    <w:link w:val="Heading1Char"/>
    <w:qFormat/>
    <w:rsid w:val="003D0231"/>
    <w:pPr>
      <w:keepNext/>
      <w:spacing w:before="1200" w:after="720"/>
      <w:jc w:val="center"/>
      <w:outlineLvl w:val="0"/>
    </w:pPr>
    <w:rPr>
      <w:b/>
      <w:bCs/>
      <w:caps/>
      <w:kern w:val="28"/>
    </w:rPr>
  </w:style>
  <w:style w:type="paragraph" w:styleId="Heading2">
    <w:name w:val="heading 2"/>
    <w:basedOn w:val="Normal"/>
    <w:next w:val="Num-DocParagraph"/>
    <w:link w:val="Heading2Char"/>
    <w:qFormat/>
    <w:rsid w:val="003D0231"/>
    <w:pPr>
      <w:keepNext/>
      <w:spacing w:before="240" w:after="240"/>
      <w:outlineLvl w:val="1"/>
    </w:pPr>
    <w:rPr>
      <w:b/>
      <w:bCs/>
    </w:rPr>
  </w:style>
  <w:style w:type="paragraph" w:styleId="Heading3">
    <w:name w:val="heading 3"/>
    <w:basedOn w:val="Normal"/>
    <w:next w:val="Num-DocParagraph"/>
    <w:link w:val="Heading3Char"/>
    <w:qFormat/>
    <w:rsid w:val="003D0231"/>
    <w:pPr>
      <w:keepNext/>
      <w:spacing w:before="240" w:after="24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231"/>
    <w:rPr>
      <w:rFonts w:ascii="Times New Roman" w:eastAsia="Times New Roman" w:hAnsi="Times New Roman" w:cs="Times New Roman"/>
      <w:b/>
      <w:bCs/>
      <w:caps/>
      <w:kern w:val="28"/>
      <w:lang w:eastAsia="zh-CN"/>
    </w:rPr>
  </w:style>
  <w:style w:type="character" w:customStyle="1" w:styleId="Heading2Char">
    <w:name w:val="Heading 2 Char"/>
    <w:basedOn w:val="DefaultParagraphFont"/>
    <w:link w:val="Heading2"/>
    <w:rsid w:val="003D0231"/>
    <w:rPr>
      <w:rFonts w:ascii="Times New Roman" w:eastAsia="Times New Roman" w:hAnsi="Times New Roman" w:cs="Times New Roman"/>
      <w:b/>
      <w:bCs/>
      <w:lang w:eastAsia="zh-CN"/>
    </w:rPr>
  </w:style>
  <w:style w:type="character" w:customStyle="1" w:styleId="Heading3Char">
    <w:name w:val="Heading 3 Char"/>
    <w:basedOn w:val="DefaultParagraphFont"/>
    <w:link w:val="Heading3"/>
    <w:rsid w:val="003D0231"/>
    <w:rPr>
      <w:rFonts w:ascii="Times New Roman" w:eastAsia="Times New Roman" w:hAnsi="Times New Roman" w:cs="Times New Roman"/>
      <w:b/>
      <w:bCs/>
      <w:i/>
      <w:iCs/>
      <w:lang w:eastAsia="zh-CN"/>
    </w:rPr>
  </w:style>
  <w:style w:type="paragraph" w:styleId="BodyText">
    <w:name w:val="Body Text"/>
    <w:basedOn w:val="Normal"/>
    <w:link w:val="BodyTextChar"/>
    <w:rsid w:val="003D0231"/>
    <w:pPr>
      <w:spacing w:after="240"/>
      <w:ind w:firstLine="442"/>
    </w:pPr>
  </w:style>
  <w:style w:type="character" w:customStyle="1" w:styleId="BodyTextChar">
    <w:name w:val="Body Text Char"/>
    <w:basedOn w:val="DefaultParagraphFont"/>
    <w:link w:val="BodyText"/>
    <w:rsid w:val="003D0231"/>
    <w:rPr>
      <w:rFonts w:ascii="Times New Roman" w:eastAsia="Times New Roman" w:hAnsi="Times New Roman" w:cs="Times New Roman"/>
      <w:lang w:eastAsia="zh-CN"/>
    </w:rPr>
  </w:style>
  <w:style w:type="paragraph" w:customStyle="1" w:styleId="ColumnsHeading">
    <w:name w:val="Columns Heading"/>
    <w:basedOn w:val="Normal"/>
    <w:rsid w:val="003D0231"/>
    <w:pPr>
      <w:tabs>
        <w:tab w:val="clear" w:pos="850"/>
        <w:tab w:val="clear" w:pos="1191"/>
        <w:tab w:val="clear" w:pos="1531"/>
      </w:tabs>
      <w:jc w:val="center"/>
    </w:pPr>
    <w:rPr>
      <w:rFonts w:ascii="Arial" w:hAnsi="Arial" w:cs="Arial"/>
      <w:sz w:val="18"/>
      <w:szCs w:val="18"/>
    </w:rPr>
  </w:style>
  <w:style w:type="character" w:styleId="FootnoteReference">
    <w:name w:val="footnote reference"/>
    <w:uiPriority w:val="99"/>
    <w:semiHidden/>
    <w:rsid w:val="003D0231"/>
    <w:rPr>
      <w:vertAlign w:val="superscript"/>
    </w:rPr>
  </w:style>
  <w:style w:type="paragraph" w:styleId="FootnoteText">
    <w:name w:val="footnote text"/>
    <w:basedOn w:val="Normal"/>
    <w:link w:val="FootnoteTextChar"/>
    <w:uiPriority w:val="99"/>
    <w:semiHidden/>
    <w:rsid w:val="003D0231"/>
    <w:pPr>
      <w:spacing w:after="120"/>
      <w:ind w:left="850" w:hanging="850"/>
    </w:pPr>
    <w:rPr>
      <w:sz w:val="20"/>
      <w:szCs w:val="20"/>
    </w:rPr>
  </w:style>
  <w:style w:type="character" w:customStyle="1" w:styleId="FootnoteTextChar">
    <w:name w:val="Footnote Text Char"/>
    <w:basedOn w:val="DefaultParagraphFont"/>
    <w:link w:val="FootnoteText"/>
    <w:uiPriority w:val="99"/>
    <w:semiHidden/>
    <w:rsid w:val="003D0231"/>
    <w:rPr>
      <w:rFonts w:ascii="Times New Roman" w:eastAsia="Times New Roman" w:hAnsi="Times New Roman" w:cs="Times New Roman"/>
      <w:sz w:val="20"/>
      <w:szCs w:val="20"/>
      <w:lang w:eastAsia="zh-CN"/>
    </w:rPr>
  </w:style>
  <w:style w:type="paragraph" w:styleId="ListBullet">
    <w:name w:val="List Bullet"/>
    <w:basedOn w:val="Normal"/>
    <w:rsid w:val="003D0231"/>
    <w:pPr>
      <w:numPr>
        <w:numId w:val="1"/>
      </w:numPr>
      <w:tabs>
        <w:tab w:val="clear" w:pos="1191"/>
        <w:tab w:val="clear" w:pos="1531"/>
      </w:tabs>
      <w:spacing w:after="240"/>
    </w:pPr>
  </w:style>
  <w:style w:type="paragraph" w:customStyle="1" w:styleId="Num-DocParagraph">
    <w:name w:val="Num-Doc Paragraph"/>
    <w:basedOn w:val="BodyText"/>
    <w:rsid w:val="003D0231"/>
    <w:pPr>
      <w:ind w:firstLine="0"/>
    </w:pPr>
  </w:style>
  <w:style w:type="paragraph" w:customStyle="1" w:styleId="RowsHeading">
    <w:name w:val="Rows Heading"/>
    <w:basedOn w:val="Normal"/>
    <w:rsid w:val="003D0231"/>
    <w:pPr>
      <w:tabs>
        <w:tab w:val="clear" w:pos="850"/>
        <w:tab w:val="clear" w:pos="1191"/>
        <w:tab w:val="clear" w:pos="1531"/>
      </w:tabs>
      <w:jc w:val="left"/>
    </w:pPr>
    <w:rPr>
      <w:rFonts w:ascii="Arial" w:hAnsi="Arial" w:cs="Arial"/>
      <w:sz w:val="18"/>
      <w:szCs w:val="18"/>
    </w:rPr>
  </w:style>
  <w:style w:type="paragraph" w:customStyle="1" w:styleId="TableTitle">
    <w:name w:val="Table Title"/>
    <w:basedOn w:val="Normal"/>
    <w:rsid w:val="003D0231"/>
    <w:pPr>
      <w:keepNext/>
      <w:spacing w:after="240"/>
      <w:jc w:val="center"/>
    </w:pPr>
    <w:rPr>
      <w:rFonts w:ascii="Arial" w:hAnsi="Arial" w:cs="Arial"/>
      <w:b/>
      <w:bCs/>
      <w:sz w:val="18"/>
    </w:rPr>
  </w:style>
  <w:style w:type="paragraph" w:styleId="Footer">
    <w:name w:val="footer"/>
    <w:basedOn w:val="Normal"/>
    <w:link w:val="FooterChar"/>
    <w:uiPriority w:val="99"/>
    <w:rsid w:val="003D0231"/>
    <w:pPr>
      <w:tabs>
        <w:tab w:val="clear" w:pos="850"/>
        <w:tab w:val="clear" w:pos="1191"/>
        <w:tab w:val="clear" w:pos="1531"/>
        <w:tab w:val="center" w:pos="4536"/>
        <w:tab w:val="right" w:pos="9072"/>
      </w:tabs>
    </w:pPr>
  </w:style>
  <w:style w:type="character" w:customStyle="1" w:styleId="FooterChar">
    <w:name w:val="Footer Char"/>
    <w:basedOn w:val="DefaultParagraphFont"/>
    <w:link w:val="Footer"/>
    <w:uiPriority w:val="99"/>
    <w:rsid w:val="003D0231"/>
    <w:rPr>
      <w:rFonts w:ascii="Times New Roman" w:eastAsia="Times New Roman" w:hAnsi="Times New Roman" w:cs="Times New Roman"/>
      <w:lang w:eastAsia="zh-CN"/>
    </w:rPr>
  </w:style>
  <w:style w:type="character" w:styleId="PageNumber">
    <w:name w:val="page number"/>
    <w:basedOn w:val="DefaultParagraphFont"/>
    <w:uiPriority w:val="99"/>
    <w:semiHidden/>
    <w:unhideWhenUsed/>
    <w:rsid w:val="003D0231"/>
  </w:style>
  <w:style w:type="table" w:styleId="TableGrid">
    <w:name w:val="Table Grid"/>
    <w:basedOn w:val="TableNormal"/>
    <w:uiPriority w:val="59"/>
    <w:rsid w:val="003D0231"/>
    <w:pPr>
      <w:spacing w:after="0" w:line="240" w:lineRule="auto"/>
    </w:pPr>
    <w:rPr>
      <w:rFonts w:ascii="Times New Roman" w:eastAsia="Times New Roman" w:hAnsi="Times New Roma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3D0231"/>
    <w:rPr>
      <w:color w:val="0000FF"/>
      <w:u w:val="single"/>
    </w:rPr>
  </w:style>
  <w:style w:type="paragraph" w:styleId="ListParagraph">
    <w:name w:val="List Paragraph"/>
    <w:basedOn w:val="Normal"/>
    <w:uiPriority w:val="34"/>
    <w:qFormat/>
    <w:rsid w:val="00D32BC9"/>
    <w:pPr>
      <w:ind w:left="720"/>
      <w:contextualSpacing/>
    </w:pPr>
  </w:style>
  <w:style w:type="paragraph" w:styleId="TOCHeading">
    <w:name w:val="TOC Heading"/>
    <w:basedOn w:val="Heading1"/>
    <w:next w:val="Normal"/>
    <w:uiPriority w:val="39"/>
    <w:semiHidden/>
    <w:unhideWhenUsed/>
    <w:qFormat/>
    <w:rsid w:val="008137D0"/>
    <w:pPr>
      <w:keepLines/>
      <w:tabs>
        <w:tab w:val="clear" w:pos="850"/>
        <w:tab w:val="clear" w:pos="1191"/>
        <w:tab w:val="clear" w:pos="1531"/>
      </w:tabs>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161F04"/>
    <w:pPr>
      <w:tabs>
        <w:tab w:val="clear" w:pos="850"/>
        <w:tab w:val="clear" w:pos="1191"/>
        <w:tab w:val="clear" w:pos="1531"/>
        <w:tab w:val="right" w:leader="dot" w:pos="9458"/>
      </w:tabs>
      <w:spacing w:after="100"/>
      <w:jc w:val="center"/>
    </w:pPr>
    <w:rPr>
      <w:b/>
    </w:rPr>
  </w:style>
  <w:style w:type="paragraph" w:styleId="TOC2">
    <w:name w:val="toc 2"/>
    <w:basedOn w:val="Normal"/>
    <w:next w:val="Normal"/>
    <w:autoRedefine/>
    <w:uiPriority w:val="39"/>
    <w:unhideWhenUsed/>
    <w:rsid w:val="008137D0"/>
    <w:pPr>
      <w:tabs>
        <w:tab w:val="clear" w:pos="850"/>
        <w:tab w:val="clear" w:pos="1191"/>
        <w:tab w:val="clear" w:pos="1531"/>
      </w:tabs>
      <w:spacing w:after="100"/>
      <w:ind w:left="220"/>
    </w:pPr>
  </w:style>
  <w:style w:type="paragraph" w:styleId="TOC3">
    <w:name w:val="toc 3"/>
    <w:basedOn w:val="Normal"/>
    <w:next w:val="Normal"/>
    <w:autoRedefine/>
    <w:uiPriority w:val="39"/>
    <w:unhideWhenUsed/>
    <w:rsid w:val="008137D0"/>
    <w:pPr>
      <w:tabs>
        <w:tab w:val="clear" w:pos="850"/>
        <w:tab w:val="clear" w:pos="1191"/>
        <w:tab w:val="clear" w:pos="1531"/>
      </w:tabs>
      <w:spacing w:after="100"/>
      <w:ind w:left="440"/>
    </w:pPr>
  </w:style>
  <w:style w:type="paragraph" w:styleId="BalloonText">
    <w:name w:val="Balloon Text"/>
    <w:basedOn w:val="Normal"/>
    <w:link w:val="BalloonTextChar"/>
    <w:uiPriority w:val="99"/>
    <w:semiHidden/>
    <w:unhideWhenUsed/>
    <w:rsid w:val="008137D0"/>
    <w:rPr>
      <w:rFonts w:ascii="Tahoma" w:hAnsi="Tahoma" w:cs="Tahoma"/>
      <w:sz w:val="16"/>
      <w:szCs w:val="16"/>
    </w:rPr>
  </w:style>
  <w:style w:type="character" w:customStyle="1" w:styleId="BalloonTextChar">
    <w:name w:val="Balloon Text Char"/>
    <w:basedOn w:val="DefaultParagraphFont"/>
    <w:link w:val="BalloonText"/>
    <w:uiPriority w:val="99"/>
    <w:semiHidden/>
    <w:rsid w:val="008137D0"/>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7839-D2CC-443E-8ACD-CE3DBEEC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14</Pages>
  <Words>2952</Words>
  <Characters>18001</Characters>
  <Application>Microsoft Office Word</Application>
  <DocSecurity>0</DocSecurity>
  <Lines>1213</Lines>
  <Paragraphs>183</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20920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Korin Kane</dc:creator>
  <cp:lastModifiedBy>Mikhaela Miteva</cp:lastModifiedBy>
  <cp:revision>110</cp:revision>
  <dcterms:created xsi:type="dcterms:W3CDTF">2018-08-06T05:56:00Z</dcterms:created>
  <dcterms:modified xsi:type="dcterms:W3CDTF">2018-08-08T09:22:00Z</dcterms:modified>
</cp:coreProperties>
</file>